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9AA2C">
      <w:pPr>
        <w:spacing w:line="360" w:lineRule="auto"/>
        <w:jc w:val="center"/>
        <w:rPr>
          <w:rFonts w:hint="eastAsia" w:asciiTheme="majorEastAsia" w:hAnsiTheme="majorEastAsia" w:eastAsiaTheme="majorEastAsia" w:cstheme="majorEastAsia"/>
          <w:sz w:val="70"/>
          <w:szCs w:val="70"/>
          <w:lang w:eastAsia="zh-CN"/>
        </w:rPr>
      </w:pPr>
      <w:r>
        <w:rPr>
          <w:rFonts w:hint="eastAsia" w:asciiTheme="majorEastAsia" w:hAnsiTheme="majorEastAsia" w:eastAsiaTheme="majorEastAsia" w:cstheme="majorEastAsia"/>
          <w:b/>
          <w:bCs/>
          <w:sz w:val="70"/>
          <w:szCs w:val="70"/>
          <w:lang w:eastAsia="zh-CN"/>
        </w:rPr>
        <w:t>广西华盛工程咨询有限公司</w:t>
      </w:r>
    </w:p>
    <w:p w14:paraId="14396164">
      <w:pPr>
        <w:spacing w:before="120" w:beforeLines="50" w:line="360" w:lineRule="auto"/>
        <w:jc w:val="center"/>
        <w:rPr>
          <w:rFonts w:asciiTheme="majorEastAsia" w:hAnsiTheme="majorEastAsia" w:eastAsiaTheme="majorEastAsia" w:cstheme="majorEastAsia"/>
          <w:sz w:val="52"/>
          <w:szCs w:val="52"/>
        </w:rPr>
      </w:pPr>
    </w:p>
    <w:p w14:paraId="1D7444FF">
      <w:pPr>
        <w:spacing w:line="360" w:lineRule="auto"/>
        <w:rPr>
          <w:rFonts w:asciiTheme="majorEastAsia" w:hAnsiTheme="majorEastAsia" w:eastAsiaTheme="majorEastAsia" w:cstheme="majorEastAsia"/>
          <w:b/>
          <w:sz w:val="48"/>
          <w:szCs w:val="48"/>
        </w:rPr>
      </w:pPr>
    </w:p>
    <w:p w14:paraId="6B2C2927">
      <w:pPr>
        <w:snapToGrid w:val="0"/>
        <w:spacing w:before="120" w:beforeLines="50" w:line="360" w:lineRule="auto"/>
        <w:jc w:val="center"/>
        <w:rPr>
          <w:rFonts w:asciiTheme="majorEastAsia" w:hAnsiTheme="majorEastAsia" w:eastAsiaTheme="majorEastAsia" w:cstheme="majorEastAsia"/>
          <w:sz w:val="120"/>
          <w:szCs w:val="120"/>
        </w:rPr>
      </w:pPr>
      <w:r>
        <w:rPr>
          <w:rFonts w:hint="eastAsia" w:asciiTheme="majorEastAsia" w:hAnsiTheme="majorEastAsia" w:eastAsiaTheme="majorEastAsia" w:cstheme="majorEastAsia"/>
          <w:sz w:val="120"/>
          <w:szCs w:val="120"/>
        </w:rPr>
        <w:t>招 标 文 件</w:t>
      </w:r>
    </w:p>
    <w:p w14:paraId="33C9C18C">
      <w:pPr>
        <w:snapToGrid w:val="0"/>
        <w:spacing w:before="120" w:beforeLines="50" w:line="360" w:lineRule="auto"/>
        <w:jc w:val="center"/>
        <w:rPr>
          <w:rFonts w:ascii="仿宋_GB2312" w:hAnsi="宋体" w:eastAsia="仿宋_GB2312"/>
          <w:b/>
          <w:sz w:val="48"/>
          <w:szCs w:val="48"/>
        </w:rPr>
      </w:pPr>
      <w:r>
        <w:rPr>
          <w:rFonts w:hint="eastAsia" w:ascii="仿宋_GB2312" w:hAnsi="宋体" w:eastAsia="仿宋_GB2312"/>
          <w:b/>
          <w:sz w:val="48"/>
          <w:szCs w:val="48"/>
        </w:rPr>
        <w:t>（全流程电子化采购-远程异地评标）</w:t>
      </w:r>
    </w:p>
    <w:p w14:paraId="0726DE7C">
      <w:pPr>
        <w:snapToGrid w:val="0"/>
        <w:spacing w:line="360" w:lineRule="auto"/>
        <w:rPr>
          <w:rFonts w:asciiTheme="majorEastAsia" w:hAnsiTheme="majorEastAsia" w:eastAsiaTheme="majorEastAsia" w:cstheme="majorEastAsia"/>
          <w:sz w:val="30"/>
          <w:szCs w:val="72"/>
        </w:rPr>
      </w:pPr>
    </w:p>
    <w:p w14:paraId="1AAC4CA1">
      <w:pPr>
        <w:snapToGrid w:val="0"/>
        <w:spacing w:line="360" w:lineRule="auto"/>
        <w:ind w:left="2699" w:leftChars="568" w:hanging="1506" w:hangingChars="500"/>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rPr>
        <w:t>项目</w:t>
      </w:r>
      <w:r>
        <w:rPr>
          <w:rFonts w:hint="eastAsia" w:asciiTheme="majorEastAsia" w:hAnsiTheme="majorEastAsia" w:eastAsiaTheme="majorEastAsia" w:cstheme="majorEastAsia"/>
          <w:b/>
          <w:bCs/>
          <w:w w:val="95"/>
          <w:sz w:val="30"/>
          <w:szCs w:val="30"/>
        </w:rPr>
        <w:t>名称</w:t>
      </w:r>
      <w:r>
        <w:rPr>
          <w:rFonts w:hint="eastAsia" w:asciiTheme="majorEastAsia" w:hAnsiTheme="majorEastAsia" w:eastAsiaTheme="majorEastAsia" w:cstheme="majorEastAsia"/>
          <w:b/>
          <w:bCs/>
          <w:sz w:val="30"/>
          <w:szCs w:val="30"/>
        </w:rPr>
        <w:t>：</w:t>
      </w:r>
      <w:r>
        <w:rPr>
          <w:rFonts w:hint="eastAsia" w:asciiTheme="majorEastAsia" w:hAnsiTheme="majorEastAsia" w:eastAsiaTheme="majorEastAsia" w:cstheme="majorEastAsia"/>
          <w:b/>
          <w:bCs/>
          <w:sz w:val="30"/>
          <w:szCs w:val="30"/>
          <w:lang w:eastAsia="zh-CN"/>
        </w:rPr>
        <w:t>岑溪市人民医院采购眩晕治疗仪等医疗设备项目-1分标（重）</w:t>
      </w:r>
    </w:p>
    <w:p w14:paraId="1A17A1AA">
      <w:pPr>
        <w:snapToGrid w:val="0"/>
        <w:spacing w:line="360" w:lineRule="auto"/>
        <w:ind w:firstLine="1145" w:firstLineChars="400"/>
        <w:rPr>
          <w:rFonts w:hint="eastAsia" w:asciiTheme="majorEastAsia" w:hAnsiTheme="majorEastAsia" w:eastAsiaTheme="majorEastAsia" w:cstheme="majorEastAsia"/>
          <w:sz w:val="30"/>
          <w:szCs w:val="72"/>
          <w:lang w:eastAsia="zh-CN"/>
        </w:rPr>
      </w:pPr>
      <w:r>
        <w:rPr>
          <w:rFonts w:hint="eastAsia" w:asciiTheme="majorEastAsia" w:hAnsiTheme="majorEastAsia" w:eastAsiaTheme="majorEastAsia" w:cstheme="majorEastAsia"/>
          <w:b/>
          <w:bCs/>
          <w:w w:val="95"/>
          <w:sz w:val="30"/>
          <w:szCs w:val="30"/>
        </w:rPr>
        <w:t>项目</w:t>
      </w:r>
      <w:r>
        <w:rPr>
          <w:rFonts w:hint="eastAsia" w:asciiTheme="majorEastAsia" w:hAnsiTheme="majorEastAsia" w:eastAsiaTheme="majorEastAsia" w:cstheme="majorEastAsia"/>
          <w:b/>
          <w:bCs/>
          <w:sz w:val="30"/>
          <w:szCs w:val="30"/>
        </w:rPr>
        <w:t>编号</w:t>
      </w:r>
      <w:r>
        <w:rPr>
          <w:rFonts w:hint="eastAsia" w:asciiTheme="majorEastAsia" w:hAnsiTheme="majorEastAsia" w:eastAsiaTheme="majorEastAsia" w:cstheme="majorEastAsia"/>
          <w:b/>
          <w:bCs/>
          <w:w w:val="95"/>
          <w:sz w:val="30"/>
          <w:szCs w:val="30"/>
        </w:rPr>
        <w:t>：</w:t>
      </w:r>
      <w:r>
        <w:rPr>
          <w:rFonts w:hint="eastAsia" w:asciiTheme="majorEastAsia" w:hAnsiTheme="majorEastAsia" w:eastAsiaTheme="majorEastAsia" w:cstheme="majorEastAsia"/>
          <w:b/>
          <w:sz w:val="30"/>
          <w:szCs w:val="48"/>
        </w:rPr>
        <w:t xml:space="preserve"> </w:t>
      </w:r>
      <w:r>
        <w:rPr>
          <w:rFonts w:hint="eastAsia" w:asciiTheme="majorEastAsia" w:hAnsiTheme="majorEastAsia" w:eastAsiaTheme="majorEastAsia" w:cstheme="majorEastAsia"/>
          <w:b/>
          <w:sz w:val="30"/>
          <w:szCs w:val="48"/>
          <w:lang w:eastAsia="zh-CN"/>
        </w:rPr>
        <w:t>WZZC2025-G1-810185-GXHS</w:t>
      </w:r>
    </w:p>
    <w:p w14:paraId="0F9A5244">
      <w:pPr>
        <w:pStyle w:val="25"/>
        <w:snapToGrid w:val="0"/>
        <w:spacing w:line="360" w:lineRule="auto"/>
        <w:ind w:firstLine="1125" w:firstLineChars="393"/>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采 购 人： 岑溪市人民医院</w:t>
      </w:r>
    </w:p>
    <w:p w14:paraId="50CB10FD">
      <w:pPr>
        <w:pStyle w:val="25"/>
        <w:snapToGrid w:val="0"/>
        <w:spacing w:line="360" w:lineRule="auto"/>
        <w:ind w:firstLine="1125" w:firstLineChars="393"/>
        <w:rPr>
          <w:rFonts w:hint="eastAsia" w:asciiTheme="majorEastAsia" w:hAnsiTheme="majorEastAsia" w:eastAsiaTheme="majorEastAsia" w:cstheme="majorEastAsia"/>
          <w:b/>
          <w:bCs/>
          <w:w w:val="95"/>
          <w:sz w:val="30"/>
          <w:szCs w:val="30"/>
          <w:lang w:eastAsia="zh-CN"/>
        </w:rPr>
      </w:pPr>
      <w:r>
        <w:rPr>
          <w:rFonts w:hint="eastAsia" w:asciiTheme="majorEastAsia" w:hAnsiTheme="majorEastAsia" w:eastAsiaTheme="majorEastAsia" w:cstheme="majorEastAsia"/>
          <w:b/>
          <w:bCs/>
          <w:w w:val="95"/>
          <w:sz w:val="30"/>
          <w:szCs w:val="30"/>
        </w:rPr>
        <w:t>采购代理机构：</w:t>
      </w:r>
      <w:r>
        <w:rPr>
          <w:rFonts w:hint="eastAsia" w:asciiTheme="majorEastAsia" w:hAnsiTheme="majorEastAsia" w:eastAsiaTheme="majorEastAsia" w:cstheme="majorEastAsia"/>
          <w:b/>
          <w:bCs/>
          <w:w w:val="95"/>
          <w:sz w:val="30"/>
          <w:szCs w:val="30"/>
          <w:lang w:eastAsia="zh-CN"/>
        </w:rPr>
        <w:t>广西华盛工程咨询有限公司</w:t>
      </w:r>
    </w:p>
    <w:p w14:paraId="3CA4CB9E">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015F8111">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5E3D3483">
      <w:pPr>
        <w:pStyle w:val="25"/>
        <w:snapToGrid w:val="0"/>
        <w:spacing w:line="360" w:lineRule="auto"/>
        <w:ind w:firstLine="841" w:firstLineChars="294"/>
        <w:rPr>
          <w:rFonts w:asciiTheme="majorEastAsia" w:hAnsiTheme="majorEastAsia" w:eastAsiaTheme="majorEastAsia" w:cstheme="majorEastAsia"/>
          <w:szCs w:val="20"/>
        </w:rPr>
      </w:pPr>
      <w:r>
        <w:rPr>
          <w:rFonts w:hint="eastAsia" w:asciiTheme="majorEastAsia" w:hAnsiTheme="majorEastAsia" w:eastAsiaTheme="majorEastAsia" w:cstheme="majorEastAsia"/>
          <w:b/>
          <w:bCs/>
          <w:w w:val="95"/>
          <w:sz w:val="30"/>
          <w:szCs w:val="30"/>
        </w:rPr>
        <w:t xml:space="preserve">               202</w:t>
      </w:r>
      <w:r>
        <w:rPr>
          <w:rFonts w:hint="eastAsia" w:asciiTheme="majorEastAsia" w:hAnsiTheme="majorEastAsia" w:eastAsiaTheme="majorEastAsia" w:cstheme="majorEastAsia"/>
          <w:b/>
          <w:bCs/>
          <w:w w:val="95"/>
          <w:sz w:val="30"/>
          <w:szCs w:val="30"/>
          <w:lang w:val="en-US" w:eastAsia="zh-CN"/>
        </w:rPr>
        <w:t>5</w:t>
      </w:r>
      <w:r>
        <w:rPr>
          <w:rFonts w:hint="eastAsia" w:asciiTheme="majorEastAsia" w:hAnsiTheme="majorEastAsia" w:eastAsiaTheme="majorEastAsia" w:cstheme="majorEastAsia"/>
          <w:b/>
          <w:bCs/>
          <w:w w:val="95"/>
          <w:sz w:val="30"/>
          <w:szCs w:val="30"/>
        </w:rPr>
        <w:t>年</w:t>
      </w:r>
      <w:r>
        <w:rPr>
          <w:rFonts w:hint="eastAsia" w:asciiTheme="majorEastAsia" w:hAnsiTheme="majorEastAsia" w:eastAsiaTheme="majorEastAsia" w:cstheme="majorEastAsia"/>
          <w:b/>
          <w:bCs/>
          <w:w w:val="95"/>
          <w:sz w:val="30"/>
          <w:szCs w:val="30"/>
          <w:lang w:val="en-US" w:eastAsia="zh-CN"/>
        </w:rPr>
        <w:t>12</w:t>
      </w:r>
      <w:r>
        <w:rPr>
          <w:rFonts w:hint="eastAsia" w:asciiTheme="majorEastAsia" w:hAnsiTheme="majorEastAsia" w:eastAsiaTheme="majorEastAsia" w:cstheme="majorEastAsia"/>
          <w:b/>
          <w:bCs/>
          <w:w w:val="95"/>
          <w:sz w:val="30"/>
          <w:szCs w:val="30"/>
        </w:rPr>
        <w:t>月</w:t>
      </w:r>
    </w:p>
    <w:p w14:paraId="0595EDB5">
      <w:pPr>
        <w:spacing w:line="360" w:lineRule="auto"/>
        <w:ind w:firstLine="640" w:firstLineChars="200"/>
        <w:rPr>
          <w:rFonts w:asciiTheme="majorEastAsia" w:hAnsiTheme="majorEastAsia" w:eastAsiaTheme="majorEastAsia" w:cstheme="majorEastAsia"/>
        </w:rPr>
      </w:pPr>
      <w:r>
        <w:rPr>
          <w:rFonts w:hint="eastAsia" w:asciiTheme="majorEastAsia" w:hAnsiTheme="majorEastAsia" w:eastAsiaTheme="majorEastAsia" w:cstheme="majorEastAsia"/>
          <w:bCs/>
          <w:kern w:val="0"/>
          <w:sz w:val="32"/>
          <w:szCs w:val="32"/>
        </w:rPr>
        <w:br w:type="page"/>
      </w:r>
    </w:p>
    <w:p w14:paraId="5FBD3AEA">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目  录</w:t>
      </w:r>
    </w:p>
    <w:p w14:paraId="74ECFCC2">
      <w:pPr>
        <w:pStyle w:val="26"/>
        <w:rPr>
          <w:rFonts w:asciiTheme="majorEastAsia" w:hAnsiTheme="majorEastAsia" w:eastAsiaTheme="majorEastAsia" w:cstheme="majorEastAsia"/>
          <w:b w:val="0"/>
          <w:bCs w:val="0"/>
          <w:caps w:val="0"/>
          <w:sz w:val="21"/>
          <w:szCs w:val="22"/>
        </w:rPr>
      </w:pPr>
      <w:r>
        <w:rPr>
          <w:rFonts w:hint="eastAsia" w:asciiTheme="majorEastAsia" w:hAnsiTheme="majorEastAsia" w:eastAsiaTheme="majorEastAsia" w:cstheme="majorEastAsia"/>
          <w:b w:val="0"/>
        </w:rPr>
        <w:fldChar w:fldCharType="begin"/>
      </w:r>
      <w:r>
        <w:rPr>
          <w:rFonts w:hint="eastAsia" w:asciiTheme="majorEastAsia" w:hAnsiTheme="majorEastAsia" w:eastAsiaTheme="majorEastAsia" w:cstheme="majorEastAsia"/>
          <w:b w:val="0"/>
        </w:rPr>
        <w:instrText xml:space="preserve"> TOC \o "1-2" \h \z \u </w:instrText>
      </w:r>
      <w:r>
        <w:rPr>
          <w:rFonts w:hint="eastAsia" w:asciiTheme="majorEastAsia" w:hAnsiTheme="majorEastAsia" w:eastAsiaTheme="majorEastAsia" w:cstheme="majorEastAsia"/>
          <w:b w:val="0"/>
        </w:rPr>
        <w:fldChar w:fldCharType="separate"/>
      </w:r>
      <w:r>
        <w:fldChar w:fldCharType="begin"/>
      </w:r>
      <w:r>
        <w:instrText xml:space="preserve"> HYPERLINK \l "_Toc74320800" </w:instrText>
      </w:r>
      <w:r>
        <w:fldChar w:fldCharType="separate"/>
      </w:r>
      <w:r>
        <w:rPr>
          <w:rStyle w:val="53"/>
          <w:rFonts w:hint="eastAsia" w:asciiTheme="majorEastAsia" w:hAnsiTheme="majorEastAsia" w:eastAsiaTheme="majorEastAsia" w:cstheme="majorEastAsia"/>
          <w:color w:val="auto"/>
        </w:rPr>
        <w:t>第一章  招标公告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34B99B4">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"_Toc74320801" </w:instrText>
      </w:r>
      <w:r>
        <w:fldChar w:fldCharType="separate"/>
      </w:r>
      <w:r>
        <w:rPr>
          <w:rStyle w:val="53"/>
          <w:rFonts w:hint="eastAsia" w:asciiTheme="majorEastAsia" w:hAnsiTheme="majorEastAsia" w:eastAsiaTheme="majorEastAsia" w:cstheme="majorEastAsia"/>
          <w:color w:val="auto"/>
        </w:rPr>
        <w:t>第二章  采购需求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C8F0554">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"_Toc74320802" </w:instrText>
      </w:r>
      <w:r>
        <w:fldChar w:fldCharType="separate"/>
      </w:r>
      <w:r>
        <w:rPr>
          <w:rStyle w:val="53"/>
          <w:rFonts w:hint="eastAsia" w:asciiTheme="majorEastAsia" w:hAnsiTheme="majorEastAsia" w:eastAsiaTheme="majorEastAsia" w:cstheme="majorEastAsia"/>
          <w:color w:val="auto"/>
        </w:rPr>
        <w:t>第三章  投标人须</w:t>
      </w:r>
      <w:bookmarkStart w:id="0" w:name="_Hlt79572745"/>
      <w:bookmarkStart w:id="1" w:name="_Hlt79572744"/>
      <w:r>
        <w:rPr>
          <w:rStyle w:val="53"/>
          <w:rFonts w:hint="eastAsia" w:asciiTheme="majorEastAsia" w:hAnsiTheme="majorEastAsia" w:eastAsiaTheme="majorEastAsia" w:cstheme="majorEastAsia"/>
          <w:color w:val="auto"/>
        </w:rPr>
        <w:t>知</w:t>
      </w:r>
      <w:bookmarkEnd w:id="0"/>
      <w:bookmarkEnd w:id="1"/>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5672A82">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"_Toc74320803" </w:instrText>
      </w:r>
      <w:r>
        <w:fldChar w:fldCharType="separate"/>
      </w:r>
      <w:r>
        <w:rPr>
          <w:rStyle w:val="53"/>
          <w:rFonts w:hint="eastAsia" w:asciiTheme="majorEastAsia" w:hAnsiTheme="majorEastAsia" w:eastAsiaTheme="majorEastAsia" w:cstheme="majorEastAsia"/>
          <w:color w:val="auto"/>
        </w:rPr>
        <w:t>第四章  评标方</w:t>
      </w:r>
      <w:bookmarkStart w:id="2" w:name="_Hlt82186274"/>
      <w:bookmarkStart w:id="3" w:name="_Hlt82186273"/>
      <w:r>
        <w:rPr>
          <w:rStyle w:val="53"/>
          <w:rFonts w:hint="eastAsia" w:asciiTheme="majorEastAsia" w:hAnsiTheme="majorEastAsia" w:eastAsiaTheme="majorEastAsia" w:cstheme="majorEastAsia"/>
          <w:color w:val="auto"/>
        </w:rPr>
        <w:t>法</w:t>
      </w:r>
      <w:bookmarkEnd w:id="2"/>
      <w:bookmarkEnd w:id="3"/>
      <w:r>
        <w:rPr>
          <w:rStyle w:val="53"/>
          <w:rFonts w:hint="eastAsia" w:asciiTheme="majorEastAsia" w:hAnsiTheme="majorEastAsia" w:eastAsiaTheme="majorEastAsia" w:cstheme="majorEastAsia"/>
          <w:color w:val="auto"/>
        </w:rPr>
        <w:t>及评标标准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47</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6C79C8C">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"_Toc74320804" </w:instrText>
      </w:r>
      <w:r>
        <w:fldChar w:fldCharType="separate"/>
      </w:r>
      <w:r>
        <w:rPr>
          <w:rStyle w:val="53"/>
          <w:rFonts w:hint="eastAsia" w:asciiTheme="majorEastAsia" w:hAnsiTheme="majorEastAsia" w:eastAsiaTheme="majorEastAsia" w:cstheme="majorEastAsia"/>
          <w:color w:val="auto"/>
        </w:rPr>
        <w:t>第五章  拟签订的合同文本</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D59FE7C">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"_Toc74320805" </w:instrText>
      </w:r>
      <w:r>
        <w:fldChar w:fldCharType="separate"/>
      </w:r>
      <w:r>
        <w:rPr>
          <w:rStyle w:val="53"/>
          <w:rFonts w:hint="eastAsia" w:asciiTheme="majorEastAsia" w:hAnsiTheme="majorEastAsia" w:eastAsiaTheme="majorEastAsia" w:cstheme="majorEastAsia"/>
          <w:color w:val="auto"/>
        </w:rPr>
        <w:t>第六章　投标文件格式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90C45B">
      <w:pPr>
        <w:spacing w:before="120" w:beforeLines="50" w:line="4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fldChar w:fldCharType="end"/>
      </w:r>
    </w:p>
    <w:p w14:paraId="68D3E933">
      <w:pPr>
        <w:spacing w:before="120" w:beforeLines="50" w:line="480" w:lineRule="exact"/>
        <w:rPr>
          <w:rFonts w:asciiTheme="majorEastAsia" w:hAnsiTheme="majorEastAsia" w:eastAsiaTheme="majorEastAsia" w:cstheme="majorEastAsia"/>
          <w:sz w:val="30"/>
        </w:rPr>
      </w:pPr>
      <w:r>
        <w:rPr>
          <w:rFonts w:hint="eastAsia" w:asciiTheme="majorEastAsia" w:hAnsiTheme="majorEastAsia" w:eastAsiaTheme="majorEastAsia" w:cstheme="majorEastAsia"/>
          <w:sz w:val="30"/>
        </w:rPr>
        <w:t xml:space="preserve">                                                                                                                                                                                                                                                                                                                                                                                                                                                                                                                                                                                                                                                                                                                                                                                                                                                                                                                                                                                                                                                                                                                                                                                                                                                                                                                                                                                                                                                                                                                                                                                                                                                                                                                                   </w:t>
      </w:r>
    </w:p>
    <w:p w14:paraId="274FE364">
      <w:pPr>
        <w:rPr>
          <w:rFonts w:asciiTheme="majorEastAsia" w:hAnsiTheme="majorEastAsia" w:eastAsiaTheme="majorEastAsia" w:cstheme="majorEastAsia"/>
        </w:rPr>
      </w:pPr>
    </w:p>
    <w:p w14:paraId="00FF5708">
      <w:pPr>
        <w:spacing w:before="120" w:beforeLines="50" w:line="480" w:lineRule="exact"/>
        <w:rPr>
          <w:rFonts w:asciiTheme="majorEastAsia" w:hAnsiTheme="majorEastAsia" w:eastAsiaTheme="majorEastAsia" w:cstheme="majorEastAsia"/>
          <w:sz w:val="30"/>
        </w:rPr>
      </w:pPr>
    </w:p>
    <w:p w14:paraId="06EE5D8E">
      <w:pPr>
        <w:spacing w:before="120" w:beforeLines="50" w:line="480" w:lineRule="exact"/>
        <w:rPr>
          <w:rFonts w:asciiTheme="majorEastAsia" w:hAnsiTheme="majorEastAsia" w:eastAsiaTheme="majorEastAsia" w:cstheme="majorEastAsia"/>
          <w:sz w:val="30"/>
        </w:rPr>
      </w:pPr>
    </w:p>
    <w:p w14:paraId="64998842">
      <w:pPr>
        <w:pStyle w:val="17"/>
        <w:rPr>
          <w:rFonts w:asciiTheme="majorEastAsia" w:hAnsiTheme="majorEastAsia" w:eastAsiaTheme="majorEastAsia" w:cstheme="majorEastAsia"/>
          <w:b/>
          <w:bCs/>
        </w:rPr>
      </w:pPr>
      <w:bookmarkStart w:id="4" w:name="_Toc254970489"/>
      <w:bookmarkStart w:id="5" w:name="_Toc254970630"/>
    </w:p>
    <w:p w14:paraId="69AEEFD2">
      <w:pPr>
        <w:pStyle w:val="2"/>
        <w:keepNext w:val="0"/>
        <w:keepLines w:val="0"/>
        <w:tabs>
          <w:tab w:val="left" w:pos="0"/>
          <w:tab w:val="left" w:pos="3165"/>
          <w:tab w:val="center" w:pos="4153"/>
        </w:tabs>
        <w:autoSpaceDE w:val="0"/>
        <w:autoSpaceDN w:val="0"/>
        <w:adjustRightInd w:val="0"/>
        <w:spacing w:before="0" w:after="0"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b w:val="0"/>
          <w:bCs w:val="0"/>
        </w:rPr>
        <w:br w:type="page"/>
      </w:r>
      <w:bookmarkStart w:id="6" w:name="_Toc74320800"/>
      <w:r>
        <w:rPr>
          <w:rFonts w:hint="eastAsia" w:asciiTheme="majorEastAsia" w:hAnsiTheme="majorEastAsia" w:eastAsiaTheme="majorEastAsia" w:cstheme="majorEastAsia"/>
        </w:rPr>
        <w:t>第一章</w:t>
      </w:r>
      <w:bookmarkEnd w:id="4"/>
      <w:bookmarkEnd w:id="5"/>
      <w:bookmarkStart w:id="7" w:name="_Toc35393789"/>
      <w:bookmarkStart w:id="8" w:name="_Toc28359001"/>
      <w:r>
        <w:rPr>
          <w:rFonts w:hint="eastAsia" w:asciiTheme="majorEastAsia" w:hAnsiTheme="majorEastAsia" w:eastAsiaTheme="majorEastAsia" w:cstheme="majorEastAsia"/>
        </w:rPr>
        <w:t xml:space="preserve"> 招标公告</w:t>
      </w:r>
      <w:bookmarkEnd w:id="6"/>
      <w:bookmarkEnd w:id="7"/>
      <w:bookmarkEnd w:id="8"/>
      <w:r>
        <w:rPr>
          <w:rFonts w:hint="eastAsia"/>
        </w:rPr>
        <w:t>（远程异地评标）</w:t>
      </w:r>
    </w:p>
    <w:p w14:paraId="2DB68F01">
      <w:pPr>
        <w:spacing w:line="360" w:lineRule="auto"/>
        <w:rPr>
          <w:rFonts w:asciiTheme="majorEastAsia" w:hAnsiTheme="majorEastAsia" w:eastAsiaTheme="majorEastAsia" w:cstheme="majorEastAsia"/>
          <w:szCs w:val="21"/>
        </w:rPr>
      </w:pPr>
    </w:p>
    <w:p w14:paraId="5370680D">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项目概况</w:t>
      </w:r>
    </w:p>
    <w:p w14:paraId="699A034E">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eastAsia="zh-CN"/>
        </w:rPr>
        <w:t>岑溪市人民医院采购眩晕治疗仪等医疗设备项目-1分标（重）</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招标项目的潜在投标人应在广西政府采购云平台（https://www.gcy.zfcg.gxzf.gov.cn/）获取（下载）招标文件，并于</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6</w:t>
      </w:r>
      <w:r>
        <w:rPr>
          <w:rFonts w:hint="eastAsia" w:asciiTheme="majorEastAsia" w:hAnsiTheme="majorEastAsia" w:eastAsiaTheme="majorEastAsia" w:cstheme="majorEastAsia"/>
          <w:bCs/>
          <w:szCs w:val="21"/>
          <w:u w:val="single"/>
        </w:rPr>
        <w:t>年</w:t>
      </w:r>
      <w:r>
        <w:rPr>
          <w:rFonts w:hint="eastAsia" w:asciiTheme="majorEastAsia" w:hAnsiTheme="majorEastAsia" w:eastAsiaTheme="majorEastAsia" w:cstheme="majorEastAsia"/>
          <w:bCs/>
          <w:szCs w:val="21"/>
          <w:u w:val="single"/>
          <w:lang w:val="en-US" w:eastAsia="zh-CN"/>
        </w:rPr>
        <w:t xml:space="preserve"> 1 </w:t>
      </w:r>
      <w:r>
        <w:rPr>
          <w:rFonts w:hint="eastAsia" w:asciiTheme="majorEastAsia" w:hAnsiTheme="majorEastAsia" w:eastAsiaTheme="majorEastAsia" w:cstheme="majorEastAsia"/>
          <w:bCs/>
          <w:szCs w:val="21"/>
          <w:u w:val="single"/>
        </w:rPr>
        <w:t>月</w:t>
      </w:r>
      <w:r>
        <w:rPr>
          <w:rFonts w:hint="eastAsia" w:asciiTheme="majorEastAsia" w:hAnsiTheme="majorEastAsia" w:eastAsiaTheme="majorEastAsia" w:cstheme="majorEastAsia"/>
          <w:bCs/>
          <w:szCs w:val="21"/>
          <w:u w:val="single"/>
          <w:lang w:val="en-US" w:eastAsia="zh-CN"/>
        </w:rPr>
        <w:t xml:space="preserve"> 14 </w:t>
      </w:r>
      <w:r>
        <w:rPr>
          <w:rFonts w:hint="eastAsia" w:asciiTheme="majorEastAsia" w:hAnsiTheme="majorEastAsia" w:eastAsiaTheme="majorEastAsia" w:cstheme="majorEastAsia"/>
          <w:bCs/>
          <w:szCs w:val="21"/>
          <w:u w:val="single"/>
        </w:rPr>
        <w:t>日9时00分（</w:t>
      </w:r>
      <w:r>
        <w:rPr>
          <w:rFonts w:hint="eastAsia" w:asciiTheme="majorEastAsia" w:hAnsiTheme="majorEastAsia" w:eastAsiaTheme="majorEastAsia" w:cstheme="majorEastAsia"/>
          <w:bCs/>
          <w:szCs w:val="21"/>
        </w:rPr>
        <w:t>北京时间）前按要求递交（上传）投标文件</w:t>
      </w:r>
      <w:r>
        <w:rPr>
          <w:rFonts w:hint="eastAsia" w:asciiTheme="majorEastAsia" w:hAnsiTheme="majorEastAsia" w:eastAsiaTheme="majorEastAsia" w:cstheme="majorEastAsia"/>
          <w:szCs w:val="21"/>
        </w:rPr>
        <w:t>。</w:t>
      </w:r>
    </w:p>
    <w:p w14:paraId="07CE5A81">
      <w:pPr>
        <w:spacing w:line="360" w:lineRule="auto"/>
        <w:rPr>
          <w:rFonts w:asciiTheme="majorEastAsia" w:hAnsiTheme="majorEastAsia" w:eastAsiaTheme="majorEastAsia" w:cstheme="majorEastAsia"/>
          <w:szCs w:val="21"/>
        </w:rPr>
      </w:pPr>
    </w:p>
    <w:p w14:paraId="2310BD0F">
      <w:pPr>
        <w:spacing w:line="360" w:lineRule="auto"/>
        <w:rPr>
          <w:rFonts w:asciiTheme="majorEastAsia" w:hAnsiTheme="majorEastAsia" w:eastAsiaTheme="majorEastAsia" w:cstheme="majorEastAsia"/>
          <w:b/>
          <w:bCs/>
          <w:sz w:val="24"/>
        </w:rPr>
      </w:pPr>
      <w:bookmarkStart w:id="9" w:name="_Toc35393790"/>
      <w:bookmarkStart w:id="10" w:name="_Toc28359002"/>
      <w:bookmarkStart w:id="11" w:name="_Toc28359079"/>
      <w:bookmarkStart w:id="12" w:name="_Toc35393621"/>
      <w:bookmarkStart w:id="13" w:name="_Hlk24379207"/>
      <w:r>
        <w:rPr>
          <w:rFonts w:hint="eastAsia" w:asciiTheme="majorEastAsia" w:hAnsiTheme="majorEastAsia" w:eastAsiaTheme="majorEastAsia" w:cstheme="majorEastAsia"/>
          <w:b/>
          <w:bCs/>
          <w:sz w:val="24"/>
        </w:rPr>
        <w:t>一、项目基本情况</w:t>
      </w:r>
      <w:bookmarkEnd w:id="9"/>
      <w:bookmarkEnd w:id="10"/>
      <w:bookmarkEnd w:id="11"/>
      <w:bookmarkEnd w:id="12"/>
      <w:bookmarkStart w:id="151" w:name="_GoBack"/>
      <w:bookmarkEnd w:id="151"/>
    </w:p>
    <w:p w14:paraId="613534DD">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项目编号：</w:t>
      </w:r>
      <w:r>
        <w:rPr>
          <w:rFonts w:hint="eastAsia" w:asciiTheme="majorEastAsia" w:hAnsiTheme="majorEastAsia" w:eastAsiaTheme="majorEastAsia" w:cstheme="majorEastAsia"/>
          <w:szCs w:val="21"/>
          <w:lang w:eastAsia="zh-CN"/>
        </w:rPr>
        <w:t>WZZC2025-G1-810185-GXHS</w:t>
      </w:r>
    </w:p>
    <w:p w14:paraId="54A80C58">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Theme="majorEastAsia" w:hAnsiTheme="majorEastAsia" w:eastAsiaTheme="majorEastAsia" w:cstheme="majorEastAsia"/>
          <w:szCs w:val="21"/>
        </w:rPr>
        <w:t>项目名称：</w:t>
      </w:r>
      <w:r>
        <w:rPr>
          <w:rFonts w:hint="eastAsia" w:asciiTheme="majorEastAsia" w:hAnsiTheme="majorEastAsia" w:eastAsiaTheme="majorEastAsia" w:cstheme="majorEastAsia"/>
          <w:szCs w:val="21"/>
          <w:lang w:eastAsia="zh-CN"/>
        </w:rPr>
        <w:t>岑溪市人民医院采购眩晕治疗仪等医疗设备项目</w:t>
      </w:r>
      <w:bookmarkEnd w:id="13"/>
      <w:r>
        <w:rPr>
          <w:rFonts w:hint="eastAsia" w:asciiTheme="majorEastAsia" w:hAnsiTheme="majorEastAsia" w:eastAsiaTheme="majorEastAsia" w:cstheme="majorEastAsia"/>
          <w:szCs w:val="21"/>
          <w:lang w:val="en-US" w:eastAsia="zh-CN"/>
        </w:rPr>
        <w:t>-1</w:t>
      </w:r>
      <w:r>
        <w:rPr>
          <w:rFonts w:hint="eastAsia" w:ascii="宋体" w:hAnsi="宋体" w:eastAsia="宋体" w:cs="宋体"/>
          <w:bCs/>
          <w:color w:val="auto"/>
          <w:szCs w:val="21"/>
          <w:highlight w:val="none"/>
          <w:lang w:val="en-US" w:eastAsia="zh-CN"/>
        </w:rPr>
        <w:t>分标</w:t>
      </w:r>
      <w:r>
        <w:rPr>
          <w:rFonts w:hint="eastAsia" w:ascii="宋体" w:hAnsi="宋体" w:cs="宋体"/>
          <w:bCs/>
          <w:color w:val="auto"/>
          <w:szCs w:val="21"/>
          <w:highlight w:val="none"/>
          <w:lang w:val="en-US" w:eastAsia="zh-CN"/>
        </w:rPr>
        <w:t>（重）</w:t>
      </w:r>
    </w:p>
    <w:p w14:paraId="73FC8D41">
      <w:pPr>
        <w:spacing w:line="360" w:lineRule="auto"/>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rPr>
        <w:t>预算总金额（元）</w:t>
      </w:r>
      <w:r>
        <w:rPr>
          <w:rFonts w:hint="eastAsia" w:asciiTheme="majorEastAsia" w:hAnsiTheme="majorEastAsia" w:eastAsiaTheme="majorEastAsia" w:cstheme="majorEastAsia"/>
          <w:szCs w:val="21"/>
        </w:rPr>
        <w:t>：2536550.00元</w:t>
      </w:r>
    </w:p>
    <w:p w14:paraId="14F8F937">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最高限价</w:t>
      </w:r>
      <w:r>
        <w:rPr>
          <w:rFonts w:hint="eastAsia" w:ascii="宋体" w:hAnsi="宋体"/>
          <w:szCs w:val="21"/>
        </w:rPr>
        <w:t>（如有）</w:t>
      </w:r>
      <w:r>
        <w:rPr>
          <w:rFonts w:hint="eastAsia" w:asciiTheme="majorEastAsia" w:hAnsiTheme="majorEastAsia" w:eastAsiaTheme="majorEastAsia" w:cstheme="majorEastAsia"/>
          <w:szCs w:val="21"/>
        </w:rPr>
        <w:t>：</w:t>
      </w:r>
      <w:r>
        <w:rPr>
          <w:rFonts w:hint="eastAsia" w:ascii="宋体" w:hAnsi="宋体" w:eastAsia="宋体" w:cs="宋体"/>
          <w:color w:val="auto"/>
          <w:szCs w:val="21"/>
          <w:highlight w:val="none"/>
        </w:rPr>
        <w:t>253655</w:t>
      </w:r>
      <w:r>
        <w:rPr>
          <w:rFonts w:hint="eastAsia" w:ascii="宋体" w:hAnsi="宋体" w:eastAsia="宋体" w:cs="宋体"/>
          <w:color w:val="auto"/>
          <w:szCs w:val="21"/>
          <w:highlight w:val="none"/>
          <w:lang w:val="en-US" w:eastAsia="zh-CN"/>
        </w:rPr>
        <w:t>0.00</w:t>
      </w:r>
      <w:r>
        <w:rPr>
          <w:rFonts w:hint="eastAsia" w:asciiTheme="majorEastAsia" w:hAnsiTheme="majorEastAsia" w:eastAsiaTheme="majorEastAsia" w:cstheme="majorEastAsia"/>
          <w:szCs w:val="21"/>
        </w:rPr>
        <w:t>元</w:t>
      </w:r>
    </w:p>
    <w:p w14:paraId="70064D68">
      <w:pPr>
        <w:spacing w:line="40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采购需求： </w:t>
      </w:r>
    </w:p>
    <w:p w14:paraId="122C17B2">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szCs w:val="21"/>
          <w:lang w:eastAsia="zh-CN"/>
        </w:rPr>
        <w:t>岑溪市人民医院采购眩晕治疗仪等医疗设备项目</w:t>
      </w:r>
      <w:r>
        <w:rPr>
          <w:rFonts w:hint="eastAsia" w:asciiTheme="majorEastAsia" w:hAnsiTheme="majorEastAsia" w:eastAsiaTheme="majorEastAsia" w:cstheme="majorEastAsia"/>
          <w:szCs w:val="21"/>
          <w:lang w:val="en-US" w:eastAsia="zh-CN"/>
        </w:rPr>
        <w:t>-1</w:t>
      </w:r>
      <w:r>
        <w:rPr>
          <w:rFonts w:hint="eastAsia" w:ascii="宋体" w:hAnsi="宋体" w:eastAsia="宋体" w:cs="宋体"/>
          <w:bCs/>
          <w:color w:val="auto"/>
          <w:szCs w:val="21"/>
          <w:highlight w:val="none"/>
          <w:lang w:val="en-US" w:eastAsia="zh-CN"/>
        </w:rPr>
        <w:t>分标</w:t>
      </w:r>
      <w:r>
        <w:rPr>
          <w:rFonts w:hint="eastAsia" w:ascii="宋体" w:hAnsi="宋体" w:cs="宋体"/>
          <w:bCs/>
          <w:color w:val="auto"/>
          <w:szCs w:val="21"/>
          <w:highlight w:val="none"/>
          <w:lang w:val="en-US" w:eastAsia="zh-CN"/>
        </w:rPr>
        <w:t>（重）</w:t>
      </w:r>
    </w:p>
    <w:p w14:paraId="0E66BEE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数量：1</w:t>
      </w:r>
      <w:r>
        <w:rPr>
          <w:rFonts w:hint="eastAsia" w:ascii="宋体" w:hAnsi="宋体" w:cs="宋体"/>
          <w:color w:val="auto"/>
          <w:szCs w:val="21"/>
          <w:highlight w:val="none"/>
          <w:lang w:val="en-US" w:eastAsia="zh-CN"/>
        </w:rPr>
        <w:t xml:space="preserve">套 </w:t>
      </w:r>
    </w:p>
    <w:p w14:paraId="156863F3">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预算金额（元）：253655</w:t>
      </w:r>
      <w:r>
        <w:rPr>
          <w:rFonts w:hint="eastAsia" w:ascii="宋体" w:hAnsi="宋体" w:eastAsia="宋体" w:cs="宋体"/>
          <w:color w:val="auto"/>
          <w:szCs w:val="21"/>
          <w:highlight w:val="none"/>
          <w:lang w:val="en-US" w:eastAsia="zh-CN"/>
        </w:rPr>
        <w:t>0.00元</w:t>
      </w:r>
    </w:p>
    <w:p w14:paraId="6514702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简要规格描述或项目基本概况介绍、用途：良性阵发性位置位眩晕治疗仪、前庭诱发肌源性电位、甩头试验仪、前庭功能检查系统、脑电图；具体内容详见招标文件。</w:t>
      </w:r>
    </w:p>
    <w:p w14:paraId="5A5D1B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最高限价（如有）：253655</w:t>
      </w:r>
      <w:r>
        <w:rPr>
          <w:rFonts w:hint="eastAsia" w:ascii="宋体" w:hAnsi="宋体" w:eastAsia="宋体" w:cs="宋体"/>
          <w:color w:val="auto"/>
          <w:szCs w:val="21"/>
          <w:highlight w:val="none"/>
          <w:lang w:val="en-US" w:eastAsia="zh-CN"/>
        </w:rPr>
        <w:t>0.00元</w:t>
      </w:r>
    </w:p>
    <w:p w14:paraId="36D5343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合同履行期限：自签订合同之日起30个日历日内，安装调试完毕并交付使用。</w:t>
      </w:r>
    </w:p>
    <w:p w14:paraId="5E5846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067FE4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08F01D8">
      <w:pPr>
        <w:spacing w:line="360" w:lineRule="auto"/>
        <w:rPr>
          <w:rFonts w:asciiTheme="majorEastAsia" w:hAnsiTheme="majorEastAsia" w:eastAsiaTheme="majorEastAsia" w:cstheme="majorEastAsia"/>
          <w:b/>
          <w:bCs/>
          <w:sz w:val="24"/>
        </w:rPr>
      </w:pPr>
      <w:bookmarkStart w:id="14" w:name="_Toc28359080"/>
      <w:bookmarkStart w:id="15" w:name="_Toc35393622"/>
      <w:bookmarkStart w:id="16" w:name="_Toc35393791"/>
      <w:bookmarkStart w:id="17" w:name="_Toc28359003"/>
      <w:r>
        <w:rPr>
          <w:rFonts w:hint="eastAsia" w:asciiTheme="majorEastAsia" w:hAnsiTheme="majorEastAsia" w:eastAsiaTheme="majorEastAsia" w:cstheme="majorEastAsia"/>
          <w:b/>
          <w:bCs/>
          <w:sz w:val="24"/>
        </w:rPr>
        <w:t>二、申请人的资格要求：</w:t>
      </w:r>
      <w:bookmarkEnd w:id="14"/>
      <w:bookmarkEnd w:id="15"/>
      <w:bookmarkEnd w:id="16"/>
      <w:bookmarkEnd w:id="17"/>
    </w:p>
    <w:p w14:paraId="0BB4DEC8">
      <w:pPr>
        <w:spacing w:line="360" w:lineRule="auto"/>
        <w:ind w:firstLine="420" w:firstLineChars="200"/>
        <w:rPr>
          <w:rFonts w:asciiTheme="majorEastAsia" w:hAnsiTheme="majorEastAsia" w:eastAsiaTheme="majorEastAsia" w:cstheme="majorEastAsia"/>
          <w:szCs w:val="21"/>
        </w:rPr>
      </w:pPr>
      <w:bookmarkStart w:id="18" w:name="_Hlk51746371"/>
      <w:r>
        <w:rPr>
          <w:rFonts w:hint="eastAsia" w:asciiTheme="majorEastAsia" w:hAnsiTheme="majorEastAsia" w:eastAsiaTheme="majorEastAsia" w:cstheme="majorEastAsia"/>
          <w:szCs w:val="21"/>
        </w:rPr>
        <w:t>1.满足《中华人民共和国政府采购法》第二十二条规定；</w:t>
      </w:r>
    </w:p>
    <w:p w14:paraId="3E82AD25">
      <w:pPr>
        <w:spacing w:line="360" w:lineRule="auto"/>
        <w:ind w:firstLine="420" w:firstLineChars="200"/>
        <w:rPr>
          <w:rFonts w:asciiTheme="majorEastAsia" w:hAnsiTheme="majorEastAsia" w:eastAsiaTheme="majorEastAsia" w:cstheme="majorEastAsia"/>
          <w:szCs w:val="21"/>
        </w:rPr>
      </w:pPr>
      <w:bookmarkStart w:id="19" w:name="_Toc28359081"/>
      <w:bookmarkStart w:id="20" w:name="_Toc28359004"/>
      <w:r>
        <w:rPr>
          <w:rFonts w:hint="eastAsia" w:asciiTheme="majorEastAsia" w:hAnsiTheme="majorEastAsia" w:eastAsiaTheme="majorEastAsia" w:cstheme="majorEastAsia"/>
          <w:szCs w:val="21"/>
        </w:rPr>
        <w:t>2.落实政府采购政策需满足的资格要求：无。</w:t>
      </w:r>
    </w:p>
    <w:p w14:paraId="507714EB">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3.本项目的特定资格要求：</w:t>
      </w:r>
      <w:bookmarkEnd w:id="18"/>
      <w:bookmarkStart w:id="21" w:name="_Toc35393792"/>
      <w:bookmarkStart w:id="22" w:name="_Toc35393623"/>
      <w:r>
        <w:rPr>
          <w:rFonts w:hint="eastAsia" w:asciiTheme="majorEastAsia" w:hAnsiTheme="majorEastAsia" w:eastAsiaTheme="majorEastAsia" w:cstheme="majorEastAsia"/>
          <w:szCs w:val="21"/>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0F9F6375">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三、获取招标文件</w:t>
      </w:r>
      <w:bookmarkEnd w:id="19"/>
      <w:bookmarkEnd w:id="20"/>
      <w:bookmarkEnd w:id="21"/>
      <w:bookmarkEnd w:id="22"/>
    </w:p>
    <w:p w14:paraId="4B59F6E8">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24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至</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30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，每天上午</w:t>
      </w:r>
      <w:r>
        <w:rPr>
          <w:rFonts w:hint="eastAsia" w:asciiTheme="majorEastAsia" w:hAnsiTheme="majorEastAsia" w:eastAsiaTheme="majorEastAsia" w:cstheme="majorEastAsia"/>
          <w:bCs/>
          <w:szCs w:val="21"/>
          <w:u w:val="single"/>
        </w:rPr>
        <w:t>08时00分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12时00分</w:t>
      </w:r>
      <w:r>
        <w:rPr>
          <w:rFonts w:hint="eastAsia" w:asciiTheme="majorEastAsia" w:hAnsiTheme="majorEastAsia" w:eastAsiaTheme="majorEastAsia" w:cstheme="majorEastAsia"/>
          <w:bCs/>
          <w:kern w:val="0"/>
          <w:szCs w:val="21"/>
        </w:rPr>
        <w:t>，</w:t>
      </w:r>
      <w:r>
        <w:rPr>
          <w:rFonts w:hint="eastAsia" w:asciiTheme="majorEastAsia" w:hAnsiTheme="majorEastAsia" w:eastAsiaTheme="majorEastAsia" w:cstheme="majorEastAsia"/>
          <w:bCs/>
          <w:kern w:val="0"/>
          <w:szCs w:val="21"/>
          <w:u w:val="single"/>
        </w:rPr>
        <w:t>下午</w:t>
      </w:r>
      <w:r>
        <w:rPr>
          <w:rFonts w:hint="eastAsia" w:asciiTheme="majorEastAsia" w:hAnsiTheme="majorEastAsia" w:eastAsiaTheme="majorEastAsia" w:cstheme="majorEastAsia"/>
          <w:bCs/>
          <w:szCs w:val="21"/>
          <w:u w:val="single"/>
        </w:rPr>
        <w:t>03时00分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06时00分</w:t>
      </w:r>
      <w:r>
        <w:rPr>
          <w:rFonts w:hint="eastAsia" w:asciiTheme="majorEastAsia" w:hAnsiTheme="majorEastAsia" w:eastAsiaTheme="majorEastAsia" w:cstheme="majorEastAsia"/>
          <w:bCs/>
          <w:kern w:val="0"/>
          <w:szCs w:val="21"/>
        </w:rPr>
        <w:t>（北京时间，法定节假日除外）</w:t>
      </w:r>
    </w:p>
    <w:p w14:paraId="510E68EE">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地点：广西政府采购云平台（https://www.gcy.zfcg.gxzf.gov.cn/）</w:t>
      </w:r>
    </w:p>
    <w:p w14:paraId="4847888A">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39C32225">
      <w:pPr>
        <w:spacing w:line="360" w:lineRule="auto"/>
        <w:ind w:firstLine="540"/>
        <w:rPr>
          <w:rFonts w:asciiTheme="majorEastAsia" w:hAnsiTheme="majorEastAsia" w:eastAsiaTheme="majorEastAsia" w:cstheme="majorEastAsia"/>
          <w:szCs w:val="21"/>
        </w:rPr>
      </w:pPr>
      <w:r>
        <w:rPr>
          <w:rFonts w:hint="eastAsia" w:asciiTheme="majorEastAsia" w:hAnsiTheme="majorEastAsia" w:eastAsiaTheme="majorEastAsia" w:cstheme="majorEastAsia"/>
          <w:bCs/>
          <w:kern w:val="0"/>
          <w:szCs w:val="21"/>
        </w:rPr>
        <w:t>售价：</w:t>
      </w:r>
      <w:r>
        <w:rPr>
          <w:rFonts w:hint="eastAsia" w:asciiTheme="majorEastAsia" w:hAnsiTheme="majorEastAsia" w:eastAsiaTheme="majorEastAsia" w:cstheme="majorEastAsia"/>
          <w:iCs/>
          <w:szCs w:val="21"/>
          <w:u w:val="single"/>
        </w:rPr>
        <w:t>0</w:t>
      </w:r>
      <w:r>
        <w:rPr>
          <w:rFonts w:hint="eastAsia" w:asciiTheme="majorEastAsia" w:hAnsiTheme="majorEastAsia" w:eastAsiaTheme="majorEastAsia" w:cstheme="majorEastAsia"/>
          <w:szCs w:val="21"/>
        </w:rPr>
        <w:t>元</w:t>
      </w:r>
    </w:p>
    <w:p w14:paraId="36EF42D0">
      <w:pPr>
        <w:spacing w:line="360" w:lineRule="auto"/>
        <w:rPr>
          <w:rFonts w:asciiTheme="majorEastAsia" w:hAnsiTheme="majorEastAsia" w:eastAsiaTheme="majorEastAsia" w:cstheme="majorEastAsia"/>
          <w:b/>
          <w:bCs/>
          <w:sz w:val="24"/>
        </w:rPr>
      </w:pPr>
      <w:bookmarkStart w:id="23" w:name="_Toc28359005"/>
      <w:bookmarkStart w:id="24" w:name="_Toc28359082"/>
      <w:bookmarkStart w:id="25" w:name="_Toc35393624"/>
      <w:bookmarkStart w:id="26" w:name="_Toc35393793"/>
      <w:r>
        <w:rPr>
          <w:rFonts w:hint="eastAsia" w:asciiTheme="majorEastAsia" w:hAnsiTheme="majorEastAsia" w:eastAsiaTheme="majorEastAsia" w:cstheme="majorEastAsia"/>
          <w:b/>
          <w:bCs/>
          <w:sz w:val="24"/>
        </w:rPr>
        <w:t>四、提交投标文件</w:t>
      </w:r>
      <w:bookmarkEnd w:id="23"/>
      <w:bookmarkEnd w:id="24"/>
      <w:r>
        <w:rPr>
          <w:rFonts w:hint="eastAsia" w:asciiTheme="majorEastAsia" w:hAnsiTheme="majorEastAsia" w:eastAsiaTheme="majorEastAsia" w:cstheme="majorEastAsia"/>
          <w:b/>
          <w:bCs/>
          <w:sz w:val="24"/>
        </w:rPr>
        <w:t>截止时间、开标时间和地点</w:t>
      </w:r>
      <w:bookmarkEnd w:id="25"/>
      <w:bookmarkEnd w:id="26"/>
    </w:p>
    <w:p w14:paraId="44F9105C">
      <w:pPr>
        <w:spacing w:line="360" w:lineRule="auto"/>
        <w:ind w:firstLine="420" w:firstLineChars="200"/>
        <w:rPr>
          <w:rFonts w:asciiTheme="majorEastAsia" w:hAnsiTheme="majorEastAsia" w:eastAsiaTheme="majorEastAsia" w:cstheme="majorEastAsia"/>
          <w:bCs/>
          <w:kern w:val="0"/>
          <w:szCs w:val="21"/>
        </w:rPr>
      </w:pPr>
      <w:bookmarkStart w:id="27" w:name="_Toc28359084"/>
      <w:bookmarkStart w:id="28" w:name="_Toc35393625"/>
      <w:bookmarkStart w:id="29" w:name="_Toc35393794"/>
      <w:bookmarkStart w:id="30" w:name="_Toc28359007"/>
      <w:r>
        <w:rPr>
          <w:rFonts w:hint="eastAsia" w:asciiTheme="majorEastAsia" w:hAnsiTheme="majorEastAsia" w:eastAsiaTheme="majorEastAsia" w:cstheme="majorEastAsia"/>
          <w:bCs/>
          <w:kern w:val="0"/>
          <w:szCs w:val="21"/>
        </w:rPr>
        <w:t>提交投标文件截止时间：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6</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14 </w:t>
      </w:r>
      <w:r>
        <w:rPr>
          <w:rFonts w:hint="eastAsia" w:asciiTheme="majorEastAsia" w:hAnsiTheme="majorEastAsia" w:eastAsiaTheme="majorEastAsia" w:cstheme="majorEastAsia"/>
          <w:bCs/>
          <w:kern w:val="0"/>
          <w:szCs w:val="21"/>
          <w:u w:val="single"/>
        </w:rPr>
        <w:t>日09:00（北京时间）</w:t>
      </w:r>
    </w:p>
    <w:p w14:paraId="1A83A0A7">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投标地点（网址）：请登录广西政府采购云平台投标客户端投标 </w:t>
      </w:r>
    </w:p>
    <w:p w14:paraId="577568F9">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6</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14 </w:t>
      </w:r>
      <w:r>
        <w:rPr>
          <w:rFonts w:hint="eastAsia" w:asciiTheme="majorEastAsia" w:hAnsiTheme="majorEastAsia" w:eastAsiaTheme="majorEastAsia" w:cstheme="majorEastAsia"/>
          <w:bCs/>
          <w:kern w:val="0"/>
          <w:szCs w:val="21"/>
          <w:u w:val="single"/>
        </w:rPr>
        <w:t>日09:00（北京时间）</w:t>
      </w:r>
      <w:r>
        <w:rPr>
          <w:rFonts w:hint="eastAsia" w:asciiTheme="majorEastAsia" w:hAnsiTheme="majorEastAsia" w:eastAsiaTheme="majorEastAsia" w:cstheme="majorEastAsia"/>
          <w:bCs/>
          <w:kern w:val="0"/>
          <w:szCs w:val="21"/>
        </w:rPr>
        <w:t> </w:t>
      </w:r>
    </w:p>
    <w:p w14:paraId="72B33D40">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开标地点：广西政府采购云平台（https://www.gcy.zfcg.gxzf.gov.cn/） </w:t>
      </w:r>
    </w:p>
    <w:p w14:paraId="6E8EB21C">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五、公告期限</w:t>
      </w:r>
      <w:bookmarkEnd w:id="27"/>
      <w:bookmarkEnd w:id="28"/>
      <w:bookmarkEnd w:id="29"/>
      <w:bookmarkEnd w:id="30"/>
    </w:p>
    <w:p w14:paraId="559BE330">
      <w:pPr>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自本公告发布之日起5个工作日。</w:t>
      </w:r>
    </w:p>
    <w:p w14:paraId="79446982">
      <w:pPr>
        <w:spacing w:line="360" w:lineRule="auto"/>
        <w:rPr>
          <w:rFonts w:asciiTheme="majorEastAsia" w:hAnsiTheme="majorEastAsia" w:eastAsiaTheme="majorEastAsia" w:cstheme="majorEastAsia"/>
          <w:b/>
          <w:bCs/>
          <w:sz w:val="24"/>
        </w:rPr>
      </w:pPr>
      <w:bookmarkStart w:id="31" w:name="_Toc35393626"/>
      <w:bookmarkStart w:id="32" w:name="_Toc35393795"/>
      <w:r>
        <w:rPr>
          <w:rFonts w:hint="eastAsia" w:asciiTheme="majorEastAsia" w:hAnsiTheme="majorEastAsia" w:eastAsiaTheme="majorEastAsia" w:cstheme="majorEastAsia"/>
          <w:b/>
          <w:bCs/>
          <w:sz w:val="24"/>
        </w:rPr>
        <w:t>六、其他补充事宜</w:t>
      </w:r>
      <w:bookmarkEnd w:id="31"/>
      <w:bookmarkEnd w:id="32"/>
    </w:p>
    <w:p w14:paraId="26ED9566">
      <w:pPr>
        <w:spacing w:line="360" w:lineRule="auto"/>
        <w:ind w:firstLine="420" w:firstLineChars="200"/>
        <w:rPr>
          <w:rFonts w:asciiTheme="majorEastAsia" w:hAnsiTheme="majorEastAsia" w:eastAsiaTheme="majorEastAsia" w:cstheme="majorEastAsia"/>
          <w:kern w:val="0"/>
          <w:szCs w:val="21"/>
        </w:rPr>
      </w:pPr>
      <w:bookmarkStart w:id="33" w:name="_Hlk37429585"/>
      <w:bookmarkStart w:id="34" w:name="_Hlk37429595"/>
      <w:r>
        <w:rPr>
          <w:rFonts w:hint="eastAsia" w:asciiTheme="majorEastAsia" w:hAnsiTheme="majorEastAsia" w:eastAsiaTheme="majorEastAsia" w:cstheme="majorEastAsia"/>
          <w:kern w:val="0"/>
          <w:szCs w:val="21"/>
        </w:rPr>
        <w:t>1.网上查询地址</w:t>
      </w:r>
    </w:p>
    <w:bookmarkEnd w:id="33"/>
    <w:bookmarkEnd w:id="34"/>
    <w:p w14:paraId="06BD401E">
      <w:pPr>
        <w:keepNext/>
        <w:wordWrap w:val="0"/>
        <w:spacing w:line="360" w:lineRule="auto"/>
        <w:ind w:firstLine="424" w:firstLineChars="202"/>
        <w:rPr>
          <w:rFonts w:asciiTheme="majorEastAsia" w:hAnsiTheme="majorEastAsia" w:eastAsiaTheme="majorEastAsia" w:cstheme="majorEastAsia"/>
          <w:szCs w:val="21"/>
        </w:rPr>
      </w:pPr>
      <w:bookmarkStart w:id="35" w:name="_Hlk37429674"/>
      <w:r>
        <w:rPr>
          <w:rFonts w:hint="eastAsia" w:asciiTheme="majorEastAsia" w:hAnsiTheme="majorEastAsia" w:eastAsiaTheme="majorEastAsia" w:cstheme="majorEastAsia"/>
          <w:color w:val="000000"/>
          <w:szCs w:val="21"/>
        </w:rPr>
        <w:t>中国政府采购网（www.ccgp.gov.cn）、广西壮族自治区政府采购网（zfcg.gxzf.gov.cn）、梧州市政府采购网（http://117.141.250.58:10030/web/cgw/index.ptl）</w:t>
      </w:r>
      <w:r>
        <w:rPr>
          <w:rFonts w:hint="eastAsia" w:asciiTheme="majorEastAsia" w:hAnsiTheme="majorEastAsia" w:eastAsiaTheme="majorEastAsia" w:cstheme="majorEastAsia"/>
          <w:szCs w:val="21"/>
        </w:rPr>
        <w:t>。</w:t>
      </w:r>
    </w:p>
    <w:p w14:paraId="51740D5B">
      <w:pPr>
        <w:spacing w:line="360" w:lineRule="auto"/>
        <w:ind w:firstLine="420" w:firstLineChars="200"/>
        <w:jc w:val="left"/>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kern w:val="0"/>
          <w:szCs w:val="21"/>
        </w:rPr>
        <w:t>本项目需要落实的政府采购政策</w:t>
      </w:r>
    </w:p>
    <w:p w14:paraId="30974824">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（1）政府采购促进中小企业发展。</w:t>
      </w:r>
    </w:p>
    <w:p w14:paraId="0A82D46D">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（2）政府采购支持采用本国产品的政策。</w:t>
      </w:r>
    </w:p>
    <w:p w14:paraId="7EF51DD0">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（3）强制采购节能产品；优先采购节能产品、环境标志产品。</w:t>
      </w:r>
    </w:p>
    <w:p w14:paraId="73C37BB3">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（4）政府采购促进残疾人就业政策。</w:t>
      </w:r>
    </w:p>
    <w:p w14:paraId="1A94B5D9">
      <w:pPr>
        <w:spacing w:line="360" w:lineRule="auto"/>
        <w:ind w:firstLine="420" w:firstLineChars="200"/>
        <w:rPr>
          <w:rFonts w:asciiTheme="majorEastAsia" w:hAnsiTheme="majorEastAsia" w:eastAsiaTheme="majorEastAsia" w:cstheme="majorEastAsia"/>
          <w:i/>
          <w:iCs/>
          <w:kern w:val="0"/>
          <w:szCs w:val="21"/>
        </w:rPr>
      </w:pPr>
      <w:r>
        <w:rPr>
          <w:rFonts w:hint="eastAsia" w:asciiTheme="majorEastAsia" w:hAnsiTheme="majorEastAsia" w:eastAsiaTheme="majorEastAsia" w:cstheme="majorEastAsia"/>
          <w:iCs/>
          <w:kern w:val="0"/>
          <w:szCs w:val="21"/>
        </w:rPr>
        <w:t>（5）政府采购支持监狱企业发展。</w:t>
      </w:r>
    </w:p>
    <w:bookmarkEnd w:id="35"/>
    <w:p w14:paraId="1E0111C8">
      <w:pPr>
        <w:spacing w:line="360" w:lineRule="auto"/>
        <w:ind w:firstLine="424" w:firstLineChars="202"/>
        <w:rPr>
          <w:rFonts w:ascii="宋体" w:hAnsi="宋体" w:cs="宋体"/>
          <w:iCs/>
          <w:kern w:val="0"/>
          <w:szCs w:val="21"/>
        </w:rPr>
      </w:pPr>
      <w:bookmarkStart w:id="36" w:name="_Toc35393796"/>
      <w:bookmarkStart w:id="37" w:name="_Toc35393627"/>
      <w:bookmarkStart w:id="38" w:name="_Toc28359085"/>
      <w:bookmarkStart w:id="39" w:name="_Toc28359008"/>
      <w:r>
        <w:rPr>
          <w:rFonts w:hint="eastAsia" w:ascii="宋体" w:hAnsi="宋体" w:cs="宋体"/>
          <w:iCs/>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551DF7C">
      <w:pPr>
        <w:spacing w:line="360" w:lineRule="auto"/>
        <w:ind w:firstLine="424" w:firstLineChars="202"/>
        <w:rPr>
          <w:rFonts w:ascii="宋体" w:hAnsi="宋体" w:cs="宋体"/>
          <w:iCs/>
          <w:kern w:val="0"/>
          <w:szCs w:val="21"/>
        </w:rPr>
      </w:pPr>
      <w:r>
        <w:rPr>
          <w:rFonts w:hint="eastAsia" w:ascii="宋体" w:hAnsi="宋体" w:cs="宋体"/>
          <w:iCs/>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9125723">
      <w:pPr>
        <w:spacing w:line="360" w:lineRule="auto"/>
        <w:ind w:firstLine="424" w:firstLineChars="202"/>
        <w:rPr>
          <w:rFonts w:ascii="宋体" w:hAnsi="宋体" w:cs="宋体"/>
          <w:iCs/>
          <w:kern w:val="0"/>
          <w:szCs w:val="21"/>
        </w:rPr>
      </w:pPr>
      <w:r>
        <w:rPr>
          <w:rFonts w:hint="eastAsia" w:ascii="宋体" w:hAnsi="宋体" w:cs="宋体"/>
          <w:iCs/>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38A9CB20">
      <w:pPr>
        <w:widowControl/>
        <w:spacing w:line="360" w:lineRule="auto"/>
        <w:ind w:firstLine="420" w:firstLineChars="200"/>
        <w:jc w:val="left"/>
        <w:rPr>
          <w:rFonts w:ascii="宋体" w:hAnsi="宋体"/>
          <w:bCs/>
          <w:szCs w:val="21"/>
        </w:rPr>
      </w:pPr>
      <w:r>
        <w:rPr>
          <w:rFonts w:hint="eastAsia" w:ascii="宋体" w:hAnsi="宋体" w:cs="宋体"/>
          <w:iCs/>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3BCA729">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七、对本次招标提出询问，请按以下方式联系。</w:t>
      </w:r>
      <w:bookmarkEnd w:id="36"/>
      <w:bookmarkEnd w:id="37"/>
      <w:bookmarkEnd w:id="38"/>
      <w:bookmarkEnd w:id="39"/>
    </w:p>
    <w:p w14:paraId="0FA715D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1.采购人信息</w:t>
      </w:r>
    </w:p>
    <w:p w14:paraId="27C3362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名    称：岑溪市人民医院</w:t>
      </w:r>
    </w:p>
    <w:p w14:paraId="5F50307E">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    址：岑溪市北山路2号</w:t>
      </w:r>
    </w:p>
    <w:p w14:paraId="6C798E2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联系方式：李迪，0774-8201058</w:t>
      </w:r>
    </w:p>
    <w:p w14:paraId="187826F4">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2.采购代理机构信息</w:t>
      </w:r>
    </w:p>
    <w:p w14:paraId="201B863C">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名    称：</w:t>
      </w:r>
      <w:r>
        <w:rPr>
          <w:rFonts w:hint="eastAsia" w:asciiTheme="majorEastAsia" w:hAnsiTheme="majorEastAsia" w:eastAsiaTheme="majorEastAsia" w:cstheme="majorEastAsia"/>
          <w:szCs w:val="21"/>
          <w:lang w:eastAsia="zh-CN"/>
        </w:rPr>
        <w:t>广西华盛工程咨询有限公司</w:t>
      </w:r>
    </w:p>
    <w:p w14:paraId="544FADA1">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地　　址：</w:t>
      </w:r>
      <w:r>
        <w:rPr>
          <w:rFonts w:hint="eastAsia" w:asciiTheme="majorEastAsia" w:hAnsiTheme="majorEastAsia" w:eastAsiaTheme="majorEastAsia" w:cstheme="majorEastAsia"/>
          <w:szCs w:val="21"/>
          <w:lang w:eastAsia="zh-CN"/>
        </w:rPr>
        <w:t>岑溪市明都新城永安街163号三楼</w:t>
      </w:r>
    </w:p>
    <w:p w14:paraId="1C4C716A">
      <w:pPr>
        <w:spacing w:line="360" w:lineRule="auto"/>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联系方式：卢</w:t>
      </w:r>
      <w:r>
        <w:rPr>
          <w:rFonts w:hint="eastAsia" w:asciiTheme="majorEastAsia" w:hAnsiTheme="majorEastAsia" w:eastAsiaTheme="majorEastAsia" w:cstheme="majorEastAsia"/>
          <w:szCs w:val="21"/>
          <w:lang w:val="en-US" w:eastAsia="zh-CN"/>
        </w:rPr>
        <w:t>铎仁</w:t>
      </w:r>
      <w:r>
        <w:rPr>
          <w:rFonts w:hint="eastAsia" w:asciiTheme="majorEastAsia" w:hAnsiTheme="majorEastAsia" w:eastAsiaTheme="majorEastAsia" w:cstheme="majorEastAsia"/>
          <w:szCs w:val="21"/>
        </w:rPr>
        <w:t>，0774-82</w:t>
      </w:r>
      <w:r>
        <w:rPr>
          <w:rFonts w:hint="eastAsia" w:asciiTheme="majorEastAsia" w:hAnsiTheme="majorEastAsia" w:eastAsiaTheme="majorEastAsia" w:cstheme="majorEastAsia"/>
          <w:szCs w:val="21"/>
          <w:lang w:val="en-US" w:eastAsia="zh-CN"/>
        </w:rPr>
        <w:t>35967</w:t>
      </w:r>
    </w:p>
    <w:p w14:paraId="3325C8A1">
      <w:pPr>
        <w:spacing w:line="360" w:lineRule="auto"/>
        <w:jc w:val="left"/>
        <w:rPr>
          <w:rFonts w:asciiTheme="majorEastAsia" w:hAnsiTheme="majorEastAsia" w:eastAsiaTheme="majorEastAsia" w:cstheme="majorEastAsia"/>
          <w:szCs w:val="21"/>
        </w:rPr>
      </w:pPr>
      <w:bookmarkStart w:id="40" w:name="_Toc28359098"/>
      <w:bookmarkStart w:id="41" w:name="_Toc35393639"/>
      <w:bookmarkStart w:id="42" w:name="_Toc28359021"/>
      <w:bookmarkStart w:id="43" w:name="_Toc35393808"/>
      <w:r>
        <w:rPr>
          <w:rFonts w:hint="eastAsia" w:asciiTheme="majorEastAsia" w:hAnsiTheme="majorEastAsia" w:eastAsiaTheme="majorEastAsia" w:cstheme="majorEastAsia"/>
          <w:szCs w:val="21"/>
        </w:rPr>
        <w:t>3.项目联系方式</w:t>
      </w:r>
      <w:bookmarkEnd w:id="40"/>
      <w:bookmarkEnd w:id="41"/>
      <w:bookmarkEnd w:id="42"/>
      <w:bookmarkEnd w:id="43"/>
    </w:p>
    <w:p w14:paraId="79D712C5">
      <w:pPr>
        <w:spacing w:line="36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项目联系人：卢</w:t>
      </w:r>
      <w:r>
        <w:rPr>
          <w:rFonts w:hint="eastAsia" w:asciiTheme="majorEastAsia" w:hAnsiTheme="majorEastAsia" w:eastAsiaTheme="majorEastAsia" w:cstheme="majorEastAsia"/>
          <w:szCs w:val="21"/>
          <w:lang w:val="en-US" w:eastAsia="zh-CN"/>
        </w:rPr>
        <w:t>铎仁</w:t>
      </w:r>
    </w:p>
    <w:p w14:paraId="6C90200A">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　　话：0774-82</w:t>
      </w:r>
      <w:r>
        <w:rPr>
          <w:rFonts w:hint="eastAsia" w:asciiTheme="majorEastAsia" w:hAnsiTheme="majorEastAsia" w:eastAsiaTheme="majorEastAsia" w:cstheme="majorEastAsia"/>
          <w:szCs w:val="21"/>
          <w:lang w:val="en-US" w:eastAsia="zh-CN"/>
        </w:rPr>
        <w:t>35967</w:t>
      </w:r>
    </w:p>
    <w:p w14:paraId="78E66FC7">
      <w:pPr>
        <w:spacing w:line="360" w:lineRule="auto"/>
        <w:jc w:val="left"/>
        <w:rPr>
          <w:rFonts w:hint="eastAsia" w:asciiTheme="majorEastAsia" w:hAnsiTheme="majorEastAsia" w:eastAsiaTheme="majorEastAsia" w:cstheme="majorEastAsia"/>
          <w:szCs w:val="21"/>
          <w:lang w:eastAsia="zh-CN"/>
        </w:rPr>
      </w:pPr>
      <w:bookmarkStart w:id="44" w:name="_Toc74320801"/>
    </w:p>
    <w:p w14:paraId="6268B3BD">
      <w:pPr>
        <w:spacing w:line="360" w:lineRule="auto"/>
        <w:jc w:val="left"/>
        <w:rPr>
          <w:rFonts w:hint="eastAsia" w:asciiTheme="majorEastAsia" w:hAnsiTheme="majorEastAsia" w:eastAsiaTheme="majorEastAsia" w:cstheme="majorEastAsia"/>
          <w:szCs w:val="21"/>
          <w:lang w:eastAsia="zh-CN"/>
        </w:rPr>
      </w:pPr>
    </w:p>
    <w:p w14:paraId="637C3A67">
      <w:pPr>
        <w:spacing w:line="360" w:lineRule="auto"/>
        <w:jc w:val="righ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广西华盛工程咨询有限公司</w:t>
      </w:r>
    </w:p>
    <w:p w14:paraId="6A053864">
      <w:pPr>
        <w:spacing w:line="360" w:lineRule="auto"/>
        <w:jc w:val="righ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2025年12月23日</w:t>
      </w:r>
    </w:p>
    <w:p w14:paraId="1311C584">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第二章  采购需求</w:t>
      </w:r>
      <w:bookmarkEnd w:id="44"/>
    </w:p>
    <w:p w14:paraId="4A9B6550">
      <w:pPr>
        <w:spacing w:line="360" w:lineRule="auto"/>
        <w:jc w:val="left"/>
        <w:rPr>
          <w:rFonts w:asciiTheme="majorEastAsia" w:hAnsiTheme="majorEastAsia" w:eastAsiaTheme="majorEastAsia" w:cstheme="majorEastAsia"/>
          <w:szCs w:val="21"/>
        </w:rPr>
      </w:pPr>
      <w:bookmarkStart w:id="45" w:name="_Toc254970490"/>
      <w:bookmarkStart w:id="46" w:name="_Toc254970631"/>
      <w:r>
        <w:rPr>
          <w:rFonts w:hint="eastAsia" w:asciiTheme="majorEastAsia" w:hAnsiTheme="majorEastAsia" w:eastAsiaTheme="majorEastAsia" w:cstheme="majorEastAsia"/>
          <w:szCs w:val="21"/>
        </w:rPr>
        <w:t>说明：</w:t>
      </w:r>
    </w:p>
    <w:p w14:paraId="6C63DBE5">
      <w:pPr>
        <w:numPr>
          <w:ilvl w:val="0"/>
          <w:numId w:val="3"/>
        </w:numPr>
        <w:spacing w:line="360" w:lineRule="auto"/>
        <w:ind w:firstLine="420" w:firstLineChars="200"/>
        <w:jc w:val="left"/>
        <w:rPr>
          <w:rFonts w:asciiTheme="majorEastAsia" w:hAnsiTheme="majorEastAsia" w:eastAsiaTheme="majorEastAsia" w:cstheme="majorEastAsia"/>
        </w:rPr>
      </w:pPr>
      <w:r>
        <w:rPr>
          <w:rFonts w:hint="eastAsia" w:asciiTheme="majorEastAsia" w:hAnsiTheme="majorEastAsia" w:eastAsiaTheme="majorEastAsia" w:cstheme="majorEastAsia"/>
        </w:rPr>
        <w:t>为落实政府采购政策需满足的要求</w:t>
      </w:r>
    </w:p>
    <w:p w14:paraId="4CAB707A">
      <w:pPr>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（1）本招标文件所称中小企业必须符合《政府采购促进中小企业发展管理办法》（财库〔2020〕46号）的规定。</w:t>
      </w:r>
    </w:p>
    <w:p w14:paraId="29FF7494">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Theme="majorEastAsia" w:hAnsiTheme="majorEastAsia" w:eastAsiaTheme="majorEastAsia" w:cstheme="majorEastAsia"/>
          <w:b/>
          <w:bCs/>
          <w:szCs w:val="21"/>
        </w:rPr>
        <w:t>否则按无效投标处理</w:t>
      </w:r>
      <w:r>
        <w:rPr>
          <w:rFonts w:hint="eastAsia" w:asciiTheme="majorEastAsia" w:hAnsiTheme="majorEastAsia" w:eastAsiaTheme="majorEastAsia" w:cstheme="majorEastAsia"/>
          <w:szCs w:val="21"/>
        </w:rPr>
        <w:t>。如本项目包含的货物属于品目清单内非标注“★”的产品时，应优先采购，具体详见“第四章 评标方法及评标标准”。</w:t>
      </w:r>
    </w:p>
    <w:p w14:paraId="11D3F52A">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Theme="majorEastAsia" w:hAnsiTheme="majorEastAsia" w:eastAsiaTheme="majorEastAsia" w:cstheme="majorEastAsia"/>
          <w:b/>
        </w:rPr>
        <w:t>不在《网络关键设备和网络安全专用产品安全认证和安全检测结果》中或不在有效期内或未提供有效的《计算机信息系统安全专用产品销售许可证》的，按无效投标处理</w:t>
      </w:r>
      <w:r>
        <w:rPr>
          <w:rFonts w:hint="eastAsia" w:asciiTheme="majorEastAsia" w:hAnsiTheme="majorEastAsia" w:eastAsiaTheme="majorEastAsia" w:cstheme="majorEastAsia"/>
        </w:rPr>
        <w:t>。如属于《网络关键设备和网络安全专用产品目录》中“二、网络安全专用产品”内“产品类别”中的所描述的产品，但不属于所列“产品描述”情形的，应提供相应的说明及证明材料。</w:t>
      </w:r>
    </w:p>
    <w:p w14:paraId="6FF83910">
      <w:pPr>
        <w:spacing w:line="360" w:lineRule="auto"/>
        <w:ind w:firstLine="426" w:firstLineChars="202"/>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2.“实质性要求”是指招标文件中已经指明不满足则投标无效的条款，或者不能负偏离的条款，或者采购需求中带“▲”的条款。</w:t>
      </w:r>
    </w:p>
    <w:p w14:paraId="4DCDF555">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7F60133">
      <w:pPr>
        <w:spacing w:line="360" w:lineRule="auto"/>
        <w:ind w:firstLine="426" w:firstLineChars="202"/>
        <w:jc w:val="left"/>
      </w:pPr>
      <w:bookmarkStart w:id="47" w:name="_Hlk65055179"/>
      <w:r>
        <w:rPr>
          <w:rFonts w:hint="eastAsia" w:ascii="宋体" w:hAnsi="宋体" w:cs="宋体"/>
          <w:b/>
          <w:bCs/>
          <w:szCs w:val="21"/>
        </w:rPr>
        <w:t>4. 投标人应根据自身实际情况如实响应招标文件</w:t>
      </w:r>
      <w:r>
        <w:rPr>
          <w:rFonts w:hint="eastAsia" w:ascii="宋体" w:hAnsi="宋体"/>
          <w:b/>
          <w:bCs/>
          <w:szCs w:val="21"/>
        </w:rPr>
        <w:t>，</w:t>
      </w:r>
      <w:r>
        <w:rPr>
          <w:rFonts w:hint="eastAsia" w:ascii="宋体" w:hAnsi="宋体"/>
          <w:b/>
          <w:bCs/>
          <w:sz w:val="22"/>
          <w:szCs w:val="22"/>
        </w:rPr>
        <w:t>对招标文件提出的要求和条件作出明确响应</w:t>
      </w:r>
      <w:r>
        <w:rPr>
          <w:rFonts w:hint="eastAsia" w:ascii="宋体" w:hAnsi="宋体"/>
          <w:b/>
          <w:bCs/>
          <w:szCs w:val="21"/>
        </w:rPr>
        <w:t>，采购需求中以范围值表述的技术要求，投标人须按照自身产品的实际技术参数如实响应招标文件</w:t>
      </w:r>
      <w:r>
        <w:rPr>
          <w:rFonts w:hint="eastAsia" w:ascii="宋体" w:hAnsi="宋体"/>
          <w:szCs w:val="21"/>
        </w:rPr>
        <w:t>，</w:t>
      </w:r>
      <w:r>
        <w:rPr>
          <w:rFonts w:hint="eastAsia" w:ascii="宋体" w:hAnsi="宋体"/>
          <w:b/>
          <w:bCs/>
          <w:szCs w:val="21"/>
        </w:rPr>
        <w:t>否则将作无效投标处理</w:t>
      </w:r>
      <w:r>
        <w:rPr>
          <w:rFonts w:hint="eastAsia" w:ascii="宋体" w:hAnsi="宋体"/>
          <w:szCs w:val="21"/>
        </w:rPr>
        <w:t>。</w:t>
      </w:r>
      <w:r>
        <w:rPr>
          <w:rFonts w:hint="eastAsia"/>
        </w:rPr>
        <w:t>对于重要技术条款或技术参数如要求在投标文件中提供技术支持资料的，技术支持资料以招标文件中规定的形式为准，</w:t>
      </w:r>
      <w:r>
        <w:rPr>
          <w:rFonts w:hint="eastAsia"/>
          <w:b/>
          <w:bCs/>
        </w:rPr>
        <w:t>否则将视为无效技术支持资料</w:t>
      </w:r>
      <w:r>
        <w:rPr>
          <w:rFonts w:hint="eastAsia"/>
        </w:rPr>
        <w:t>。</w:t>
      </w:r>
    </w:p>
    <w:p w14:paraId="1A24FAEE">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rPr>
        <w:t>投标人必须自行为其投标产品侵犯他人的知识产权或者专利成果的行为承担相应法律责任。</w:t>
      </w:r>
    </w:p>
    <w:p w14:paraId="4EA71176">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rPr>
        <w:t xml:space="preserve">6.所属行业依照《中小企业划型标准规定》（工信部联企业〔2011〕300号）及《国民经济行业分类》（ GB/T 4754—2017）的有关规定执行，本项目1分标标的所属行业均为“工业”。 </w:t>
      </w:r>
    </w:p>
    <w:p w14:paraId="5D736AB2">
      <w:pPr>
        <w:spacing w:line="360" w:lineRule="auto"/>
        <w:ind w:firstLine="487"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u w:val="single"/>
          <w:lang w:val="en-US" w:eastAsia="zh-CN"/>
        </w:rPr>
        <w:t>1</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分标   采购预算：</w:t>
      </w:r>
      <w:r>
        <w:rPr>
          <w:rFonts w:hint="eastAsia" w:ascii="宋体" w:hAnsi="宋体" w:eastAsia="宋体" w:cs="宋体"/>
          <w:b/>
          <w:bCs/>
          <w:color w:val="000000"/>
          <w:kern w:val="0"/>
          <w:sz w:val="22"/>
          <w:szCs w:val="22"/>
          <w:u w:val="single"/>
          <w:lang w:val="en-US" w:eastAsia="zh-CN" w:bidi="ar"/>
        </w:rPr>
        <w:t>2536550.00</w:t>
      </w:r>
      <w:r>
        <w:rPr>
          <w:rFonts w:hint="eastAsia" w:ascii="宋体" w:hAnsi="宋体" w:eastAsia="宋体" w:cs="宋体"/>
          <w:b/>
          <w:bCs/>
          <w:color w:val="000000"/>
          <w:kern w:val="0"/>
          <w:sz w:val="22"/>
          <w:szCs w:val="22"/>
          <w:lang w:val="en-US" w:eastAsia="zh-CN" w:bidi="ar"/>
        </w:rPr>
        <w:t>（元）</w:t>
      </w:r>
    </w:p>
    <w:bookmarkEnd w:id="45"/>
    <w:bookmarkEnd w:id="46"/>
    <w:bookmarkEnd w:id="47"/>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486"/>
        <w:gridCol w:w="894"/>
        <w:gridCol w:w="5612"/>
      </w:tblGrid>
      <w:tr w14:paraId="2911F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63" w:type="dxa"/>
            <w:tcBorders>
              <w:top w:val="single" w:color="auto" w:sz="4" w:space="0"/>
              <w:left w:val="single" w:color="auto" w:sz="4" w:space="0"/>
              <w:bottom w:val="single" w:color="auto" w:sz="4" w:space="0"/>
              <w:right w:val="single" w:color="auto" w:sz="4" w:space="0"/>
            </w:tcBorders>
            <w:vAlign w:val="center"/>
          </w:tcPr>
          <w:p w14:paraId="1CBFB3DE">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1486" w:type="dxa"/>
            <w:tcBorders>
              <w:top w:val="single" w:color="auto" w:sz="4" w:space="0"/>
              <w:left w:val="single" w:color="auto" w:sz="4" w:space="0"/>
              <w:bottom w:val="single" w:color="auto" w:sz="4" w:space="0"/>
              <w:right w:val="single" w:color="auto" w:sz="4" w:space="0"/>
            </w:tcBorders>
            <w:vAlign w:val="center"/>
          </w:tcPr>
          <w:p w14:paraId="3FC2F104">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标的的名称</w:t>
            </w:r>
          </w:p>
        </w:tc>
        <w:tc>
          <w:tcPr>
            <w:tcW w:w="894" w:type="dxa"/>
            <w:tcBorders>
              <w:top w:val="single" w:color="auto" w:sz="4" w:space="0"/>
              <w:left w:val="single" w:color="auto" w:sz="4" w:space="0"/>
              <w:bottom w:val="single" w:color="auto" w:sz="4" w:space="0"/>
              <w:right w:val="single" w:color="auto" w:sz="4" w:space="0"/>
            </w:tcBorders>
            <w:vAlign w:val="center"/>
          </w:tcPr>
          <w:p w14:paraId="216A1DE8">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数量及</w:t>
            </w:r>
          </w:p>
          <w:p w14:paraId="5ED8F009">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单位</w:t>
            </w:r>
          </w:p>
        </w:tc>
        <w:tc>
          <w:tcPr>
            <w:tcW w:w="5612" w:type="dxa"/>
            <w:tcBorders>
              <w:top w:val="single" w:color="auto" w:sz="4" w:space="0"/>
              <w:left w:val="single" w:color="auto" w:sz="4" w:space="0"/>
              <w:bottom w:val="single" w:color="auto" w:sz="4" w:space="0"/>
              <w:right w:val="single" w:color="auto" w:sz="4" w:space="0"/>
            </w:tcBorders>
            <w:vAlign w:val="center"/>
          </w:tcPr>
          <w:p w14:paraId="2227383B">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简要技术要求或者服务要求</w:t>
            </w:r>
          </w:p>
        </w:tc>
      </w:tr>
      <w:tr w14:paraId="1BB8D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67D6EF99">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486" w:type="dxa"/>
            <w:tcBorders>
              <w:top w:val="single" w:color="auto" w:sz="4" w:space="0"/>
              <w:left w:val="single" w:color="auto" w:sz="4" w:space="0"/>
              <w:bottom w:val="single" w:color="auto" w:sz="4" w:space="0"/>
              <w:right w:val="single" w:color="auto" w:sz="4" w:space="0"/>
            </w:tcBorders>
            <w:vAlign w:val="center"/>
          </w:tcPr>
          <w:p w14:paraId="7C4791B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良性阵发性位置位眩晕治疗仪</w:t>
            </w:r>
          </w:p>
        </w:tc>
        <w:tc>
          <w:tcPr>
            <w:tcW w:w="894" w:type="dxa"/>
            <w:tcBorders>
              <w:top w:val="single" w:color="auto" w:sz="4" w:space="0"/>
              <w:left w:val="single" w:color="auto" w:sz="4" w:space="0"/>
              <w:bottom w:val="single" w:color="auto" w:sz="4" w:space="0"/>
              <w:right w:val="single" w:color="auto" w:sz="4" w:space="0"/>
            </w:tcBorders>
            <w:vAlign w:val="center"/>
          </w:tcPr>
          <w:p w14:paraId="20E39DBE">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2EF9EC7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一、基本要求</w:t>
            </w:r>
          </w:p>
          <w:p w14:paraId="57202F3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产品注册证范围适用于良性阵发性位置性眩晕症的辅助诊断，以及治疗水平及后半规管良性阵发性位置性眩晕症。</w:t>
            </w:r>
          </w:p>
          <w:p w14:paraId="50F2BD7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二、眼罩</w:t>
            </w:r>
          </w:p>
          <w:p w14:paraId="71E5688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2.1 采集图像分辨率≥1080P（设备验收时提供检测报告）</w:t>
            </w:r>
          </w:p>
          <w:p w14:paraId="37FB31D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2.2 重量≤150g</w:t>
            </w:r>
          </w:p>
          <w:p w14:paraId="285F30A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 摄像头焦距可调节</w:t>
            </w:r>
          </w:p>
          <w:p w14:paraId="1051560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2.4 图像采集装置摄像头红外峰值波长 960nm ± 10nm</w:t>
            </w:r>
          </w:p>
          <w:p w14:paraId="5ED49D45">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 图像采集装置摄像头红外波长 800nm～1000nm</w:t>
            </w:r>
          </w:p>
          <w:p w14:paraId="517C6643">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2.6 可拆卸，作为诊断仪单独使用</w:t>
            </w:r>
          </w:p>
          <w:p w14:paraId="792328F7">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2.7 无线传输距离≥5m（设备验收时提供检测报告）</w:t>
            </w:r>
          </w:p>
          <w:p w14:paraId="05F3990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 眩晕治疗仪基本信息</w:t>
            </w:r>
          </w:p>
          <w:p w14:paraId="020E35A5">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3.1 设备尺寸长*宽*高≧223cm*210cm*220cm</w:t>
            </w:r>
          </w:p>
          <w:p w14:paraId="7F41CA7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 工作条件电源：AC380v±38v   50Hz±1 Hz 输入功率5000VA</w:t>
            </w:r>
          </w:p>
          <w:p w14:paraId="1A52958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3.3 主转动轴处于水平方向</w:t>
            </w:r>
          </w:p>
          <w:p w14:paraId="0B2DACE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  转动角度：不限，误差≤±3°；</w:t>
            </w:r>
          </w:p>
          <w:p w14:paraId="672D341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b)  转速：5°/S -180°/S，误差≤±5%；</w:t>
            </w:r>
          </w:p>
          <w:p w14:paraId="09DA96E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3.4 辅转动轴处于与主转动轴垂直方向</w:t>
            </w:r>
          </w:p>
          <w:p w14:paraId="503E9F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  转动角度：不限，误差≤±3°；</w:t>
            </w:r>
          </w:p>
          <w:p w14:paraId="492BB3D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b)  转速：5°/S -180°/S，误差≤±5%</w:t>
            </w:r>
          </w:p>
          <w:p w14:paraId="313D7D8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 安全座椅至少在135Kg负载下，放置3小时，主轴位置偏差≤2mm（设备验收时提供检测报告）</w:t>
            </w:r>
          </w:p>
          <w:p w14:paraId="3013A9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4、眩晕诊断仪</w:t>
            </w:r>
          </w:p>
          <w:p w14:paraId="45864558">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4.1、采集图像分辨率≥1080P，高分辨率、红外视频摄像头；自动定标。</w:t>
            </w:r>
          </w:p>
          <w:p w14:paraId="5C4D5D5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4.2、有线传输，信号稳定。</w:t>
            </w:r>
          </w:p>
          <w:p w14:paraId="2FFA3A9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4.3、结构及组成：主机、眼罩、软件组成。</w:t>
            </w:r>
          </w:p>
          <w:p w14:paraId="1DE0A1F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4.4图像采集装置摄像头红外峰值波长 940nm ± 10nm</w:t>
            </w:r>
          </w:p>
          <w:p w14:paraId="03947AD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4.5图像采集装置摄像头红外波长 800nm～1000nm</w:t>
            </w:r>
          </w:p>
          <w:p w14:paraId="5B03677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4.6 眼罩重量不大于160g</w:t>
            </w:r>
          </w:p>
          <w:p w14:paraId="6198A45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5、医生工作站</w:t>
            </w:r>
          </w:p>
          <w:p w14:paraId="7CA2FF2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5.1、处理器4核及以上</w:t>
            </w:r>
          </w:p>
          <w:p w14:paraId="6E1A876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5.2、内存：≧16GB</w:t>
            </w:r>
          </w:p>
          <w:p w14:paraId="5345B2E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5.3、硬盘：≧1TB+128GB SSD</w:t>
            </w:r>
          </w:p>
          <w:p w14:paraId="7FC8AAD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5.4、显卡：≧4G独显，Windows 11</w:t>
            </w:r>
          </w:p>
          <w:p w14:paraId="35D6CF6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5.5、显示器32寸及以上，高清液晶品牌显示器，分辨率支持≥1920*1080。</w:t>
            </w:r>
          </w:p>
          <w:p w14:paraId="29F3EEC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6、应急装置</w:t>
            </w:r>
          </w:p>
          <w:p w14:paraId="2B64E90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6.1治疗仪具备急停按钮及应急开关，急停按钮≧4个。</w:t>
            </w:r>
          </w:p>
          <w:p w14:paraId="4435E46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6.2治疗仪主轴应有手动回位应急装置，使治疗仪座椅恢复初始初始位置</w:t>
            </w:r>
          </w:p>
          <w:p w14:paraId="3CE367F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6.3安全座椅需要提供前臂安全杠，以保证患者安全。</w:t>
            </w:r>
          </w:p>
          <w:p w14:paraId="5CF6B10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三、软件功能要求</w:t>
            </w:r>
          </w:p>
          <w:p w14:paraId="0DA9B0B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1、眼震曲线与运动轨迹（速度）、体位、耳蜗位置同步显示；</w:t>
            </w:r>
          </w:p>
          <w:p w14:paraId="1B8ED0A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2、可自动分析慢相、快相速度，个数、频率，可显示、打印对比图及各项数据、结论。</w:t>
            </w:r>
          </w:p>
          <w:p w14:paraId="30F965A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3、角度模式，控制转椅转动一定角度，方向、角度、时间、加速度可输入；</w:t>
            </w:r>
          </w:p>
          <w:p w14:paraId="3536A93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4、速度模式：控制转椅转动到一定速度再减速到静止，方向、加速度、最大速度、转动时间、减速度均可输入。</w:t>
            </w:r>
          </w:p>
          <w:p w14:paraId="4255342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5、用户可设计个性化治疗方案，诊疗操作过程中随时更改方案，可从其他用户处获得不同的治疗方案，视频图像清晰，包含视频储存及回放功能。</w:t>
            </w:r>
          </w:p>
          <w:p w14:paraId="438AD04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位置性眩晕变位试验诊断，按照设定的变位试验体位变换方案，患者座椅以角度模式沿主轴、辅轴旋转，调整患者体位，可自主调节速度，角度，及加速度。软件系统全程显示、分析、记录患者眼震。根据患者体位及出现的眼震进行位置性眩晕的诊断。</w:t>
            </w:r>
          </w:p>
          <w:p w14:paraId="29B8A8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耳石复位治疗，按照设定的耳石复位方案，患者座椅以角度模式沿主轴、辅轴旋转，以调整患者体位，进行耳石复位治疗。软件系统能够运动轨迹速度、体位、耳蜗位置显示、分析、记录患者眼震。可显示打印对比图及各项数据、结论。</w:t>
            </w:r>
          </w:p>
          <w:p w14:paraId="72AA1AB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前庭功能检查，患者座椅按速度模式旋转，给予患者的刺激量精确控制，通过分析刺激量与相应眼震的关系判断患者的前庭功能。如转椅旋转试验，可输入加速度、匀速速度及保持时间、急停时间，分析眼震慢相速度、时间常数、两侧对比等。</w:t>
            </w:r>
          </w:p>
        </w:tc>
      </w:tr>
      <w:tr w14:paraId="371A1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7B7D7F48">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486" w:type="dxa"/>
            <w:tcBorders>
              <w:top w:val="single" w:color="auto" w:sz="4" w:space="0"/>
              <w:left w:val="single" w:color="auto" w:sz="4" w:space="0"/>
              <w:bottom w:val="single" w:color="auto" w:sz="4" w:space="0"/>
              <w:right w:val="single" w:color="auto" w:sz="4" w:space="0"/>
            </w:tcBorders>
            <w:vAlign w:val="center"/>
          </w:tcPr>
          <w:p w14:paraId="6D6D17F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前庭诱发肌源性电位</w:t>
            </w:r>
          </w:p>
        </w:tc>
        <w:tc>
          <w:tcPr>
            <w:tcW w:w="894" w:type="dxa"/>
            <w:tcBorders>
              <w:top w:val="single" w:color="auto" w:sz="4" w:space="0"/>
              <w:left w:val="single" w:color="auto" w:sz="4" w:space="0"/>
              <w:bottom w:val="single" w:color="auto" w:sz="4" w:space="0"/>
              <w:right w:val="single" w:color="auto" w:sz="4" w:space="0"/>
            </w:tcBorders>
            <w:vAlign w:val="center"/>
          </w:tcPr>
          <w:p w14:paraId="434709BC">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5E576B6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（一）软件项目及功能：</w:t>
            </w:r>
          </w:p>
          <w:p w14:paraId="493798A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（1）前庭诱发项目（前庭诱发项目可用于评估前庭椭圆囊、球囊、前庭上神经、前庭下神经、脑干等通路的病损情况）：</w:t>
            </w:r>
          </w:p>
          <w:p w14:paraId="6A1927E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 颈肌前庭肌源性诱发电位（cVEMP）</w:t>
            </w:r>
          </w:p>
          <w:p w14:paraId="1C39B46F">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 眼肌前庭肌源性诱发电位（oVEMP）</w:t>
            </w:r>
          </w:p>
          <w:p w14:paraId="5F4EBE4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 咬肌前庭肌源性诱发电位（mVEMP）</w:t>
            </w:r>
          </w:p>
          <w:p w14:paraId="0BD7677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 可自定义检测项目</w:t>
            </w:r>
          </w:p>
          <w:p w14:paraId="56DC9F9C">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1.5 前庭诱发项目可兼容气导、骨导、电刺激等多种刺激方式诱发。</w:t>
            </w:r>
          </w:p>
          <w:p w14:paraId="5691DB7D">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（二）信号通道参数</w:t>
            </w:r>
          </w:p>
          <w:p w14:paraId="285D3F3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1、信号通道数：二通道；</w:t>
            </w:r>
          </w:p>
          <w:p w14:paraId="53BE26C6">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2、电压灵敏度：至少满足0.05uV/div到10mV/div分档控制</w:t>
            </w:r>
          </w:p>
          <w:p w14:paraId="22C4C2B9">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3、电压灵敏度误差：≤±5%</w:t>
            </w:r>
          </w:p>
          <w:p w14:paraId="0C0312EA">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4、频率范围：0.5Hz～10kHz，电压测量误差+5%～-15%</w:t>
            </w:r>
          </w:p>
          <w:p w14:paraId="55DEDB1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5、扫描时程：至少满足1ms/div到200ms/div分档控制</w:t>
            </w:r>
          </w:p>
          <w:p w14:paraId="6D8F7FF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6、共模信号抑制能力：100dB（患者电缆输入端，50Hz）</w:t>
            </w:r>
          </w:p>
          <w:p w14:paraId="48392DD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7、输入阻抗：≥500MΩ（患者电缆输入端，50Hz）</w:t>
            </w:r>
          </w:p>
          <w:p w14:paraId="4348EEF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8、采样率：≥200kHz</w:t>
            </w:r>
          </w:p>
          <w:p w14:paraId="5CE865E0">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9、定标测试：设备可以通过定标信号的输入和输出进行设备信号通路的硬件诊断检测。</w:t>
            </w:r>
          </w:p>
          <w:p w14:paraId="76D429C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（三）声刺激参数：</w:t>
            </w:r>
          </w:p>
          <w:p w14:paraId="0CDDE7E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1、最大Click声强:125dB-135dB(SPL峰值)，声音包括Click声、交替声、短纯音等</w:t>
            </w:r>
          </w:p>
          <w:p w14:paraId="50404F2A">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2、刺激极性：疏波，密波，交替波</w:t>
            </w:r>
          </w:p>
          <w:p w14:paraId="1C34A7C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3、最大白噪声声强：105—115db(SPL峰值)</w:t>
            </w:r>
          </w:p>
          <w:p w14:paraId="0729C5D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（四）电流刺激参数：</w:t>
            </w:r>
          </w:p>
          <w:p w14:paraId="5FBAF7E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1、最大电流脉冲强度：100mA±5%</w:t>
            </w:r>
          </w:p>
          <w:p w14:paraId="3A6E513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2、脉冲强度误差≤±5%</w:t>
            </w:r>
          </w:p>
          <w:p w14:paraId="13AD8F80">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3、最大脉冲宽度：1ms±5%。</w:t>
            </w:r>
          </w:p>
          <w:p w14:paraId="1E0E413C">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4、脉冲宽度误差≤±5%</w:t>
            </w:r>
          </w:p>
          <w:p w14:paraId="7F2205E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（五）刺激触发参数：</w:t>
            </w:r>
          </w:p>
          <w:p w14:paraId="1CCC06D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1、最高触发频率：70Hz±5%</w:t>
            </w:r>
          </w:p>
          <w:p w14:paraId="075DC5DF">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2、频发频率误差：≤±5%</w:t>
            </w:r>
          </w:p>
          <w:p w14:paraId="0B15555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（六） 肌力监测功能：前庭诱发电位具有实时肌力RMS监测和肌力AEMG监测选择功能，并可进行设置肌力触发阈值。</w:t>
            </w:r>
          </w:p>
          <w:p w14:paraId="02ADE99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（七） 每条曲线点数600 点</w:t>
            </w:r>
          </w:p>
          <w:p w14:paraId="14163A30">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（八）自动标记标注功能：所有诱发项目具有自动标记功能。</w:t>
            </w:r>
          </w:p>
          <w:p w14:paraId="4F2C779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（九）频谱分析功能：所有诱发项目具有频谱分析功能。</w:t>
            </w:r>
          </w:p>
          <w:p w14:paraId="57E6AA3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（十）项目导航功能：软件具备检测项目导航功能。</w:t>
            </w:r>
          </w:p>
          <w:p w14:paraId="46FCF74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（十一）阻抗测试功能：软件具备阻抗测试功能。</w:t>
            </w:r>
          </w:p>
          <w:p w14:paraId="1C9CA19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（十二）优化叠加功能：听觉诱发在叠加结束后可对所有参与的波形再次进行不同算法的优化叠加功能。</w:t>
            </w:r>
          </w:p>
          <w:p w14:paraId="7E43C2A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（十三）干扰波去除功能：听觉诱发项目在叠加完成后，可以调出所有参与叠加的单次波形，并可以选择任意单次波形不参与叠加计算。</w:t>
            </w:r>
          </w:p>
          <w:p w14:paraId="3C2683E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（十四）配置要求及服务</w:t>
            </w:r>
          </w:p>
          <w:p w14:paraId="1565401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1、产品符合GB9706.15-2008《医用电气设备 第一部分：安全通用要求 1.并列标准：医用电气系统安全要求》的要求.</w:t>
            </w:r>
          </w:p>
          <w:p w14:paraId="4409925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2、产品的电磁兼容性要求符合YY0505-2012《医用电气设备 第1-2部分：安全通用要求 并列标准：电磁兼容 要求和试验》和YY0896-2013的要求。</w:t>
            </w:r>
          </w:p>
          <w:p w14:paraId="59153A3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3、系统的额定电压和频率：AC220V±10%/50±5%HZ；</w:t>
            </w:r>
          </w:p>
          <w:p w14:paraId="798D7751">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4、运行模式：连续运行；</w:t>
            </w:r>
          </w:p>
          <w:p w14:paraId="2765699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5、防电击的程度类型：BF型；</w:t>
            </w:r>
          </w:p>
          <w:p w14:paraId="45DF729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6、进液的防护程度类型：IPX0；</w:t>
            </w:r>
          </w:p>
          <w:p w14:paraId="2260D2FB">
            <w:pPr>
              <w:rPr>
                <w:rFonts w:ascii="宋体" w:hAnsi="宋体" w:cs="宋体"/>
                <w:color w:val="000000"/>
                <w:kern w:val="0"/>
                <w:sz w:val="22"/>
                <w:szCs w:val="22"/>
                <w:lang w:bidi="ar"/>
              </w:rPr>
            </w:pPr>
            <w:r>
              <w:rPr>
                <w:rFonts w:hint="eastAsia" w:ascii="宋体" w:hAnsi="宋体" w:cs="宋体"/>
                <w:color w:val="000000"/>
                <w:kern w:val="0"/>
                <w:sz w:val="22"/>
                <w:szCs w:val="22"/>
                <w:lang w:bidi="ar"/>
              </w:rPr>
              <w:t>7、整机配隔离电源。</w:t>
            </w:r>
          </w:p>
        </w:tc>
      </w:tr>
      <w:tr w14:paraId="4816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2C38614C">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486" w:type="dxa"/>
            <w:tcBorders>
              <w:top w:val="single" w:color="auto" w:sz="4" w:space="0"/>
              <w:left w:val="single" w:color="auto" w:sz="4" w:space="0"/>
              <w:bottom w:val="single" w:color="auto" w:sz="4" w:space="0"/>
              <w:right w:val="single" w:color="auto" w:sz="4" w:space="0"/>
            </w:tcBorders>
            <w:vAlign w:val="center"/>
          </w:tcPr>
          <w:p w14:paraId="573DEF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甩头试验仪</w:t>
            </w:r>
          </w:p>
        </w:tc>
        <w:tc>
          <w:tcPr>
            <w:tcW w:w="894" w:type="dxa"/>
            <w:tcBorders>
              <w:top w:val="single" w:color="auto" w:sz="4" w:space="0"/>
              <w:left w:val="single" w:color="auto" w:sz="4" w:space="0"/>
              <w:bottom w:val="single" w:color="auto" w:sz="4" w:space="0"/>
              <w:right w:val="single" w:color="auto" w:sz="4" w:space="0"/>
            </w:tcBorders>
            <w:vAlign w:val="center"/>
          </w:tcPr>
          <w:p w14:paraId="21F6E060">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19867BB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一、用途：高频头脉冲针对三对前庭半规管功能检查，评估两侧前庭系统对称性，对异常或损伤进行定位。</w:t>
            </w:r>
          </w:p>
          <w:p w14:paraId="24C5EF0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二、技术参数</w:t>
            </w:r>
          </w:p>
          <w:p w14:paraId="6584FE5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1、眼罩：双摄像头，带遮光罩；</w:t>
            </w:r>
          </w:p>
          <w:p w14:paraId="6D0884D6">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2、双摄像头采集视频图像</w:t>
            </w:r>
          </w:p>
          <w:p w14:paraId="0AD17943">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3、软件可同时显示双眼的视频图像</w:t>
            </w:r>
          </w:p>
          <w:p w14:paraId="73F14E0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4、描记并分析水平、垂直曲线</w:t>
            </w:r>
          </w:p>
          <w:p w14:paraId="3445D64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5、软件试验模块：HIMP甩头、SHIMP甩头抑制模块</w:t>
            </w:r>
          </w:p>
          <w:p w14:paraId="7EEECB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6、接口：USB2.0或USB3.0连接</w:t>
            </w:r>
          </w:p>
          <w:p w14:paraId="5A19CA4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7、诊断报告：自动分析检查结果，单独打印每个实验的分析数据图以及医生的初诊结果</w:t>
            </w:r>
          </w:p>
          <w:p w14:paraId="446C787C">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8、与眼震视图仪并联后可进行新斯的明检查</w:t>
            </w:r>
          </w:p>
          <w:p w14:paraId="1390AED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9、定标自适应操作，将头动和眼动同时定标，无需分开操作，系统自动匹配。</w:t>
            </w:r>
          </w:p>
          <w:p w14:paraId="0D28E0D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10、计算机：品牌电脑，CPU i510 代以上，内存≥8G，固态硬盘≥512G  打印机： 彩色喷墨联供打印机 。</w:t>
            </w:r>
          </w:p>
        </w:tc>
      </w:tr>
      <w:tr w14:paraId="3EEEE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301AA7F7">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486" w:type="dxa"/>
            <w:tcBorders>
              <w:top w:val="single" w:color="auto" w:sz="4" w:space="0"/>
              <w:left w:val="single" w:color="auto" w:sz="4" w:space="0"/>
              <w:bottom w:val="single" w:color="auto" w:sz="4" w:space="0"/>
              <w:right w:val="single" w:color="auto" w:sz="4" w:space="0"/>
            </w:tcBorders>
            <w:vAlign w:val="center"/>
          </w:tcPr>
          <w:p w14:paraId="27684AFF">
            <w:pPr>
              <w:widowControl/>
              <w:jc w:val="left"/>
              <w:textAlignment w:val="center"/>
              <w:rPr>
                <w:rFonts w:ascii="宋体" w:hAnsi="宋体" w:cs="宋体"/>
                <w:b/>
                <w:color w:val="000000"/>
                <w:kern w:val="0"/>
                <w:sz w:val="22"/>
                <w:szCs w:val="22"/>
                <w:lang w:bidi="ar"/>
              </w:rPr>
            </w:pPr>
            <w:r>
              <w:rPr>
                <w:rFonts w:hint="eastAsia" w:ascii="宋体" w:hAnsi="宋体" w:cs="宋体"/>
                <w:b/>
                <w:color w:val="000000"/>
                <w:kern w:val="0"/>
                <w:sz w:val="22"/>
                <w:szCs w:val="22"/>
                <w:lang w:bidi="ar"/>
              </w:rPr>
              <w:t>前庭功能检查系统</w:t>
            </w:r>
          </w:p>
        </w:tc>
        <w:tc>
          <w:tcPr>
            <w:tcW w:w="894" w:type="dxa"/>
            <w:tcBorders>
              <w:top w:val="single" w:color="auto" w:sz="4" w:space="0"/>
              <w:left w:val="single" w:color="auto" w:sz="4" w:space="0"/>
              <w:bottom w:val="single" w:color="auto" w:sz="4" w:space="0"/>
              <w:right w:val="single" w:color="auto" w:sz="4" w:space="0"/>
            </w:tcBorders>
            <w:vAlign w:val="center"/>
          </w:tcPr>
          <w:p w14:paraId="5EDE3ACB">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46954C7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一、系统性能：</w:t>
            </w:r>
          </w:p>
          <w:p w14:paraId="14CC153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（1）输入:双眼/四通道；完全双眼测试（同时采集双眼信号）</w:t>
            </w:r>
          </w:p>
          <w:p w14:paraId="43E32CD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（2）分辨率：±0.1o （水平和垂直）</w:t>
            </w:r>
          </w:p>
          <w:p w14:paraId="28B9461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（3）眼罩线性系数：±1%可测范围全角度</w:t>
            </w:r>
          </w:p>
          <w:p w14:paraId="056634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（4）采样率：60Hz±10%所有测试</w:t>
            </w:r>
          </w:p>
          <w:p w14:paraId="1D93A94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（5）追踪眼球范围：±30 o   </w:t>
            </w:r>
          </w:p>
          <w:p w14:paraId="0981009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二、视靶参数：</w:t>
            </w:r>
          </w:p>
          <w:p w14:paraId="507DEE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（1）视靶结构：圆弧形</w:t>
            </w:r>
          </w:p>
          <w:p w14:paraId="4C54F39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（2）视野：大视野，视角≥90°</w:t>
            </w:r>
          </w:p>
          <w:p w14:paraId="4CC1BD2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（3）旋转：≥90o （水平和垂直）</w:t>
            </w:r>
          </w:p>
          <w:p w14:paraId="6F48C8B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（4）测距：自动测量病人到视靶的距离</w:t>
            </w:r>
          </w:p>
          <w:p w14:paraId="11110B7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（5）目标物：≥8个目标物</w:t>
            </w:r>
          </w:p>
          <w:p w14:paraId="16781AF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（6）目标位置：凝视目标±30 o</w:t>
            </w:r>
          </w:p>
          <w:p w14:paraId="07C1801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（7）安装：可移动</w:t>
            </w:r>
          </w:p>
          <w:p w14:paraId="16FC379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三、视频眼罩参数：</w:t>
            </w:r>
          </w:p>
          <w:p w14:paraId="06789FC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（1）结构：双眼贯通式，带遮光罩</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val="en-US" w:eastAsia="zh-CN" w:bidi="ar"/>
              </w:rPr>
              <w:t xml:space="preserve">     </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（2）视野： 大视野，视角≥90°</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p>
          <w:p w14:paraId="60A475D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（3）眼动采集：双红外CCD，位于眼睛的前下方（防眼睑下垂技术）；</w:t>
            </w:r>
          </w:p>
          <w:p w14:paraId="3843967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四、电源参数</w:t>
            </w:r>
          </w:p>
          <w:p w14:paraId="650906B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专业医疗隔离电源</w:t>
            </w:r>
          </w:p>
          <w:p w14:paraId="4683DE9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五、电脑配置：</w:t>
            </w:r>
          </w:p>
          <w:p w14:paraId="48D448C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处理器：pentium 双核， ≥2GB内存，≥500G硬盘，USB2.0接口 </w:t>
            </w:r>
          </w:p>
          <w:p w14:paraId="1E30261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六、系统检查功能：</w:t>
            </w:r>
          </w:p>
          <w:p w14:paraId="233A0FE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（1）自发性眼震检查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1EE1DCD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（2）变位性眼震检查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7A33684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（3）转颈性眼震检查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r>
              <w:rPr>
                <w:rFonts w:hint="eastAsia" w:ascii="宋体" w:hAnsi="宋体" w:cs="宋体"/>
                <w:color w:val="000000"/>
                <w:kern w:val="0"/>
                <w:sz w:val="22"/>
                <w:szCs w:val="22"/>
                <w:lang w:bidi="ar"/>
              </w:rPr>
              <w:tab/>
            </w:r>
          </w:p>
          <w:p w14:paraId="56B11CD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（4）凝视性眼震检查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0EC5FB7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（5）位置性眼震检查                </w:t>
            </w:r>
          </w:p>
          <w:p w14:paraId="50230F0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（6）扫视检查                      </w:t>
            </w:r>
          </w:p>
          <w:p w14:paraId="709E46A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（7）跟踪检查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1DBAD63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（8）视动性眼震检查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269C750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（9）温度性眼震检查                </w:t>
            </w:r>
          </w:p>
          <w:p w14:paraId="74E7D56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（10）记忆扫视检查                  </w:t>
            </w:r>
          </w:p>
          <w:p w14:paraId="12F0AD0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（11）动态视力检查（DVA）         </w:t>
            </w:r>
          </w:p>
          <w:p w14:paraId="5B1FA70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（12）凝视稳定性检查（GST）       </w:t>
            </w:r>
          </w:p>
          <w:p w14:paraId="19923404">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 xml:space="preserve">（13）主观垂直线检查（SVV）      </w:t>
            </w:r>
          </w:p>
          <w:p w14:paraId="4A29DFFC">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（14）瞳孔测量检查</w:t>
            </w:r>
          </w:p>
          <w:p w14:paraId="20C48336">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 xml:space="preserve">（15）新斯的明检查                 </w:t>
            </w:r>
          </w:p>
          <w:p w14:paraId="6D3B924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（16）预扫视（大脑皮层功能检查）</w:t>
            </w:r>
          </w:p>
          <w:p w14:paraId="77B02EE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（17）正记忆扫视</w:t>
            </w:r>
          </w:p>
          <w:p w14:paraId="716E2DD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（18）反记忆扫视    </w:t>
            </w:r>
          </w:p>
          <w:p w14:paraId="1BFAA5C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七、软件要求：</w:t>
            </w:r>
          </w:p>
          <w:p w14:paraId="3ABBA06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（1）视频影像处理技术：</w:t>
            </w:r>
          </w:p>
          <w:p w14:paraId="199B290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双眼影像显示、存储、回放，双眼眼动数据分析，资料可永久保存。</w:t>
            </w:r>
          </w:p>
          <w:p w14:paraId="6A7CD0F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（2）联合检索技术：任意组合检索或单独检索</w:t>
            </w:r>
          </w:p>
          <w:p w14:paraId="7DBA839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各种条件的联合检索，快速找到所要的病历，有利于整理和科研。</w:t>
            </w:r>
          </w:p>
        </w:tc>
      </w:tr>
      <w:tr w14:paraId="7F3E8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65A786C4">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486" w:type="dxa"/>
            <w:tcBorders>
              <w:top w:val="single" w:color="auto" w:sz="4" w:space="0"/>
              <w:left w:val="single" w:color="auto" w:sz="4" w:space="0"/>
              <w:bottom w:val="single" w:color="auto" w:sz="4" w:space="0"/>
              <w:right w:val="single" w:color="auto" w:sz="4" w:space="0"/>
            </w:tcBorders>
            <w:vAlign w:val="center"/>
          </w:tcPr>
          <w:p w14:paraId="3A01B5C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脑电图</w:t>
            </w:r>
          </w:p>
        </w:tc>
        <w:tc>
          <w:tcPr>
            <w:tcW w:w="894" w:type="dxa"/>
            <w:tcBorders>
              <w:top w:val="single" w:color="auto" w:sz="4" w:space="0"/>
              <w:left w:val="single" w:color="auto" w:sz="4" w:space="0"/>
              <w:bottom w:val="single" w:color="auto" w:sz="4" w:space="0"/>
              <w:right w:val="single" w:color="auto" w:sz="4" w:space="0"/>
            </w:tcBorders>
            <w:vAlign w:val="center"/>
          </w:tcPr>
          <w:p w14:paraId="17279382">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62DB6EF8">
            <w:pPr>
              <w:widowControl/>
              <w:numPr>
                <w:ilvl w:val="0"/>
                <w:numId w:val="4"/>
              </w:numPr>
              <w:spacing w:line="240" w:lineRule="auto"/>
              <w:ind w:left="432" w:leftChars="0" w:hanging="420" w:firstLineChars="0"/>
              <w:jc w:val="left"/>
              <w:textAlignment w:val="center"/>
              <w:rPr>
                <w:rFonts w:hint="default" w:ascii="宋体" w:hAnsi="宋体" w:eastAsia="宋体" w:cs="宋体"/>
                <w:b w:val="0"/>
                <w:bCs w:val="0"/>
                <w:i w:val="0"/>
                <w:iCs w:val="0"/>
                <w:color w:val="000000"/>
                <w:kern w:val="0"/>
                <w:sz w:val="22"/>
                <w:szCs w:val="22"/>
                <w:highlight w:val="none"/>
                <w:vertAlign w:val="baseline"/>
                <w:lang w:val="en-US" w:eastAsia="zh-CN" w:bidi="ar-SA"/>
              </w:rPr>
            </w:pPr>
            <w:r>
              <w:rPr>
                <w:rFonts w:hint="default" w:ascii="宋体" w:hAnsi="宋体" w:eastAsia="宋体" w:cs="宋体"/>
                <w:b w:val="0"/>
                <w:bCs w:val="0"/>
                <w:i w:val="0"/>
                <w:iCs w:val="0"/>
                <w:color w:val="000000"/>
                <w:kern w:val="0"/>
                <w:sz w:val="22"/>
                <w:szCs w:val="22"/>
                <w:highlight w:val="none"/>
                <w:vertAlign w:val="baseline"/>
                <w:lang w:val="en-US" w:eastAsia="zh-CN" w:bidi="ar-SA"/>
              </w:rPr>
              <w:t>技术参数指标：</w:t>
            </w:r>
          </w:p>
          <w:p w14:paraId="58B7BDD3">
            <w:pPr>
              <w:widowControl/>
              <w:numPr>
                <w:ilvl w:val="0"/>
                <w:numId w:val="0"/>
              </w:numPr>
              <w:spacing w:line="240" w:lineRule="auto"/>
              <w:ind w:left="12" w:leftChars="0"/>
              <w:jc w:val="left"/>
              <w:textAlignment w:val="center"/>
            </w:pPr>
            <w:r>
              <w:rPr>
                <w:rFonts w:hint="default" w:ascii="宋体" w:hAnsi="宋体" w:eastAsia="宋体" w:cs="宋体"/>
                <w:b w:val="0"/>
                <w:bCs w:val="0"/>
                <w:i w:val="0"/>
                <w:iCs w:val="0"/>
                <w:color w:val="000000"/>
                <w:kern w:val="0"/>
                <w:sz w:val="22"/>
                <w:szCs w:val="22"/>
                <w:highlight w:val="none"/>
                <w:vertAlign w:val="baseline"/>
                <w:lang w:val="en-US" w:eastAsia="zh-CN" w:bidi="ar-SA"/>
              </w:rPr>
              <w:t>1.脑电32通道放大器：24导EEG+8导双极自定义；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2.高精度A/D采样分辨率：24bit；</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3.噪声电平：≤0.3μVrms，共模：≥105dB，输入阻抗：≥3000MΩ；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4.功率谱频谱：误差≤±5%，功率谱幅度：偏差≤±10%；5.灵敏度：10、20、25、30、40、50、70、80、100、120、150、200、300、500、800、1000、1600（单位μV/cm），当10μV/cm时，误差≤±5％；</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6.时间常数/低频滤波：None、0.01s（16Hz）、0.02s(8Hz)、0.03s(5.3Hz)、0.1s(1.6Hz)、0.2s(0.8Hz)、0.3s（0.53Hz）、1s(0.16Hz)、2s(0.08Hz)、3s(0.053Hz)；7.低通/高频滤波：None、5HZ、10HZ、15Hz、20HZ、30Hz、40Hz、60Hz、70Hz、100Hz、120Hz；</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8.回放模式：手动翻页、逐秒、快捷键盘翻页、自动播放、自动翻页播放，指定时间和事件跳转；</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cs="宋体"/>
                <w:b w:val="0"/>
                <w:bCs w:val="0"/>
                <w:i w:val="0"/>
                <w:iCs w:val="0"/>
                <w:color w:val="000000"/>
                <w:kern w:val="0"/>
                <w:sz w:val="22"/>
                <w:szCs w:val="22"/>
                <w:highlight w:val="none"/>
                <w:vertAlign w:val="baseline"/>
                <w:lang w:val="en-US" w:eastAsia="zh-CN" w:bidi="ar-SA"/>
              </w:rPr>
              <w:t>9</w:t>
            </w:r>
            <w:r>
              <w:rPr>
                <w:rFonts w:hint="default" w:ascii="宋体" w:hAnsi="宋体" w:eastAsia="宋体" w:cs="宋体"/>
                <w:b w:val="0"/>
                <w:bCs w:val="0"/>
                <w:i w:val="0"/>
                <w:iCs w:val="0"/>
                <w:color w:val="000000"/>
                <w:kern w:val="0"/>
                <w:sz w:val="22"/>
                <w:szCs w:val="22"/>
                <w:highlight w:val="none"/>
                <w:vertAlign w:val="baseline"/>
                <w:lang w:val="en-US" w:eastAsia="zh-CN" w:bidi="ar-SA"/>
              </w:rPr>
              <w:t>.波形回放速度：1、2、5、10、20、40、50、70、120、150倍速；</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二、功能要求：</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1.抗干扰：放大器采用无线数据传输通讯协议，全直流供电模式</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cs="宋体"/>
                <w:vanish/>
                <w:kern w:val="0"/>
                <w:sz w:val="24"/>
              </w:rPr>
              <w:tab/>
            </w:r>
            <w:r>
              <w:rPr>
                <w:rFonts w:hint="eastAsia" w:ascii="宋体" w:hAnsi="宋体" w:cs="宋体"/>
                <w:vanish/>
                <w:kern w:val="0"/>
                <w:sz w:val="24"/>
              </w:rPr>
              <w:tab/>
            </w:r>
            <w:r>
              <w:rPr>
                <w:rFonts w:hint="eastAsia" w:ascii="宋体" w:hAnsi="宋体" w:cs="宋体"/>
                <w:vanish/>
                <w:kern w:val="0"/>
                <w:sz w:val="24"/>
              </w:rPr>
              <w:t>12</w:t>
            </w:r>
            <w:r>
              <w:rPr>
                <w:rFonts w:hint="eastAsia" w:ascii="宋体" w:hAnsi="宋体" w:cs="宋体"/>
                <w:vanish/>
                <w:kern w:val="0"/>
                <w:sz w:val="24"/>
              </w:rPr>
              <w:tab/>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2.动态32通道放大器：采用可充电锂电池供电，内存16G；放大器内置液晶屏，可以显示放大器连接状态、日期、动态记录时长、电池电量、查看每一导波形，设有按钮进行动态事件标记；</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3.放大器可自定义设置通道，如：24导EEG+8导双极（ECG/SEMG任设，如1导ECG+7导SEMG等导联）；</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4.阻抗检测功能：软件界面上启动阻抗检测，数值实时现实，并能设定阈值提醒；</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5.具有电极脱落实时监测功能：采集/记录过程中，电极脱落报警；</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6.功能概述：视频脑电图、常规脑电图、脑电地形图、振幅整合aEEG、qEEG脑功能定量分析实时监护等；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7.地形图图谱：对任意波形分析显示脑地形图，可转换曲线/百分比/直方图/数字地形图等能量频谱；</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8.实时回放：在检测记录同时，可对之前的患者病历进行回访/分析/报告；</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9.导联方式：记录或回放，任意切换，任意编辑，如：单/双/平均/自定义任意导联模式编辑；</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10.棘波分析：棘波分析功能，可自动识别并标记出癫痫病理波，方便医生判断；</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11.高清视频控制：通过软件控制视频角度、远近、放大；波形与视频同步记录同步回放；</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12.闪光刺激器：刺激频率1Hz～30Hz,30个频段；单一频率刺激时间5s～60s,56个时长；刺激时间间隔0s～10s,超过10种时间段选择；最多可设置成50个阶段刺激方案；</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13.脑功能监护报警功能：可设置开启后，根据患者实时情况自动声音、图示报警；</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14.具备aEEG振幅整合幅度图实时显示：监测是否存在脑缺氧、缺血的情况，监测/记录持续癫痫状态；</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15.振幅整合：经（振幅整合、半对数压缩），实时反映病人大脑功能状态，aEEG的参考标线可同时显示1、2、3、4、5、10、25、50、100、200，并有包络图功能可供选择；</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16.具备qEEG（定量脑电图）10种定量分析参数：能量曲线、相对能量、中频指数、边频指数、爆发抑制比、快慢波比、肌电指数、双谱指数、近似熵/样本熵、状态熵/反应熵( RE/SE)；</w:t>
            </w:r>
          </w:p>
          <w:p w14:paraId="49110445">
            <w:pPr>
              <w:widowControl/>
              <w:spacing w:line="240" w:lineRule="auto"/>
              <w:jc w:val="left"/>
              <w:textAlignment w:val="center"/>
            </w:pP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17.能与本院原有脑电图组成网络化脑电，支持远程脑电</w:t>
            </w:r>
          </w:p>
          <w:p w14:paraId="06A78123">
            <w:pPr>
              <w:pStyle w:val="99"/>
              <w:widowControl/>
              <w:numPr>
                <w:ilvl w:val="0"/>
                <w:numId w:val="0"/>
              </w:numPr>
              <w:ind w:left="432" w:leftChars="0" w:hanging="432" w:firstLineChars="0"/>
              <w:jc w:val="left"/>
              <w:textAlignment w:val="center"/>
              <w:rPr>
                <w:rFonts w:ascii="宋体" w:hAnsi="宋体" w:cs="宋体"/>
                <w:color w:val="000000"/>
                <w:kern w:val="0"/>
                <w:sz w:val="22"/>
                <w:szCs w:val="22"/>
                <w:lang w:bidi="ar"/>
              </w:rPr>
            </w:pPr>
            <w:r>
              <w:rPr>
                <w:rFonts w:hint="default" w:ascii="宋体" w:hAnsi="宋体" w:eastAsia="宋体" w:cs="宋体"/>
                <w:b w:val="0"/>
                <w:bCs w:val="0"/>
                <w:i w:val="0"/>
                <w:iCs w:val="0"/>
                <w:color w:val="000000"/>
                <w:kern w:val="0"/>
                <w:sz w:val="22"/>
                <w:szCs w:val="22"/>
                <w:highlight w:val="none"/>
                <w:vertAlign w:val="baseline"/>
                <w:lang w:val="en-US" w:eastAsia="zh-CN" w:bidi="ar-SA"/>
              </w:rPr>
              <w:t>三.数字化视频脑电图仪配置清单主要组成部分 品名 数量工作站部分 电脑主机 1套打印机 1套脑电图软件系统 1台移动台车 1辆放大器及支持部分 32导动态脑电放大盒 1个放大盒背包 1个无线脑电接收器 1个网线 1套移动电源 1个视频系统 1套闪光刺激器 1套盘状电极导联线 1套自定义双极导线 1套支架电极导联线 1套围脖 1个心电电极片 10片导电膏 1盒资料 保修卡 1张脑电图仪合格证 1张脑电图说明书 1套</w:t>
            </w:r>
          </w:p>
        </w:tc>
      </w:tr>
    </w:tbl>
    <w:p w14:paraId="794E5031">
      <w:pPr>
        <w:rPr>
          <w:rFonts w:asciiTheme="majorEastAsia" w:hAnsiTheme="majorEastAsia" w:eastAsiaTheme="majorEastAsia" w:cstheme="majorEastAsia"/>
          <w:b/>
          <w:sz w:val="24"/>
          <w:u w:val="single"/>
        </w:rPr>
      </w:pPr>
    </w:p>
    <w:p w14:paraId="5A8230A7">
      <w:pPr>
        <w:rPr>
          <w:rFonts w:asciiTheme="majorEastAsia" w:hAnsiTheme="majorEastAsia" w:eastAsiaTheme="majorEastAsia" w:cstheme="majorEastAsia"/>
          <w:b/>
          <w:sz w:val="24"/>
          <w:u w:val="single"/>
        </w:rPr>
      </w:pPr>
    </w:p>
    <w:p w14:paraId="5742DF06">
      <w:pPr>
        <w:rPr>
          <w:rFonts w:asciiTheme="majorEastAsia" w:hAnsiTheme="majorEastAsia" w:eastAsiaTheme="majorEastAsia" w:cstheme="majorEastAsia"/>
          <w:b/>
          <w:sz w:val="24"/>
          <w:u w:val="single"/>
        </w:rPr>
      </w:pPr>
    </w:p>
    <w:p w14:paraId="66E3D1D6">
      <w:pPr>
        <w:rPr>
          <w:rFonts w:asciiTheme="majorEastAsia" w:hAnsiTheme="majorEastAsia" w:eastAsiaTheme="majorEastAsia" w:cstheme="majorEastAsia"/>
          <w:b/>
          <w:sz w:val="24"/>
          <w:u w:val="single"/>
        </w:rPr>
      </w:pPr>
    </w:p>
    <w:p w14:paraId="669131E8">
      <w:pPr>
        <w:rPr>
          <w:rFonts w:asciiTheme="majorEastAsia" w:hAnsiTheme="majorEastAsia" w:eastAsiaTheme="majorEastAsia" w:cstheme="majorEastAsia"/>
          <w:b/>
          <w:sz w:val="24"/>
          <w:u w:val="single"/>
        </w:rPr>
      </w:pPr>
    </w:p>
    <w:p w14:paraId="4A351502">
      <w:pPr>
        <w:rPr>
          <w:rFonts w:asciiTheme="majorEastAsia" w:hAnsiTheme="majorEastAsia" w:eastAsiaTheme="majorEastAsia" w:cstheme="majorEastAsia"/>
          <w:b/>
          <w:sz w:val="24"/>
          <w:u w:val="single"/>
        </w:rPr>
      </w:pPr>
    </w:p>
    <w:p w14:paraId="56F32B08">
      <w:pPr>
        <w:rPr>
          <w:rFonts w:asciiTheme="majorEastAsia" w:hAnsiTheme="majorEastAsia" w:eastAsiaTheme="majorEastAsia" w:cstheme="majorEastAsia"/>
          <w:b/>
          <w:sz w:val="24"/>
          <w:u w:val="single"/>
        </w:rPr>
      </w:pPr>
    </w:p>
    <w:p w14:paraId="5D14309E">
      <w:pPr>
        <w:rPr>
          <w:rFonts w:asciiTheme="majorEastAsia" w:hAnsiTheme="majorEastAsia" w:eastAsiaTheme="majorEastAsia" w:cstheme="majorEastAsia"/>
          <w:b/>
          <w:sz w:val="24"/>
          <w:u w:val="single"/>
        </w:rPr>
      </w:pPr>
    </w:p>
    <w:p w14:paraId="7A31079A">
      <w:pPr>
        <w:rPr>
          <w:rFonts w:asciiTheme="majorEastAsia" w:hAnsiTheme="majorEastAsia" w:eastAsiaTheme="majorEastAsia" w:cstheme="majorEastAsia"/>
          <w:b/>
          <w:sz w:val="24"/>
          <w:u w:val="single"/>
        </w:rPr>
      </w:pPr>
    </w:p>
    <w:p w14:paraId="3884116B">
      <w:pPr>
        <w:rPr>
          <w:rFonts w:asciiTheme="majorEastAsia" w:hAnsiTheme="majorEastAsia" w:eastAsiaTheme="majorEastAsia" w:cstheme="majorEastAsia"/>
          <w:b/>
          <w:sz w:val="24"/>
          <w:u w:val="single"/>
        </w:rPr>
      </w:pPr>
    </w:p>
    <w:p w14:paraId="3FF91248">
      <w:pPr>
        <w:rPr>
          <w:rFonts w:asciiTheme="majorEastAsia" w:hAnsiTheme="majorEastAsia" w:eastAsiaTheme="majorEastAsia" w:cstheme="majorEastAsia"/>
          <w:b/>
          <w:sz w:val="24"/>
          <w:u w:val="single"/>
        </w:rPr>
      </w:pPr>
    </w:p>
    <w:p w14:paraId="2B505EF2">
      <w:pPr>
        <w:rPr>
          <w:rFonts w:asciiTheme="majorEastAsia" w:hAnsiTheme="majorEastAsia" w:eastAsiaTheme="majorEastAsia" w:cstheme="majorEastAsia"/>
          <w:b/>
          <w:sz w:val="24"/>
          <w:u w:val="single"/>
        </w:rPr>
      </w:pPr>
    </w:p>
    <w:p w14:paraId="69016272">
      <w:pPr>
        <w:rPr>
          <w:rFonts w:asciiTheme="majorEastAsia" w:hAnsiTheme="majorEastAsia" w:eastAsiaTheme="majorEastAsia" w:cstheme="majorEastAsia"/>
          <w:b/>
          <w:sz w:val="24"/>
          <w:u w:val="single"/>
        </w:rPr>
      </w:pPr>
    </w:p>
    <w:p w14:paraId="7C5E25F7">
      <w:pPr>
        <w:rPr>
          <w:rFonts w:asciiTheme="majorEastAsia" w:hAnsiTheme="majorEastAsia" w:eastAsiaTheme="majorEastAsia" w:cstheme="majorEastAsia"/>
          <w:b/>
          <w:sz w:val="24"/>
          <w:u w:val="single"/>
        </w:rPr>
      </w:pPr>
    </w:p>
    <w:p w14:paraId="29161112">
      <w:pPr>
        <w:rPr>
          <w:rFonts w:asciiTheme="majorEastAsia" w:hAnsiTheme="majorEastAsia" w:eastAsiaTheme="majorEastAsia" w:cstheme="majorEastAsia"/>
          <w:b/>
          <w:sz w:val="24"/>
          <w:u w:val="single"/>
        </w:rPr>
      </w:pPr>
    </w:p>
    <w:p w14:paraId="25488ECB">
      <w:pPr>
        <w:rPr>
          <w:rFonts w:asciiTheme="majorEastAsia" w:hAnsiTheme="majorEastAsia" w:eastAsiaTheme="majorEastAsia" w:cstheme="majorEastAsia"/>
          <w:b/>
          <w:sz w:val="24"/>
          <w:u w:val="single"/>
        </w:rPr>
      </w:pPr>
    </w:p>
    <w:p w14:paraId="57C4F995">
      <w:pPr>
        <w:rPr>
          <w:rFonts w:asciiTheme="majorEastAsia" w:hAnsiTheme="majorEastAsia" w:eastAsiaTheme="majorEastAsia" w:cstheme="majorEastAsia"/>
          <w:b/>
          <w:sz w:val="24"/>
          <w:u w:val="single"/>
        </w:rPr>
      </w:pPr>
    </w:p>
    <w:p w14:paraId="2618D795">
      <w:pPr>
        <w:rPr>
          <w:rFonts w:asciiTheme="majorEastAsia" w:hAnsiTheme="majorEastAsia" w:eastAsiaTheme="majorEastAsia" w:cstheme="majorEastAsia"/>
          <w:b/>
          <w:sz w:val="24"/>
          <w:u w:val="single"/>
        </w:rPr>
      </w:pPr>
    </w:p>
    <w:p w14:paraId="467EA406">
      <w:pPr>
        <w:rPr>
          <w:rFonts w:asciiTheme="majorEastAsia" w:hAnsiTheme="majorEastAsia" w:eastAsiaTheme="majorEastAsia" w:cstheme="majorEastAsia"/>
          <w:b/>
          <w:sz w:val="24"/>
          <w:u w:val="single"/>
        </w:rPr>
      </w:pPr>
    </w:p>
    <w:p w14:paraId="0139FABF">
      <w:pPr>
        <w:rPr>
          <w:rFonts w:asciiTheme="majorEastAsia" w:hAnsiTheme="majorEastAsia" w:eastAsiaTheme="majorEastAsia" w:cstheme="majorEastAsia"/>
          <w:b/>
          <w:sz w:val="24"/>
          <w:u w:val="single"/>
        </w:rPr>
      </w:pPr>
    </w:p>
    <w:p w14:paraId="4FECBACC">
      <w:pPr>
        <w:rPr>
          <w:rFonts w:asciiTheme="majorEastAsia" w:hAnsiTheme="majorEastAsia" w:eastAsiaTheme="majorEastAsia" w:cstheme="majorEastAsia"/>
          <w:b/>
          <w:sz w:val="24"/>
          <w:u w:val="single"/>
        </w:rPr>
      </w:pPr>
    </w:p>
    <w:p w14:paraId="2CB8D21E">
      <w:pPr>
        <w:rPr>
          <w:rFonts w:asciiTheme="majorEastAsia" w:hAnsiTheme="majorEastAsia" w:eastAsiaTheme="majorEastAsia" w:cstheme="majorEastAsia"/>
          <w:b/>
          <w:sz w:val="24"/>
          <w:u w:val="single"/>
        </w:rPr>
      </w:pPr>
    </w:p>
    <w:p w14:paraId="127B117F">
      <w:pPr>
        <w:rPr>
          <w:rFonts w:asciiTheme="majorEastAsia" w:hAnsiTheme="majorEastAsia" w:eastAsiaTheme="majorEastAsia" w:cstheme="majorEastAsia"/>
          <w:b/>
          <w:sz w:val="24"/>
          <w:u w:val="single"/>
        </w:rPr>
      </w:pPr>
    </w:p>
    <w:p w14:paraId="14BE92CB">
      <w:pPr>
        <w:rPr>
          <w:rFonts w:asciiTheme="majorEastAsia" w:hAnsiTheme="majorEastAsia" w:eastAsiaTheme="majorEastAsia" w:cstheme="majorEastAsia"/>
          <w:b/>
          <w:sz w:val="24"/>
          <w:u w:val="single"/>
        </w:rPr>
      </w:pPr>
    </w:p>
    <w:p w14:paraId="12483F75">
      <w:pPr>
        <w:rPr>
          <w:rFonts w:asciiTheme="majorEastAsia" w:hAnsiTheme="majorEastAsia" w:eastAsiaTheme="majorEastAsia" w:cstheme="majorEastAsia"/>
          <w:b/>
          <w:sz w:val="24"/>
          <w:u w:val="single"/>
        </w:rPr>
      </w:pPr>
    </w:p>
    <w:p w14:paraId="46534CEF">
      <w:pPr>
        <w:rPr>
          <w:rFonts w:asciiTheme="majorEastAsia" w:hAnsiTheme="majorEastAsia" w:eastAsiaTheme="majorEastAsia" w:cstheme="majorEastAsia"/>
          <w:b/>
          <w:sz w:val="24"/>
          <w:u w:val="single"/>
        </w:rPr>
      </w:pPr>
    </w:p>
    <w:p w14:paraId="0387F913">
      <w:pPr>
        <w:rPr>
          <w:rFonts w:asciiTheme="majorEastAsia" w:hAnsiTheme="majorEastAsia" w:eastAsiaTheme="majorEastAsia" w:cstheme="majorEastAsia"/>
          <w:b/>
          <w:sz w:val="24"/>
          <w:u w:val="single"/>
        </w:rPr>
      </w:pPr>
    </w:p>
    <w:p w14:paraId="73204132">
      <w:pPr>
        <w:rPr>
          <w:rFonts w:asciiTheme="majorEastAsia" w:hAnsiTheme="majorEastAsia" w:eastAsiaTheme="majorEastAsia" w:cstheme="majorEastAsia"/>
          <w:b/>
          <w:sz w:val="24"/>
          <w:u w:val="single"/>
        </w:rPr>
      </w:pPr>
    </w:p>
    <w:p w14:paraId="3EB05CFE">
      <w:pPr>
        <w:rPr>
          <w:rFonts w:asciiTheme="majorEastAsia" w:hAnsiTheme="majorEastAsia" w:eastAsiaTheme="majorEastAsia" w:cstheme="majorEastAsia"/>
          <w:b/>
          <w:sz w:val="24"/>
          <w:u w:val="single"/>
        </w:rPr>
      </w:pPr>
    </w:p>
    <w:p w14:paraId="57D27D42">
      <w:pPr>
        <w:rPr>
          <w:rFonts w:asciiTheme="majorEastAsia" w:hAnsiTheme="majorEastAsia" w:eastAsiaTheme="majorEastAsia" w:cstheme="majorEastAsia"/>
          <w:b/>
          <w:sz w:val="24"/>
          <w:u w:val="single"/>
        </w:rPr>
      </w:pPr>
    </w:p>
    <w:p w14:paraId="43496EA6">
      <w:pPr>
        <w:rPr>
          <w:rFonts w:asciiTheme="majorEastAsia" w:hAnsiTheme="majorEastAsia" w:eastAsiaTheme="majorEastAsia" w:cstheme="majorEastAsia"/>
          <w:b/>
          <w:sz w:val="24"/>
          <w:u w:val="single"/>
        </w:rPr>
      </w:pPr>
    </w:p>
    <w:p w14:paraId="101EE322">
      <w:pPr>
        <w:rPr>
          <w:rFonts w:asciiTheme="majorEastAsia" w:hAnsiTheme="majorEastAsia" w:eastAsiaTheme="majorEastAsia" w:cstheme="majorEastAsia"/>
          <w:b/>
          <w:sz w:val="24"/>
          <w:u w:val="single"/>
        </w:rPr>
      </w:pPr>
    </w:p>
    <w:p w14:paraId="7B923DE0">
      <w:pPr>
        <w:rPr>
          <w:rFonts w:asciiTheme="majorEastAsia" w:hAnsiTheme="majorEastAsia" w:eastAsiaTheme="majorEastAsia" w:cstheme="majorEastAsia"/>
          <w:b/>
          <w:sz w:val="24"/>
          <w:u w:val="single"/>
        </w:rPr>
      </w:pPr>
    </w:p>
    <w:p w14:paraId="5A11263C">
      <w:pPr>
        <w:rPr>
          <w:rFonts w:asciiTheme="majorEastAsia" w:hAnsiTheme="majorEastAsia" w:eastAsiaTheme="majorEastAsia" w:cstheme="majorEastAsia"/>
          <w:b/>
          <w:sz w:val="24"/>
          <w:u w:val="single"/>
        </w:rPr>
      </w:pPr>
    </w:p>
    <w:p w14:paraId="71B892AF">
      <w:pPr>
        <w:rPr>
          <w:rFonts w:asciiTheme="majorEastAsia" w:hAnsiTheme="majorEastAsia" w:eastAsiaTheme="majorEastAsia" w:cstheme="majorEastAsia"/>
          <w:b/>
          <w:sz w:val="24"/>
          <w:u w:val="single"/>
        </w:rPr>
      </w:pP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524"/>
        <w:gridCol w:w="7054"/>
      </w:tblGrid>
      <w:tr w14:paraId="51C9D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64DDDE4A">
            <w:pPr>
              <w:rPr>
                <w:rFonts w:asciiTheme="majorEastAsia" w:hAnsiTheme="majorEastAsia" w:eastAsiaTheme="majorEastAsia" w:cstheme="majorEastAsia"/>
                <w:szCs w:val="21"/>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szCs w:val="21"/>
              </w:rPr>
              <w:t>▲一、</w:t>
            </w:r>
            <w:r>
              <w:rPr>
                <w:rFonts w:hint="eastAsia" w:asciiTheme="majorEastAsia" w:hAnsiTheme="majorEastAsia" w:eastAsiaTheme="majorEastAsia" w:cstheme="majorEastAsia"/>
                <w:b/>
                <w:szCs w:val="21"/>
              </w:rPr>
              <w:t>商务要求（1分标通用）</w:t>
            </w:r>
          </w:p>
        </w:tc>
      </w:tr>
      <w:tr w14:paraId="5C245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4AE97BA0">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交付时间和地点</w:t>
            </w:r>
          </w:p>
        </w:tc>
        <w:tc>
          <w:tcPr>
            <w:tcW w:w="7054" w:type="dxa"/>
            <w:tcBorders>
              <w:top w:val="single" w:color="auto" w:sz="4" w:space="0"/>
              <w:left w:val="single" w:color="auto" w:sz="4" w:space="0"/>
              <w:bottom w:val="single" w:color="auto" w:sz="4" w:space="0"/>
              <w:right w:val="single" w:color="auto" w:sz="4" w:space="0"/>
            </w:tcBorders>
            <w:vAlign w:val="center"/>
          </w:tcPr>
          <w:p w14:paraId="34809764">
            <w:pPr>
              <w:numPr>
                <w:ilvl w:val="0"/>
                <w:numId w:val="5"/>
              </w:numPr>
              <w:spacing w:line="440" w:lineRule="exact"/>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szCs w:val="21"/>
              </w:rPr>
              <w:t>交付</w:t>
            </w:r>
            <w:r>
              <w:rPr>
                <w:rFonts w:hint="eastAsia" w:asciiTheme="majorEastAsia" w:hAnsiTheme="majorEastAsia" w:eastAsiaTheme="majorEastAsia" w:cstheme="majorEastAsia"/>
                <w:color w:val="auto"/>
                <w:szCs w:val="21"/>
              </w:rPr>
              <w:t>时间：</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0日历日内交货，并安装调试完毕且通过验收；</w:t>
            </w:r>
          </w:p>
          <w:p w14:paraId="6F1751D7">
            <w:pPr>
              <w:pStyle w:val="122"/>
              <w:autoSpaceDE/>
              <w:autoSpaceDN/>
              <w:adjustRightInd/>
              <w:spacing w:line="440" w:lineRule="exact"/>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2.交付地点：广西岑溪市内采购人指定地点。</w:t>
            </w:r>
          </w:p>
        </w:tc>
      </w:tr>
      <w:tr w14:paraId="07164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249A2A61">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合同签订时间</w:t>
            </w:r>
          </w:p>
        </w:tc>
        <w:tc>
          <w:tcPr>
            <w:tcW w:w="7054" w:type="dxa"/>
            <w:tcBorders>
              <w:top w:val="single" w:color="auto" w:sz="4" w:space="0"/>
              <w:left w:val="single" w:color="auto" w:sz="4" w:space="0"/>
              <w:bottom w:val="single" w:color="auto" w:sz="4" w:space="0"/>
              <w:right w:val="single" w:color="auto" w:sz="4" w:space="0"/>
            </w:tcBorders>
            <w:vAlign w:val="center"/>
          </w:tcPr>
          <w:p w14:paraId="27361346">
            <w:pPr>
              <w:pStyle w:val="17"/>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自中标通知书发出之日起25日内</w:t>
            </w:r>
          </w:p>
        </w:tc>
      </w:tr>
      <w:tr w14:paraId="5660E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7548D1BF">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付款方式</w:t>
            </w:r>
          </w:p>
        </w:tc>
        <w:tc>
          <w:tcPr>
            <w:tcW w:w="7054" w:type="dxa"/>
            <w:tcBorders>
              <w:top w:val="single" w:color="auto" w:sz="4" w:space="0"/>
              <w:left w:val="single" w:color="auto" w:sz="4" w:space="0"/>
              <w:bottom w:val="single" w:color="auto" w:sz="4" w:space="0"/>
              <w:right w:val="single" w:color="auto" w:sz="4" w:space="0"/>
            </w:tcBorders>
            <w:vAlign w:val="center"/>
          </w:tcPr>
          <w:p w14:paraId="61C23523">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双方签订合同后，中标供应商在采购人指定地点交货、安装、调试，经采购人验收合格后，支付至合同总价款的50%；验收合格后一年内，采购人支付至合同总金额的100%。</w:t>
            </w:r>
          </w:p>
          <w:p w14:paraId="44C6049F">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注：中标供应商应在采购人付款前，向采购人提供相应金额增值税发票，采购人自收到发票后10个工作日内将资金支付到合同约定的供应商账户。</w:t>
            </w:r>
          </w:p>
        </w:tc>
      </w:tr>
      <w:tr w14:paraId="1E64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7C3F24D6">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质保期</w:t>
            </w:r>
          </w:p>
        </w:tc>
        <w:tc>
          <w:tcPr>
            <w:tcW w:w="7054" w:type="dxa"/>
            <w:tcBorders>
              <w:top w:val="single" w:color="auto" w:sz="4" w:space="0"/>
              <w:left w:val="single" w:color="auto" w:sz="4" w:space="0"/>
              <w:bottom w:val="single" w:color="auto" w:sz="4" w:space="0"/>
              <w:right w:val="single" w:color="auto" w:sz="4" w:space="0"/>
            </w:tcBorders>
            <w:vAlign w:val="center"/>
          </w:tcPr>
          <w:p w14:paraId="01F42571">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1.供应商应明确承诺：质保期自验收合格之日起不少于1年（含一年）。质保期内无条件负责上门维修、更换零部件。</w:t>
            </w:r>
          </w:p>
          <w:p w14:paraId="2615D5F3">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2.属于国家规定“三包”范围的，其质保期不得低于“三包”规定。中标供应商承诺质保期优于国家“三包”规定的，或优于招标文件规定的，按中标供应商实际承诺执行。</w:t>
            </w:r>
          </w:p>
        </w:tc>
      </w:tr>
      <w:tr w14:paraId="7AE5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624667B0">
            <w:pPr>
              <w:widowControl/>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kern w:val="0"/>
                <w:szCs w:val="21"/>
              </w:rPr>
              <w:t>售后服务要求</w:t>
            </w:r>
          </w:p>
        </w:tc>
        <w:tc>
          <w:tcPr>
            <w:tcW w:w="7054" w:type="dxa"/>
            <w:tcBorders>
              <w:top w:val="single" w:color="auto" w:sz="4" w:space="0"/>
              <w:left w:val="single" w:color="auto" w:sz="4" w:space="0"/>
              <w:bottom w:val="single" w:color="auto" w:sz="4" w:space="0"/>
              <w:right w:val="single" w:color="auto" w:sz="4" w:space="0"/>
            </w:tcBorders>
            <w:vAlign w:val="center"/>
          </w:tcPr>
          <w:p w14:paraId="482349F1">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1.</w:t>
            </w:r>
            <w:r>
              <w:rPr>
                <w:rFonts w:hint="eastAsia" w:asciiTheme="majorEastAsia" w:hAnsiTheme="majorEastAsia" w:eastAsiaTheme="majorEastAsia" w:cstheme="majorEastAsia"/>
                <w:bCs/>
                <w:szCs w:val="21"/>
              </w:rPr>
              <w:t>供应商负责办理运输和保险，将货物运抵交货地点。与运输、保险相关的费用由供应商承担。</w:t>
            </w:r>
          </w:p>
          <w:p w14:paraId="734D7034">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2.</w:t>
            </w:r>
            <w:r>
              <w:rPr>
                <w:rFonts w:hint="eastAsia" w:asciiTheme="majorEastAsia" w:hAnsiTheme="majorEastAsia" w:eastAsiaTheme="majorEastAsia" w:cstheme="majorEastAsia"/>
                <w:bCs/>
                <w:szCs w:val="21"/>
              </w:rPr>
              <w:t>负责送货上门，负责安装调试合格，须派出有相应资格的技术工程师到现场负责设备安装调试，直至正常使用；</w:t>
            </w:r>
          </w:p>
          <w:p w14:paraId="198A09B2">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3.</w:t>
            </w:r>
            <w:r>
              <w:rPr>
                <w:rFonts w:hint="eastAsia" w:asciiTheme="majorEastAsia" w:hAnsiTheme="majorEastAsia" w:eastAsiaTheme="majorEastAsia" w:cstheme="majorEastAsia"/>
                <w:bCs/>
                <w:szCs w:val="21"/>
              </w:rPr>
              <w:t>负责培训,包含但不限于现场技术培训、操作应用培训等;保证使用人员正常操作设备的各种功能，培训时间不限于新装机环节，同时提供质保期内每年不少于1次(每次时长不少于3个工作日)的培训;培训内容须包括设备日常操作、工作原理、注意事项、简单故障排除、维护保养等。装机使用培训≥2天，维护保养培训：1天。培训人数不少于2人。</w:t>
            </w:r>
          </w:p>
          <w:p w14:paraId="79A89973">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4.</w:t>
            </w:r>
            <w:r>
              <w:rPr>
                <w:rFonts w:hint="eastAsia" w:asciiTheme="majorEastAsia" w:hAnsiTheme="majorEastAsia" w:eastAsiaTheme="majorEastAsia" w:cstheme="majorEastAsia"/>
                <w:bCs/>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p>
          <w:p w14:paraId="17A907AE">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5.</w:t>
            </w:r>
            <w:r>
              <w:rPr>
                <w:rFonts w:hint="eastAsia" w:asciiTheme="majorEastAsia" w:hAnsiTheme="majorEastAsia" w:eastAsiaTheme="majorEastAsia" w:cstheme="majorEastAsia"/>
                <w:bCs/>
                <w:szCs w:val="21"/>
              </w:rPr>
              <w:t>故障响应时间：设备出现故障或技术问题，中标供应商应在接到通知后30分钟内响应，电话咨询不能解决的，中标供应商应在12小时内到达现场进行处理，到达现场后4小时内排除故障，恢复正常使用。中标供应商到达现场后超过72小时不能修复故障的，采购人有权选聘有相应资质的第三方提供服务，全部费用由中标供应商承担，保证采购人正常使用。因特殊情况无法修复的须提前与使用科室或设备管理科室沟通，产生的一切费用由中标供应商承担。</w:t>
            </w:r>
          </w:p>
          <w:p w14:paraId="3E3D9AD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0037979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7.中标供应商售后服务中，维修使用的备品备件及易损件应为原厂配件，未经采购人同意不得使用非原厂配件，质保期内维修使用的备品备件及易损件的费用，由中标供应商承担。</w:t>
            </w:r>
            <w:r>
              <w:rPr>
                <w:rFonts w:hint="eastAsia"/>
              </w:rPr>
              <w:t>质保期</w:t>
            </w:r>
            <w:r>
              <w:rPr>
                <w:rFonts w:hint="eastAsia" w:asciiTheme="majorEastAsia" w:hAnsiTheme="majorEastAsia" w:eastAsiaTheme="majorEastAsia" w:cstheme="majorEastAsia"/>
                <w:bCs/>
                <w:szCs w:val="21"/>
              </w:rPr>
              <w:t>过后，采购人需要继续由原中标供应商提供售后服务的，该中标供应商应以优惠价格提供售后服务，常用的、容易损坏的备品备件及易损件的优患价格清单须在投标文件中列出。</w:t>
            </w:r>
          </w:p>
          <w:p w14:paraId="7302C1B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w:t>
            </w:r>
            <w:r>
              <w:rPr>
                <w:rFonts w:hint="eastAsia"/>
              </w:rPr>
              <w:t>质保期</w:t>
            </w:r>
            <w:r>
              <w:rPr>
                <w:rFonts w:hint="eastAsia" w:asciiTheme="majorEastAsia" w:hAnsiTheme="majorEastAsia" w:eastAsiaTheme="majorEastAsia" w:cstheme="majorEastAsia"/>
                <w:bCs/>
                <w:szCs w:val="21"/>
              </w:rPr>
              <w:t>内供应商为采购人所提供的所有技术支持和服务费用以及上门维修、更换零部件费用均包含在投标报价中，采购人不再另行支付。</w:t>
            </w:r>
          </w:p>
          <w:p w14:paraId="34CA1A2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9.质保期过后的服务要求：产品质量保证期过后，中标供应商应当为采购人提供技术援助电话，解答采购人在使用中遇到的问题，及时为采购人提出解决问题的建议。</w:t>
            </w:r>
          </w:p>
          <w:p w14:paraId="298D6255">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8.</w:t>
            </w:r>
            <w:r>
              <w:rPr>
                <w:rFonts w:hint="eastAsia" w:asciiTheme="majorEastAsia" w:hAnsiTheme="majorEastAsia" w:eastAsiaTheme="majorEastAsia" w:cstheme="majorEastAsia"/>
                <w:bCs/>
                <w:szCs w:val="21"/>
              </w:rPr>
              <w:t>设备如属于政府部门有强制检定要求的，中标供应商应负责设备使用前的相关检定。</w:t>
            </w:r>
          </w:p>
        </w:tc>
      </w:tr>
      <w:tr w14:paraId="2993F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154A9568">
            <w:pPr>
              <w:widowControl/>
              <w:spacing w:line="44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bCs/>
                <w:kern w:val="0"/>
                <w:szCs w:val="21"/>
              </w:rPr>
              <w:t>投标报价要求</w:t>
            </w:r>
          </w:p>
        </w:tc>
        <w:tc>
          <w:tcPr>
            <w:tcW w:w="7054" w:type="dxa"/>
            <w:tcBorders>
              <w:top w:val="single" w:color="auto" w:sz="4" w:space="0"/>
              <w:left w:val="single" w:color="auto" w:sz="4" w:space="0"/>
              <w:bottom w:val="single" w:color="auto" w:sz="4" w:space="0"/>
              <w:right w:val="single" w:color="auto" w:sz="4" w:space="0"/>
            </w:tcBorders>
            <w:vAlign w:val="center"/>
          </w:tcPr>
          <w:p w14:paraId="4EACA90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6458D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3920C22C">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二、与实现项目目标相关的其他要求</w:t>
            </w:r>
          </w:p>
        </w:tc>
      </w:tr>
      <w:tr w14:paraId="78263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21AD36A9">
            <w:pPr>
              <w:tabs>
                <w:tab w:val="left" w:pos="180"/>
                <w:tab w:val="left" w:pos="1620"/>
              </w:tabs>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（一）验收标准</w:t>
            </w:r>
          </w:p>
        </w:tc>
      </w:tr>
      <w:tr w14:paraId="0439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44A8E547">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1、验收标准：符合现行国家相关标准、行业标准、地方标准或者其他标准、规范。</w:t>
            </w:r>
          </w:p>
          <w:p w14:paraId="0FEAB29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中标供应商在货物交付验收时，由采购人对照招标文件的项目要求及技术需求，全面核对检验。如不符合招标文件的技术需求及要求以及提供虚假承诺的，按相关规定做违约处理，中标供应商承担所有责任和费用，采购人保留进一步追究责任的权利。</w:t>
            </w:r>
          </w:p>
          <w:p w14:paraId="3EF1A88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3、验收时间:采购人收到中标供应商验收申请之日起5个工作日进行验收（如有特殊情况，按采购人指定的时间，另行验收）。</w:t>
            </w:r>
          </w:p>
          <w:p w14:paraId="651FB69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4、验收地点：广西岑溪市内采购人指定交货地点。</w:t>
            </w:r>
          </w:p>
          <w:p w14:paraId="1D3D3547">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5、验收方式：</w:t>
            </w:r>
          </w:p>
          <w:p w14:paraId="407DECA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1）中标供应商完成货物安装调试和培训后，书面向采购人提交验收申请。</w:t>
            </w:r>
          </w:p>
          <w:p w14:paraId="70FCE0AB">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2）本项目验收由验收小组按照采购合同约定对每一项技术和商务要求的履约情况进行确认，作为验收依据；</w:t>
            </w:r>
          </w:p>
          <w:p w14:paraId="6063C18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3）验收结束后，验收小组出具采购验收书，验收书应当包括每一项技术和商务要求的履约情况，并列明项目总体评价，由验收小组、采购人和中标供应商共同签署。</w:t>
            </w:r>
          </w:p>
          <w:p w14:paraId="42C0BD6A">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4）验收过程中所产生的一切费用均由中标供应商承担。</w:t>
            </w:r>
          </w:p>
          <w:p w14:paraId="28127E13">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5）验收书一式肆份，双方各执两份。</w:t>
            </w:r>
          </w:p>
          <w:p w14:paraId="4089D7DA">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6）验收结论不合格的，中标供应商应自收到验收书后5日内及时予以解决。经中标供应商对验收结论不合格的货物进行整改后，仍然达不到要求的，经双方协商，可按以下办法处理：</w:t>
            </w:r>
          </w:p>
          <w:p w14:paraId="57021E7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①更换：由中标供应商承担所发生的全部费用。</w:t>
            </w:r>
          </w:p>
          <w:p w14:paraId="4CDDE605">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退货处理：如发生前述情况，采购人有权追究中标供应商法律责任，并向财政部门(政府采购监管部门)备案处理。中标供应商应退还采购人支付的合同款，同时应承担采购人的全部损失费用(包括但不限于该货物的检验、货款利息及银行手续费以及诉讼费、鉴定费、评估费、保全费、保险费、律师费、差旅费等)。</w:t>
            </w:r>
          </w:p>
        </w:tc>
      </w:tr>
      <w:tr w14:paraId="29283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47D913D7">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（二）核心产品说明</w:t>
            </w:r>
          </w:p>
        </w:tc>
      </w:tr>
      <w:tr w14:paraId="42963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58FE88CB">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6C984E89">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良性阵发性位置性眩晕治疗仪</w:t>
            </w:r>
          </w:p>
        </w:tc>
      </w:tr>
      <w:tr w14:paraId="12C69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77853042">
            <w:pPr>
              <w:spacing w:line="44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rPr>
              <w:t>（三）进口产品说明</w:t>
            </w:r>
          </w:p>
        </w:tc>
      </w:tr>
      <w:tr w14:paraId="0155B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24F7933B">
            <w:pPr>
              <w:spacing w:line="44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进口产品说明</w:t>
            </w:r>
          </w:p>
        </w:tc>
        <w:tc>
          <w:tcPr>
            <w:tcW w:w="7578" w:type="dxa"/>
            <w:gridSpan w:val="2"/>
            <w:tcBorders>
              <w:top w:val="single" w:color="auto" w:sz="4" w:space="0"/>
              <w:left w:val="single" w:color="auto" w:sz="4" w:space="0"/>
              <w:bottom w:val="single" w:color="auto" w:sz="4" w:space="0"/>
              <w:right w:val="single" w:color="auto" w:sz="4" w:space="0"/>
            </w:tcBorders>
            <w:vAlign w:val="top"/>
          </w:tcPr>
          <w:p w14:paraId="582B39EB">
            <w:pPr>
              <w:spacing w:line="440" w:lineRule="exact"/>
              <w:rPr>
                <w:rFonts w:hint="eastAsia" w:asciiTheme="majorEastAsia" w:hAnsiTheme="majorEastAsia" w:eastAsiaTheme="majorEastAsia" w:cstheme="majorEastAsia"/>
                <w:szCs w:val="21"/>
              </w:rPr>
            </w:pPr>
            <w:r>
              <w:rPr>
                <w:rFonts w:hint="eastAsia" w:ascii="宋体" w:hAnsi="宋体" w:cs="宋体"/>
                <w:szCs w:val="21"/>
                <w:lang w:val="en-US" w:eastAsia="zh-CN"/>
              </w:rPr>
              <w:t>无</w:t>
            </w:r>
          </w:p>
        </w:tc>
      </w:tr>
      <w:tr w14:paraId="28836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78EEB299">
            <w:pPr>
              <w:spacing w:line="44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（四）其他要求</w:t>
            </w:r>
          </w:p>
        </w:tc>
      </w:tr>
      <w:tr w14:paraId="01DE0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B54FC90">
            <w:pPr>
              <w:widowControl/>
              <w:spacing w:line="440" w:lineRule="exact"/>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其他要求</w:t>
            </w:r>
          </w:p>
        </w:tc>
        <w:tc>
          <w:tcPr>
            <w:tcW w:w="7578" w:type="dxa"/>
            <w:gridSpan w:val="2"/>
            <w:tcBorders>
              <w:top w:val="single" w:color="auto" w:sz="4" w:space="0"/>
              <w:left w:val="single" w:color="auto" w:sz="4" w:space="0"/>
              <w:bottom w:val="single" w:color="auto" w:sz="4" w:space="0"/>
              <w:right w:val="single" w:color="auto" w:sz="4" w:space="0"/>
            </w:tcBorders>
            <w:vAlign w:val="center"/>
          </w:tcPr>
          <w:p w14:paraId="3AD1EACF">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w:t>
            </w:r>
            <w:r>
              <w:rPr>
                <w:rFonts w:hint="eastAsia" w:eastAsiaTheme="majorEastAsia"/>
              </w:rPr>
              <w:t>投</w:t>
            </w:r>
            <w:r>
              <w:rPr>
                <w:rFonts w:hint="eastAsia"/>
              </w:rPr>
              <w:t>标人按《医疗器械监督管理条例》（国务院令第</w:t>
            </w:r>
            <w:r>
              <w:rPr>
                <w:rFonts w:hint="eastAsia" w:asciiTheme="majorEastAsia" w:hAnsiTheme="majorEastAsia" w:eastAsiaTheme="majorEastAsia" w:cstheme="majorEastAsia"/>
              </w:rPr>
              <w:t>739</w:t>
            </w:r>
            <w:r>
              <w:rPr>
                <w:rFonts w:hint="eastAsia"/>
              </w:rPr>
              <w:t>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52AB7A4E">
            <w:pPr>
              <w:widowControl/>
              <w:spacing w:line="44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Cs/>
                <w:szCs w:val="21"/>
              </w:rPr>
              <w:t>2.为保证项目顺利实施，投标人可根据自身情况在投标文件中提供项目实施方案、售后服务方案和技术培训方案等内容。</w:t>
            </w:r>
          </w:p>
        </w:tc>
      </w:tr>
    </w:tbl>
    <w:p w14:paraId="7F907C29">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br w:type="page"/>
      </w:r>
    </w:p>
    <w:p w14:paraId="741C0D00">
      <w:pPr>
        <w:rPr>
          <w:rFonts w:asciiTheme="majorEastAsia" w:hAnsiTheme="majorEastAsia" w:eastAsiaTheme="majorEastAsia" w:cstheme="majorEastAsia"/>
        </w:rPr>
      </w:pPr>
    </w:p>
    <w:p w14:paraId="4E70D107">
      <w:pPr>
        <w:spacing w:line="428" w:lineRule="exact"/>
        <w:ind w:left="119"/>
        <w:rPr>
          <w:rFonts w:asciiTheme="majorEastAsia" w:hAnsiTheme="majorEastAsia" w:eastAsiaTheme="majorEastAsia" w:cstheme="majorEastAsia"/>
          <w:sz w:val="36"/>
          <w:szCs w:val="36"/>
        </w:rPr>
      </w:pPr>
      <w:r>
        <w:rPr>
          <w:rFonts w:hint="eastAsia" w:asciiTheme="majorEastAsia" w:hAnsiTheme="majorEastAsia" w:eastAsiaTheme="majorEastAsia" w:cstheme="majorEastAsia"/>
          <w:kern w:val="0"/>
          <w:sz w:val="22"/>
          <w:szCs w:val="22"/>
        </w:rPr>
        <w:t>附件1：</w:t>
      </w:r>
    </w:p>
    <w:p w14:paraId="267C444E">
      <w:pPr>
        <w:spacing w:before="7"/>
        <w:rPr>
          <w:rFonts w:asciiTheme="majorEastAsia" w:hAnsiTheme="majorEastAsia" w:eastAsiaTheme="majorEastAsia" w:cstheme="majorEastAsia"/>
          <w:sz w:val="17"/>
          <w:szCs w:val="17"/>
        </w:rPr>
      </w:pPr>
    </w:p>
    <w:p w14:paraId="53A57729">
      <w:pPr>
        <w:spacing w:line="528" w:lineRule="exact"/>
        <w:ind w:left="1871"/>
        <w:rPr>
          <w:rFonts w:asciiTheme="majorEastAsia" w:hAnsiTheme="majorEastAsia" w:eastAsiaTheme="majorEastAsia" w:cstheme="majorEastAsia"/>
          <w:sz w:val="40"/>
          <w:szCs w:val="40"/>
        </w:rPr>
      </w:pPr>
      <w:r>
        <w:rPr>
          <w:rFonts w:hint="eastAsia" w:asciiTheme="majorEastAsia" w:hAnsiTheme="majorEastAsia" w:eastAsiaTheme="majorEastAsia" w:cstheme="majorEastAsia"/>
          <w:sz w:val="44"/>
          <w:szCs w:val="44"/>
        </w:rPr>
        <w:t>节能产品政府采购品目清单</w:t>
      </w:r>
    </w:p>
    <w:tbl>
      <w:tblPr>
        <w:tblStyle w:val="4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73"/>
        <w:gridCol w:w="3566"/>
      </w:tblGrid>
      <w:tr w14:paraId="0178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E467C3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品目序号</w:t>
            </w:r>
          </w:p>
        </w:tc>
        <w:tc>
          <w:tcPr>
            <w:tcW w:w="4291" w:type="dxa"/>
            <w:gridSpan w:val="3"/>
            <w:tcBorders>
              <w:top w:val="single" w:color="000000" w:sz="4" w:space="0"/>
              <w:left w:val="single" w:color="000000" w:sz="4" w:space="0"/>
              <w:bottom w:val="single" w:color="000000" w:sz="4" w:space="0"/>
              <w:right w:val="single" w:color="000000" w:sz="4" w:space="0"/>
            </w:tcBorders>
            <w:vAlign w:val="center"/>
          </w:tcPr>
          <w:p w14:paraId="403EAF0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名称</w:t>
            </w:r>
          </w:p>
        </w:tc>
        <w:tc>
          <w:tcPr>
            <w:tcW w:w="3566" w:type="dxa"/>
            <w:tcBorders>
              <w:top w:val="single" w:color="000000" w:sz="4" w:space="0"/>
              <w:left w:val="single" w:color="000000" w:sz="4" w:space="0"/>
              <w:bottom w:val="single" w:color="000000" w:sz="4" w:space="0"/>
              <w:right w:val="single" w:color="000000" w:sz="4" w:space="0"/>
            </w:tcBorders>
            <w:vAlign w:val="center"/>
          </w:tcPr>
          <w:p w14:paraId="6745F6B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依据的标准</w:t>
            </w:r>
          </w:p>
        </w:tc>
      </w:tr>
      <w:tr w14:paraId="4C20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1F647E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CE0BA3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A02010100</w:t>
            </w:r>
            <w:r>
              <w:rPr>
                <w:rFonts w:hint="eastAsia" w:asciiTheme="majorEastAsia" w:hAnsiTheme="majorEastAsia" w:eastAsiaTheme="majorEastAsia" w:cstheme="majorEastAsia"/>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D70FFD1">
            <w:pPr>
              <w:pStyle w:val="104"/>
              <w:spacing w:before="93"/>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A02010105</w:t>
            </w:r>
            <w:r>
              <w:rPr>
                <w:rFonts w:hint="eastAsia" w:asciiTheme="majorEastAsia" w:hAnsiTheme="majorEastAsia" w:eastAsiaTheme="majorEastAsia" w:cstheme="majorEastAsia"/>
                <w:w w:val="99"/>
                <w:kern w:val="2"/>
                <w:sz w:val="21"/>
                <w:szCs w:val="21"/>
              </w:rPr>
              <w:t>台式计算机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5C9209C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216B5712">
            <w:pPr>
              <w:pStyle w:val="104"/>
              <w:spacing w:before="93"/>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332F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7CB5FB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01D0272">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4CD032">
            <w:pPr>
              <w:pStyle w:val="104"/>
              <w:spacing w:before="44"/>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A02010108</w:t>
            </w:r>
            <w:r>
              <w:rPr>
                <w:rFonts w:hint="eastAsia" w:asciiTheme="majorEastAsia" w:hAnsiTheme="majorEastAsia" w:eastAsiaTheme="majorEastAsia" w:cstheme="majorEastAsia"/>
                <w:w w:val="99"/>
                <w:kern w:val="2"/>
                <w:sz w:val="21"/>
                <w:szCs w:val="21"/>
              </w:rPr>
              <w:t>便携式计算机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5D0056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5E385F4A">
            <w:pPr>
              <w:pStyle w:val="104"/>
              <w:spacing w:before="4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3F90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703A1B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D4C384">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60CF565">
            <w:pPr>
              <w:pStyle w:val="104"/>
              <w:spacing w:before="64"/>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kern w:val="2"/>
                <w:sz w:val="21"/>
                <w:szCs w:val="21"/>
                <w:lang w:eastAsia="zh-CN"/>
              </w:rPr>
              <w:t>A02010109平板式计算机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7964A85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97CA79D">
            <w:pPr>
              <w:pStyle w:val="104"/>
              <w:spacing w:before="6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2365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C457D7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F4F923">
            <w:pPr>
              <w:pStyle w:val="104"/>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A02020000</w:t>
            </w:r>
            <w:r>
              <w:rPr>
                <w:rFonts w:hint="eastAsia" w:asciiTheme="majorEastAsia" w:hAnsiTheme="majorEastAsia" w:eastAsiaTheme="majorEastAsia" w:cstheme="majorEastAsia"/>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B7C9F6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A02021000</w:t>
            </w:r>
            <w:r>
              <w:rPr>
                <w:rFonts w:hint="eastAsia" w:asciiTheme="majorEastAsia" w:hAnsiTheme="majorEastAsia" w:eastAsiaTheme="majorEastAsia" w:cstheme="majorEastAsia"/>
                <w:szCs w:val="21"/>
                <w:shd w:val="clear" w:color="auto" w:fill="FFFFFF"/>
              </w:rPr>
              <w:t>打印机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76E2C8E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A02021001 A3黑白打印机</w:t>
            </w:r>
          </w:p>
        </w:tc>
        <w:tc>
          <w:tcPr>
            <w:tcW w:w="3566" w:type="dxa"/>
            <w:tcBorders>
              <w:top w:val="single" w:color="000000" w:sz="4" w:space="0"/>
              <w:left w:val="single" w:color="000000" w:sz="4" w:space="0"/>
              <w:bottom w:val="single" w:color="000000" w:sz="4" w:space="0"/>
              <w:right w:val="single" w:color="000000" w:sz="4" w:space="0"/>
            </w:tcBorders>
          </w:tcPr>
          <w:p w14:paraId="767A56C8">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1AF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7C4DD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709F32A">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A69EA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4BD444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A02021002 A3彩色打印机</w:t>
            </w:r>
          </w:p>
        </w:tc>
        <w:tc>
          <w:tcPr>
            <w:tcW w:w="3566" w:type="dxa"/>
            <w:tcBorders>
              <w:top w:val="single" w:color="000000" w:sz="4" w:space="0"/>
              <w:left w:val="single" w:color="000000" w:sz="4" w:space="0"/>
              <w:bottom w:val="single" w:color="000000" w:sz="4" w:space="0"/>
              <w:right w:val="single" w:color="000000" w:sz="4" w:space="0"/>
            </w:tcBorders>
          </w:tcPr>
          <w:p w14:paraId="796A54AB">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9B8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67CB7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08A010">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1C3DDE">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73DE14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A02021003 A4黑白打印机</w:t>
            </w:r>
          </w:p>
        </w:tc>
        <w:tc>
          <w:tcPr>
            <w:tcW w:w="3566" w:type="dxa"/>
            <w:tcBorders>
              <w:top w:val="single" w:color="000000" w:sz="4" w:space="0"/>
              <w:left w:val="single" w:color="000000" w:sz="4" w:space="0"/>
              <w:bottom w:val="single" w:color="000000" w:sz="4" w:space="0"/>
              <w:right w:val="single" w:color="000000" w:sz="4" w:space="0"/>
            </w:tcBorders>
          </w:tcPr>
          <w:p w14:paraId="52CCFBD5">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4A32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1E168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E8F931C">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67803B">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49791B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A02021004 A4彩色打印机</w:t>
            </w:r>
          </w:p>
        </w:tc>
        <w:tc>
          <w:tcPr>
            <w:tcW w:w="3566" w:type="dxa"/>
            <w:tcBorders>
              <w:top w:val="single" w:color="000000" w:sz="4" w:space="0"/>
              <w:left w:val="single" w:color="000000" w:sz="4" w:space="0"/>
              <w:bottom w:val="single" w:color="000000" w:sz="4" w:space="0"/>
              <w:right w:val="single" w:color="000000" w:sz="4" w:space="0"/>
            </w:tcBorders>
          </w:tcPr>
          <w:p w14:paraId="4EE12C7F">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ABE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941BE4">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199CA9">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9ED42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551528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A02021005 3D打印机</w:t>
            </w:r>
          </w:p>
        </w:tc>
        <w:tc>
          <w:tcPr>
            <w:tcW w:w="3566" w:type="dxa"/>
            <w:tcBorders>
              <w:top w:val="single" w:color="000000" w:sz="4" w:space="0"/>
              <w:left w:val="single" w:color="000000" w:sz="4" w:space="0"/>
              <w:bottom w:val="single" w:color="000000" w:sz="4" w:space="0"/>
              <w:right w:val="single" w:color="000000" w:sz="4" w:space="0"/>
            </w:tcBorders>
          </w:tcPr>
          <w:p w14:paraId="22DA16F3">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FEF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78677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9E2EB8F">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334DA0A">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F365E4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A02021006票据打印机</w:t>
            </w:r>
          </w:p>
        </w:tc>
        <w:tc>
          <w:tcPr>
            <w:tcW w:w="3566" w:type="dxa"/>
            <w:tcBorders>
              <w:top w:val="single" w:color="000000" w:sz="4" w:space="0"/>
              <w:left w:val="single" w:color="000000" w:sz="4" w:space="0"/>
              <w:bottom w:val="single" w:color="000000" w:sz="4" w:space="0"/>
              <w:right w:val="single" w:color="000000" w:sz="4" w:space="0"/>
            </w:tcBorders>
          </w:tcPr>
          <w:p w14:paraId="593EE01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E1D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E706597">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F7229E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79C21C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D58273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A02021007条码打印机</w:t>
            </w:r>
          </w:p>
        </w:tc>
        <w:tc>
          <w:tcPr>
            <w:tcW w:w="3566" w:type="dxa"/>
            <w:tcBorders>
              <w:top w:val="single" w:color="000000" w:sz="4" w:space="0"/>
              <w:left w:val="single" w:color="000000" w:sz="4" w:space="0"/>
              <w:bottom w:val="single" w:color="000000" w:sz="4" w:space="0"/>
              <w:right w:val="single" w:color="000000" w:sz="4" w:space="0"/>
            </w:tcBorders>
          </w:tcPr>
          <w:p w14:paraId="5B879AE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3C6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A30CA1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499B448">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909531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3875CF3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A02021008地址打印机</w:t>
            </w:r>
          </w:p>
        </w:tc>
        <w:tc>
          <w:tcPr>
            <w:tcW w:w="3566" w:type="dxa"/>
            <w:tcBorders>
              <w:top w:val="single" w:color="000000" w:sz="4" w:space="0"/>
              <w:left w:val="single" w:color="000000" w:sz="4" w:space="0"/>
              <w:bottom w:val="single" w:color="000000" w:sz="4" w:space="0"/>
              <w:right w:val="single" w:color="000000" w:sz="4" w:space="0"/>
            </w:tcBorders>
          </w:tcPr>
          <w:p w14:paraId="0C567F4C">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5E8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99041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85F4D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0566A4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E894FE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A02021099其他打印机</w:t>
            </w:r>
          </w:p>
        </w:tc>
        <w:tc>
          <w:tcPr>
            <w:tcW w:w="3566" w:type="dxa"/>
            <w:tcBorders>
              <w:top w:val="single" w:color="000000" w:sz="4" w:space="0"/>
              <w:left w:val="single" w:color="000000" w:sz="4" w:space="0"/>
              <w:bottom w:val="single" w:color="000000" w:sz="4" w:space="0"/>
              <w:right w:val="single" w:color="000000" w:sz="4" w:space="0"/>
            </w:tcBorders>
          </w:tcPr>
          <w:p w14:paraId="4E849BA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B9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34AC9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27F71B">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552E3D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A02021100输入输出设备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6305AE4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zCs w:val="21"/>
              </w:rPr>
              <w:t>A02021104液晶显示器</w:t>
            </w:r>
          </w:p>
        </w:tc>
        <w:tc>
          <w:tcPr>
            <w:tcW w:w="3566" w:type="dxa"/>
            <w:tcBorders>
              <w:top w:val="single" w:color="000000" w:sz="4" w:space="0"/>
              <w:left w:val="single" w:color="000000" w:sz="4" w:space="0"/>
              <w:bottom w:val="single" w:color="000000" w:sz="4" w:space="0"/>
              <w:right w:val="single" w:color="000000" w:sz="4" w:space="0"/>
            </w:tcBorders>
            <w:vAlign w:val="center"/>
          </w:tcPr>
          <w:p w14:paraId="7F428DA7">
            <w:pP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2"/>
                <w:w w:val="99"/>
                <w:szCs w:val="21"/>
              </w:rPr>
              <w:t>《计算机显示器能效限</w:t>
            </w:r>
            <w:r>
              <w:rPr>
                <w:rFonts w:hint="eastAsia" w:asciiTheme="majorEastAsia" w:hAnsiTheme="majorEastAsia" w:eastAsiaTheme="majorEastAsia" w:cstheme="majorEastAsia"/>
                <w:spacing w:val="9"/>
                <w:w w:val="99"/>
                <w:szCs w:val="21"/>
              </w:rPr>
              <w:t>定</w:t>
            </w:r>
            <w:r>
              <w:rPr>
                <w:rFonts w:hint="eastAsia" w:asciiTheme="majorEastAsia" w:hAnsiTheme="majorEastAsia" w:eastAsiaTheme="majorEastAsia" w:cstheme="majorEastAsia"/>
                <w:spacing w:val="12"/>
                <w:w w:val="99"/>
                <w:szCs w:val="21"/>
              </w:rPr>
              <w:t>值及</w:t>
            </w:r>
            <w:r>
              <w:rPr>
                <w:rFonts w:hint="eastAsia" w:asciiTheme="majorEastAsia" w:hAnsiTheme="majorEastAsia" w:eastAsiaTheme="majorEastAsia" w:cstheme="majorEastAsia"/>
                <w:w w:val="99"/>
                <w:szCs w:val="21"/>
              </w:rPr>
              <w:t>能效等级</w:t>
            </w:r>
            <w:r>
              <w:rPr>
                <w:rFonts w:hint="eastAsia" w:asciiTheme="majorEastAsia" w:hAnsiTheme="majorEastAsia" w:eastAsiaTheme="majorEastAsia" w:cstheme="majorEastAsia"/>
                <w:spacing w:val="2"/>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0</w:t>
            </w:r>
            <w:r>
              <w:rPr>
                <w:rFonts w:hint="eastAsia" w:asciiTheme="majorEastAsia" w:hAnsiTheme="majorEastAsia" w:eastAsiaTheme="majorEastAsia" w:cstheme="majorEastAsia"/>
                <w:w w:val="99"/>
                <w:szCs w:val="21"/>
              </w:rPr>
              <w:t>）</w:t>
            </w:r>
          </w:p>
        </w:tc>
      </w:tr>
      <w:tr w14:paraId="6381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E27B5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0AF845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8433C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AE7113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A02021118扫描仪</w:t>
            </w:r>
          </w:p>
        </w:tc>
        <w:tc>
          <w:tcPr>
            <w:tcW w:w="3566" w:type="dxa"/>
            <w:tcBorders>
              <w:top w:val="single" w:color="000000" w:sz="4" w:space="0"/>
              <w:left w:val="single" w:color="000000" w:sz="4" w:space="0"/>
              <w:bottom w:val="single" w:color="000000" w:sz="4" w:space="0"/>
              <w:right w:val="single" w:color="000000" w:sz="4" w:space="0"/>
            </w:tcBorders>
            <w:vAlign w:val="center"/>
          </w:tcPr>
          <w:p w14:paraId="360C3E0F">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参</w:t>
            </w:r>
            <w:r>
              <w:rPr>
                <w:rFonts w:hint="eastAsia" w:asciiTheme="majorEastAsia" w:hAnsiTheme="majorEastAsia" w:eastAsiaTheme="majorEastAsia" w:cstheme="majorEastAsia"/>
                <w:spacing w:val="-29"/>
                <w:w w:val="99"/>
                <w:szCs w:val="21"/>
              </w:rPr>
              <w:t>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2"/>
                <w:w w:val="99"/>
                <w:szCs w:val="21"/>
              </w:rPr>
              <w:t>复</w:t>
            </w:r>
            <w:r>
              <w:rPr>
                <w:rFonts w:hint="eastAsia" w:asciiTheme="majorEastAsia" w:hAnsiTheme="majorEastAsia" w:eastAsiaTheme="majorEastAsia" w:cstheme="majorEastAsia"/>
                <w:w w:val="99"/>
                <w:szCs w:val="21"/>
              </w:rPr>
              <w:t>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29"/>
                <w:w w:val="99"/>
                <w:szCs w:val="21"/>
              </w:rPr>
              <w:t>、</w:t>
            </w:r>
            <w:r>
              <w:rPr>
                <w:rFonts w:hint="eastAsia" w:asciiTheme="majorEastAsia" w:hAnsiTheme="majorEastAsia" w:eastAsiaTheme="majorEastAsia" w:cstheme="majorEastAsia"/>
                <w:w w:val="99"/>
                <w:szCs w:val="21"/>
              </w:rPr>
              <w:t>打</w:t>
            </w:r>
            <w:r>
              <w:rPr>
                <w:rFonts w:hint="eastAsia" w:asciiTheme="majorEastAsia" w:hAnsiTheme="majorEastAsia" w:eastAsiaTheme="majorEastAsia" w:cstheme="majorEastAsia"/>
                <w:spacing w:val="2"/>
                <w:w w:val="99"/>
                <w:szCs w:val="21"/>
              </w:rPr>
              <w:t>印</w:t>
            </w:r>
            <w:r>
              <w:rPr>
                <w:rFonts w:hint="eastAsia" w:asciiTheme="majorEastAsia" w:hAnsiTheme="majorEastAsia" w:eastAsiaTheme="majorEastAsia" w:cstheme="majorEastAsia"/>
                <w:w w:val="99"/>
                <w:szCs w:val="21"/>
              </w:rPr>
              <w:t>机和</w:t>
            </w:r>
            <w:r>
              <w:rPr>
                <w:rFonts w:hint="eastAsia" w:asciiTheme="majorEastAsia" w:hAnsiTheme="majorEastAsia" w:eastAsiaTheme="majorEastAsia" w:cstheme="majorEastAsia"/>
                <w:spacing w:val="2"/>
                <w:w w:val="99"/>
                <w:szCs w:val="21"/>
              </w:rPr>
              <w:t>传</w:t>
            </w:r>
            <w:r>
              <w:rPr>
                <w:rFonts w:hint="eastAsia" w:asciiTheme="majorEastAsia" w:hAnsiTheme="majorEastAsia" w:eastAsiaTheme="majorEastAsia" w:cstheme="majorEastAsia"/>
                <w:w w:val="99"/>
                <w:szCs w:val="21"/>
              </w:rPr>
              <w:t>真机能效限定</w:t>
            </w:r>
            <w:r>
              <w:rPr>
                <w:rFonts w:hint="eastAsia" w:asciiTheme="majorEastAsia" w:hAnsiTheme="majorEastAsia" w:eastAsiaTheme="majorEastAsia" w:cstheme="majorEastAsia"/>
                <w:spacing w:val="2"/>
                <w:w w:val="99"/>
                <w:szCs w:val="21"/>
              </w:rPr>
              <w:t>值</w:t>
            </w:r>
            <w:r>
              <w:rPr>
                <w:rFonts w:hint="eastAsia" w:asciiTheme="majorEastAsia" w:hAnsiTheme="majorEastAsia" w:eastAsiaTheme="majorEastAsia" w:cstheme="majorEastAsia"/>
                <w:w w:val="99"/>
                <w:szCs w:val="21"/>
              </w:rPr>
              <w:t>及能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06"/>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2152</w:t>
            </w:r>
            <w:r>
              <w:rPr>
                <w:rFonts w:hint="eastAsia" w:asciiTheme="majorEastAsia" w:hAnsiTheme="majorEastAsia" w:eastAsiaTheme="majorEastAsia" w:cstheme="majorEastAsia"/>
                <w:w w:val="99"/>
                <w:szCs w:val="21"/>
              </w:rPr>
              <w:t>1）</w:t>
            </w:r>
            <w:r>
              <w:rPr>
                <w:rFonts w:hint="eastAsia" w:asciiTheme="majorEastAsia" w:hAnsiTheme="majorEastAsia" w:eastAsiaTheme="majorEastAsia" w:cstheme="majorEastAsia"/>
                <w:spacing w:val="2"/>
                <w:w w:val="99"/>
                <w:szCs w:val="21"/>
              </w:rPr>
              <w:t>中</w:t>
            </w:r>
            <w:r>
              <w:rPr>
                <w:rFonts w:hint="eastAsia" w:asciiTheme="majorEastAsia" w:hAnsiTheme="majorEastAsia" w:eastAsiaTheme="majorEastAsia" w:cstheme="majorEastAsia"/>
                <w:spacing w:val="4"/>
                <w:w w:val="99"/>
                <w:szCs w:val="21"/>
              </w:rPr>
              <w:t>打印速</w:t>
            </w:r>
            <w:r>
              <w:rPr>
                <w:rFonts w:hint="eastAsia" w:asciiTheme="majorEastAsia" w:hAnsiTheme="majorEastAsia" w:eastAsiaTheme="majorEastAsia" w:cstheme="majorEastAsia"/>
                <w:spacing w:val="2"/>
                <w:w w:val="99"/>
                <w:szCs w:val="21"/>
              </w:rPr>
              <w:t>度</w:t>
            </w:r>
            <w:r>
              <w:rPr>
                <w:rFonts w:hint="eastAsia" w:asciiTheme="majorEastAsia" w:hAnsiTheme="majorEastAsia" w:eastAsiaTheme="majorEastAsia" w:cstheme="majorEastAsia"/>
                <w:w w:val="99"/>
                <w:szCs w:val="21"/>
              </w:rPr>
              <w:t>为</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5</w:t>
            </w:r>
            <w:r>
              <w:rPr>
                <w:rFonts w:hint="eastAsia" w:asciiTheme="majorEastAsia" w:hAnsiTheme="majorEastAsia" w:eastAsiaTheme="majorEastAsia" w:cstheme="majorEastAsia"/>
                <w:spacing w:val="2"/>
                <w:w w:val="99"/>
                <w:szCs w:val="21"/>
              </w:rPr>
              <w:t>页</w:t>
            </w:r>
            <w:r>
              <w:rPr>
                <w:rFonts w:hint="eastAsia" w:asciiTheme="majorEastAsia" w:hAnsiTheme="majorEastAsia" w:eastAsiaTheme="majorEastAsia" w:cstheme="majorEastAsia"/>
                <w:spacing w:val="5"/>
                <w:w w:val="99"/>
                <w:szCs w:val="21"/>
              </w:rPr>
              <w:t>/</w:t>
            </w:r>
            <w:r>
              <w:rPr>
                <w:rFonts w:hint="eastAsia" w:asciiTheme="majorEastAsia" w:hAnsiTheme="majorEastAsia" w:eastAsiaTheme="majorEastAsia" w:cstheme="majorEastAsia"/>
                <w:spacing w:val="4"/>
                <w:w w:val="99"/>
                <w:szCs w:val="21"/>
              </w:rPr>
              <w:t>分的</w:t>
            </w:r>
            <w:r>
              <w:rPr>
                <w:rFonts w:hint="eastAsia" w:asciiTheme="majorEastAsia" w:hAnsiTheme="majorEastAsia" w:eastAsiaTheme="majorEastAsia" w:cstheme="majorEastAsia"/>
                <w:spacing w:val="2"/>
                <w:w w:val="99"/>
                <w:szCs w:val="21"/>
              </w:rPr>
              <w:t>针</w:t>
            </w:r>
            <w:r>
              <w:rPr>
                <w:rFonts w:hint="eastAsia" w:asciiTheme="majorEastAsia" w:hAnsiTheme="majorEastAsia" w:eastAsiaTheme="majorEastAsia" w:cstheme="majorEastAsia"/>
                <w:spacing w:val="4"/>
                <w:w w:val="99"/>
                <w:szCs w:val="21"/>
              </w:rPr>
              <w:t>式</w:t>
            </w:r>
            <w:r>
              <w:rPr>
                <w:rFonts w:hint="eastAsia" w:asciiTheme="majorEastAsia" w:hAnsiTheme="majorEastAsia" w:eastAsiaTheme="majorEastAsia" w:cstheme="majorEastAsia"/>
                <w:w w:val="99"/>
                <w:szCs w:val="21"/>
              </w:rPr>
              <w:t>打印机相</w:t>
            </w:r>
            <w:r>
              <w:rPr>
                <w:rFonts w:hint="eastAsia" w:asciiTheme="majorEastAsia" w:hAnsiTheme="majorEastAsia" w:eastAsiaTheme="majorEastAsia" w:cstheme="majorEastAsia"/>
                <w:spacing w:val="2"/>
                <w:w w:val="99"/>
                <w:szCs w:val="21"/>
              </w:rPr>
              <w:t>关</w:t>
            </w:r>
            <w:r>
              <w:rPr>
                <w:rFonts w:hint="eastAsia" w:asciiTheme="majorEastAsia" w:hAnsiTheme="majorEastAsia" w:eastAsiaTheme="majorEastAsia" w:cstheme="majorEastAsia"/>
                <w:w w:val="99"/>
                <w:szCs w:val="21"/>
              </w:rPr>
              <w:t>要求</w:t>
            </w:r>
          </w:p>
        </w:tc>
      </w:tr>
      <w:tr w14:paraId="371F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E12C87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301BAF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2F929DB">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B44DFDA">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34F0B4C3">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《投影</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w:t>
            </w:r>
            <w:r>
              <w:rPr>
                <w:rFonts w:hint="eastAsia" w:asciiTheme="majorEastAsia" w:hAnsiTheme="majorEastAsia" w:eastAsiaTheme="majorEastAsia" w:cstheme="majorEastAsia"/>
                <w:spacing w:val="2"/>
                <w:w w:val="99"/>
                <w:szCs w:val="21"/>
              </w:rPr>
              <w:t>限</w:t>
            </w:r>
            <w:r>
              <w:rPr>
                <w:rFonts w:hint="eastAsia" w:asciiTheme="majorEastAsia" w:hAnsiTheme="majorEastAsia" w:eastAsiaTheme="majorEastAsia" w:cstheme="majorEastAsia"/>
                <w:w w:val="99"/>
                <w:szCs w:val="21"/>
              </w:rPr>
              <w:t>定值</w:t>
            </w:r>
            <w:r>
              <w:rPr>
                <w:rFonts w:hint="eastAsia" w:asciiTheme="majorEastAsia" w:hAnsiTheme="majorEastAsia" w:eastAsiaTheme="majorEastAsia" w:cstheme="majorEastAsia"/>
                <w:spacing w:val="2"/>
                <w:w w:val="99"/>
                <w:szCs w:val="21"/>
              </w:rPr>
              <w:t>及</w:t>
            </w:r>
            <w:r>
              <w:rPr>
                <w:rFonts w:hint="eastAsia" w:asciiTheme="majorEastAsia" w:hAnsiTheme="majorEastAsia" w:eastAsiaTheme="majorEastAsia" w:cstheme="majorEastAsia"/>
                <w:w w:val="99"/>
                <w:szCs w:val="21"/>
              </w:rPr>
              <w:t>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3</w:t>
            </w:r>
            <w:r>
              <w:rPr>
                <w:rFonts w:hint="eastAsia" w:asciiTheme="majorEastAsia" w:hAnsiTheme="majorEastAsia" w:eastAsiaTheme="majorEastAsia" w:cstheme="majorEastAsia"/>
                <w:w w:val="99"/>
                <w:szCs w:val="21"/>
              </w:rPr>
              <w:t>20</w:t>
            </w:r>
            <w:r>
              <w:rPr>
                <w:rFonts w:hint="eastAsia" w:asciiTheme="majorEastAsia" w:hAnsiTheme="majorEastAsia" w:eastAsiaTheme="majorEastAsia" w:cstheme="majorEastAsia"/>
                <w:spacing w:val="1"/>
                <w:w w:val="99"/>
                <w:szCs w:val="21"/>
              </w:rPr>
              <w:t>28</w:t>
            </w:r>
            <w:r>
              <w:rPr>
                <w:rFonts w:hint="eastAsia" w:asciiTheme="majorEastAsia" w:hAnsiTheme="majorEastAsia" w:eastAsiaTheme="majorEastAsia" w:cstheme="majorEastAsia"/>
                <w:w w:val="99"/>
                <w:szCs w:val="21"/>
              </w:rPr>
              <w:t>）</w:t>
            </w:r>
          </w:p>
        </w:tc>
      </w:tr>
      <w:tr w14:paraId="344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23036A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377F5D9">
            <w:pPr>
              <w:pStyle w:val="104"/>
              <w:spacing w:before="6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A02020400</w:t>
            </w:r>
            <w:r>
              <w:rPr>
                <w:rFonts w:hint="eastAsia" w:asciiTheme="majorEastAsia" w:hAnsiTheme="majorEastAsia" w:eastAsiaTheme="majorEastAsia" w:cstheme="majorEastAsia"/>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120E0EE">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41E21F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5C156026">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《复印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58"/>
                <w:w w:val="99"/>
                <w:szCs w:val="21"/>
              </w:rPr>
              <w:t>、</w:t>
            </w:r>
            <w:r>
              <w:rPr>
                <w:rFonts w:hint="eastAsia" w:asciiTheme="majorEastAsia" w:hAnsiTheme="majorEastAsia" w:eastAsiaTheme="majorEastAsia" w:cstheme="majorEastAsia"/>
                <w:spacing w:val="2"/>
                <w:w w:val="99"/>
                <w:szCs w:val="21"/>
              </w:rPr>
              <w:t>打</w:t>
            </w:r>
            <w:r>
              <w:rPr>
                <w:rFonts w:hint="eastAsia" w:asciiTheme="majorEastAsia" w:hAnsiTheme="majorEastAsia" w:eastAsiaTheme="majorEastAsia" w:cstheme="majorEastAsia"/>
                <w:w w:val="99"/>
                <w:szCs w:val="21"/>
              </w:rPr>
              <w:t>印机</w:t>
            </w:r>
            <w:r>
              <w:rPr>
                <w:rFonts w:hint="eastAsia" w:asciiTheme="majorEastAsia" w:hAnsiTheme="majorEastAsia" w:eastAsiaTheme="majorEastAsia" w:cstheme="majorEastAsia"/>
                <w:spacing w:val="2"/>
                <w:w w:val="99"/>
                <w:szCs w:val="21"/>
              </w:rPr>
              <w:t>和</w:t>
            </w:r>
            <w:r>
              <w:rPr>
                <w:rFonts w:hint="eastAsia" w:asciiTheme="majorEastAsia" w:hAnsiTheme="majorEastAsia" w:eastAsiaTheme="majorEastAsia" w:cstheme="majorEastAsia"/>
                <w:w w:val="99"/>
                <w:szCs w:val="21"/>
              </w:rPr>
              <w:t>传真</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能效限定值及</w:t>
            </w:r>
            <w:r>
              <w:rPr>
                <w:rFonts w:hint="eastAsia" w:asciiTheme="majorEastAsia" w:hAnsiTheme="majorEastAsia" w:eastAsiaTheme="majorEastAsia" w:cstheme="majorEastAsia"/>
                <w:spacing w:val="2"/>
                <w:w w:val="99"/>
                <w:szCs w:val="21"/>
              </w:rPr>
              <w:t>能</w:t>
            </w:r>
            <w:r>
              <w:rPr>
                <w:rFonts w:hint="eastAsia" w:asciiTheme="majorEastAsia" w:hAnsiTheme="majorEastAsia" w:eastAsiaTheme="majorEastAsia" w:cstheme="majorEastAsia"/>
                <w:w w:val="99"/>
                <w:szCs w:val="21"/>
              </w:rPr>
              <w:t>效等</w:t>
            </w:r>
            <w:r>
              <w:rPr>
                <w:rFonts w:hint="eastAsia" w:asciiTheme="majorEastAsia" w:hAnsiTheme="majorEastAsia" w:eastAsiaTheme="majorEastAsia" w:cstheme="majorEastAsia"/>
                <w:spacing w:val="2"/>
                <w:w w:val="99"/>
                <w:szCs w:val="21"/>
              </w:rPr>
              <w:t>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w:t>
            </w:r>
          </w:p>
        </w:tc>
      </w:tr>
      <w:tr w14:paraId="5186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DF5E16">
            <w:pPr>
              <w:pStyle w:val="104"/>
              <w:spacing w:before="160"/>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D26F5C1">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A02051900</w:t>
            </w:r>
            <w:r>
              <w:rPr>
                <w:rFonts w:hint="eastAsia" w:asciiTheme="majorEastAsia" w:hAnsiTheme="majorEastAsia" w:eastAsiaTheme="majorEastAsia" w:cstheme="majorEastAsia"/>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C69F712">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05</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901离心泵</w:t>
            </w:r>
          </w:p>
        </w:tc>
        <w:tc>
          <w:tcPr>
            <w:tcW w:w="1373" w:type="dxa"/>
            <w:tcBorders>
              <w:top w:val="single" w:color="000000" w:sz="4" w:space="0"/>
              <w:left w:val="single" w:color="000000" w:sz="4" w:space="0"/>
              <w:bottom w:val="single" w:color="000000" w:sz="4" w:space="0"/>
              <w:right w:val="single" w:color="000000" w:sz="4" w:space="0"/>
            </w:tcBorders>
            <w:vAlign w:val="center"/>
          </w:tcPr>
          <w:p w14:paraId="4286B2EF">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7A2B8FF">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《清水离心泵能效限定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及节</w:t>
            </w:r>
            <w:r>
              <w:rPr>
                <w:rFonts w:hint="eastAsia" w:asciiTheme="majorEastAsia" w:hAnsiTheme="majorEastAsia" w:eastAsiaTheme="majorEastAsia" w:cstheme="majorEastAsia"/>
                <w:w w:val="99"/>
                <w:kern w:val="2"/>
                <w:sz w:val="21"/>
                <w:szCs w:val="21"/>
                <w:lang w:eastAsia="zh-CN"/>
              </w:rPr>
              <w:t>能评价值</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76</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w:t>
            </w:r>
          </w:p>
        </w:tc>
      </w:tr>
      <w:tr w14:paraId="19F6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D95589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45BA3B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A02052300</w:t>
            </w:r>
            <w:r>
              <w:rPr>
                <w:rFonts w:hint="eastAsia" w:asciiTheme="majorEastAsia" w:hAnsiTheme="majorEastAsia" w:eastAsiaTheme="majorEastAsia" w:cstheme="majorEastAsia"/>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92C1E7">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52</w:t>
            </w:r>
            <w:r>
              <w:rPr>
                <w:rFonts w:hint="eastAsia" w:asciiTheme="majorEastAsia" w:hAnsiTheme="majorEastAsia" w:eastAsiaTheme="majorEastAsia" w:cstheme="majorEastAsia"/>
                <w:spacing w:val="1"/>
                <w:w w:val="99"/>
                <w:kern w:val="2"/>
                <w:sz w:val="21"/>
                <w:szCs w:val="21"/>
              </w:rPr>
              <w:t>3</w:t>
            </w:r>
            <w:r>
              <w:rPr>
                <w:rFonts w:hint="eastAsia" w:asciiTheme="majorEastAsia" w:hAnsiTheme="majorEastAsia" w:eastAsiaTheme="majorEastAsia" w:cstheme="majorEastAsia"/>
                <w:w w:val="99"/>
                <w:kern w:val="2"/>
                <w:sz w:val="21"/>
                <w:szCs w:val="21"/>
              </w:rPr>
              <w:t>01制冷压缩机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0F24BF12">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冷水机组</w:t>
            </w:r>
          </w:p>
        </w:tc>
        <w:tc>
          <w:tcPr>
            <w:tcW w:w="3566" w:type="dxa"/>
            <w:tcBorders>
              <w:top w:val="single" w:color="000000" w:sz="4" w:space="0"/>
              <w:left w:val="single" w:color="000000" w:sz="4" w:space="0"/>
              <w:bottom w:val="single" w:color="000000" w:sz="4" w:space="0"/>
              <w:right w:val="single" w:color="000000" w:sz="4" w:space="0"/>
            </w:tcBorders>
          </w:tcPr>
          <w:p w14:paraId="51CD132B">
            <w:pPr>
              <w:pStyle w:val="104"/>
              <w:spacing w:before="30" w:line="276" w:lineRule="auto"/>
              <w:ind w:left="7" w:right="4"/>
              <w:jc w:val="both"/>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《冷水机组能效限定值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195</w:t>
            </w:r>
            <w:r>
              <w:rPr>
                <w:rFonts w:hint="eastAsia" w:asciiTheme="majorEastAsia" w:hAnsiTheme="majorEastAsia" w:eastAsiaTheme="majorEastAsia" w:cstheme="majorEastAsia"/>
                <w:w w:val="99"/>
                <w:kern w:val="2"/>
                <w:sz w:val="21"/>
                <w:szCs w:val="21"/>
                <w:lang w:eastAsia="zh-CN"/>
              </w:rPr>
              <w:t>77</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《低</w:t>
            </w:r>
            <w:r>
              <w:rPr>
                <w:rFonts w:hint="eastAsia" w:asciiTheme="majorEastAsia" w:hAnsiTheme="majorEastAsia" w:eastAsiaTheme="majorEastAsia" w:cstheme="majorEastAsia"/>
                <w:spacing w:val="2"/>
                <w:w w:val="99"/>
                <w:kern w:val="2"/>
                <w:sz w:val="21"/>
                <w:szCs w:val="21"/>
                <w:lang w:eastAsia="zh-CN"/>
              </w:rPr>
              <w:t>环</w:t>
            </w:r>
            <w:r>
              <w:rPr>
                <w:rFonts w:hint="eastAsia" w:asciiTheme="majorEastAsia" w:hAnsiTheme="majorEastAsia" w:eastAsiaTheme="majorEastAsia" w:cstheme="majorEastAsia"/>
                <w:w w:val="99"/>
                <w:kern w:val="2"/>
                <w:sz w:val="21"/>
                <w:szCs w:val="21"/>
                <w:lang w:eastAsia="zh-CN"/>
              </w:rPr>
              <w:t>境温度空气源</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spacing w:val="-29"/>
                <w:w w:val="99"/>
                <w:kern w:val="2"/>
                <w:sz w:val="21"/>
                <w:szCs w:val="21"/>
                <w:lang w:eastAsia="zh-CN"/>
              </w:rPr>
              <w:t>泵</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冷水</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机组</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效限定值及能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w:t>
            </w:r>
            <w:r>
              <w:rPr>
                <w:rFonts w:hint="eastAsia" w:asciiTheme="majorEastAsia" w:hAnsiTheme="majorEastAsia" w:eastAsiaTheme="majorEastAsia" w:cstheme="majorEastAsia"/>
                <w:w w:val="99"/>
                <w:kern w:val="2"/>
                <w:sz w:val="21"/>
                <w:szCs w:val="21"/>
                <w:lang w:eastAsia="zh-CN"/>
              </w:rPr>
              <w:t>48</w:t>
            </w:r>
            <w:r>
              <w:rPr>
                <w:rFonts w:hint="eastAsia" w:asciiTheme="majorEastAsia" w:hAnsiTheme="majorEastAsia" w:eastAsiaTheme="majorEastAsia" w:cstheme="majorEastAsia"/>
                <w:spacing w:val="-2"/>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0B7D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2B452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DE279E">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A0571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F36057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溴化锂吸收式冷水机组</w:t>
            </w:r>
          </w:p>
        </w:tc>
        <w:tc>
          <w:tcPr>
            <w:tcW w:w="3566" w:type="dxa"/>
            <w:tcBorders>
              <w:top w:val="single" w:color="000000" w:sz="4" w:space="0"/>
              <w:left w:val="single" w:color="000000" w:sz="4" w:space="0"/>
              <w:bottom w:val="single" w:color="000000" w:sz="4" w:space="0"/>
              <w:right w:val="single" w:color="000000" w:sz="4" w:space="0"/>
            </w:tcBorders>
            <w:vAlign w:val="center"/>
          </w:tcPr>
          <w:p w14:paraId="4BC0CA03">
            <w:pPr>
              <w:pStyle w:val="104"/>
              <w:spacing w:before="9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《溴化锂吸收式冷水机组能效限</w:t>
            </w:r>
          </w:p>
          <w:p w14:paraId="2C6FDCD2">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定值及能效等级》（GB29540）</w:t>
            </w:r>
          </w:p>
        </w:tc>
      </w:tr>
      <w:tr w14:paraId="5E91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321A6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9C17AA">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A2C927B">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★A02052305空调机组</w:t>
            </w:r>
          </w:p>
        </w:tc>
        <w:tc>
          <w:tcPr>
            <w:tcW w:w="1373" w:type="dxa"/>
            <w:tcBorders>
              <w:top w:val="single" w:color="000000" w:sz="4" w:space="0"/>
              <w:left w:val="single" w:color="000000" w:sz="4" w:space="0"/>
              <w:bottom w:val="single" w:color="000000" w:sz="4" w:space="0"/>
              <w:right w:val="single" w:color="000000" w:sz="4" w:space="0"/>
            </w:tcBorders>
            <w:vAlign w:val="center"/>
          </w:tcPr>
          <w:p w14:paraId="3256AADC">
            <w:pPr>
              <w:pStyle w:val="104"/>
              <w:spacing w:before="4" w:line="276" w:lineRule="auto"/>
              <w:ind w:left="7" w:righ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tcPr>
          <w:p w14:paraId="6CF1EF01">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6D84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C9540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358131">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0BC57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C324CC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w:t>
            </w:r>
          </w:p>
        </w:tc>
        <w:tc>
          <w:tcPr>
            <w:tcW w:w="3566" w:type="dxa"/>
            <w:tcBorders>
              <w:top w:val="single" w:color="000000" w:sz="4" w:space="0"/>
              <w:left w:val="single" w:color="000000" w:sz="4" w:space="0"/>
              <w:bottom w:val="single" w:color="000000" w:sz="4" w:space="0"/>
              <w:right w:val="single" w:color="000000" w:sz="4" w:space="0"/>
            </w:tcBorders>
          </w:tcPr>
          <w:p w14:paraId="343D1C0F">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《单元式空气调节机能效限定值及能效等级》（GB19576）《风管送风式空调机组能效限定值及能效等级》（GB37479）</w:t>
            </w:r>
          </w:p>
        </w:tc>
      </w:tr>
      <w:tr w14:paraId="5CF1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C334B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0A3539">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E3F9FC9">
            <w:pPr>
              <w:pStyle w:val="104"/>
              <w:spacing w:before="83"/>
              <w:ind w:lef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★A02052309专用制冷、空调设备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24812E1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机房空调</w:t>
            </w:r>
          </w:p>
        </w:tc>
        <w:tc>
          <w:tcPr>
            <w:tcW w:w="3566" w:type="dxa"/>
            <w:tcBorders>
              <w:top w:val="single" w:color="000000" w:sz="4" w:space="0"/>
              <w:left w:val="single" w:color="000000" w:sz="4" w:space="0"/>
              <w:bottom w:val="single" w:color="000000" w:sz="4" w:space="0"/>
              <w:right w:val="single" w:color="000000" w:sz="4" w:space="0"/>
            </w:tcBorders>
          </w:tcPr>
          <w:p w14:paraId="495B1B6C">
            <w:pPr>
              <w:pStyle w:val="104"/>
              <w:spacing w:before="8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w:t>
            </w:r>
          </w:p>
          <w:p w14:paraId="40E0BF66">
            <w:pPr>
              <w:pStyle w:val="104"/>
              <w:spacing w:before="83"/>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及能效等级》（GB19576）</w:t>
            </w:r>
          </w:p>
        </w:tc>
      </w:tr>
      <w:tr w14:paraId="779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7C969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F824A7">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9E68AC">
            <w:pPr>
              <w:pStyle w:val="104"/>
              <w:spacing w:line="254" w:lineRule="exact"/>
              <w:ind w:left="7"/>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A02052399其他制冷</w:t>
            </w:r>
          </w:p>
          <w:p w14:paraId="2A82F59F">
            <w:pPr>
              <w:pStyle w:val="104"/>
              <w:spacing w:line="254" w:lineRule="exact"/>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34750645">
            <w:pPr>
              <w:widowControl/>
              <w:jc w:val="center"/>
              <w:rPr>
                <w:rFonts w:asciiTheme="majorEastAsia" w:hAnsiTheme="majorEastAsia" w:eastAsiaTheme="majorEastAsia" w:cstheme="majorEastAsia"/>
                <w:szCs w:val="21"/>
                <w:lang w:eastAsia="en-US"/>
              </w:rPr>
            </w:pPr>
            <w:r>
              <w:rPr>
                <w:rFonts w:hint="eastAsia" w:asciiTheme="majorEastAsia" w:hAnsiTheme="majorEastAsia" w:eastAsiaTheme="majorEastAsia" w:cstheme="majorEastAsia"/>
                <w:w w:val="99"/>
                <w:szCs w:val="21"/>
              </w:rPr>
              <w:t>冷却塔</w:t>
            </w:r>
          </w:p>
        </w:tc>
        <w:tc>
          <w:tcPr>
            <w:tcW w:w="3566" w:type="dxa"/>
            <w:tcBorders>
              <w:top w:val="single" w:color="000000" w:sz="4" w:space="0"/>
              <w:left w:val="single" w:color="000000" w:sz="4" w:space="0"/>
              <w:bottom w:val="single" w:color="000000" w:sz="4" w:space="0"/>
              <w:right w:val="single" w:color="000000" w:sz="4" w:space="0"/>
            </w:tcBorders>
          </w:tcPr>
          <w:p w14:paraId="64D039AC">
            <w:pPr>
              <w:pStyle w:val="104"/>
              <w:spacing w:line="254" w:lineRule="exact"/>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《机械通风冷却塔第1部分：中小型开式冷却塔》（GB/T7190.1）</w:t>
            </w:r>
          </w:p>
          <w:p w14:paraId="5A70DBB7">
            <w:pPr>
              <w:pStyle w:val="104"/>
              <w:spacing w:line="254"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《机械通风冷却塔第2部分：大型开式冷却塔》（GB/T7190.2）</w:t>
            </w:r>
          </w:p>
        </w:tc>
      </w:tr>
      <w:tr w14:paraId="572C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13950D4">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78406AF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A02060100</w:t>
            </w:r>
            <w:r>
              <w:rPr>
                <w:rFonts w:hint="eastAsia" w:asciiTheme="majorEastAsia" w:hAnsiTheme="majorEastAsia" w:eastAsiaTheme="majorEastAsia" w:cstheme="majorEastAsia"/>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52C0826">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A50AEE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F1E2D04">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《中小型三相异步电动机能效限定值及能效等级》（GB18613）</w:t>
            </w:r>
          </w:p>
        </w:tc>
      </w:tr>
      <w:tr w14:paraId="3FB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A5214F3">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A19BA3D">
            <w:pPr>
              <w:pStyle w:val="104"/>
              <w:spacing w:before="3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A02060200</w:t>
            </w:r>
            <w:r>
              <w:rPr>
                <w:rFonts w:hint="eastAsia" w:asciiTheme="majorEastAsia" w:hAnsiTheme="majorEastAsia" w:eastAsiaTheme="majorEastAsia" w:cstheme="majorEastAsia"/>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7C1EFC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配电变压器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68E5B2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0B18E34">
            <w:pPr>
              <w:pStyle w:val="104"/>
              <w:spacing w:before="30"/>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《三相配电变压器能效限定值及</w:t>
            </w:r>
          </w:p>
        </w:tc>
      </w:tr>
      <w:tr w14:paraId="41B7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1DACEF">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C5306EF">
            <w:pPr>
              <w:pStyle w:val="104"/>
              <w:spacing w:before="12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D99FC2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管型荧光灯镇流器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6F7C594C">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F682C27">
            <w:pPr>
              <w:pStyle w:val="104"/>
              <w:spacing w:before="126"/>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《管形荧光灯镇流器能效限定值及能效等级》（GB17896）</w:t>
            </w:r>
          </w:p>
        </w:tc>
      </w:tr>
      <w:tr w14:paraId="56F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7055B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D4DFAE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DAC9A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A02061801电冰箱</w:t>
            </w:r>
          </w:p>
        </w:tc>
        <w:tc>
          <w:tcPr>
            <w:tcW w:w="1373" w:type="dxa"/>
            <w:tcBorders>
              <w:top w:val="single" w:color="000000" w:sz="4" w:space="0"/>
              <w:left w:val="single" w:color="000000" w:sz="4" w:space="0"/>
              <w:bottom w:val="single" w:color="000000" w:sz="4" w:space="0"/>
              <w:right w:val="single" w:color="000000" w:sz="4" w:space="0"/>
            </w:tcBorders>
            <w:vAlign w:val="center"/>
          </w:tcPr>
          <w:p w14:paraId="1A18974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1E380AC">
            <w:pPr>
              <w:pStyle w:val="104"/>
              <w:spacing w:before="126"/>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《家用电冰箱耗电量限定值及能效等级》（GB12021.2）</w:t>
            </w:r>
          </w:p>
        </w:tc>
      </w:tr>
      <w:tr w14:paraId="272A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F46844">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21DB2C">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2A79D19">
            <w:pPr>
              <w:pStyle w:val="104"/>
              <w:spacing w:before="17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A02061804</w:t>
            </w:r>
            <w:r>
              <w:rPr>
                <w:rFonts w:hint="eastAsia" w:asciiTheme="majorEastAsia" w:hAnsiTheme="majorEastAsia" w:eastAsiaTheme="majorEastAsia" w:cstheme="majorEastAsia"/>
                <w:w w:val="99"/>
                <w:kern w:val="2"/>
                <w:sz w:val="21"/>
                <w:szCs w:val="21"/>
              </w:rPr>
              <w:t>空调机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0C66B1A7">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房间空气调节器</w:t>
            </w:r>
          </w:p>
        </w:tc>
        <w:tc>
          <w:tcPr>
            <w:tcW w:w="3566" w:type="dxa"/>
            <w:tcBorders>
              <w:top w:val="single" w:color="000000" w:sz="4" w:space="0"/>
              <w:left w:val="single" w:color="000000" w:sz="4" w:space="0"/>
              <w:bottom w:val="single" w:color="000000" w:sz="4" w:space="0"/>
              <w:right w:val="single" w:color="000000" w:sz="4" w:space="0"/>
            </w:tcBorders>
          </w:tcPr>
          <w:p w14:paraId="5E1E66FA">
            <w:pPr>
              <w:pStyle w:val="104"/>
              <w:spacing w:line="256"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《房间空气调节器能效限定值及能效等级》（GB21455-2019）</w:t>
            </w:r>
          </w:p>
        </w:tc>
      </w:tr>
      <w:tr w14:paraId="349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3102A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06E21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FFECBA">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955CCD8">
            <w:pPr>
              <w:pStyle w:val="104"/>
              <w:spacing w:before="4"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tcPr>
          <w:p w14:paraId="07D72B9E">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5833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50A44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22F956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9D6360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CC2C4B9">
            <w:pPr>
              <w:pStyle w:val="104"/>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tcPr>
          <w:p w14:paraId="5B503CC0">
            <w:pPr>
              <w:pStyle w:val="104"/>
              <w:spacing w:before="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《单元式空气调节机能效限定值及能源效率等级》（GB19576）《风管送风式空调机组能效限定值及能效等级》（GB37479）</w:t>
            </w:r>
          </w:p>
        </w:tc>
      </w:tr>
      <w:tr w14:paraId="5D98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A970E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E103F1">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62CECF">
            <w:pPr>
              <w:pStyle w:val="104"/>
              <w:spacing w:before="16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A02061810</w:t>
            </w:r>
            <w:r>
              <w:rPr>
                <w:rFonts w:hint="eastAsia" w:asciiTheme="majorEastAsia" w:hAnsiTheme="majorEastAsia" w:eastAsiaTheme="majorEastAsia" w:cstheme="majorEastAsia"/>
                <w:w w:val="99"/>
                <w:kern w:val="2"/>
                <w:sz w:val="21"/>
                <w:szCs w:val="21"/>
              </w:rPr>
              <w:t>洗衣机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FD89D0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1AF761C">
            <w:pPr>
              <w:pStyle w:val="104"/>
              <w:spacing w:before="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《电动洗衣机能效水效限定值及等级》（GB12021.4）</w:t>
            </w:r>
          </w:p>
        </w:tc>
      </w:tr>
      <w:tr w14:paraId="584B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92819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112453">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28F5D8D">
            <w:pPr>
              <w:pStyle w:val="104"/>
              <w:spacing w:before="16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A02061819</w:t>
            </w:r>
            <w:r>
              <w:rPr>
                <w:rFonts w:hint="eastAsia" w:asciiTheme="majorEastAsia" w:hAnsiTheme="majorEastAsia" w:eastAsiaTheme="majorEastAsia" w:cstheme="majorEastAsia"/>
                <w:w w:val="99"/>
                <w:kern w:val="2"/>
                <w:sz w:val="21"/>
                <w:szCs w:val="21"/>
              </w:rPr>
              <w:t>热水器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C33071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66F5E307">
            <w:pPr>
              <w:pStyle w:val="104"/>
              <w:tabs>
                <w:tab w:val="left" w:pos="1608"/>
              </w:tabs>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《储水式电热水器能效</w:t>
            </w:r>
            <w:r>
              <w:rPr>
                <w:rFonts w:hint="eastAsia" w:asciiTheme="majorEastAsia" w:hAnsiTheme="majorEastAsia" w:eastAsiaTheme="majorEastAsia" w:cstheme="majorEastAsia"/>
                <w:spacing w:val="9"/>
                <w:w w:val="99"/>
                <w:kern w:val="2"/>
                <w:sz w:val="21"/>
                <w:szCs w:val="21"/>
                <w:lang w:eastAsia="zh-CN"/>
              </w:rPr>
              <w:t>限</w:t>
            </w:r>
            <w:r>
              <w:rPr>
                <w:rFonts w:hint="eastAsia" w:asciiTheme="majorEastAsia" w:hAnsiTheme="majorEastAsia" w:eastAsiaTheme="majorEastAsia" w:cstheme="majorEastAsia"/>
                <w:spacing w:val="12"/>
                <w:w w:val="99"/>
                <w:kern w:val="2"/>
                <w:sz w:val="21"/>
                <w:szCs w:val="21"/>
                <w:lang w:eastAsia="zh-CN"/>
              </w:rPr>
              <w:t>定值</w:t>
            </w:r>
            <w:r>
              <w:rPr>
                <w:rFonts w:hint="eastAsia" w:asciiTheme="majorEastAsia" w:hAnsiTheme="majorEastAsia" w:eastAsiaTheme="majorEastAsia" w:cstheme="majorEastAsia"/>
                <w:w w:val="99"/>
                <w:kern w:val="2"/>
                <w:sz w:val="21"/>
                <w:szCs w:val="21"/>
                <w:lang w:eastAsia="zh-CN"/>
              </w:rPr>
              <w:t>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51</w:t>
            </w:r>
            <w:r>
              <w:rPr>
                <w:rFonts w:hint="eastAsia" w:asciiTheme="majorEastAsia" w:hAnsiTheme="majorEastAsia" w:eastAsiaTheme="majorEastAsia" w:cstheme="majorEastAsia"/>
                <w:spacing w:val="1"/>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2C7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27FB7C">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20EC77F">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656B05">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515480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燃气热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18352847">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《家用燃气快速热水器</w:t>
            </w:r>
            <w:r>
              <w:rPr>
                <w:rFonts w:hint="eastAsia" w:asciiTheme="majorEastAsia" w:hAnsiTheme="majorEastAsia" w:eastAsiaTheme="majorEastAsia" w:cstheme="majorEastAsia"/>
                <w:spacing w:val="9"/>
                <w:w w:val="99"/>
                <w:kern w:val="2"/>
                <w:sz w:val="21"/>
                <w:szCs w:val="21"/>
                <w:lang w:eastAsia="zh-CN"/>
              </w:rPr>
              <w:t>和</w:t>
            </w:r>
            <w:r>
              <w:rPr>
                <w:rFonts w:hint="eastAsia" w:asciiTheme="majorEastAsia" w:hAnsiTheme="majorEastAsia" w:eastAsiaTheme="majorEastAsia" w:cstheme="majorEastAsia"/>
                <w:spacing w:val="12"/>
                <w:w w:val="99"/>
                <w:kern w:val="2"/>
                <w:sz w:val="21"/>
                <w:szCs w:val="21"/>
                <w:lang w:eastAsia="zh-CN"/>
              </w:rPr>
              <w:t>燃气</w:t>
            </w:r>
            <w:r>
              <w:rPr>
                <w:rFonts w:hint="eastAsia" w:asciiTheme="majorEastAsia" w:hAnsiTheme="majorEastAsia" w:eastAsiaTheme="majorEastAsia" w:cstheme="majorEastAsia"/>
                <w:w w:val="99"/>
                <w:kern w:val="2"/>
                <w:sz w:val="21"/>
                <w:szCs w:val="21"/>
                <w:lang w:eastAsia="zh-CN"/>
              </w:rPr>
              <w:t>采暖热水</w:t>
            </w:r>
            <w:r>
              <w:rPr>
                <w:rFonts w:hint="eastAsia" w:asciiTheme="majorEastAsia" w:hAnsiTheme="majorEastAsia" w:eastAsiaTheme="majorEastAsia" w:cstheme="majorEastAsia"/>
                <w:spacing w:val="2"/>
                <w:w w:val="99"/>
                <w:kern w:val="2"/>
                <w:sz w:val="21"/>
                <w:szCs w:val="21"/>
                <w:lang w:eastAsia="zh-CN"/>
              </w:rPr>
              <w:t>炉</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06</w:t>
            </w:r>
            <w:r>
              <w:rPr>
                <w:rFonts w:hint="eastAsia" w:asciiTheme="majorEastAsia" w:hAnsiTheme="majorEastAsia" w:eastAsiaTheme="majorEastAsia" w:cstheme="majorEastAsia"/>
                <w:spacing w:val="1"/>
                <w:w w:val="99"/>
                <w:kern w:val="2"/>
                <w:sz w:val="21"/>
                <w:szCs w:val="21"/>
                <w:lang w:eastAsia="zh-CN"/>
              </w:rPr>
              <w:t>65</w:t>
            </w:r>
            <w:r>
              <w:rPr>
                <w:rFonts w:hint="eastAsia" w:asciiTheme="majorEastAsia" w:hAnsiTheme="majorEastAsia" w:eastAsiaTheme="majorEastAsia" w:cstheme="majorEastAsia"/>
                <w:w w:val="99"/>
                <w:kern w:val="2"/>
                <w:sz w:val="21"/>
                <w:szCs w:val="21"/>
                <w:lang w:eastAsia="zh-CN"/>
              </w:rPr>
              <w:t>）</w:t>
            </w:r>
          </w:p>
        </w:tc>
      </w:tr>
      <w:tr w14:paraId="1FBD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354369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C198E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516E331">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F1A7B6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热泵热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776840E8">
            <w:pPr>
              <w:pStyle w:val="104"/>
              <w:spacing w:before="9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《热泵</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7"/>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（器</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295</w:t>
            </w:r>
            <w:r>
              <w:rPr>
                <w:rFonts w:hint="eastAsia" w:asciiTheme="majorEastAsia" w:hAnsiTheme="majorEastAsia" w:eastAsiaTheme="majorEastAsia" w:cstheme="majorEastAsia"/>
                <w:w w:val="99"/>
                <w:kern w:val="2"/>
                <w:sz w:val="21"/>
                <w:szCs w:val="21"/>
                <w:lang w:eastAsia="zh-CN"/>
              </w:rPr>
              <w:t>4</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412B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BCF63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5CD66D">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B83A703">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ECE206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太阳能</w:t>
            </w:r>
            <w:r>
              <w:rPr>
                <w:rFonts w:hint="eastAsia" w:asciiTheme="majorEastAsia" w:hAnsiTheme="majorEastAsia" w:eastAsiaTheme="majorEastAsia" w:cstheme="majorEastAsia"/>
                <w:spacing w:val="2"/>
                <w:w w:val="99"/>
                <w:kern w:val="2"/>
                <w:sz w:val="21"/>
                <w:szCs w:val="21"/>
              </w:rPr>
              <w:t>热</w:t>
            </w:r>
            <w:r>
              <w:rPr>
                <w:rFonts w:hint="eastAsia" w:asciiTheme="majorEastAsia" w:hAnsiTheme="majorEastAsia" w:eastAsiaTheme="majorEastAsia" w:cstheme="majorEastAsia"/>
                <w:w w:val="99"/>
                <w:kern w:val="2"/>
                <w:sz w:val="21"/>
                <w:szCs w:val="21"/>
              </w:rPr>
              <w:t>水系统</w:t>
            </w:r>
          </w:p>
        </w:tc>
        <w:tc>
          <w:tcPr>
            <w:tcW w:w="3566" w:type="dxa"/>
            <w:tcBorders>
              <w:top w:val="single" w:color="000000" w:sz="4" w:space="0"/>
              <w:left w:val="single" w:color="000000" w:sz="4" w:space="0"/>
              <w:bottom w:val="single" w:color="000000" w:sz="4" w:space="0"/>
              <w:right w:val="single" w:color="000000" w:sz="4" w:space="0"/>
            </w:tcBorders>
          </w:tcPr>
          <w:p w14:paraId="49DBF58D">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《家用太阳能热水系统</w:t>
            </w:r>
            <w:r>
              <w:rPr>
                <w:rFonts w:hint="eastAsia" w:asciiTheme="majorEastAsia" w:hAnsiTheme="majorEastAsia" w:eastAsiaTheme="majorEastAsia" w:cstheme="majorEastAsia"/>
                <w:spacing w:val="9"/>
                <w:w w:val="99"/>
                <w:kern w:val="2"/>
                <w:sz w:val="21"/>
                <w:szCs w:val="21"/>
                <w:lang w:eastAsia="zh-CN"/>
              </w:rPr>
              <w:t>能</w:t>
            </w:r>
            <w:r>
              <w:rPr>
                <w:rFonts w:hint="eastAsia" w:asciiTheme="majorEastAsia" w:hAnsiTheme="majorEastAsia" w:eastAsiaTheme="majorEastAsia" w:cstheme="majorEastAsia"/>
                <w:spacing w:val="12"/>
                <w:w w:val="99"/>
                <w:kern w:val="2"/>
                <w:sz w:val="21"/>
                <w:szCs w:val="21"/>
                <w:lang w:eastAsia="zh-CN"/>
              </w:rPr>
              <w:t>效限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26</w:t>
            </w:r>
            <w:r>
              <w:rPr>
                <w:rFonts w:hint="eastAsia" w:asciiTheme="majorEastAsia" w:hAnsiTheme="majorEastAsia" w:eastAsiaTheme="majorEastAsia" w:cstheme="majorEastAsia"/>
                <w:w w:val="99"/>
                <w:kern w:val="2"/>
                <w:sz w:val="21"/>
                <w:szCs w:val="21"/>
                <w:lang w:eastAsia="zh-CN"/>
              </w:rPr>
              <w:t>96</w:t>
            </w:r>
            <w:r>
              <w:rPr>
                <w:rFonts w:hint="eastAsia" w:asciiTheme="majorEastAsia" w:hAnsiTheme="majorEastAsia" w:eastAsiaTheme="majorEastAsia" w:cstheme="majorEastAsia"/>
                <w:spacing w:val="-2"/>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6D4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F13FAA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272487">
            <w:pPr>
              <w:pStyle w:val="104"/>
              <w:spacing w:before="15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06</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EB860A8">
            <w:pPr>
              <w:pStyle w:val="104"/>
              <w:spacing w:before="133"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★普通照明用双端荧光灯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702740A6">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5BFF961D">
            <w:pPr>
              <w:pStyle w:val="104"/>
              <w:spacing w:before="13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《普通照明用双端荧光</w:t>
            </w:r>
            <w:r>
              <w:rPr>
                <w:rFonts w:hint="eastAsia" w:asciiTheme="majorEastAsia" w:hAnsiTheme="majorEastAsia" w:eastAsiaTheme="majorEastAsia" w:cstheme="majorEastAsia"/>
                <w:spacing w:val="9"/>
                <w:w w:val="99"/>
                <w:kern w:val="2"/>
                <w:sz w:val="21"/>
                <w:szCs w:val="21"/>
                <w:lang w:eastAsia="zh-CN"/>
              </w:rPr>
              <w:t>灯</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04</w:t>
            </w:r>
            <w:r>
              <w:rPr>
                <w:rFonts w:hint="eastAsia" w:asciiTheme="majorEastAsia" w:hAnsiTheme="majorEastAsia" w:eastAsiaTheme="majorEastAsia" w:cstheme="majorEastAsia"/>
                <w:spacing w:val="1"/>
                <w:w w:val="99"/>
                <w:kern w:val="2"/>
                <w:sz w:val="21"/>
                <w:szCs w:val="21"/>
                <w:lang w:eastAsia="zh-CN"/>
              </w:rPr>
              <w:t>3</w:t>
            </w:r>
            <w:r>
              <w:rPr>
                <w:rFonts w:hint="eastAsia" w:asciiTheme="majorEastAsia" w:hAnsiTheme="majorEastAsia" w:eastAsiaTheme="majorEastAsia" w:cstheme="majorEastAsia"/>
                <w:w w:val="99"/>
                <w:kern w:val="2"/>
                <w:sz w:val="21"/>
                <w:szCs w:val="21"/>
                <w:lang w:eastAsia="zh-CN"/>
              </w:rPr>
              <w:t>）</w:t>
            </w:r>
          </w:p>
        </w:tc>
      </w:tr>
      <w:tr w14:paraId="3524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D4D0C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8FAA9C">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3E64767">
            <w:pPr>
              <w:pStyle w:val="104"/>
              <w:spacing w:before="92" w:line="276" w:lineRule="auto"/>
              <w:ind w:left="7" w:right="2"/>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w:t>
            </w:r>
            <w:r>
              <w:rPr>
                <w:rFonts w:hint="eastAsia" w:asciiTheme="majorEastAsia" w:hAnsiTheme="majorEastAsia" w:eastAsiaTheme="majorEastAsia" w:cstheme="majorEastAsia"/>
                <w:spacing w:val="12"/>
                <w:w w:val="99"/>
                <w:kern w:val="2"/>
                <w:sz w:val="21"/>
                <w:szCs w:val="21"/>
              </w:rPr>
              <w:t>道</w:t>
            </w:r>
            <w:r>
              <w:rPr>
                <w:rFonts w:hint="eastAsia" w:asciiTheme="majorEastAsia" w:hAnsiTheme="majorEastAsia" w:eastAsiaTheme="majorEastAsia" w:cstheme="majorEastAsia"/>
                <w:spacing w:val="9"/>
                <w:w w:val="99"/>
                <w:kern w:val="2"/>
                <w:sz w:val="21"/>
                <w:szCs w:val="21"/>
              </w:rPr>
              <w:t>路</w:t>
            </w:r>
            <w:r>
              <w:rPr>
                <w:rFonts w:hint="eastAsia" w:asciiTheme="majorEastAsia" w:hAnsiTheme="majorEastAsia" w:eastAsiaTheme="majorEastAsia" w:cstheme="majorEastAsia"/>
                <w:spacing w:val="13"/>
                <w:w w:val="99"/>
                <w:kern w:val="2"/>
                <w:sz w:val="21"/>
                <w:szCs w:val="21"/>
              </w:rPr>
              <w:t>/</w:t>
            </w:r>
            <w:r>
              <w:rPr>
                <w:rFonts w:hint="eastAsia" w:asciiTheme="majorEastAsia" w:hAnsiTheme="majorEastAsia" w:eastAsiaTheme="majorEastAsia" w:cstheme="majorEastAsia"/>
                <w:spacing w:val="12"/>
                <w:w w:val="99"/>
                <w:kern w:val="2"/>
                <w:sz w:val="21"/>
                <w:szCs w:val="21"/>
              </w:rPr>
              <w:t>隧道照</w:t>
            </w:r>
            <w:r>
              <w:rPr>
                <w:rFonts w:hint="eastAsia" w:asciiTheme="majorEastAsia" w:hAnsiTheme="majorEastAsia" w:eastAsiaTheme="majorEastAsia" w:cstheme="majorEastAsia"/>
                <w:w w:val="99"/>
                <w:kern w:val="2"/>
                <w:sz w:val="21"/>
                <w:szCs w:val="21"/>
              </w:rPr>
              <w:t>明产品</w:t>
            </w:r>
          </w:p>
        </w:tc>
        <w:tc>
          <w:tcPr>
            <w:tcW w:w="1373" w:type="dxa"/>
            <w:tcBorders>
              <w:top w:val="single" w:color="000000" w:sz="4" w:space="0"/>
              <w:left w:val="single" w:color="000000" w:sz="4" w:space="0"/>
              <w:bottom w:val="single" w:color="000000" w:sz="4" w:space="0"/>
              <w:right w:val="single" w:color="000000" w:sz="4" w:space="0"/>
            </w:tcBorders>
            <w:vAlign w:val="center"/>
          </w:tcPr>
          <w:p w14:paraId="04B1010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7CE3C6A">
            <w:pPr>
              <w:pStyle w:val="104"/>
              <w:spacing w:before="92"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道</w:t>
            </w:r>
            <w:r>
              <w:rPr>
                <w:rFonts w:hint="eastAsia" w:asciiTheme="majorEastAsia" w:hAnsiTheme="majorEastAsia" w:eastAsiaTheme="majorEastAsia" w:cstheme="majorEastAsia"/>
                <w:spacing w:val="4"/>
                <w:w w:val="99"/>
                <w:kern w:val="2"/>
                <w:sz w:val="21"/>
                <w:szCs w:val="21"/>
                <w:lang w:eastAsia="zh-CN"/>
              </w:rPr>
              <w:t>路和隧道照</w:t>
            </w:r>
            <w:r>
              <w:rPr>
                <w:rFonts w:hint="eastAsia" w:asciiTheme="majorEastAsia" w:hAnsiTheme="majorEastAsia" w:eastAsiaTheme="majorEastAsia" w:cstheme="majorEastAsia"/>
                <w:spacing w:val="2"/>
                <w:w w:val="99"/>
                <w:kern w:val="2"/>
                <w:sz w:val="21"/>
                <w:szCs w:val="21"/>
                <w:lang w:eastAsia="zh-CN"/>
              </w:rPr>
              <w:t>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灯</w:t>
            </w:r>
            <w:r>
              <w:rPr>
                <w:rFonts w:hint="eastAsia" w:asciiTheme="majorEastAsia" w:hAnsiTheme="majorEastAsia" w:eastAsiaTheme="majorEastAsia" w:cstheme="majorEastAsia"/>
                <w:spacing w:val="2"/>
                <w:w w:val="99"/>
                <w:kern w:val="2"/>
                <w:sz w:val="21"/>
                <w:szCs w:val="21"/>
                <w:lang w:eastAsia="zh-CN"/>
              </w:rPr>
              <w:t>具</w:t>
            </w:r>
            <w:r>
              <w:rPr>
                <w:rFonts w:hint="eastAsia" w:asciiTheme="majorEastAsia" w:hAnsiTheme="majorEastAsia" w:eastAsiaTheme="majorEastAsia" w:cstheme="majorEastAsia"/>
                <w:w w:val="99"/>
                <w:kern w:val="2"/>
                <w:sz w:val="21"/>
                <w:szCs w:val="21"/>
                <w:lang w:eastAsia="zh-CN"/>
              </w:rPr>
              <w:t>能效限定</w:t>
            </w:r>
            <w:r>
              <w:rPr>
                <w:rFonts w:hint="eastAsia" w:asciiTheme="majorEastAsia" w:hAnsiTheme="majorEastAsia" w:eastAsiaTheme="majorEastAsia" w:cstheme="majorEastAsia"/>
                <w:spacing w:val="2"/>
                <w:w w:val="99"/>
                <w:kern w:val="2"/>
                <w:sz w:val="21"/>
                <w:szCs w:val="21"/>
                <w:lang w:eastAsia="zh-CN"/>
              </w:rPr>
              <w:t>值</w:t>
            </w:r>
            <w:r>
              <w:rPr>
                <w:rFonts w:hint="eastAsia" w:asciiTheme="majorEastAsia" w:hAnsiTheme="majorEastAsia" w:eastAsiaTheme="majorEastAsia" w:cstheme="majorEastAsia"/>
                <w:w w:val="99"/>
                <w:kern w:val="2"/>
                <w:sz w:val="21"/>
                <w:szCs w:val="21"/>
                <w:lang w:eastAsia="zh-CN"/>
              </w:rPr>
              <w:t>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06"/>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3747</w:t>
            </w:r>
            <w:r>
              <w:rPr>
                <w:rFonts w:hint="eastAsia" w:asciiTheme="majorEastAsia" w:hAnsiTheme="majorEastAsia" w:eastAsiaTheme="majorEastAsia" w:cstheme="majorEastAsia"/>
                <w:w w:val="99"/>
                <w:kern w:val="2"/>
                <w:sz w:val="21"/>
                <w:szCs w:val="21"/>
                <w:lang w:eastAsia="zh-CN"/>
              </w:rPr>
              <w:t>8</w:t>
            </w:r>
          </w:p>
        </w:tc>
      </w:tr>
      <w:tr w14:paraId="0B07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C3D46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0DC34F">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310F7B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D筒灯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61B26D4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AB7C71E">
            <w:pPr>
              <w:pStyle w:val="104"/>
              <w:spacing w:before="8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C6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D44B5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8B7466B">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D91F3B6">
            <w:pPr>
              <w:pStyle w:val="104"/>
              <w:spacing w:line="276" w:lineRule="auto"/>
              <w:ind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w:t>
            </w:r>
            <w:r>
              <w:rPr>
                <w:rFonts w:hint="eastAsia" w:asciiTheme="majorEastAsia" w:hAnsiTheme="majorEastAsia" w:eastAsiaTheme="majorEastAsia" w:cstheme="majorEastAsia"/>
                <w:spacing w:val="24"/>
                <w:w w:val="99"/>
                <w:kern w:val="2"/>
                <w:sz w:val="21"/>
                <w:szCs w:val="21"/>
                <w:lang w:eastAsia="zh-CN"/>
              </w:rPr>
              <w:t>通</w:t>
            </w:r>
            <w:r>
              <w:rPr>
                <w:rFonts w:hint="eastAsia" w:asciiTheme="majorEastAsia" w:hAnsiTheme="majorEastAsia" w:eastAsiaTheme="majorEastAsia" w:cstheme="majorEastAsia"/>
                <w:w w:val="99"/>
                <w:kern w:val="2"/>
                <w:sz w:val="21"/>
                <w:szCs w:val="21"/>
                <w:lang w:eastAsia="zh-CN"/>
              </w:rPr>
              <w:t>照明用非</w:t>
            </w:r>
            <w:r>
              <w:rPr>
                <w:rFonts w:hint="eastAsia" w:asciiTheme="majorEastAsia" w:hAnsiTheme="majorEastAsia" w:eastAsiaTheme="majorEastAsia" w:cstheme="majorEastAsia"/>
                <w:spacing w:val="24"/>
                <w:w w:val="99"/>
                <w:kern w:val="2"/>
                <w:sz w:val="21"/>
                <w:szCs w:val="21"/>
                <w:lang w:eastAsia="zh-CN"/>
              </w:rPr>
              <w:t>定</w:t>
            </w:r>
            <w:r>
              <w:rPr>
                <w:rFonts w:hint="eastAsia" w:asciiTheme="majorEastAsia" w:hAnsiTheme="majorEastAsia" w:eastAsiaTheme="majorEastAsia" w:cstheme="majorEastAsia"/>
                <w:w w:val="99"/>
                <w:kern w:val="2"/>
                <w:sz w:val="21"/>
                <w:szCs w:val="21"/>
                <w:lang w:eastAsia="zh-CN"/>
              </w:rPr>
              <w:t>向自镇流</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69DF9DC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B4726F9">
            <w:pPr>
              <w:pStyle w:val="104"/>
              <w:spacing w:before="5"/>
              <w:rPr>
                <w:rFonts w:asciiTheme="majorEastAsia" w:hAnsiTheme="majorEastAsia" w:eastAsiaTheme="majorEastAsia" w:cstheme="majorEastAsia"/>
                <w:kern w:val="2"/>
                <w:sz w:val="21"/>
                <w:szCs w:val="21"/>
                <w:lang w:eastAsia="zh-CN"/>
              </w:rPr>
            </w:pPr>
          </w:p>
          <w:p w14:paraId="2A79A73D">
            <w:pPr>
              <w:pStyle w:val="104"/>
              <w:spacing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3EC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9D93F1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BAB6F0F">
            <w:pPr>
              <w:pStyle w:val="104"/>
              <w:spacing w:before="8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B410DA8">
            <w:pPr>
              <w:pStyle w:val="104"/>
              <w:spacing w:before="81" w:line="276" w:lineRule="auto"/>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
                <w:w w:val="99"/>
                <w:kern w:val="2"/>
                <w:sz w:val="21"/>
                <w:szCs w:val="21"/>
                <w:lang w:eastAsia="zh-CN"/>
              </w:rPr>
              <w:t>A02</w:t>
            </w:r>
            <w:r>
              <w:rPr>
                <w:rFonts w:hint="eastAsia" w:asciiTheme="majorEastAsia" w:hAnsiTheme="majorEastAsia" w:eastAsiaTheme="majorEastAsia" w:cstheme="majorEastAsia"/>
                <w:w w:val="99"/>
                <w:kern w:val="2"/>
                <w:sz w:val="21"/>
                <w:szCs w:val="21"/>
                <w:lang w:eastAsia="zh-CN"/>
              </w:rPr>
              <w:t>09</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001普通电视设备（</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1BBF5D9B">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B3F825F">
            <w:pPr>
              <w:pStyle w:val="104"/>
              <w:spacing w:before="8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《平板电视能效限定值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w:t>
            </w:r>
            <w:r>
              <w:rPr>
                <w:rFonts w:hint="eastAsia" w:asciiTheme="majorEastAsia" w:hAnsiTheme="majorEastAsia" w:eastAsiaTheme="majorEastAsia" w:cstheme="majorEastAsia"/>
                <w:w w:val="99"/>
                <w:kern w:val="2"/>
                <w:sz w:val="21"/>
                <w:szCs w:val="21"/>
                <w:lang w:eastAsia="zh-CN"/>
              </w:rPr>
              <w:t>50）</w:t>
            </w:r>
          </w:p>
        </w:tc>
      </w:tr>
      <w:tr w14:paraId="5B4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B3D58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96E779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960A4E2">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09</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107视频监控设备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51CD74DC">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监视器</w:t>
            </w:r>
          </w:p>
        </w:tc>
        <w:tc>
          <w:tcPr>
            <w:tcW w:w="3566" w:type="dxa"/>
            <w:tcBorders>
              <w:top w:val="single" w:color="000000" w:sz="4" w:space="0"/>
              <w:left w:val="single" w:color="000000" w:sz="4" w:space="0"/>
              <w:bottom w:val="single" w:color="000000" w:sz="4" w:space="0"/>
              <w:right w:val="single" w:color="000000" w:sz="4" w:space="0"/>
            </w:tcBorders>
          </w:tcPr>
          <w:p w14:paraId="4E3D4242">
            <w:pPr>
              <w:pStyle w:val="104"/>
              <w:spacing w:before="28" w:line="276" w:lineRule="auto"/>
              <w:ind w:left="7" w:right="5"/>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以射频信号为主要信号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平板</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限定值及能效</w:t>
            </w:r>
            <w:r>
              <w:rPr>
                <w:rFonts w:hint="eastAsia" w:asciiTheme="majorEastAsia" w:hAnsiTheme="majorEastAsia" w:eastAsiaTheme="majorEastAsia" w:cstheme="majorEastAsia"/>
                <w:spacing w:val="2"/>
                <w:w w:val="99"/>
                <w:kern w:val="2"/>
                <w:sz w:val="21"/>
                <w:szCs w:val="21"/>
                <w:lang w:eastAsia="zh-CN"/>
              </w:rPr>
              <w:t>等</w:t>
            </w:r>
            <w:r>
              <w:rPr>
                <w:rFonts w:hint="eastAsia" w:asciiTheme="majorEastAsia" w:hAnsiTheme="majorEastAsia" w:eastAsiaTheme="majorEastAsia" w:cstheme="majorEastAsia"/>
                <w:w w:val="99"/>
                <w:kern w:val="2"/>
                <w:sz w:val="21"/>
                <w:szCs w:val="21"/>
                <w:lang w:eastAsia="zh-CN"/>
              </w:rPr>
              <w:t>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24850</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2"/>
                <w:w w:val="99"/>
                <w:kern w:val="2"/>
                <w:sz w:val="21"/>
                <w:szCs w:val="21"/>
                <w:lang w:eastAsia="zh-CN"/>
              </w:rPr>
              <w:t>以数字信号为主要信号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计算</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显示</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41E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5C222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F7CD386">
            <w:pPr>
              <w:pStyle w:val="104"/>
              <w:spacing w:before="7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A02241000</w:t>
            </w:r>
            <w:r>
              <w:rPr>
                <w:rFonts w:hint="eastAsia" w:asciiTheme="majorEastAsia" w:hAnsiTheme="majorEastAsia" w:eastAsiaTheme="majorEastAsia" w:cstheme="majorEastAsia"/>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FBDF004">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商用燃</w:t>
            </w:r>
            <w:r>
              <w:rPr>
                <w:rFonts w:hint="eastAsia" w:asciiTheme="majorEastAsia" w:hAnsiTheme="majorEastAsia" w:eastAsiaTheme="majorEastAsia" w:cstheme="majorEastAsia"/>
                <w:spacing w:val="2"/>
                <w:w w:val="99"/>
                <w:kern w:val="2"/>
                <w:sz w:val="21"/>
                <w:szCs w:val="21"/>
              </w:rPr>
              <w:t>气</w:t>
            </w:r>
            <w:r>
              <w:rPr>
                <w:rFonts w:hint="eastAsia" w:asciiTheme="majorEastAsia" w:hAnsiTheme="majorEastAsia" w:eastAsiaTheme="majorEastAsia" w:cstheme="majorEastAsia"/>
                <w:w w:val="99"/>
                <w:kern w:val="2"/>
                <w:sz w:val="21"/>
                <w:szCs w:val="21"/>
              </w:rPr>
              <w:t>灶具</w:t>
            </w:r>
          </w:p>
        </w:tc>
        <w:tc>
          <w:tcPr>
            <w:tcW w:w="1373" w:type="dxa"/>
            <w:tcBorders>
              <w:top w:val="single" w:color="000000" w:sz="4" w:space="0"/>
              <w:left w:val="single" w:color="000000" w:sz="4" w:space="0"/>
              <w:bottom w:val="single" w:color="000000" w:sz="4" w:space="0"/>
              <w:right w:val="single" w:color="000000" w:sz="4" w:space="0"/>
            </w:tcBorders>
            <w:vAlign w:val="center"/>
          </w:tcPr>
          <w:p w14:paraId="68872B79">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68602E9">
            <w:pPr>
              <w:pStyle w:val="104"/>
              <w:spacing w:before="7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《商用燃气灶具能效限</w:t>
            </w:r>
            <w:r>
              <w:rPr>
                <w:rFonts w:hint="eastAsia" w:asciiTheme="majorEastAsia" w:hAnsiTheme="majorEastAsia" w:eastAsiaTheme="majorEastAsia" w:cstheme="majorEastAsia"/>
                <w:spacing w:val="9"/>
                <w:w w:val="99"/>
                <w:kern w:val="2"/>
                <w:sz w:val="21"/>
                <w:szCs w:val="21"/>
                <w:lang w:eastAsia="zh-CN"/>
              </w:rPr>
              <w:t>定</w:t>
            </w:r>
            <w:r>
              <w:rPr>
                <w:rFonts w:hint="eastAsia" w:asciiTheme="majorEastAsia" w:hAnsiTheme="majorEastAsia" w:eastAsiaTheme="majorEastAsia" w:cstheme="majorEastAsia"/>
                <w:spacing w:val="12"/>
                <w:w w:val="99"/>
                <w:kern w:val="2"/>
                <w:sz w:val="21"/>
                <w:szCs w:val="21"/>
                <w:lang w:eastAsia="zh-CN"/>
              </w:rPr>
              <w:t>值及</w:t>
            </w:r>
            <w:r>
              <w:rPr>
                <w:rFonts w:hint="eastAsia" w:asciiTheme="majorEastAsia" w:hAnsiTheme="majorEastAsia" w:eastAsiaTheme="majorEastAsia" w:cstheme="majorEastAsia"/>
                <w:w w:val="99"/>
                <w:kern w:val="2"/>
                <w:sz w:val="21"/>
                <w:szCs w:val="21"/>
                <w:lang w:eastAsia="zh-CN"/>
              </w:rPr>
              <w:t>能效等级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53</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C8B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C8E0EC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51B2E2E">
            <w:pPr>
              <w:pStyle w:val="104"/>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A05020105</w:t>
            </w:r>
            <w:r>
              <w:rPr>
                <w:rFonts w:hint="eastAsia" w:asciiTheme="majorEastAsia" w:hAnsiTheme="majorEastAsia" w:eastAsiaTheme="majorEastAsia" w:cstheme="majorEastAsia"/>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34AEBE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坐便器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A4B5ED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44CE91C">
            <w:pPr>
              <w:pStyle w:val="104"/>
              <w:spacing w:before="12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《坐便</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水效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p>
          <w:p w14:paraId="065976AE">
            <w:pPr>
              <w:pStyle w:val="104"/>
              <w:spacing w:before="50"/>
              <w:ind w:left="7"/>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G</w:t>
            </w:r>
            <w:r>
              <w:rPr>
                <w:rFonts w:hint="eastAsia" w:asciiTheme="majorEastAsia" w:hAnsiTheme="majorEastAsia" w:eastAsiaTheme="majorEastAsia" w:cstheme="majorEastAsia"/>
                <w:w w:val="99"/>
                <w:kern w:val="2"/>
                <w:sz w:val="21"/>
                <w:szCs w:val="21"/>
              </w:rPr>
              <w:t>B</w:t>
            </w:r>
            <w:r>
              <w:rPr>
                <w:rFonts w:hint="eastAsia" w:asciiTheme="majorEastAsia" w:hAnsiTheme="majorEastAsia" w:eastAsiaTheme="majorEastAsia" w:cstheme="majorEastAsia"/>
                <w:spacing w:val="1"/>
                <w:w w:val="99"/>
                <w:kern w:val="2"/>
                <w:sz w:val="21"/>
                <w:szCs w:val="21"/>
              </w:rPr>
              <w:t>2</w:t>
            </w:r>
            <w:r>
              <w:rPr>
                <w:rFonts w:hint="eastAsia" w:asciiTheme="majorEastAsia" w:hAnsiTheme="majorEastAsia" w:eastAsiaTheme="majorEastAsia" w:cstheme="majorEastAsia"/>
                <w:w w:val="99"/>
                <w:kern w:val="2"/>
                <w:sz w:val="21"/>
                <w:szCs w:val="21"/>
              </w:rPr>
              <w:t>55</w:t>
            </w:r>
            <w:r>
              <w:rPr>
                <w:rFonts w:hint="eastAsia" w:asciiTheme="majorEastAsia" w:hAnsiTheme="majorEastAsia" w:eastAsiaTheme="majorEastAsia" w:cstheme="majorEastAsia"/>
                <w:spacing w:val="1"/>
                <w:w w:val="99"/>
                <w:kern w:val="2"/>
                <w:sz w:val="21"/>
                <w:szCs w:val="21"/>
              </w:rPr>
              <w:t>02</w:t>
            </w:r>
            <w:r>
              <w:rPr>
                <w:rFonts w:hint="eastAsia" w:asciiTheme="majorEastAsia" w:hAnsiTheme="majorEastAsia" w:eastAsiaTheme="majorEastAsia" w:cstheme="majorEastAsia"/>
                <w:w w:val="99"/>
                <w:kern w:val="2"/>
                <w:sz w:val="21"/>
                <w:szCs w:val="21"/>
              </w:rPr>
              <w:t>）</w:t>
            </w:r>
          </w:p>
        </w:tc>
      </w:tr>
      <w:tr w14:paraId="594D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DB1052E">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7E14A6">
            <w:pPr>
              <w:widowControl/>
              <w:jc w:val="left"/>
              <w:rPr>
                <w:rFonts w:asciiTheme="majorEastAsia" w:hAnsiTheme="majorEastAsia" w:eastAsiaTheme="majorEastAsia" w:cstheme="majorEastAsia"/>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883175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蹲便器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EA63703">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40A626A0">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《蹲便器用水效率限定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307</w:t>
            </w:r>
            <w:r>
              <w:rPr>
                <w:rFonts w:hint="eastAsia" w:asciiTheme="majorEastAsia" w:hAnsiTheme="majorEastAsia" w:eastAsiaTheme="majorEastAsia" w:cstheme="majorEastAsia"/>
                <w:w w:val="99"/>
                <w:kern w:val="2"/>
                <w:sz w:val="21"/>
                <w:szCs w:val="21"/>
                <w:lang w:eastAsia="zh-CN"/>
              </w:rPr>
              <w:t>1</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247B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F7DFE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62B299">
            <w:pPr>
              <w:widowControl/>
              <w:jc w:val="left"/>
              <w:rPr>
                <w:rFonts w:asciiTheme="majorEastAsia" w:hAnsiTheme="majorEastAsia" w:eastAsiaTheme="majorEastAsia" w:cstheme="majorEastAsia"/>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EE2C0C8">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小便器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A60071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70B74C9">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《小便器用水效率限定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w:t>
            </w:r>
            <w:r>
              <w:rPr>
                <w:rFonts w:hint="eastAsia" w:asciiTheme="majorEastAsia" w:hAnsiTheme="majorEastAsia" w:eastAsiaTheme="majorEastAsia" w:cstheme="majorEastAsia"/>
                <w:w w:val="99"/>
                <w:kern w:val="2"/>
                <w:sz w:val="21"/>
                <w:szCs w:val="21"/>
                <w:lang w:eastAsia="zh-CN"/>
              </w:rPr>
              <w:t>7</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6021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10151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E643A4F">
            <w:pPr>
              <w:pStyle w:val="104"/>
              <w:spacing w:before="153"/>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★A05020106水</w:t>
            </w:r>
            <w:r>
              <w:rPr>
                <w:rFonts w:hint="eastAsia" w:asciiTheme="majorEastAsia" w:hAnsiTheme="majorEastAsia" w:eastAsiaTheme="majorEastAsia" w:cstheme="majorEastAsia"/>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1677A75">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8BC78DC">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67C3B56D">
            <w:pPr>
              <w:pStyle w:val="104"/>
              <w:spacing w:before="15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《水嘴用水效率限定值及用水效</w:t>
            </w:r>
            <w:r>
              <w:rPr>
                <w:rFonts w:hint="eastAsia" w:asciiTheme="majorEastAsia" w:hAnsiTheme="majorEastAsia" w:eastAsiaTheme="majorEastAsia" w:cstheme="majorEastAsia"/>
                <w:kern w:val="2"/>
                <w:sz w:val="21"/>
                <w:szCs w:val="21"/>
                <w:lang w:eastAsia="zh-CN"/>
              </w:rPr>
              <w:t>率等级》（GB 25501）</w:t>
            </w:r>
          </w:p>
        </w:tc>
      </w:tr>
      <w:tr w14:paraId="614C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F7C710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7E2C00D">
            <w:pPr>
              <w:pStyle w:val="104"/>
              <w:spacing w:before="11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37728EF">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0687D29">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1620CFCB">
            <w:pPr>
              <w:pStyle w:val="104"/>
              <w:spacing w:before="11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《便器冲洗阀用水效率限定值及</w:t>
            </w:r>
            <w:r>
              <w:rPr>
                <w:rFonts w:hint="eastAsia" w:asciiTheme="majorEastAsia" w:hAnsiTheme="majorEastAsia" w:eastAsiaTheme="majorEastAsia" w:cstheme="majorEastAsia"/>
                <w:kern w:val="2"/>
                <w:sz w:val="21"/>
                <w:szCs w:val="21"/>
                <w:lang w:eastAsia="zh-CN"/>
              </w:rPr>
              <w:t>用水效率等级》（GB28379）</w:t>
            </w:r>
          </w:p>
        </w:tc>
      </w:tr>
      <w:tr w14:paraId="1474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BCAB41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80F4CF4">
            <w:pPr>
              <w:pStyle w:val="104"/>
              <w:spacing w:before="13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A05020110淋浴</w:t>
            </w:r>
            <w:r>
              <w:rPr>
                <w:rFonts w:hint="eastAsia" w:asciiTheme="majorEastAsia" w:hAnsiTheme="majorEastAsia" w:eastAsiaTheme="majorEastAsia" w:cstheme="majorEastAsia"/>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0BC798A">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FBAB459">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3EF23F11">
            <w:pPr>
              <w:pStyle w:val="104"/>
              <w:spacing w:before="13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《淋浴器用水效率限定值及用水</w:t>
            </w:r>
            <w:r>
              <w:rPr>
                <w:rFonts w:hint="eastAsia" w:asciiTheme="majorEastAsia" w:hAnsiTheme="majorEastAsia" w:eastAsiaTheme="majorEastAsia" w:cstheme="majorEastAsia"/>
                <w:kern w:val="2"/>
                <w:sz w:val="21"/>
                <w:szCs w:val="21"/>
                <w:lang w:eastAsia="zh-CN"/>
              </w:rPr>
              <w:t>效率等级》（GB28378）</w:t>
            </w:r>
          </w:p>
        </w:tc>
      </w:tr>
    </w:tbl>
    <w:p w14:paraId="662F9646">
      <w:pPr>
        <w:pStyle w:val="19"/>
        <w:spacing w:line="360" w:lineRule="auto"/>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3"/>
          <w:sz w:val="21"/>
          <w:szCs w:val="21"/>
        </w:rPr>
        <w:t>注：1.节能产品认证应依据相关国家标准的最新版本，依据国家标准中二级能效（水效）</w:t>
      </w:r>
      <w:r>
        <w:rPr>
          <w:rFonts w:hint="eastAsia" w:asciiTheme="majorEastAsia" w:hAnsiTheme="majorEastAsia" w:eastAsiaTheme="majorEastAsia" w:cstheme="majorEastAsia"/>
          <w:sz w:val="21"/>
          <w:szCs w:val="21"/>
        </w:rPr>
        <w:t>指标。</w:t>
      </w:r>
    </w:p>
    <w:p w14:paraId="6AB752E3">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2.以“★”标注的为政府强制采购产品。</w:t>
      </w:r>
    </w:p>
    <w:p w14:paraId="7262DF75">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43EF6F96">
      <w:pPr>
        <w:widowControl/>
        <w:jc w:val="left"/>
        <w:rPr>
          <w:rFonts w:asciiTheme="majorEastAsia" w:hAnsiTheme="majorEastAsia" w:eastAsiaTheme="majorEastAsia" w:cstheme="majorEastAsia"/>
          <w:sz w:val="20"/>
          <w:szCs w:val="20"/>
        </w:rPr>
      </w:pPr>
    </w:p>
    <w:p w14:paraId="0B0D5E42">
      <w:pPr>
        <w:widowControl/>
        <w:jc w:val="left"/>
        <w:rPr>
          <w:rFonts w:asciiTheme="majorEastAsia" w:hAnsiTheme="majorEastAsia" w:eastAsiaTheme="majorEastAsia" w:cstheme="majorEastAsia"/>
          <w:sz w:val="20"/>
          <w:szCs w:val="20"/>
        </w:rPr>
      </w:pPr>
    </w:p>
    <w:p w14:paraId="00CB57E4">
      <w:pPr>
        <w:widowControl/>
        <w:jc w:val="lef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20"/>
          <w:szCs w:val="20"/>
        </w:rPr>
        <w:br w:type="page"/>
      </w:r>
      <w:r>
        <w:rPr>
          <w:rFonts w:hint="eastAsia" w:asciiTheme="majorEastAsia" w:hAnsiTheme="majorEastAsia" w:eastAsiaTheme="majorEastAsia" w:cstheme="majorEastAsia"/>
          <w:kern w:val="0"/>
          <w:szCs w:val="21"/>
        </w:rPr>
        <w:t>附件2：</w:t>
      </w:r>
    </w:p>
    <w:p w14:paraId="17FCC7D0">
      <w:pPr>
        <w:pStyle w:val="19"/>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中小企业划型标准规定</w:t>
      </w:r>
    </w:p>
    <w:p w14:paraId="56908C58">
      <w:pPr>
        <w:pStyle w:val="19"/>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工信部联企业[2011]300号</w:t>
      </w:r>
    </w:p>
    <w:p w14:paraId="0E4957B5">
      <w:pPr>
        <w:pStyle w:val="19"/>
        <w:rPr>
          <w:rFonts w:asciiTheme="majorEastAsia" w:hAnsiTheme="majorEastAsia" w:eastAsiaTheme="majorEastAsia" w:cstheme="majorEastAsia"/>
          <w:sz w:val="21"/>
          <w:szCs w:val="21"/>
        </w:rPr>
      </w:pPr>
    </w:p>
    <w:p w14:paraId="5179609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一、根据《中华人民共和国中小企业促进法》和《国务院关于进一步促进中小企业发展的若干意见》(国发[2009]36号)，制定本规定。</w:t>
      </w:r>
    </w:p>
    <w:p w14:paraId="1BDAC53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二、中小企业划分为中型、小型、微型三种类型，具体标准根据企业从业人员、营业收入、资产总额等指标，结合行业特点制定。</w:t>
      </w:r>
    </w:p>
    <w:p w14:paraId="6A92521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539D86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四、各行业划型标准为：</w:t>
      </w:r>
    </w:p>
    <w:p w14:paraId="6A6A9EE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（一）农、林、牧、渔业。营业收入20000万元以下的为中小微型企业。其中，营业收入500万元及以上的为中型企业，营业收入50万元及以上的为小型企业，营业收入50万元以下的为微型企业。</w:t>
      </w:r>
    </w:p>
    <w:p w14:paraId="3953E8E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087980">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2B1D49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6087E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68C32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4CEA6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21687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13085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5E4BB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171CD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29DF0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F67DC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78B88">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6B06FE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D0A12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（十六）其他未列明行业。从业人员300人以下的为中小微型企业。其中，从业人员100人及以上的为中型企业；从业人员10人及以上的为小型企业；从业人员10人以下的为微型企业。</w:t>
      </w:r>
    </w:p>
    <w:p w14:paraId="3BAC1F7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五、企业类型的划分以统计部门的统计数据为依据。</w:t>
      </w:r>
    </w:p>
    <w:p w14:paraId="5E9A745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六、本规定适用于在中华人民共和国境内依法设立的各类所有制和各种组织形式的企业。个体工商户和本规定以外的行业，参照本规定进行划型。</w:t>
      </w:r>
    </w:p>
    <w:p w14:paraId="2F44371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3D532D2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八、本规定由工业和信息化部、国家统计局会同有关部门根据《国民经济行业分类》修订情况和企业发展变化情况适时修订。</w:t>
      </w:r>
    </w:p>
    <w:p w14:paraId="0E9433C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九、本规定由工业和信息化部、国家统计局会同有关部门负责解释。</w:t>
      </w:r>
    </w:p>
    <w:p w14:paraId="0B131A90">
      <w:pPr>
        <w:pStyle w:val="19"/>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十、本规定自发布之日起执行，原国家经贸委、原国家计委、财政部和国家统计局2003年颁布的《中小企业标准暂行规定》同时废止。</w:t>
      </w:r>
    </w:p>
    <w:p w14:paraId="31F7D242">
      <w:pPr>
        <w:pStyle w:val="19"/>
        <w:ind w:firstLine="420"/>
        <w:rPr>
          <w:rFonts w:asciiTheme="majorEastAsia" w:hAnsiTheme="majorEastAsia" w:eastAsiaTheme="majorEastAsia" w:cstheme="majorEastAsia"/>
          <w:sz w:val="21"/>
          <w:szCs w:val="21"/>
        </w:rPr>
      </w:pPr>
    </w:p>
    <w:p w14:paraId="1D7ED1C9">
      <w:pPr>
        <w:pStyle w:val="2"/>
        <w:spacing w:before="0" w:after="0" w:line="360" w:lineRule="auto"/>
        <w:jc w:val="center"/>
        <w:rPr>
          <w:rFonts w:asciiTheme="majorEastAsia" w:hAnsiTheme="majorEastAsia" w:eastAsiaTheme="majorEastAsia" w:cstheme="majorEastAsia"/>
        </w:rPr>
      </w:pPr>
      <w:bookmarkStart w:id="48" w:name="_Toc74320802"/>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第三章  投标人须知</w:t>
      </w:r>
      <w:bookmarkEnd w:id="48"/>
    </w:p>
    <w:p w14:paraId="118C2D97">
      <w:pPr>
        <w:jc w:val="center"/>
        <w:rPr>
          <w:rFonts w:asciiTheme="majorEastAsia" w:hAnsiTheme="majorEastAsia" w:eastAsiaTheme="majorEastAsia" w:cstheme="majorEastAsia"/>
          <w:sz w:val="36"/>
          <w:szCs w:val="36"/>
        </w:rPr>
      </w:pPr>
      <w:bookmarkStart w:id="49" w:name="_Toc254970526"/>
      <w:bookmarkStart w:id="50" w:name="_Toc254970667"/>
      <w:r>
        <w:rPr>
          <w:rFonts w:hint="eastAsia" w:asciiTheme="majorEastAsia" w:hAnsiTheme="majorEastAsia" w:eastAsiaTheme="majorEastAsia" w:cstheme="majorEastAsia"/>
          <w:sz w:val="36"/>
          <w:szCs w:val="36"/>
        </w:rPr>
        <w:t>投标人须知前附表</w:t>
      </w:r>
      <w:bookmarkEnd w:id="49"/>
      <w:bookmarkEnd w:id="50"/>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B34F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4A74EF">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5228EDF0">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编列内容</w:t>
            </w:r>
          </w:p>
        </w:tc>
      </w:tr>
      <w:tr w14:paraId="31BB3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65ACCE">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78198DC7">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1.投标人的资格要求详见招标公告。</w:t>
            </w:r>
          </w:p>
          <w:p w14:paraId="511ACC0E">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2.投标人出现下列情形之一的，不得参加政府采购活动：</w:t>
            </w:r>
          </w:p>
          <w:p w14:paraId="7AA8ECCC">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752BA80">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DC7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E5AFBD">
            <w:pPr>
              <w:spacing w:line="360" w:lineRule="auto"/>
              <w:jc w:val="center"/>
              <w:rPr>
                <w:rFonts w:asciiTheme="majorEastAsia" w:hAnsiTheme="majorEastAsia" w:eastAsiaTheme="majorEastAsia" w:cstheme="majorEastAsia"/>
                <w:szCs w:val="21"/>
              </w:rPr>
            </w:pPr>
            <w:bookmarkStart w:id="51" w:name="_8.1"/>
            <w:bookmarkEnd w:id="51"/>
            <w:bookmarkStart w:id="52" w:name="_5"/>
            <w:bookmarkEnd w:id="52"/>
            <w:bookmarkStart w:id="53" w:name="_9.2"/>
            <w:bookmarkEnd w:id="53"/>
            <w:r>
              <w:rPr>
                <w:rFonts w:hint="eastAsia" w:asciiTheme="majorEastAsia" w:hAnsiTheme="majorEastAsia" w:eastAsiaTheme="majorEastAsia" w:cstheme="majorEastAsia"/>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9122835">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本项目是否接受联合体投标：详见招标公告。</w:t>
            </w:r>
          </w:p>
        </w:tc>
      </w:tr>
      <w:tr w14:paraId="70C9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CBA94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CA2A21">
            <w:pPr>
              <w:pStyle w:val="17"/>
              <w:spacing w:line="360" w:lineRule="auto"/>
              <w:rPr>
                <w:rFonts w:asciiTheme="majorEastAsia" w:hAnsiTheme="majorEastAsia" w:eastAsiaTheme="majorEastAsia" w:cstheme="majorEastAsia"/>
                <w:szCs w:val="21"/>
              </w:rPr>
            </w:pPr>
            <w:bookmarkStart w:id="54" w:name="_Hlk54105293"/>
            <w:r>
              <w:rPr>
                <w:rFonts w:hint="eastAsia" w:asciiTheme="majorEastAsia" w:hAnsiTheme="majorEastAsia" w:eastAsiaTheme="majorEastAsia" w:cstheme="majorEastAsia"/>
                <w:szCs w:val="21"/>
              </w:rPr>
              <w:t>如接受联合体投标，</w:t>
            </w:r>
            <w:bookmarkEnd w:id="54"/>
            <w:r>
              <w:rPr>
                <w:rFonts w:hint="eastAsia" w:asciiTheme="majorEastAsia" w:hAnsiTheme="majorEastAsia" w:eastAsiaTheme="majorEastAsia" w:cstheme="majorEastAsia"/>
                <w:szCs w:val="21"/>
              </w:rPr>
              <w:t>联合体投标要求如下：/</w:t>
            </w:r>
          </w:p>
        </w:tc>
      </w:tr>
      <w:tr w14:paraId="443D2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C0967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6ADFD92C">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☑不允许分包</w:t>
            </w:r>
          </w:p>
          <w:p w14:paraId="44123863">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□允许分包</w:t>
            </w:r>
          </w:p>
          <w:p w14:paraId="79124A0C">
            <w:pPr>
              <w:pStyle w:val="17"/>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分包内容：</w:t>
            </w:r>
            <w:r>
              <w:rPr>
                <w:rFonts w:hint="eastAsia" w:asciiTheme="majorEastAsia" w:hAnsiTheme="majorEastAsia" w:eastAsiaTheme="majorEastAsia" w:cstheme="majorEastAsia"/>
                <w:szCs w:val="21"/>
                <w:u w:val="single"/>
              </w:rPr>
              <w:t xml:space="preserve">                                     。</w:t>
            </w:r>
          </w:p>
          <w:p w14:paraId="3332D6A5">
            <w:pPr>
              <w:pStyle w:val="17"/>
              <w:spacing w:line="360" w:lineRule="auto"/>
              <w:jc w:val="both"/>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分包金额或者比例：</w:t>
            </w:r>
            <w:r>
              <w:rPr>
                <w:rFonts w:hint="eastAsia" w:asciiTheme="majorEastAsia" w:hAnsiTheme="majorEastAsia" w:eastAsiaTheme="majorEastAsia" w:cstheme="majorEastAsia"/>
                <w:szCs w:val="21"/>
                <w:u w:val="single"/>
              </w:rPr>
              <w:t xml:space="preserve">                                     。</w:t>
            </w:r>
          </w:p>
        </w:tc>
      </w:tr>
      <w:tr w14:paraId="6809A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01622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7DA6103C">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采用最低评标价法的采购项目，提供相同品牌产品（非单一产品采购项目的，指核心产品）的不同投标人评标报价相同时，按照下列方式确定一个投标人获得中标人推荐资格：</w:t>
            </w:r>
          </w:p>
          <w:p w14:paraId="33FF653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□依次按投标报价低的优先、带“▲”的实质性要求正偏离项数多的优先、均无正偏离或者正偏离项数一致时负偏离项数少的优先、质保期长优先、交货期短优先、故障响应时间短优先的顺序推荐。</w:t>
            </w:r>
          </w:p>
          <w:p w14:paraId="64D9A46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p w14:paraId="196767E4">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提供相同品牌产品（非单一产品采购项目的，指核心产品）的不同投标人评审得分相同时，按照下列方式确定一个投标人获得中标人推荐资格：</w:t>
            </w:r>
          </w:p>
          <w:p w14:paraId="2A88AFE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☑依次按投标报价低的优先、政策分得分高的优先、技术评分高的优先、商务评分高的优先、质保期长优先、交货期短优先、故障响应时间短优先的顺序推荐；</w:t>
            </w:r>
          </w:p>
          <w:p w14:paraId="4D804F17">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579D2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52BFB3F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4357803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☑不组织现场考察</w:t>
            </w:r>
          </w:p>
          <w:p w14:paraId="0CC7C97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□组织现场考察：</w:t>
            </w:r>
          </w:p>
          <w:p w14:paraId="1FC99EBD">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集中时间：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，逾期后果自负。集中地点：</w:t>
            </w:r>
          </w:p>
          <w:p w14:paraId="60B1B769">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联系人：；联系电话：</w:t>
            </w:r>
          </w:p>
        </w:tc>
      </w:tr>
      <w:tr w14:paraId="33A0E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2BF115A4">
            <w:pPr>
              <w:spacing w:line="360" w:lineRule="auto"/>
              <w:jc w:val="center"/>
              <w:rPr>
                <w:rFonts w:asciiTheme="majorEastAsia" w:hAnsiTheme="majorEastAsia" w:eastAsiaTheme="majorEastAsia" w:cstheme="majorEastAsia"/>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2E1DF31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☑不组织召开开标前答疑会</w:t>
            </w:r>
          </w:p>
          <w:p w14:paraId="038950E0">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□组织召开开标前答疑会  </w:t>
            </w:r>
          </w:p>
          <w:p w14:paraId="1C781FB1">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会议开始时间：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，逾期后果自负。会议地点：</w:t>
            </w:r>
          </w:p>
        </w:tc>
      </w:tr>
      <w:tr w14:paraId="61F7E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3EA78566">
            <w:pPr>
              <w:spacing w:line="360" w:lineRule="auto"/>
              <w:jc w:val="center"/>
              <w:rPr>
                <w:rFonts w:asciiTheme="majorEastAsia" w:hAnsiTheme="majorEastAsia" w:eastAsiaTheme="majorEastAsia" w:cstheme="majorEastAsia"/>
                <w:szCs w:val="21"/>
              </w:rPr>
            </w:pPr>
            <w:bookmarkStart w:id="55" w:name="_13.1"/>
            <w:bookmarkEnd w:id="55"/>
            <w:r>
              <w:rPr>
                <w:rFonts w:hint="eastAsia" w:asciiTheme="majorEastAsia" w:hAnsiTheme="majorEastAsia" w:eastAsiaTheme="majorEastAsia" w:cstheme="majorEastAsia"/>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1F750784">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报价文件：</w:t>
            </w:r>
          </w:p>
          <w:p w14:paraId="078F7F0E">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1.投标函（格式后附）；</w:t>
            </w:r>
            <w:r>
              <w:rPr>
                <w:rFonts w:hint="eastAsia" w:asciiTheme="majorEastAsia" w:hAnsiTheme="majorEastAsia" w:eastAsiaTheme="majorEastAsia" w:cstheme="majorEastAsia"/>
                <w:b/>
                <w:szCs w:val="21"/>
              </w:rPr>
              <w:t>（必须提供，否则按无效投标处理）</w:t>
            </w:r>
          </w:p>
          <w:p w14:paraId="2D71509A">
            <w:pPr>
              <w:tabs>
                <w:tab w:val="left" w:pos="459"/>
              </w:tabs>
              <w:snapToGrid w:val="0"/>
              <w:spacing w:line="360" w:lineRule="auto"/>
              <w:ind w:left="420"/>
              <w:jc w:val="left"/>
              <w:rPr>
                <w:rFonts w:asciiTheme="majorEastAsia" w:hAnsiTheme="majorEastAsia" w:eastAsiaTheme="majorEastAsia" w:cstheme="majorEastAsia"/>
                <w:szCs w:val="21"/>
              </w:rPr>
            </w:pPr>
            <w:bookmarkStart w:id="56" w:name="_Hlk71299233"/>
            <w:r>
              <w:rPr>
                <w:rFonts w:hint="eastAsia" w:asciiTheme="majorEastAsia" w:hAnsiTheme="majorEastAsia" w:eastAsiaTheme="majorEastAsia" w:cstheme="majorEastAsia"/>
                <w:szCs w:val="21"/>
              </w:rPr>
              <w:t>2.开标一览表</w:t>
            </w:r>
            <w:bookmarkEnd w:id="56"/>
            <w:r>
              <w:rPr>
                <w:rFonts w:hint="eastAsia" w:asciiTheme="majorEastAsia" w:hAnsiTheme="majorEastAsia" w:eastAsiaTheme="majorEastAsia" w:cstheme="majorEastAsia"/>
                <w:szCs w:val="21"/>
              </w:rPr>
              <w:t>（格式后附）； （</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4CA13D5">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3.投标人针对报价需要说明的其他文件和说明（格式自拟）。</w:t>
            </w:r>
          </w:p>
          <w:p w14:paraId="5451152A">
            <w:pPr>
              <w:snapToGrid w:val="0"/>
              <w:spacing w:line="360" w:lineRule="auto"/>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注：</w:t>
            </w:r>
            <w:r>
              <w:rPr>
                <w:rFonts w:hint="eastAsia" w:asciiTheme="majorEastAsia" w:hAnsiTheme="majorEastAsia" w:eastAsiaTheme="majorEastAsia" w:cstheme="majorEastAsia"/>
                <w:b/>
                <w:bCs/>
                <w:szCs w:val="21"/>
              </w:rPr>
              <w:t>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 xml:space="preserve">处理。 </w:t>
            </w:r>
          </w:p>
        </w:tc>
      </w:tr>
      <w:tr w14:paraId="6A2D5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3" w:hRule="atLeast"/>
        </w:trPr>
        <w:tc>
          <w:tcPr>
            <w:tcW w:w="895" w:type="dxa"/>
            <w:vMerge w:val="continue"/>
            <w:tcBorders>
              <w:left w:val="single" w:color="auto" w:sz="4" w:space="0"/>
              <w:right w:val="single" w:color="auto" w:sz="4" w:space="0"/>
            </w:tcBorders>
            <w:vAlign w:val="center"/>
          </w:tcPr>
          <w:p w14:paraId="13E605D7">
            <w:pPr>
              <w:spacing w:line="360" w:lineRule="auto"/>
              <w:rPr>
                <w:rFonts w:asciiTheme="majorEastAsia" w:hAnsiTheme="majorEastAsia" w:eastAsiaTheme="majorEastAsia" w:cstheme="majorEastAsia"/>
                <w:szCs w:val="21"/>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15C40E7B">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资格证明文件</w:t>
            </w:r>
          </w:p>
          <w:p w14:paraId="05F16D44">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1.投标人为法人或者其他组织的，提供营业执照等证明文件（如营业执照或者事业单位法人证书或者执业许可证或者登记证书等），投标人为自然人的，提供身份证复印件；（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4DA8FE2">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2.投标人依法缴纳税收的相关材料（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个月的依法缴纳税收的</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复印件；依法免税的供应商，</w:t>
            </w:r>
            <w:r>
              <w:rPr>
                <w:rFonts w:hint="eastAsia" w:asciiTheme="majorEastAsia" w:hAnsiTheme="majorEastAsia" w:eastAsiaTheme="majorEastAsia" w:cstheme="majorEastAsia"/>
              </w:rPr>
              <w:t>必须提供符合免税条件的证明材料</w:t>
            </w:r>
            <w:r>
              <w:rPr>
                <w:rFonts w:hint="eastAsia" w:asciiTheme="majorEastAsia" w:hAnsiTheme="majorEastAsia" w:eastAsiaTheme="majorEastAsia" w:cstheme="majorEastAsia"/>
                <w:szCs w:val="21"/>
              </w:rPr>
              <w:t>。从成立之日起到投标文件提交截止时间止不足要求月数的，只需提供从成立之日起的依法缴纳税收相应证明文件）；（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11B298A">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3.投标人依法缴纳社会保障资金的相关材料[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rPr>
              <w:t>个月的依法缴纳社会保障资金的缴费</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如：</w:t>
            </w:r>
            <w:r>
              <w:rPr>
                <w:rFonts w:hint="eastAsia" w:asciiTheme="majorEastAsia" w:hAnsiTheme="majorEastAsia" w:eastAsiaTheme="majorEastAsia" w:cstheme="majorEastAsia"/>
                <w:szCs w:val="21"/>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154CB876">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4.投标人财务状况报告[</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4</w:t>
            </w:r>
            <w:r>
              <w:rPr>
                <w:rFonts w:hint="eastAsia" w:asciiTheme="majorEastAsia" w:hAnsiTheme="majorEastAsia" w:eastAsiaTheme="majorEastAsia" w:cstheme="majorEastAsia"/>
                <w:szCs w:val="21"/>
              </w:rPr>
              <w:t>年度财务报表复印件，或者银行出具的资信证明，或者中国人民银行征信中心出具的信用报告（企业投标的提供企业信用报告，自然人投标的提供个人信用报告</w:t>
            </w:r>
            <w:r>
              <w:rPr>
                <w:rFonts w:hint="eastAsia" w:asciiTheme="majorEastAsia" w:hAnsiTheme="majorEastAsia" w:eastAsiaTheme="majorEastAsia" w:cstheme="majorEastAsia"/>
              </w:rPr>
              <w:t>，投标人属于成立时间在规定年度之后的法人或其他组织，需提供成立之日起至投标截止时间前的月报表</w:t>
            </w:r>
            <w:r>
              <w:rPr>
                <w:rFonts w:hint="eastAsia" w:asciiTheme="majorEastAsia" w:hAnsiTheme="majorEastAsia" w:eastAsiaTheme="majorEastAsia" w:cstheme="majorEastAsia"/>
                <w:szCs w:val="21"/>
              </w:rPr>
              <w:t>或银行出具的资信证明或者中国人民银行征信中心出具的企业信用报告；资信证明应在有效期内，未注明有效期的，银行出具时间至投标截止时间不超过一年]；（</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8201E44">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5.投标人直接控股股东信息表（格式后附）；（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744FD8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6.投标人直接管理关系信息表（格式后附）；（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3806D92C">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7.投标声明（格式后附）；（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036CCE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8.本项目特定资格：（</w:t>
            </w:r>
            <w:r>
              <w:rPr>
                <w:rFonts w:hint="eastAsia" w:asciiTheme="majorEastAsia" w:hAnsiTheme="majorEastAsia" w:eastAsiaTheme="majorEastAsia" w:cstheme="majorEastAsia"/>
                <w:b/>
                <w:bCs/>
                <w:szCs w:val="21"/>
              </w:rPr>
              <w:t>必须提供，否则投标文件按无效处理</w:t>
            </w:r>
            <w:r>
              <w:rPr>
                <w:rFonts w:hint="eastAsia" w:asciiTheme="majorEastAsia" w:hAnsiTheme="majorEastAsia" w:eastAsiaTheme="majorEastAsia" w:cstheme="majorEastAsia"/>
                <w:szCs w:val="21"/>
              </w:rPr>
              <w:t>）</w:t>
            </w:r>
          </w:p>
          <w:p w14:paraId="544964C3">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标的属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2E0A7C34">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标的属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2CCD5B7">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（3）标的有第二类和第三类医疗器械的，应按上述（1）（2）要求提供。</w:t>
            </w:r>
          </w:p>
          <w:p w14:paraId="25C25B0B">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9.除招标文件规定必须提供以外，投标人认为需要提供的其他证明材料。</w:t>
            </w:r>
          </w:p>
          <w:p w14:paraId="3109C6BD">
            <w:pPr>
              <w:snapToGrid w:val="0"/>
              <w:spacing w:line="360" w:lineRule="auto"/>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4FD2D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F9B3CFC">
            <w:pPr>
              <w:spacing w:line="360" w:lineRule="auto"/>
              <w:rPr>
                <w:rFonts w:asciiTheme="majorEastAsia" w:hAnsiTheme="majorEastAsia" w:eastAsiaTheme="majorEastAsia" w:cstheme="majorEastAsia"/>
                <w:szCs w:val="21"/>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vAlign w:val="center"/>
          </w:tcPr>
          <w:p w14:paraId="176122C2">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kern w:val="0"/>
              </w:rPr>
              <w:t>商务及技术文件</w:t>
            </w:r>
            <w:r>
              <w:rPr>
                <w:rFonts w:hint="eastAsia" w:asciiTheme="majorEastAsia" w:hAnsiTheme="majorEastAsia" w:eastAsiaTheme="majorEastAsia" w:cstheme="majorEastAsia"/>
                <w:b/>
                <w:szCs w:val="21"/>
              </w:rPr>
              <w:t>：</w:t>
            </w:r>
          </w:p>
          <w:p w14:paraId="778C982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1.无串通投标行为的承诺函（格式后附）；（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7A0AAB9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2.法定代表人身份证明及法定代表人有效身份证正反面复印件（格式后附）；（</w:t>
            </w:r>
            <w:r>
              <w:rPr>
                <w:rFonts w:hint="eastAsia" w:asciiTheme="majorEastAsia" w:hAnsiTheme="majorEastAsia" w:eastAsiaTheme="majorEastAsia" w:cstheme="majorEastAsia"/>
                <w:b/>
                <w:bCs/>
                <w:szCs w:val="21"/>
              </w:rPr>
              <w:t>除自然人投标外</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28B399C">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3.授权委托书及委托代理人有效身份证正反面复印件（格式后附）；（</w:t>
            </w:r>
            <w:r>
              <w:rPr>
                <w:rFonts w:hint="eastAsia" w:asciiTheme="majorEastAsia" w:hAnsiTheme="majorEastAsia" w:eastAsiaTheme="majorEastAsia" w:cstheme="majorEastAsia"/>
                <w:b/>
                <w:szCs w:val="21"/>
              </w:rPr>
              <w:t>委托时必须提供，否则按无效投标处理</w:t>
            </w:r>
            <w:r>
              <w:rPr>
                <w:rFonts w:hint="eastAsia" w:asciiTheme="majorEastAsia" w:hAnsiTheme="majorEastAsia" w:eastAsiaTheme="majorEastAsia" w:cstheme="majorEastAsia"/>
                <w:szCs w:val="21"/>
              </w:rPr>
              <w:t>）</w:t>
            </w:r>
          </w:p>
          <w:p w14:paraId="5D4878A6">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4.商务要求偏离表（格式后附）；（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2B3B3A47">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5.代理服务费承诺书（格式后附）；</w:t>
            </w:r>
          </w:p>
          <w:p w14:paraId="5BC3113B">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76F5F47E">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7.售后服务方案（格式自拟）；</w:t>
            </w:r>
          </w:p>
          <w:p w14:paraId="53B3F4F6">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8.项目实施方案（格式自拟）；</w:t>
            </w:r>
          </w:p>
          <w:p w14:paraId="6AC49DC0">
            <w:pPr>
              <w:snapToGrid w:val="0"/>
              <w:spacing w:line="360" w:lineRule="auto"/>
              <w:ind w:left="42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9.技术培训方案（格式自拟）；</w:t>
            </w:r>
          </w:p>
          <w:p w14:paraId="615D07B1">
            <w:pPr>
              <w:snapToGrid w:val="0"/>
              <w:spacing w:line="360" w:lineRule="auto"/>
              <w:ind w:left="42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10.中小企业声明函；（如有，请提供）</w:t>
            </w:r>
          </w:p>
          <w:p w14:paraId="12128B86">
            <w:pPr>
              <w:snapToGrid w:val="0"/>
              <w:spacing w:line="360" w:lineRule="auto"/>
              <w:ind w:left="42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rPr>
              <w:t>.除招标文件规定必须提供以外，投标人认为需要提供的其他证明材料（格式自拟）。</w:t>
            </w:r>
          </w:p>
          <w:p w14:paraId="471D5624">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（投标人根据“第二章 采购需求”及“第四章 评标方法及评标标准”提供有关证明材料）。</w:t>
            </w:r>
          </w:p>
          <w:p w14:paraId="1CAD9AC2">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7F9A9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8E1A4C">
            <w:pPr>
              <w:spacing w:line="360" w:lineRule="auto"/>
              <w:jc w:val="center"/>
              <w:rPr>
                <w:rFonts w:asciiTheme="majorEastAsia" w:hAnsiTheme="majorEastAsia" w:eastAsiaTheme="majorEastAsia" w:cstheme="majorEastAsia"/>
                <w:szCs w:val="21"/>
              </w:rPr>
            </w:pPr>
            <w:bookmarkStart w:id="59" w:name="_13.5"/>
            <w:bookmarkEnd w:id="59"/>
            <w:bookmarkStart w:id="60" w:name="_16.2"/>
            <w:bookmarkEnd w:id="60"/>
            <w:bookmarkStart w:id="61" w:name="_13.4"/>
            <w:bookmarkEnd w:id="61"/>
            <w:r>
              <w:rPr>
                <w:rFonts w:hint="eastAsia" w:asciiTheme="majorEastAsia" w:hAnsiTheme="majorEastAsia" w:eastAsiaTheme="majorEastAsia" w:cstheme="majorEastAsia"/>
                <w:szCs w:val="21"/>
              </w:rPr>
              <w:t>16</w:t>
            </w:r>
            <w:bookmarkStart w:id="62" w:name="_Hlt19194066"/>
            <w:bookmarkStart w:id="63" w:name="_Hlt19194067"/>
            <w:bookmarkStart w:id="64" w:name="_Hlt19693759"/>
            <w:bookmarkStart w:id="65" w:name="_Hlt19693758"/>
            <w:r>
              <w:rPr>
                <w:rFonts w:hint="eastAsia" w:asciiTheme="majorEastAsia" w:hAnsiTheme="majorEastAsia" w:eastAsiaTheme="majorEastAsia" w:cstheme="majorEastAsia"/>
                <w:szCs w:val="21"/>
              </w:rPr>
              <w:t>.</w:t>
            </w:r>
            <w:bookmarkEnd w:id="62"/>
            <w:bookmarkEnd w:id="63"/>
            <w:bookmarkEnd w:id="64"/>
            <w:bookmarkEnd w:id="65"/>
            <w:r>
              <w:rPr>
                <w:rFonts w:hint="eastAsia" w:asciiTheme="majorEastAsia" w:hAnsiTheme="majorEastAsia" w:eastAsiaTheme="majorEastAsia" w:cstheme="majorEastAsia"/>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31056EDC">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00688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C1B402">
            <w:pPr>
              <w:spacing w:line="360" w:lineRule="auto"/>
              <w:jc w:val="center"/>
              <w:rPr>
                <w:rFonts w:asciiTheme="majorEastAsia" w:hAnsiTheme="majorEastAsia" w:eastAsiaTheme="majorEastAsia" w:cstheme="majorEastAsia"/>
                <w:szCs w:val="21"/>
              </w:rPr>
            </w:pPr>
            <w:bookmarkStart w:id="66" w:name="_17.1"/>
            <w:bookmarkEnd w:id="66"/>
            <w:r>
              <w:rPr>
                <w:rFonts w:hint="eastAsia" w:asciiTheme="majorEastAsia" w:hAnsiTheme="majorEastAsia" w:eastAsiaTheme="majorEastAsia" w:cstheme="majorEastAsia"/>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2087049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投标有效期：自投标截止之日起</w:t>
            </w:r>
            <w:r>
              <w:rPr>
                <w:rFonts w:hint="eastAsia" w:asciiTheme="majorEastAsia" w:hAnsiTheme="majorEastAsia" w:eastAsiaTheme="majorEastAsia" w:cstheme="majorEastAsia"/>
                <w:szCs w:val="21"/>
                <w:u w:val="single"/>
              </w:rPr>
              <w:t>120</w:t>
            </w:r>
            <w:r>
              <w:rPr>
                <w:rFonts w:hint="eastAsia" w:asciiTheme="majorEastAsia" w:hAnsiTheme="majorEastAsia" w:eastAsiaTheme="majorEastAsia" w:cstheme="majorEastAsia"/>
                <w:szCs w:val="21"/>
              </w:rPr>
              <w:t>日。</w:t>
            </w:r>
          </w:p>
        </w:tc>
      </w:tr>
      <w:tr w14:paraId="7FBB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CBD3E2">
            <w:pPr>
              <w:spacing w:line="360" w:lineRule="auto"/>
              <w:jc w:val="center"/>
              <w:rPr>
                <w:rFonts w:asciiTheme="majorEastAsia" w:hAnsiTheme="majorEastAsia" w:eastAsiaTheme="majorEastAsia" w:cstheme="majorEastAsia"/>
                <w:szCs w:val="21"/>
              </w:rPr>
            </w:pPr>
            <w:bookmarkStart w:id="67" w:name="_18"/>
            <w:bookmarkEnd w:id="67"/>
            <w:r>
              <w:rPr>
                <w:rFonts w:hint="eastAsia" w:asciiTheme="majorEastAsia" w:hAnsiTheme="majorEastAsia" w:eastAsiaTheme="majorEastAsia" w:cstheme="majorEastAsia"/>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14FC7113">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本项目不收取投标保证金。</w:t>
            </w:r>
          </w:p>
        </w:tc>
      </w:tr>
      <w:tr w14:paraId="603BC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F061655">
            <w:pPr>
              <w:spacing w:line="360" w:lineRule="auto"/>
              <w:jc w:val="center"/>
              <w:rPr>
                <w:rFonts w:asciiTheme="majorEastAsia" w:hAnsiTheme="majorEastAsia" w:eastAsiaTheme="majorEastAsia" w:cstheme="majorEastAsia"/>
                <w:szCs w:val="21"/>
              </w:rPr>
            </w:pPr>
            <w:bookmarkStart w:id="68" w:name="_19.2"/>
            <w:bookmarkEnd w:id="68"/>
            <w:r>
              <w:rPr>
                <w:rFonts w:hint="eastAsia" w:asciiTheme="majorEastAsia" w:hAnsiTheme="majorEastAsia" w:eastAsiaTheme="majorEastAsia" w:cstheme="majorEastAsia"/>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A62C2C9">
            <w:pPr>
              <w:autoSpaceDE w:val="0"/>
              <w:autoSpaceDN w:val="0"/>
              <w:adjustRightIn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☑本项目不接受</w:t>
            </w: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p>
          <w:p w14:paraId="5EC936D0">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本项目接受电子备份投标文件。</w:t>
            </w:r>
          </w:p>
          <w:p w14:paraId="2FE94580">
            <w:pPr>
              <w:autoSpaceDE w:val="0"/>
              <w:autoSpaceDN w:val="0"/>
              <w:adjustRightInd w:val="0"/>
              <w:spacing w:line="360" w:lineRule="auto"/>
              <w:ind w:firstLine="420" w:firstLineChars="200"/>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r>
              <w:rPr>
                <w:rFonts w:hint="eastAsia" w:asciiTheme="majorEastAsia" w:hAnsiTheme="majorEastAsia" w:eastAsiaTheme="majorEastAsia" w:cstheme="majorEastAsia"/>
              </w:rPr>
              <w:t>提交方式：投标人可以在投标截止时间前采用以下种方式向采购代理机构提交电子备份投标文件：</w:t>
            </w:r>
          </w:p>
          <w:p w14:paraId="79E09938">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（1）现场提交方式，应采用U盘进行存储，提交地址：；提交截止时间：；外包装上注明投标人名称、项目名称及项目编号（外包装不作密封要求）。</w:t>
            </w:r>
          </w:p>
          <w:p w14:paraId="60CFECEC">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（2）电子邮件方式，接收电子备份投标文件的电子邮箱为：。</w:t>
            </w:r>
          </w:p>
          <w:p w14:paraId="3EA0768A">
            <w:pPr>
              <w:pStyle w:val="17"/>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（3）邮寄方式，应采用U盘进行存储，邮寄地址：，截止接收时间：，</w:t>
            </w:r>
          </w:p>
          <w:p w14:paraId="2911F9DE">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 xml:space="preserve">收件人：，联系方式：；外包装上注明投标人名称、项目名称及项目编号（外包装不作密封要求）。 </w:t>
            </w:r>
          </w:p>
          <w:p w14:paraId="48144F16">
            <w:pPr>
              <w:autoSpaceDE w:val="0"/>
              <w:autoSpaceDN w:val="0"/>
              <w:snapToGrid w:val="0"/>
              <w:spacing w:line="360" w:lineRule="auto"/>
              <w:ind w:firstLine="420" w:firstLineChars="200"/>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Theme="majorEastAsia" w:hAnsiTheme="majorEastAsia" w:eastAsiaTheme="majorEastAsia" w:cstheme="majorEastAsia"/>
                <w:b/>
              </w:rPr>
              <w:t>投标人的投标文件作无效处理</w:t>
            </w:r>
            <w:r>
              <w:rPr>
                <w:rFonts w:hint="eastAsia" w:asciiTheme="majorEastAsia" w:hAnsiTheme="majorEastAsia" w:eastAsiaTheme="majorEastAsia" w:cstheme="majorEastAsia"/>
              </w:rPr>
              <w:t>。</w:t>
            </w:r>
          </w:p>
        </w:tc>
      </w:tr>
      <w:tr w14:paraId="0B09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1D6DA465">
            <w:pPr>
              <w:spacing w:line="360" w:lineRule="auto"/>
              <w:jc w:val="center"/>
              <w:rPr>
                <w:rFonts w:asciiTheme="majorEastAsia" w:hAnsiTheme="majorEastAsia" w:eastAsiaTheme="majorEastAsia" w:cstheme="majorEastAsia"/>
                <w:szCs w:val="21"/>
              </w:rPr>
            </w:pPr>
            <w:bookmarkStart w:id="69" w:name="_21.1"/>
            <w:bookmarkEnd w:id="69"/>
            <w:r>
              <w:rPr>
                <w:rFonts w:hint="eastAsia" w:asciiTheme="majorEastAsia" w:hAnsiTheme="majorEastAsia" w:eastAsiaTheme="majorEastAsia" w:cstheme="majorEastAsia"/>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6D4EBB6F">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1.提交投标文件截止时间：详见招标公告</w:t>
            </w:r>
          </w:p>
          <w:p w14:paraId="17D80A9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2.投标地点：详见招标公告</w:t>
            </w:r>
          </w:p>
        </w:tc>
      </w:tr>
      <w:tr w14:paraId="22142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620C4AB">
            <w:pPr>
              <w:spacing w:line="360" w:lineRule="auto"/>
              <w:jc w:val="center"/>
              <w:rPr>
                <w:rFonts w:asciiTheme="majorEastAsia" w:hAnsiTheme="majorEastAsia" w:eastAsiaTheme="majorEastAsia" w:cstheme="majorEastAsia"/>
                <w:szCs w:val="21"/>
              </w:rPr>
            </w:pPr>
            <w:bookmarkStart w:id="70" w:name="_23"/>
            <w:bookmarkEnd w:id="70"/>
            <w:r>
              <w:rPr>
                <w:rFonts w:hint="eastAsia" w:asciiTheme="majorEastAsia" w:hAnsiTheme="majorEastAsia" w:eastAsiaTheme="majorEastAsia" w:cstheme="majorEastAsia"/>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697350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1.开标时间：详见招标公告</w:t>
            </w:r>
          </w:p>
          <w:p w14:paraId="5B993F59">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2.开标地点：详见招标公告</w:t>
            </w:r>
          </w:p>
        </w:tc>
      </w:tr>
      <w:tr w14:paraId="4F3AD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8D0A4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6417255C">
            <w:pPr>
              <w:snapToGrid w:val="0"/>
              <w:spacing w:line="360" w:lineRule="auto"/>
              <w:rPr>
                <w:rFonts w:asciiTheme="majorEastAsia" w:hAnsiTheme="majorEastAsia" w:eastAsiaTheme="majorEastAsia" w:cstheme="majorEastAsia"/>
                <w:u w:val="single"/>
              </w:rPr>
            </w:pPr>
            <w:r>
              <w:rPr>
                <w:rFonts w:hint="eastAsia" w:asciiTheme="majorEastAsia" w:hAnsiTheme="majorEastAsia" w:eastAsiaTheme="majorEastAsia" w:cstheme="majorEastAsia"/>
              </w:rPr>
              <w:t>电子投标文件解密时间：</w:t>
            </w:r>
            <w:r>
              <w:rPr>
                <w:rFonts w:hint="eastAsia" w:asciiTheme="majorEastAsia" w:hAnsiTheme="majorEastAsia" w:eastAsiaTheme="majorEastAsia" w:cstheme="majorEastAsia"/>
                <w:u w:val="single"/>
              </w:rPr>
              <w:t xml:space="preserve">30 </w:t>
            </w:r>
            <w:r>
              <w:rPr>
                <w:rFonts w:hint="eastAsia" w:asciiTheme="majorEastAsia" w:hAnsiTheme="majorEastAsia" w:eastAsiaTheme="majorEastAsia" w:cstheme="majorEastAsia"/>
              </w:rPr>
              <w:t>分钟</w:t>
            </w:r>
          </w:p>
        </w:tc>
      </w:tr>
      <w:tr w14:paraId="11CC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EC8C1E4">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3BB24C56">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rPr>
              <w:t>宣布的内容：投标人名称、投标价格</w:t>
            </w:r>
          </w:p>
        </w:tc>
      </w:tr>
      <w:tr w14:paraId="1BD49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6DA7A6">
            <w:pPr>
              <w:spacing w:line="360" w:lineRule="auto"/>
              <w:jc w:val="center"/>
              <w:rPr>
                <w:rFonts w:asciiTheme="majorEastAsia" w:hAnsiTheme="majorEastAsia" w:eastAsiaTheme="majorEastAsia" w:cstheme="majorEastAsia"/>
                <w:szCs w:val="21"/>
              </w:rPr>
            </w:pPr>
            <w:bookmarkStart w:id="71" w:name="_25.3"/>
            <w:bookmarkEnd w:id="71"/>
            <w:r>
              <w:rPr>
                <w:rFonts w:hint="eastAsia" w:asciiTheme="majorEastAsia" w:hAnsiTheme="majorEastAsia" w:eastAsiaTheme="majorEastAsia" w:cstheme="majorEastAsia"/>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440E0C74">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采购人或者采购代理机构在资格审查结束前，对投标人进行信用查询。</w:t>
            </w:r>
          </w:p>
          <w:p w14:paraId="13B2104B">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查询渠道：“信用中国”网站（www.creditchina.gov.cn）、中国政府采购网（www.ccgp.gov.cn）。</w:t>
            </w:r>
          </w:p>
          <w:p w14:paraId="402A32C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信用查询截止时点：资格审查结束前</w:t>
            </w:r>
          </w:p>
          <w:p w14:paraId="0CACBF12">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查询记录和证据留存方式：在查询网站中直接截图查询记录，截图作为在广西政府采购云平台（https://www.gcy.zfcg.gxzf.gov.cn/）作为附件上传保存。</w:t>
            </w:r>
          </w:p>
          <w:p w14:paraId="0A8518C5">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Theme="majorEastAsia" w:hAnsiTheme="majorEastAsia" w:eastAsiaTheme="majorEastAsia" w:cstheme="majorEastAsia"/>
                <w:sz w:val="22"/>
                <w:szCs w:val="22"/>
              </w:rPr>
              <w:t>应当拒绝其参与政府采购活动</w:t>
            </w:r>
            <w:r>
              <w:rPr>
                <w:rFonts w:hint="eastAsia" w:asciiTheme="majorEastAsia" w:hAnsiTheme="majorEastAsia" w:eastAsiaTheme="majorEastAsia" w:cstheme="major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214E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232C83">
            <w:pPr>
              <w:spacing w:line="360" w:lineRule="auto"/>
              <w:jc w:val="center"/>
              <w:rPr>
                <w:rFonts w:asciiTheme="majorEastAsia" w:hAnsiTheme="majorEastAsia" w:eastAsiaTheme="majorEastAsia" w:cstheme="majorEastAsia"/>
                <w:szCs w:val="21"/>
              </w:rPr>
            </w:pPr>
            <w:bookmarkStart w:id="72" w:name="_26"/>
            <w:bookmarkEnd w:id="72"/>
            <w:r>
              <w:rPr>
                <w:rFonts w:hint="eastAsia" w:asciiTheme="majorEastAsia" w:hAnsiTheme="majorEastAsia" w:eastAsiaTheme="majorEastAsia" w:cstheme="majorEastAsia"/>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02880BD2">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评标委员会的人数：</w:t>
            </w:r>
            <w:r>
              <w:rPr>
                <w:rFonts w:hint="eastAsia" w:asciiTheme="majorEastAsia" w:hAnsiTheme="majorEastAsia" w:eastAsiaTheme="majorEastAsia" w:cstheme="majorEastAsia"/>
                <w:szCs w:val="21"/>
                <w:u w:val="single"/>
              </w:rPr>
              <w:t>5</w:t>
            </w:r>
            <w:r>
              <w:rPr>
                <w:rFonts w:hint="eastAsia" w:asciiTheme="majorEastAsia" w:hAnsiTheme="majorEastAsia" w:eastAsiaTheme="majorEastAsia" w:cstheme="majorEastAsia"/>
                <w:szCs w:val="21"/>
              </w:rPr>
              <w:t>人</w:t>
            </w:r>
          </w:p>
        </w:tc>
      </w:tr>
      <w:tr w14:paraId="21D8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CC9C321">
            <w:pPr>
              <w:spacing w:line="360" w:lineRule="auto"/>
              <w:jc w:val="center"/>
              <w:rPr>
                <w:rFonts w:asciiTheme="majorEastAsia" w:hAnsiTheme="majorEastAsia" w:eastAsiaTheme="majorEastAsia" w:cstheme="majorEastAsia"/>
                <w:szCs w:val="21"/>
              </w:rPr>
            </w:pPr>
            <w:bookmarkStart w:id="73" w:name="_28.3"/>
            <w:bookmarkEnd w:id="73"/>
            <w:r>
              <w:rPr>
                <w:rFonts w:hint="eastAsia" w:asciiTheme="majorEastAsia" w:hAnsiTheme="majorEastAsia" w:eastAsiaTheme="majorEastAsia" w:cstheme="majorEastAsia"/>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130675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w:t>
            </w:r>
          </w:p>
          <w:p w14:paraId="0A8FFCB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☑综合评分法</w:t>
            </w:r>
          </w:p>
          <w:p w14:paraId="7F08E93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□最低评标价法</w:t>
            </w:r>
          </w:p>
        </w:tc>
      </w:tr>
      <w:tr w14:paraId="2B34C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48F51D2">
            <w:pPr>
              <w:spacing w:line="360" w:lineRule="auto"/>
              <w:jc w:val="center"/>
              <w:rPr>
                <w:rFonts w:asciiTheme="majorEastAsia" w:hAnsiTheme="majorEastAsia" w:eastAsiaTheme="majorEastAsia" w:cstheme="majorEastAsia"/>
                <w:szCs w:val="21"/>
              </w:rPr>
            </w:pPr>
            <w:bookmarkStart w:id="74" w:name="_29.2.2（2）"/>
            <w:bookmarkEnd w:id="74"/>
            <w:r>
              <w:rPr>
                <w:rFonts w:hint="eastAsia" w:asciiTheme="majorEastAsia" w:hAnsiTheme="majorEastAsia" w:eastAsiaTheme="majorEastAsia" w:cstheme="majorEastAsia"/>
                <w:szCs w:val="21"/>
              </w:rPr>
              <w:t>29.2</w:t>
            </w:r>
          </w:p>
        </w:tc>
        <w:tc>
          <w:tcPr>
            <w:tcW w:w="8670" w:type="dxa"/>
            <w:tcBorders>
              <w:top w:val="single" w:color="auto" w:sz="4" w:space="0"/>
              <w:left w:val="single" w:color="auto" w:sz="4" w:space="0"/>
              <w:right w:val="single" w:color="auto" w:sz="4" w:space="0"/>
            </w:tcBorders>
            <w:vAlign w:val="center"/>
          </w:tcPr>
          <w:p w14:paraId="4E62EF6F">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商务要求评审中允许负偏离的条款数为</w:t>
            </w:r>
            <w:r>
              <w:rPr>
                <w:rFonts w:hint="eastAsia" w:asciiTheme="majorEastAsia" w:hAnsiTheme="majorEastAsia" w:eastAsiaTheme="majorEastAsia" w:cstheme="majorEastAsia"/>
                <w:szCs w:val="21"/>
                <w:u w:val="single"/>
              </w:rPr>
              <w:t>0</w:t>
            </w:r>
            <w:r>
              <w:rPr>
                <w:rFonts w:hint="eastAsia" w:asciiTheme="majorEastAsia" w:hAnsiTheme="majorEastAsia" w:eastAsiaTheme="majorEastAsia" w:cstheme="majorEastAsia"/>
                <w:szCs w:val="21"/>
              </w:rPr>
              <w:t>项。</w:t>
            </w:r>
          </w:p>
          <w:p w14:paraId="117454FD">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1分标技术要求评审中允许负偏离的条款数为</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3</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项。</w:t>
            </w:r>
          </w:p>
        </w:tc>
      </w:tr>
      <w:tr w14:paraId="5FE1C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16084F5B">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29.3</w:t>
            </w:r>
          </w:p>
        </w:tc>
        <w:tc>
          <w:tcPr>
            <w:tcW w:w="8670" w:type="dxa"/>
            <w:tcBorders>
              <w:top w:val="single" w:color="auto" w:sz="4" w:space="0"/>
              <w:left w:val="single" w:color="auto" w:sz="4" w:space="0"/>
              <w:right w:val="single" w:color="auto" w:sz="4" w:space="0"/>
            </w:tcBorders>
            <w:vAlign w:val="center"/>
          </w:tcPr>
          <w:p w14:paraId="66D04967">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中标候选人推荐数量：</w:t>
            </w:r>
          </w:p>
          <w:p w14:paraId="4AA3CE88">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u w:val="single"/>
              </w:rPr>
              <w:t xml:space="preserve"> 3</w:t>
            </w:r>
            <w:r>
              <w:rPr>
                <w:rFonts w:hint="eastAsia" w:asciiTheme="majorEastAsia" w:hAnsiTheme="majorEastAsia" w:eastAsiaTheme="majorEastAsia" w:cstheme="majorEastAsia"/>
              </w:rPr>
              <w:t>名</w:t>
            </w:r>
          </w:p>
          <w:p w14:paraId="13E47602">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根据[总得分由高到低（综合评分法）/评标报价从低到高（最低评标价法）]排列次序并全部推荐为中标候选人</w:t>
            </w:r>
          </w:p>
        </w:tc>
      </w:tr>
      <w:tr w14:paraId="259A8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630E51">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4EC1311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采购人确定中标人时，出现中标候选人并列的情形，采购人按以下的方式确定中标人：</w:t>
            </w:r>
          </w:p>
          <w:p w14:paraId="2CFED78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☑依次按投标报价低的优先、政策分得分高的优先、技术评分高的优先、商务评分高的优先、质保期长优先、交货期短优先、故障响应时间短优先的顺序确定；</w:t>
            </w:r>
          </w:p>
          <w:p w14:paraId="311CB53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7470F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D132F92">
            <w:pPr>
              <w:spacing w:line="360" w:lineRule="auto"/>
              <w:jc w:val="center"/>
              <w:rPr>
                <w:rFonts w:asciiTheme="majorEastAsia" w:hAnsiTheme="majorEastAsia" w:eastAsiaTheme="majorEastAsia" w:cstheme="majorEastAsia"/>
                <w:szCs w:val="21"/>
              </w:rPr>
            </w:pPr>
            <w:bookmarkStart w:id="75" w:name="_39.1"/>
            <w:bookmarkEnd w:id="75"/>
            <w:r>
              <w:rPr>
                <w:rFonts w:hint="eastAsia" w:asciiTheme="majorEastAsia" w:hAnsiTheme="majorEastAsia" w:eastAsiaTheme="majorEastAsia" w:cstheme="majorEastAsia"/>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43DD6344">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☑本项目不收取履约保证金。</w:t>
            </w:r>
          </w:p>
          <w:p w14:paraId="1726020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□本项目收取履约保证金，具体规定如下：</w:t>
            </w:r>
          </w:p>
          <w:p w14:paraId="013A060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1、由中标人的投标保证金自动转成。如中标人为小微型企业的，免于收取履约保证金。</w:t>
            </w:r>
          </w:p>
          <w:p w14:paraId="6837D7B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2、自项目验收合格之日起5个工作日内，中标人按 “政府采购项目履约保证金退付意见书”的要求至采购代理机构办理退还履约保证金手续。采购人或采购代理机构将在收到退还履约保证金申请后5个工作日内无息原额退还，因采购人或采购代理机构原因导致无法及时退还时，每逾期退还一天按履约保证金万分之一支付违约金给中标人，但因中标人自身原因导致无法及时退还的除外。</w:t>
            </w:r>
          </w:p>
          <w:p w14:paraId="26AF9E2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履约保证金作为违约金的一部分及用于补偿。采购人因中标人不能完成其合同义务而蒙受的损失。如中标人不按双方签订的合同规定履约，则对其全部履约保证金不予退还，履约保证金不足以赔偿损失的，按实际损失赔偿。</w:t>
            </w:r>
          </w:p>
          <w:p w14:paraId="1C1898D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4、在履约保证金到期退还日期前，若中标人的开户名称、开户银行、账号有变动的，请以书面形式通知采购人或采购代理机构，否则由此产生的后果由中标人自负。</w:t>
            </w:r>
          </w:p>
          <w:p w14:paraId="3E261B43">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p w14:paraId="7C5FD951">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1. </w:t>
            </w:r>
            <w:bookmarkStart w:id="76" w:name="_Hlk54170335"/>
            <w:r>
              <w:rPr>
                <w:rFonts w:hint="eastAsia" w:asciiTheme="majorEastAsia" w:hAnsiTheme="majorEastAsia" w:eastAsiaTheme="majorEastAsia" w:cstheme="majorEastAsia"/>
                <w:b/>
                <w:szCs w:val="21"/>
              </w:rPr>
              <w:t>根据《广西壮族自治区财政厅关于贯彻落实政府采购优化营商环境百日攻坚行动方案的通知》（桂财采〔2020〕49号）的规定，鼓励采购人在与中小微企业签订政府采购合同时，减少或免于收取履约保证金，有必要收取履约保证金的，</w:t>
            </w:r>
            <w:bookmarkEnd w:id="76"/>
            <w:r>
              <w:rPr>
                <w:rFonts w:hint="eastAsia" w:asciiTheme="majorEastAsia" w:hAnsiTheme="majorEastAsia" w:eastAsiaTheme="majorEastAsia" w:cstheme="majorEastAsia"/>
                <w:b/>
                <w:szCs w:val="21"/>
              </w:rPr>
              <w:t>履约保证金数额不得超过政府采购合同金额的5%，对中小企业收取的履约保证金数额不得超过政府采购合同金额的2%。</w:t>
            </w:r>
          </w:p>
          <w:p w14:paraId="125A0018">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5600BA2">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3.采用银行、保险机构出具的保函的，必须为无条件保函，否则不予签订合同。</w:t>
            </w:r>
          </w:p>
          <w:p w14:paraId="24375392">
            <w:pPr>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rPr>
              <w:t>4.投标人为联合体的，由联合体其中一方按规定提交的履约保证金，视为有效履约保证金。</w:t>
            </w:r>
          </w:p>
        </w:tc>
      </w:tr>
      <w:tr w14:paraId="3000F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7D32BD">
            <w:pPr>
              <w:spacing w:line="360" w:lineRule="auto"/>
              <w:jc w:val="center"/>
              <w:rPr>
                <w:rFonts w:asciiTheme="majorEastAsia" w:hAnsiTheme="majorEastAsia" w:eastAsiaTheme="majorEastAsia" w:cstheme="majorEastAsia"/>
                <w:szCs w:val="21"/>
              </w:rPr>
            </w:pPr>
            <w:bookmarkStart w:id="77" w:name="_40.1"/>
            <w:bookmarkEnd w:id="77"/>
            <w:r>
              <w:rPr>
                <w:rFonts w:hint="eastAsia" w:asciiTheme="majorEastAsia" w:hAnsiTheme="majorEastAsia" w:eastAsiaTheme="majorEastAsia" w:cstheme="majorEastAsia"/>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6AD9E27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签订合同携带的证明材料： </w:t>
            </w:r>
          </w:p>
          <w:p w14:paraId="39961FD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委托代理人负责签订合同的，须携带授权委托书及委托代理人身份证原件等其他资格证件。</w:t>
            </w:r>
          </w:p>
          <w:p w14:paraId="0E3B71A5">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法定代表人负责签订合同的，须携带法定代表人身份证明原件及身份证原件等其他证明材料。</w:t>
            </w:r>
          </w:p>
        </w:tc>
      </w:tr>
      <w:tr w14:paraId="541C7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03212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1608A8E2">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接收质疑函方式：以书面形式</w:t>
            </w:r>
          </w:p>
          <w:p w14:paraId="6E202CAD">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质疑联系部门：</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岑溪分公司</w:t>
            </w:r>
          </w:p>
          <w:p w14:paraId="519C0711">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联系电话：</w:t>
            </w:r>
            <w:r>
              <w:rPr>
                <w:rFonts w:hint="eastAsia" w:asciiTheme="majorEastAsia" w:hAnsiTheme="majorEastAsia" w:eastAsiaTheme="majorEastAsia" w:cstheme="majorEastAsia"/>
                <w:sz w:val="21"/>
                <w:lang w:eastAsia="zh-CN"/>
              </w:rPr>
              <w:t>0774-8235967</w:t>
            </w:r>
            <w:r>
              <w:rPr>
                <w:rFonts w:hint="eastAsia" w:asciiTheme="majorEastAsia" w:hAnsiTheme="majorEastAsia" w:eastAsiaTheme="majorEastAsia" w:cstheme="majorEastAsia"/>
                <w:sz w:val="21"/>
              </w:rPr>
              <w:t xml:space="preserve">             </w:t>
            </w:r>
          </w:p>
          <w:p w14:paraId="5AE7FA24">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通讯地址：</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w:t>
            </w:r>
            <w:r>
              <w:rPr>
                <w:rFonts w:hint="eastAsia" w:asciiTheme="majorEastAsia" w:hAnsiTheme="majorEastAsia" w:eastAsiaTheme="majorEastAsia" w:cstheme="majorEastAsia"/>
                <w:sz w:val="21"/>
                <w:lang w:eastAsia="zh-CN"/>
              </w:rPr>
              <w:t>岑溪市明都新城永安街163号三楼</w:t>
            </w:r>
            <w:r>
              <w:rPr>
                <w:rFonts w:hint="eastAsia" w:asciiTheme="majorEastAsia" w:hAnsiTheme="majorEastAsia" w:eastAsiaTheme="majorEastAsia" w:cstheme="majorEastAsia"/>
                <w:sz w:val="21"/>
              </w:rPr>
              <w:t xml:space="preserve">） </w:t>
            </w:r>
          </w:p>
          <w:p w14:paraId="7BDA71A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业务时间：工作日每天上午8时00分到12时00分，下午3时00分到6时00分。</w:t>
            </w:r>
          </w:p>
        </w:tc>
      </w:tr>
      <w:tr w14:paraId="361A7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A9A80C8">
            <w:pPr>
              <w:spacing w:line="360" w:lineRule="auto"/>
              <w:jc w:val="center"/>
              <w:rPr>
                <w:rFonts w:asciiTheme="majorEastAsia" w:hAnsiTheme="majorEastAsia" w:eastAsiaTheme="majorEastAsia" w:cstheme="majorEastAsia"/>
                <w:szCs w:val="21"/>
              </w:rPr>
            </w:pPr>
            <w:bookmarkStart w:id="78" w:name="_41"/>
            <w:bookmarkEnd w:id="78"/>
            <w:bookmarkStart w:id="79" w:name="_42"/>
            <w:bookmarkEnd w:id="79"/>
            <w:bookmarkStart w:id="80" w:name="_Hlt17709148"/>
            <w:r>
              <w:rPr>
                <w:rFonts w:hint="eastAsia" w:asciiTheme="majorEastAsia" w:hAnsiTheme="majorEastAsia" w:eastAsiaTheme="majorEastAsia" w:cstheme="majorEastAsia"/>
                <w:szCs w:val="21"/>
              </w:rPr>
              <w:t>3</w:t>
            </w:r>
            <w:bookmarkEnd w:id="80"/>
            <w:r>
              <w:rPr>
                <w:rFonts w:hint="eastAsia" w:asciiTheme="majorEastAsia" w:hAnsiTheme="majorEastAsia" w:eastAsiaTheme="majorEastAsia" w:cstheme="majorEastAsia"/>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F49EAD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1.采购代理费支付方式：</w:t>
            </w:r>
          </w:p>
          <w:p w14:paraId="3C8F9BF2">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☑本项目代理服务费由</w:t>
            </w:r>
            <w:r>
              <w:rPr>
                <w:rFonts w:hint="eastAsia" w:asciiTheme="majorEastAsia" w:hAnsiTheme="majorEastAsia" w:eastAsiaTheme="majorEastAsia" w:cstheme="majorEastAsia"/>
                <w:sz w:val="21"/>
                <w:u w:val="single"/>
              </w:rPr>
              <w:t>中标人</w:t>
            </w:r>
            <w:r>
              <w:rPr>
                <w:rFonts w:hint="eastAsia" w:asciiTheme="majorEastAsia" w:hAnsiTheme="majorEastAsia" w:eastAsiaTheme="majorEastAsia" w:cstheme="majorEastAsia"/>
                <w:sz w:val="21"/>
              </w:rPr>
              <w:t>一次性向采购代理机构支付。</w:t>
            </w:r>
          </w:p>
          <w:p w14:paraId="1D22277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□采购人支付。</w:t>
            </w:r>
          </w:p>
          <w:p w14:paraId="13FF100B">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2.采购代理费收取标准：</w:t>
            </w:r>
          </w:p>
          <w:p w14:paraId="78452F12">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以分标中标金额为计费额，按本须知正文第39.2条规定的收费计算标准货物招标采用差额定率累进法计算出收费基准价格，采购代理收费以收费基准价格收取。</w:t>
            </w:r>
          </w:p>
          <w:p w14:paraId="25EE913A">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固定招标代理服务费</w:t>
            </w:r>
            <w:r>
              <w:rPr>
                <w:rFonts w:hint="eastAsia" w:asciiTheme="majorEastAsia" w:hAnsiTheme="majorEastAsia" w:eastAsiaTheme="majorEastAsia" w:cstheme="majorEastAsia"/>
                <w:sz w:val="21"/>
                <w:lang w:eastAsia="zh-CN"/>
              </w:rPr>
              <w:t>，其中：</w:t>
            </w:r>
          </w:p>
          <w:p w14:paraId="206DFD43">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1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u w:val="none"/>
                <w:lang w:eastAsia="zh-CN"/>
              </w:rPr>
              <w:t>：</w:t>
            </w:r>
            <w:r>
              <w:rPr>
                <w:rFonts w:hint="eastAsia" w:asciiTheme="majorEastAsia" w:hAnsiTheme="majorEastAsia" w:eastAsiaTheme="majorEastAsia" w:cstheme="majorEastAsia"/>
                <w:sz w:val="21"/>
                <w:u w:val="single"/>
                <w:lang w:val="en-US" w:eastAsia="zh-CN"/>
              </w:rPr>
              <w:t xml:space="preserve"> 叁万壹仟玖佰零贰元整</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31902.00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none"/>
                <w:lang w:eastAsia="zh-CN"/>
              </w:rPr>
              <w:t>；</w:t>
            </w:r>
          </w:p>
          <w:p w14:paraId="60CC0423">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2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u w:val="single"/>
                <w:lang w:val="en-US" w:eastAsia="zh-CN"/>
              </w:rPr>
              <w:t xml:space="preserve"> 壹万伍仟玖佰壹拾柒元整</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15917</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lang w:eastAsia="zh-CN"/>
              </w:rPr>
              <w:t>。</w:t>
            </w:r>
          </w:p>
          <w:p w14:paraId="3EF09736">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w:t>
            </w:r>
          </w:p>
          <w:p w14:paraId="4DDC3797">
            <w:pPr>
              <w:pStyle w:val="25"/>
              <w:snapToGrid w:val="0"/>
              <w:spacing w:line="360" w:lineRule="auto"/>
              <w:rPr>
                <w:rFonts w:hint="eastAsia" w:hAnsi="宋体" w:cs="宋体"/>
                <w:sz w:val="21"/>
              </w:rPr>
            </w:pPr>
            <w:r>
              <w:rPr>
                <w:rFonts w:hint="eastAsia" w:hAnsi="宋体" w:cs="宋体"/>
                <w:sz w:val="21"/>
              </w:rPr>
              <w:t xml:space="preserve">开户名称：广西华盛工程咨询有限公司岑溪分公司 </w:t>
            </w:r>
          </w:p>
          <w:p w14:paraId="7AC22891">
            <w:pPr>
              <w:pStyle w:val="25"/>
              <w:snapToGrid w:val="0"/>
              <w:spacing w:line="360" w:lineRule="auto"/>
              <w:rPr>
                <w:rFonts w:hint="eastAsia" w:hAnsi="宋体" w:cs="宋体"/>
                <w:sz w:val="21"/>
              </w:rPr>
            </w:pPr>
            <w:r>
              <w:rPr>
                <w:rFonts w:hint="eastAsia" w:hAnsi="宋体" w:cs="宋体"/>
                <w:sz w:val="21"/>
              </w:rPr>
              <w:t xml:space="preserve">开户银行：广西岑溪农村商业银行文化支行 </w:t>
            </w:r>
          </w:p>
          <w:p w14:paraId="637A12CB">
            <w:pPr>
              <w:pStyle w:val="25"/>
              <w:snapToGrid w:val="0"/>
              <w:spacing w:line="360" w:lineRule="auto"/>
              <w:rPr>
                <w:rFonts w:asciiTheme="majorEastAsia" w:hAnsiTheme="majorEastAsia" w:eastAsiaTheme="majorEastAsia" w:cstheme="majorEastAsia"/>
                <w:sz w:val="21"/>
              </w:rPr>
            </w:pPr>
            <w:r>
              <w:rPr>
                <w:rFonts w:hint="eastAsia" w:hAnsi="宋体" w:cs="宋体"/>
                <w:sz w:val="21"/>
              </w:rPr>
              <w:t>银行账号：4051 1201 0101 8294 20</w:t>
            </w:r>
          </w:p>
        </w:tc>
      </w:tr>
      <w:tr w14:paraId="6BF3F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446596">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6B778A1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9F2B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1C9A09">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31326AF6">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BDBDF4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1E8A359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C363C8A">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482D3C6A">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bCs/>
                <w:sz w:val="21"/>
              </w:rPr>
              <w:t>5.本招标文件所称的“以上”“以下”“以内”“届满”，包括本数；所称的“不满”“超过”“以外”，不包括本数。</w:t>
            </w:r>
          </w:p>
        </w:tc>
      </w:tr>
    </w:tbl>
    <w:p w14:paraId="028911C8">
      <w:pPr>
        <w:snapToGrid w:val="0"/>
        <w:rPr>
          <w:rFonts w:asciiTheme="majorEastAsia" w:hAnsiTheme="majorEastAsia" w:eastAsiaTheme="majorEastAsia" w:cstheme="majorEastAsia"/>
          <w:sz w:val="24"/>
          <w:szCs w:val="20"/>
        </w:rPr>
      </w:pPr>
    </w:p>
    <w:p w14:paraId="6C7D7744">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4BF51DEB">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投标人须知正文</w:t>
      </w:r>
    </w:p>
    <w:p w14:paraId="69A8C1E6">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一、总  则</w:t>
      </w:r>
    </w:p>
    <w:p w14:paraId="32AA2622">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1" w:name="_Toc254970668"/>
      <w:bookmarkStart w:id="82" w:name="_Toc254970527"/>
      <w:r>
        <w:rPr>
          <w:rFonts w:hint="eastAsia" w:asciiTheme="majorEastAsia" w:hAnsiTheme="majorEastAsia" w:eastAsiaTheme="majorEastAsia" w:cstheme="majorEastAsia"/>
          <w:sz w:val="24"/>
        </w:rPr>
        <w:t>1.适用范围</w:t>
      </w:r>
      <w:bookmarkEnd w:id="81"/>
      <w:bookmarkEnd w:id="82"/>
    </w:p>
    <w:p w14:paraId="4C216BDC">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ACBB53">
      <w:pPr>
        <w:snapToGrid w:val="0"/>
        <w:spacing w:line="360" w:lineRule="auto"/>
        <w:ind w:firstLine="420" w:firstLineChars="200"/>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zCs w:val="21"/>
        </w:rPr>
        <w:t>1.2本招标文件</w:t>
      </w:r>
      <w:r>
        <w:rPr>
          <w:rFonts w:hint="eastAsia" w:asciiTheme="majorEastAsia" w:hAnsiTheme="majorEastAsia" w:eastAsiaTheme="majorEastAsia" w:cstheme="majorEastAsia"/>
          <w:spacing w:val="-6"/>
          <w:szCs w:val="21"/>
        </w:rPr>
        <w:t>适用于本项目的所有采购程序和环节（法律、法规另有规定的，从其规定）。</w:t>
      </w:r>
    </w:p>
    <w:p w14:paraId="54AD2F8C">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3" w:name="_Toc254970669"/>
      <w:bookmarkStart w:id="84" w:name="_Toc254970528"/>
      <w:r>
        <w:rPr>
          <w:rFonts w:hint="eastAsia" w:asciiTheme="majorEastAsia" w:hAnsiTheme="majorEastAsia" w:eastAsiaTheme="majorEastAsia" w:cstheme="majorEastAsia"/>
          <w:sz w:val="24"/>
        </w:rPr>
        <w:t>2.定义</w:t>
      </w:r>
      <w:bookmarkEnd w:id="83"/>
      <w:bookmarkEnd w:id="84"/>
    </w:p>
    <w:p w14:paraId="6172FB99">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2.1“采购人”是指依法进行政府采购的国家机关、事业单位、团体组织。</w:t>
      </w:r>
    </w:p>
    <w:p w14:paraId="44401B6D">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2.2“采购代理机构”是指政府采购集中采购机构和集中采购机构以外的采购代理机构。</w:t>
      </w:r>
    </w:p>
    <w:p w14:paraId="0AD4D53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2.3“供应商”是指向采购人提供货物、工程或者服务的法人、其他组织或者自然人。</w:t>
      </w:r>
    </w:p>
    <w:p w14:paraId="6B5B2E92">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2.4“投标人”是指响应招标、参加投标竞争的法人、其他组织或者自然人。</w:t>
      </w:r>
    </w:p>
    <w:p w14:paraId="022A172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2.5“货物”是指各种形态和种类的物品，包括原材料、燃料、设备、产品等。</w:t>
      </w:r>
    </w:p>
    <w:p w14:paraId="1BA73027">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2.6“售后服务” 是指商品出售以后所提供的各种服务，包含但不限于投标人须承担的备品备件、包装、运输、装卸、保险、货到就位以及安装、调试、培训、质保以及其他各种服务。</w:t>
      </w:r>
    </w:p>
    <w:p w14:paraId="79E54677">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2.7“书面形式”是指合同书、信件和数据电文（包括电报、电传、传真、电子数据交换和电子邮件）等可以有形地表现所载内容的形式。</w:t>
      </w:r>
    </w:p>
    <w:p w14:paraId="0274CB0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2.8“实质性要求”是指招标文件中已经指明不满足则投标无效的条款，或者不能负偏离的条款，或者采购需求中带“▲”的条款。</w:t>
      </w:r>
    </w:p>
    <w:p w14:paraId="7960F472">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 “正偏离”，是指投标文件对招标文件“采购需求”中有关条款作出的响应优于条款要求并有利于采购人的情形。</w:t>
      </w:r>
    </w:p>
    <w:p w14:paraId="1908A0F8">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2.10“负偏离”，是指投标文件对招标文件“采购需求”中有关条款作出的响应不满足条款要求，导致采购人要求不能得到满足的情形。</w:t>
      </w:r>
    </w:p>
    <w:p w14:paraId="6233703A">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2.11“允许负偏离的条款”是指采购需求中的不属于“实质性要求”的条款。</w:t>
      </w:r>
      <w:bookmarkStart w:id="85" w:name="_Toc254970670"/>
      <w:bookmarkStart w:id="86" w:name="_Toc254970529"/>
    </w:p>
    <w:p w14:paraId="52717D2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bookmarkEnd w:id="85"/>
      <w:bookmarkEnd w:id="86"/>
      <w:r>
        <w:rPr>
          <w:rFonts w:hint="eastAsia" w:asciiTheme="majorEastAsia" w:hAnsiTheme="majorEastAsia" w:eastAsiaTheme="majorEastAsia" w:cstheme="majorEastAsia"/>
          <w:sz w:val="24"/>
        </w:rPr>
        <w:t>投标人的资格要求</w:t>
      </w:r>
    </w:p>
    <w:p w14:paraId="26BEA3DB">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投标人的资格要求详见“投标人须知前附表”。</w:t>
      </w:r>
    </w:p>
    <w:p w14:paraId="15890A7C">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7" w:name="_Toc254970530"/>
      <w:bookmarkStart w:id="88" w:name="_Toc254970671"/>
      <w:r>
        <w:rPr>
          <w:rFonts w:hint="eastAsia" w:asciiTheme="majorEastAsia" w:hAnsiTheme="majorEastAsia" w:eastAsiaTheme="majorEastAsia" w:cstheme="majorEastAsia"/>
          <w:sz w:val="24"/>
        </w:rPr>
        <w:t>4.投标委托</w:t>
      </w:r>
      <w:bookmarkEnd w:id="87"/>
      <w:bookmarkEnd w:id="88"/>
    </w:p>
    <w:p w14:paraId="11EF5FD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投标人代表参加投标活动过程中必须携带个人有效身份证件。如投标人代表不是法定代表人，须持有授权委托书（按第六章要求格式填写）。</w:t>
      </w:r>
    </w:p>
    <w:p w14:paraId="2F7F0713">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9" w:name="_5.投标费用"/>
      <w:bookmarkEnd w:id="89"/>
      <w:bookmarkStart w:id="90" w:name="_Toc254970672"/>
      <w:bookmarkStart w:id="91" w:name="_Toc254970531"/>
      <w:r>
        <w:rPr>
          <w:rFonts w:hint="eastAsia" w:asciiTheme="majorEastAsia" w:hAnsiTheme="majorEastAsia" w:eastAsiaTheme="majorEastAsia" w:cstheme="majorEastAsia"/>
          <w:sz w:val="24"/>
        </w:rPr>
        <w:t>5.投标费用</w:t>
      </w:r>
      <w:bookmarkEnd w:id="90"/>
      <w:bookmarkEnd w:id="91"/>
    </w:p>
    <w:p w14:paraId="770D7D7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投标费用：投标人应承担参与本次采购活动有关的所有费用，包括但不限于获取招标文件、勘查现场、编制和提交投标文件、参加澄清说明、签订合同等，不论投标结果如何，均应自行承担。</w:t>
      </w:r>
    </w:p>
    <w:p w14:paraId="4B49F9D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6.联合体投标</w:t>
      </w:r>
    </w:p>
    <w:p w14:paraId="17B8CBA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6.1本项目是否接受联合体投标，详见“投标人须知前附表”。</w:t>
      </w:r>
    </w:p>
    <w:p w14:paraId="3C3FA53D">
      <w:pPr>
        <w:snapToGrid w:val="0"/>
        <w:spacing w:line="360" w:lineRule="auto"/>
        <w:ind w:firstLine="420" w:firstLineChars="20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6.2如接受联合体投标，联合体投标要求详见“投标人须知前附表”。</w:t>
      </w:r>
    </w:p>
    <w:p w14:paraId="77578865">
      <w:pPr>
        <w:pStyle w:val="6"/>
        <w:keepNext w:val="0"/>
        <w:keepLines w:val="0"/>
        <w:spacing w:before="0" w:after="0" w:line="360" w:lineRule="auto"/>
        <w:ind w:firstLine="424" w:firstLineChars="202"/>
        <w:rPr>
          <w:rFonts w:asciiTheme="majorEastAsia" w:hAnsiTheme="majorEastAsia" w:eastAsiaTheme="majorEastAsia" w:cstheme="majorEastAsia"/>
          <w:sz w:val="24"/>
        </w:rPr>
      </w:pPr>
      <w:r>
        <w:rPr>
          <w:rFonts w:hint="eastAsia" w:asciiTheme="majorEastAsia" w:hAnsiTheme="majorEastAsia" w:eastAsiaTheme="majorEastAsia" w:cstheme="major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99D79CC">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7.转包与分包             </w:t>
      </w:r>
    </w:p>
    <w:p w14:paraId="1C07E28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7.1本项目不允许转包。</w:t>
      </w:r>
    </w:p>
    <w:p w14:paraId="0DE6A8E9">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1DC80AE">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1CE212E">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92" w:name="_Toc254970673"/>
      <w:bookmarkStart w:id="93" w:name="_Toc254970532"/>
      <w:r>
        <w:rPr>
          <w:rFonts w:hint="eastAsia" w:asciiTheme="majorEastAsia" w:hAnsiTheme="majorEastAsia" w:eastAsiaTheme="majorEastAsia" w:cstheme="majorEastAsia"/>
          <w:sz w:val="24"/>
        </w:rPr>
        <w:t>8.特别说明</w:t>
      </w:r>
      <w:bookmarkEnd w:id="92"/>
      <w:bookmarkEnd w:id="93"/>
    </w:p>
    <w:p w14:paraId="2B1F07DD">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94" w:name="_8.1提供相同品牌产品且通过资格审查、符合性审查的不同投标人参加同一合"/>
      <w:bookmarkEnd w:id="94"/>
      <w:r>
        <w:rPr>
          <w:rFonts w:hint="eastAsia" w:asciiTheme="majorEastAsia" w:hAnsiTheme="majorEastAsia" w:eastAsiaTheme="majorEastAsia" w:cstheme="majorEastAsia"/>
          <w:b w:val="0"/>
          <w:sz w:val="21"/>
          <w:szCs w:val="21"/>
        </w:rPr>
        <w:fldChar w:fldCharType="begin"/>
      </w:r>
      <w:r>
        <w:rPr>
          <w:rFonts w:hint="eastAsia" w:asciiTheme="majorEastAsia" w:hAnsiTheme="majorEastAsia" w:eastAsiaTheme="majorEastAsia" w:cstheme="majorEastAsia"/>
          <w:b w:val="0"/>
          <w:sz w:val="21"/>
          <w:szCs w:val="21"/>
        </w:rPr>
        <w:instrText xml:space="preserve"> HYPERLINK  \l "_8.1"</w:instrText>
      </w:r>
      <w:r>
        <w:rPr>
          <w:rFonts w:hint="eastAsia" w:asciiTheme="majorEastAsia" w:hAnsiTheme="majorEastAsia" w:eastAsiaTheme="majorEastAsia" w:cstheme="majorEastAsia"/>
          <w:b w:val="0"/>
          <w:sz w:val="21"/>
          <w:szCs w:val="21"/>
        </w:rPr>
        <w:fldChar w:fldCharType="separate"/>
      </w:r>
      <w:r>
        <w:rPr>
          <w:rFonts w:hint="eastAsia" w:asciiTheme="majorEastAsia" w:hAnsiTheme="majorEastAsia" w:eastAsiaTheme="majorEastAsia" w:cstheme="majorEastAsia"/>
          <w:b w:val="0"/>
          <w:sz w:val="21"/>
          <w:szCs w:val="21"/>
        </w:rPr>
        <w:t>8.1</w:t>
      </w:r>
      <w:r>
        <w:rPr>
          <w:rFonts w:hint="eastAsia" w:asciiTheme="majorEastAsia" w:hAnsiTheme="majorEastAsia" w:eastAsiaTheme="majorEastAsia" w:cstheme="majorEastAsia"/>
          <w:b w:val="0"/>
          <w:sz w:val="21"/>
          <w:szCs w:val="21"/>
        </w:rPr>
        <w:fldChar w:fldCharType="end"/>
      </w:r>
      <w:r>
        <w:rPr>
          <w:rFonts w:hint="eastAsia" w:asciiTheme="majorEastAsia" w:hAnsiTheme="majorEastAsia" w:eastAsiaTheme="majorEastAsia" w:cstheme="major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Theme="majorEastAsia" w:hAnsiTheme="majorEastAsia" w:eastAsiaTheme="majorEastAsia" w:cstheme="majorEastAsia"/>
          <w:sz w:val="22"/>
          <w:szCs w:val="22"/>
        </w:rPr>
        <w:t>其他投标无效。</w:t>
      </w:r>
    </w:p>
    <w:p w14:paraId="205CECD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3D53717">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非单一产品采购项目，多家投标人提供的核心产品品牌相同的，</w:t>
      </w:r>
      <w:r>
        <w:rPr>
          <w:rFonts w:hint="eastAsia" w:asciiTheme="majorEastAsia" w:hAnsiTheme="majorEastAsia" w:eastAsiaTheme="majorEastAsia" w:cstheme="majorEastAsia"/>
          <w:sz w:val="22"/>
          <w:szCs w:val="22"/>
        </w:rPr>
        <w:t>按前两款规定处理</w:t>
      </w:r>
      <w:r>
        <w:rPr>
          <w:rFonts w:hint="eastAsia" w:asciiTheme="majorEastAsia" w:hAnsiTheme="majorEastAsia" w:eastAsiaTheme="majorEastAsia" w:cstheme="majorEastAsia"/>
          <w:kern w:val="2"/>
          <w:sz w:val="21"/>
        </w:rPr>
        <w:t>。</w:t>
      </w:r>
    </w:p>
    <w:p w14:paraId="590668ED">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57E87E15">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8.3投标人应仔细阅读招标文件的所有内容，按照招标文件的要求提交投标文件，并对所提供的全部资料的真实性承担法律责任。</w:t>
      </w:r>
    </w:p>
    <w:p w14:paraId="6E11544F">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5FC1A03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9.回避与串通投标</w:t>
      </w:r>
    </w:p>
    <w:p w14:paraId="51A6F058">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9.1在政府采购活动中，采购人员及相关人员与供应商有下列利害关系之一的，应当回避：</w:t>
      </w:r>
    </w:p>
    <w:p w14:paraId="5E3AA1F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（1）参加采购活动前3年内与供应商存在劳动关系；</w:t>
      </w:r>
    </w:p>
    <w:p w14:paraId="2F26D25C">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（2）参加采购活动前3年内担任供应商的董事、监事；</w:t>
      </w:r>
    </w:p>
    <w:p w14:paraId="0D452DE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（3）参加采购活动前3年内是供应商的控股股东或者实际控制人；</w:t>
      </w:r>
    </w:p>
    <w:p w14:paraId="5D0E47D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（4）与供应商的法定代表人或者负责人有夫妻、直系血亲、三代以内旁系血亲或者近姻亲关系；</w:t>
      </w:r>
    </w:p>
    <w:p w14:paraId="298E5782">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（5）与供应商有其他可能影响政府采购活动公平、公正进行的关系。</w:t>
      </w:r>
    </w:p>
    <w:p w14:paraId="31F35AC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500630">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9.2有下列情形之一的视为投标人相互串通投标，投标文件将被视为无效：</w:t>
      </w:r>
    </w:p>
    <w:p w14:paraId="62A480D8">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 xml:space="preserve">（1）不同投标人的投标文件由同一单位或者个人编制； </w:t>
      </w:r>
    </w:p>
    <w:p w14:paraId="6AF0C4EE">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（2）不同投标人委托同一单位或者个人办理投标事宜；</w:t>
      </w:r>
    </w:p>
    <w:p w14:paraId="04E380D8">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（3）不同的投标人的投标文件载明的项目管理员为同一个人；</w:t>
      </w:r>
    </w:p>
    <w:p w14:paraId="53CB1A20">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（4）不同投标人的投标文件异常一致或者投标报价呈规律性差异；</w:t>
      </w:r>
    </w:p>
    <w:p w14:paraId="39655A25">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（5）不同投标人的投标文件相互混装；</w:t>
      </w:r>
    </w:p>
    <w:p w14:paraId="38534279">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（6）不同投标人的投标保证金从同一单位或者个人账户转出。</w:t>
      </w:r>
    </w:p>
    <w:p w14:paraId="1DEE33B5">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9.3供应商有下列情形之一的，属于恶意串通行为，将报同级监督管理部门：</w:t>
      </w:r>
    </w:p>
    <w:p w14:paraId="66FB3909">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（1）供应商直接或者间接从采购人或者采购代理机构处获得其他供应商的相关信息并修改其投标文件或者响应文件；</w:t>
      </w:r>
    </w:p>
    <w:p w14:paraId="4C22334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（2）供应商按照采购人或者采购代理机构的授意撤换、修改投标文件或者响应文件；</w:t>
      </w:r>
    </w:p>
    <w:p w14:paraId="6A5D78A4">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（3）供应商之间协商报价、技术方案等投标文件或者响应文件的实质性内容；</w:t>
      </w:r>
    </w:p>
    <w:p w14:paraId="07F8A7AE">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（4）属于同一集团、协会、商会等组织成员的供应商按照该组织要求协同参加政府采购活动；</w:t>
      </w:r>
    </w:p>
    <w:p w14:paraId="49ADADC8">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（5）供应商之间事先约定一致抬高或者压低投标报价，或者在招标项目中事先约定轮流以高价位或者低价位中标，或者事先约定由某一特定供应商中标，然后再参加投标；</w:t>
      </w:r>
    </w:p>
    <w:p w14:paraId="66E83599">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（6）供应商之间商定部分供应商放弃参加政府采购活动或者放弃中标；</w:t>
      </w:r>
    </w:p>
    <w:p w14:paraId="06B04558">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（7）供应商与采购人或者采购代理机构之间、供应商相互之间，为谋求特定供应商中标或者排斥其他供应商的其他串通行为。</w:t>
      </w:r>
    </w:p>
    <w:p w14:paraId="4647D3EA">
      <w:pPr>
        <w:pStyle w:val="25"/>
        <w:snapToGrid w:val="0"/>
        <w:spacing w:line="360" w:lineRule="auto"/>
        <w:ind w:left="2" w:leftChars="1" w:firstLine="422" w:firstLineChars="200"/>
        <w:rPr>
          <w:rFonts w:asciiTheme="majorEastAsia" w:hAnsiTheme="majorEastAsia" w:eastAsiaTheme="majorEastAsia" w:cstheme="majorEastAsia"/>
          <w:b/>
          <w:kern w:val="2"/>
          <w:sz w:val="21"/>
        </w:rPr>
      </w:pPr>
    </w:p>
    <w:p w14:paraId="076984B3">
      <w:pPr>
        <w:pStyle w:val="4"/>
        <w:keepNext w:val="0"/>
        <w:keepLines w:val="0"/>
        <w:jc w:val="center"/>
        <w:rPr>
          <w:rFonts w:asciiTheme="majorEastAsia" w:hAnsiTheme="majorEastAsia" w:eastAsiaTheme="majorEastAsia" w:cstheme="majorEastAsia"/>
        </w:rPr>
      </w:pPr>
      <w:bookmarkStart w:id="95" w:name="_Toc254970675"/>
      <w:bookmarkStart w:id="96" w:name="_Toc254970534"/>
      <w:r>
        <w:rPr>
          <w:rFonts w:hint="eastAsia" w:asciiTheme="majorEastAsia" w:hAnsiTheme="majorEastAsia" w:eastAsiaTheme="majorEastAsia" w:cstheme="majorEastAsia"/>
        </w:rPr>
        <w:t>二、招标文件</w:t>
      </w:r>
      <w:bookmarkEnd w:id="95"/>
      <w:bookmarkEnd w:id="96"/>
    </w:p>
    <w:p w14:paraId="67850812">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10.招标文件的组成</w:t>
      </w:r>
    </w:p>
    <w:p w14:paraId="600E616B">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（1）招标公告；</w:t>
      </w:r>
    </w:p>
    <w:p w14:paraId="38755D94">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（2）采购需求； </w:t>
      </w:r>
    </w:p>
    <w:p w14:paraId="1B908BC6">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（3）投标人须知；</w:t>
      </w:r>
    </w:p>
    <w:p w14:paraId="138D4EA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（4）评标方法及评标标准；</w:t>
      </w:r>
    </w:p>
    <w:p w14:paraId="251342C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（5）拟签订的合同文本；</w:t>
      </w:r>
    </w:p>
    <w:p w14:paraId="50765125">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（6）投标文件格式。</w:t>
      </w:r>
    </w:p>
    <w:p w14:paraId="43C619D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11.招标文件的澄清、修改 、现场考察和答疑会</w:t>
      </w:r>
    </w:p>
    <w:p w14:paraId="5207E65E">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2501CCC">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82B9849">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11.2</w:t>
      </w:r>
      <w:bookmarkStart w:id="97" w:name="_Hlk53134511"/>
      <w:r>
        <w:rPr>
          <w:rFonts w:hint="eastAsia" w:asciiTheme="majorEastAsia" w:hAnsiTheme="majorEastAsia" w:eastAsiaTheme="majorEastAsia" w:cstheme="majorEastAsia"/>
          <w:sz w:val="21"/>
        </w:rPr>
        <w:t>采购人或者采购代理机构可以在招标文件提供期限截止后，组织已获取招标文件的潜在投标人现场考察或者召开开标前答疑会，具体详见“投标人须知前附表”。</w:t>
      </w:r>
    </w:p>
    <w:bookmarkEnd w:id="97"/>
    <w:p w14:paraId="6C75DDB1">
      <w:pPr>
        <w:pStyle w:val="4"/>
        <w:keepNext w:val="0"/>
        <w:keepLines w:val="0"/>
        <w:jc w:val="center"/>
        <w:rPr>
          <w:rFonts w:asciiTheme="majorEastAsia" w:hAnsiTheme="majorEastAsia" w:eastAsiaTheme="majorEastAsia" w:cstheme="majorEastAsia"/>
        </w:rPr>
      </w:pPr>
      <w:bookmarkStart w:id="98" w:name="_Toc254970535"/>
      <w:bookmarkStart w:id="99" w:name="_Toc254970676"/>
      <w:r>
        <w:rPr>
          <w:rFonts w:hint="eastAsia" w:asciiTheme="majorEastAsia" w:hAnsiTheme="majorEastAsia" w:eastAsiaTheme="majorEastAsia" w:cstheme="majorEastAsia"/>
        </w:rPr>
        <w:t>三、投标文件的编制</w:t>
      </w:r>
      <w:bookmarkEnd w:id="98"/>
      <w:bookmarkEnd w:id="99"/>
    </w:p>
    <w:p w14:paraId="59312631">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0" w:name="_Toc254970536"/>
      <w:bookmarkStart w:id="101" w:name="_Toc254970677"/>
      <w:r>
        <w:rPr>
          <w:rFonts w:hint="eastAsia" w:asciiTheme="majorEastAsia" w:hAnsiTheme="majorEastAsia" w:eastAsiaTheme="majorEastAsia" w:cstheme="majorEastAsia"/>
          <w:sz w:val="24"/>
        </w:rPr>
        <w:t>12.投标文件的编制原则</w:t>
      </w:r>
    </w:p>
    <w:p w14:paraId="6595F0C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投标人必须按照招标文件的要求编制投标文件。投标文件必须对招标文件提出的要求和条件作出明确响应。</w:t>
      </w:r>
    </w:p>
    <w:p w14:paraId="25FCD7A0">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13.投标文件的组成</w:t>
      </w:r>
      <w:bookmarkEnd w:id="100"/>
      <w:bookmarkEnd w:id="101"/>
    </w:p>
    <w:p w14:paraId="057A88A6">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投标文件由报价文件、资格证明文件、商务及技术文件三部分组成。</w:t>
      </w:r>
    </w:p>
    <w:p w14:paraId="4593716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2" w:name="_13.1报价文件:_具体材料见“投标人须知前附表”。"/>
      <w:bookmarkEnd w:id="102"/>
      <w:r>
        <w:rPr>
          <w:rFonts w:hint="eastAsia" w:asciiTheme="majorEastAsia" w:hAnsiTheme="majorEastAsia" w:eastAsiaTheme="majorEastAsia" w:cstheme="majorEastAsia"/>
          <w:b w:val="0"/>
          <w:sz w:val="21"/>
          <w:szCs w:val="21"/>
        </w:rPr>
        <w:t>（1）报价文件：具体材料见“投标人须知前附表”。</w:t>
      </w:r>
    </w:p>
    <w:p w14:paraId="2727E8F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3" w:name="_13.2资格证明文件：具体材料见“投标人须知前附表”。"/>
      <w:bookmarkEnd w:id="103"/>
      <w:r>
        <w:rPr>
          <w:rFonts w:hint="eastAsia" w:asciiTheme="majorEastAsia" w:hAnsiTheme="majorEastAsia" w:eastAsiaTheme="majorEastAsia" w:cstheme="majorEastAsia"/>
          <w:b w:val="0"/>
          <w:sz w:val="21"/>
          <w:szCs w:val="21"/>
        </w:rPr>
        <w:t>（2）资格证明文件：具体材料见“投标人须知前附表”。</w:t>
      </w:r>
    </w:p>
    <w:p w14:paraId="61651A9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4" w:name="_13.3商务文件:_具体材料见“投标人须知前附表”。"/>
      <w:bookmarkEnd w:id="104"/>
      <w:r>
        <w:rPr>
          <w:rFonts w:hint="eastAsia" w:asciiTheme="majorEastAsia" w:hAnsiTheme="majorEastAsia" w:eastAsiaTheme="majorEastAsia" w:cstheme="majorEastAsia"/>
          <w:b w:val="0"/>
          <w:sz w:val="21"/>
          <w:szCs w:val="21"/>
        </w:rPr>
        <w:t>（3）商务及技术文件：具体材料见“投标人须知前附表”。</w:t>
      </w:r>
    </w:p>
    <w:p w14:paraId="31E7E86A">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5" w:name="_13.4技术文件：具体材料见“投标人须知前附表”。"/>
      <w:bookmarkEnd w:id="105"/>
      <w:bookmarkStart w:id="106" w:name="_13.5投标文件电子版：具体材料见“投标人须知前附表”。"/>
      <w:bookmarkEnd w:id="106"/>
      <w:bookmarkStart w:id="107" w:name="_Toc254970678"/>
      <w:bookmarkStart w:id="108" w:name="_Toc254970537"/>
      <w:r>
        <w:rPr>
          <w:rFonts w:hint="eastAsia" w:asciiTheme="majorEastAsia" w:hAnsiTheme="majorEastAsia" w:eastAsiaTheme="majorEastAsia" w:cstheme="majorEastAsia"/>
          <w:sz w:val="24"/>
        </w:rPr>
        <w:t>14.投标文件的语言及计量</w:t>
      </w:r>
      <w:bookmarkEnd w:id="107"/>
      <w:bookmarkEnd w:id="108"/>
    </w:p>
    <w:p w14:paraId="6998FF1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14.1语言文字</w:t>
      </w:r>
    </w:p>
    <w:p w14:paraId="32A7C21E">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21FEF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14.2投标计量单位</w:t>
      </w:r>
    </w:p>
    <w:p w14:paraId="09F5261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招标文件已有明确规定的，使用招标文件规定的计量单位；招标文件没有规定的，应采用中华人民共和国法定计量单位，货币种类为人民币，</w:t>
      </w:r>
      <w:r>
        <w:rPr>
          <w:rFonts w:hint="eastAsia" w:asciiTheme="majorEastAsia" w:hAnsiTheme="majorEastAsia" w:eastAsiaTheme="majorEastAsia" w:cstheme="majorEastAsia"/>
          <w:sz w:val="21"/>
          <w:szCs w:val="21"/>
        </w:rPr>
        <w:t>否则视同未响应。</w:t>
      </w:r>
    </w:p>
    <w:p w14:paraId="0D7143D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15.投标的风险</w:t>
      </w:r>
    </w:p>
    <w:p w14:paraId="6BA16C47">
      <w:pPr>
        <w:pStyle w:val="25"/>
        <w:snapToGrid w:val="0"/>
        <w:spacing w:line="360" w:lineRule="auto"/>
        <w:ind w:firstLine="420" w:firstLineChars="200"/>
        <w:jc w:val="left"/>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投标人没有按照招标文件要求提供全部资料，或者投标人没有对招标文件作出实质性响应是投标人的风险，并可能导致其投标被拒绝。</w:t>
      </w:r>
    </w:p>
    <w:p w14:paraId="5AB43F98">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9" w:name="_Toc254970538"/>
      <w:bookmarkStart w:id="110" w:name="_Toc254970679"/>
      <w:r>
        <w:rPr>
          <w:rFonts w:hint="eastAsia" w:asciiTheme="majorEastAsia" w:hAnsiTheme="majorEastAsia" w:eastAsiaTheme="majorEastAsia" w:cstheme="majorEastAsia"/>
          <w:sz w:val="24"/>
        </w:rPr>
        <w:t>16.投标报价</w:t>
      </w:r>
      <w:bookmarkEnd w:id="109"/>
      <w:bookmarkEnd w:id="110"/>
    </w:p>
    <w:p w14:paraId="0C23526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16.1投标报价应按“第六章　投标文件格式”中“开标一览表”格式填写。</w:t>
      </w:r>
    </w:p>
    <w:p w14:paraId="71221ECC">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11" w:name="_16.2投标报价具体定义见投标人须知前附表。"/>
      <w:bookmarkEnd w:id="111"/>
      <w:r>
        <w:rPr>
          <w:rFonts w:hint="eastAsia" w:asciiTheme="majorEastAsia" w:hAnsiTheme="majorEastAsia" w:eastAsiaTheme="majorEastAsia" w:cstheme="majorEastAsia"/>
          <w:b w:val="0"/>
          <w:sz w:val="21"/>
          <w:szCs w:val="21"/>
        </w:rPr>
        <w:t>16.2投标报价具体包括内容详见“投标人须知前附表”。</w:t>
      </w:r>
    </w:p>
    <w:p w14:paraId="66B660D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16.3投标人必须就所投每个分标的全部内容分别作完整唯一总价报价，不得存在漏项报价；投标人必须就所投分标的单项内容作唯一报价。</w:t>
      </w:r>
    </w:p>
    <w:p w14:paraId="0579BC6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17.投标有效期</w:t>
      </w:r>
    </w:p>
    <w:p w14:paraId="608DF673">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112" w:name="_17.1投标有效期应按“投标人须知中的前附表”规定的期限。"/>
      <w:bookmarkEnd w:id="112"/>
      <w:r>
        <w:rPr>
          <w:rFonts w:hint="eastAsia" w:asciiTheme="majorEastAsia" w:hAnsiTheme="majorEastAsia" w:eastAsiaTheme="majorEastAsia" w:cstheme="majorEastAsia"/>
          <w:b w:val="0"/>
          <w:sz w:val="21"/>
          <w:szCs w:val="21"/>
        </w:rPr>
        <w:t>17.1投标有效期是指为保证采购人有足够的时间在开标后完成评标、定标、合同签订等工作而要求投标人提交的投标文件在一定时间内保持有效的期限。</w:t>
      </w:r>
    </w:p>
    <w:p w14:paraId="224742CC">
      <w:pPr>
        <w:pStyle w:val="6"/>
        <w:keepNext w:val="0"/>
        <w:keepLines w:val="0"/>
        <w:spacing w:before="0" w:after="0" w:line="360" w:lineRule="auto"/>
        <w:ind w:firstLine="424" w:firstLineChars="202"/>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17.2</w:t>
      </w:r>
      <w:bookmarkStart w:id="113" w:name="_Toc254970681"/>
      <w:bookmarkStart w:id="114" w:name="_Toc254970540"/>
      <w:r>
        <w:rPr>
          <w:rFonts w:hint="eastAsia" w:asciiTheme="majorEastAsia" w:hAnsiTheme="majorEastAsia" w:eastAsiaTheme="majorEastAsia" w:cstheme="majorEastAsia"/>
          <w:b w:val="0"/>
          <w:sz w:val="21"/>
          <w:szCs w:val="21"/>
        </w:rPr>
        <w:t xml:space="preserve"> 投标有效期应按招标文件规定的期限作出承诺，具体详见“投标人须知前附表”。</w:t>
      </w:r>
      <w:r>
        <w:rPr>
          <w:rFonts w:hint="eastAsia" w:asciiTheme="majorEastAsia" w:hAnsiTheme="majorEastAsia" w:eastAsiaTheme="majorEastAsia" w:cstheme="majorEastAsia"/>
          <w:sz w:val="21"/>
          <w:szCs w:val="21"/>
        </w:rPr>
        <w:t>承诺的投标有效期低于招标文件规定期限的，按无效投标处理</w:t>
      </w:r>
      <w:r>
        <w:rPr>
          <w:rFonts w:hint="eastAsia" w:asciiTheme="majorEastAsia" w:hAnsiTheme="majorEastAsia" w:eastAsiaTheme="majorEastAsia" w:cstheme="majorEastAsia"/>
          <w:b w:val="0"/>
          <w:sz w:val="21"/>
          <w:szCs w:val="21"/>
        </w:rPr>
        <w:t>。</w:t>
      </w:r>
    </w:p>
    <w:p w14:paraId="562E81AB">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17.3投标人的投标文件在投标有效期内均保持有效。</w:t>
      </w:r>
      <w:bookmarkEnd w:id="113"/>
      <w:bookmarkEnd w:id="114"/>
    </w:p>
    <w:p w14:paraId="2FEF4BFB">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15" w:name="_18.投标保证金"/>
      <w:bookmarkEnd w:id="115"/>
      <w:bookmarkStart w:id="116" w:name="_Toc254970682"/>
      <w:bookmarkStart w:id="117" w:name="_Toc254970541"/>
      <w:r>
        <w:rPr>
          <w:rFonts w:hint="eastAsia" w:asciiTheme="majorEastAsia" w:hAnsiTheme="majorEastAsia" w:eastAsiaTheme="majorEastAsia" w:cstheme="majorEastAsia"/>
          <w:sz w:val="24"/>
        </w:rPr>
        <w:t>18.投标保证金</w:t>
      </w:r>
      <w:bookmarkEnd w:id="116"/>
      <w:bookmarkEnd w:id="117"/>
    </w:p>
    <w:p w14:paraId="0EFFBE93">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18.1投标人须按“投标人须知前附表” 的规定提交投标保证金。</w:t>
      </w:r>
    </w:p>
    <w:p w14:paraId="4C7E8B4A">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18.2投标保证金的退还</w:t>
      </w:r>
    </w:p>
    <w:p w14:paraId="5E007B80">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未中标人的投标保证金自中标通知书发出之日起5个工作日内退还；中标人的投标保证金自政府采购合同签订之日起5个工作日内退还。 </w:t>
      </w:r>
    </w:p>
    <w:p w14:paraId="65158A0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18.3除逾期退还投标保证金和终止招标的情形以外，投标保证金不计息。</w:t>
      </w:r>
    </w:p>
    <w:p w14:paraId="7403CBE5">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18.4投标人有下列情形之一的，投标保证金将不予退还： </w:t>
      </w:r>
    </w:p>
    <w:p w14:paraId="772FBCBF">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（1）投标人在投标有效期内撤销投标文件的；</w:t>
      </w:r>
    </w:p>
    <w:p w14:paraId="21475C9A">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（2）未按规定提交履约保证金的；</w:t>
      </w:r>
    </w:p>
    <w:p w14:paraId="7539B430">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（3）投标人在投标过程中弄虚作假，提供虚假材料的；</w:t>
      </w:r>
    </w:p>
    <w:p w14:paraId="018B1157">
      <w:pPr>
        <w:snapToGrid w:val="0"/>
        <w:spacing w:line="360" w:lineRule="auto"/>
        <w:ind w:firstLine="411" w:firstLineChars="19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（4）中标人无正当理由不与采购人签订合同的；</w:t>
      </w:r>
    </w:p>
    <w:p w14:paraId="77006B7F">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（5）投标人出现本章第9.2、9.3情形的；</w:t>
      </w:r>
    </w:p>
    <w:p w14:paraId="7A019D6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（6）法律法规规定的其他情形。</w:t>
      </w:r>
    </w:p>
    <w:p w14:paraId="60647700">
      <w:pPr>
        <w:pStyle w:val="6"/>
        <w:keepNext w:val="0"/>
        <w:keepLines w:val="0"/>
        <w:numPr>
          <w:ilvl w:val="4"/>
          <w:numId w:val="6"/>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3DC8C118">
      <w:pPr>
        <w:pStyle w:val="6"/>
        <w:keepNext w:val="0"/>
        <w:keepLines w:val="0"/>
        <w:numPr>
          <w:ilvl w:val="4"/>
          <w:numId w:val="6"/>
        </w:numPr>
        <w:spacing w:before="0" w:after="0" w:line="360" w:lineRule="auto"/>
        <w:ind w:firstLine="315" w:firstLineChars="150"/>
        <w:rPr>
          <w:rFonts w:ascii="宋体" w:hAnsi="宋体"/>
          <w:b w:val="0"/>
          <w:sz w:val="21"/>
          <w:szCs w:val="21"/>
        </w:rPr>
      </w:pPr>
      <w:bookmarkStart w:id="118" w:name="_19.2投标文件应按报价文件、资格证明文件、商务文件、技术文件分别编制"/>
      <w:bookmarkEnd w:id="118"/>
      <w:r>
        <w:rPr>
          <w:rFonts w:hint="eastAsia" w:ascii="宋体" w:hAnsi="宋体"/>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4D0EE46B">
      <w:pPr>
        <w:pStyle w:val="6"/>
        <w:keepNext w:val="0"/>
        <w:keepLines w:val="0"/>
        <w:numPr>
          <w:ilvl w:val="4"/>
          <w:numId w:val="6"/>
        </w:numPr>
        <w:spacing w:before="0" w:after="0" w:line="360" w:lineRule="auto"/>
        <w:rPr>
          <w:rFonts w:ascii="宋体" w:hAnsi="宋体"/>
          <w:b w:val="0"/>
          <w:sz w:val="21"/>
          <w:szCs w:val="21"/>
        </w:rPr>
      </w:pPr>
      <w:r>
        <w:rPr>
          <w:rFonts w:hint="eastAsia" w:ascii="宋体" w:hAnsi="宋体"/>
          <w:b w:val="0"/>
          <w:sz w:val="21"/>
          <w:szCs w:val="21"/>
        </w:rPr>
        <w:t xml:space="preserve">    19.3投标文件须由投标人在规定位置签字（或者电子签名）、盖章（具体以投标人须知前附表或投标文件格式规定为准），</w:t>
      </w:r>
      <w:r>
        <w:rPr>
          <w:rFonts w:hint="eastAsia" w:ascii="宋体" w:hAnsi="宋体"/>
          <w:bCs/>
          <w:sz w:val="21"/>
          <w:szCs w:val="21"/>
        </w:rPr>
        <w:t>否则按无效投标处理</w:t>
      </w:r>
      <w:r>
        <w:rPr>
          <w:rFonts w:hint="eastAsia" w:ascii="宋体" w:hAnsi="宋体"/>
          <w:b w:val="0"/>
          <w:sz w:val="21"/>
          <w:szCs w:val="21"/>
        </w:rPr>
        <w:t>。</w:t>
      </w:r>
    </w:p>
    <w:p w14:paraId="10EBE620">
      <w:pPr>
        <w:pStyle w:val="6"/>
        <w:keepNext w:val="0"/>
        <w:keepLines w:val="0"/>
        <w:numPr>
          <w:ilvl w:val="4"/>
          <w:numId w:val="6"/>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rPr>
        <w:t>否则按无效投标处理</w:t>
      </w:r>
      <w:r>
        <w:rPr>
          <w:rFonts w:hint="eastAsia" w:ascii="宋体" w:hAnsi="宋体"/>
          <w:b w:val="0"/>
          <w:sz w:val="21"/>
          <w:szCs w:val="21"/>
        </w:rPr>
        <w:t>。</w:t>
      </w:r>
    </w:p>
    <w:p w14:paraId="74B65FB6">
      <w:pPr>
        <w:pStyle w:val="6"/>
        <w:keepNext w:val="0"/>
        <w:keepLines w:val="0"/>
        <w:numPr>
          <w:ilvl w:val="4"/>
          <w:numId w:val="6"/>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F3C5F1C">
      <w:pPr>
        <w:spacing w:line="360" w:lineRule="auto"/>
        <w:ind w:firstLine="480" w:firstLineChars="200"/>
        <w:rPr>
          <w:rFonts w:ascii="黑体" w:hAnsi="黑体" w:eastAsia="黑体"/>
          <w:sz w:val="24"/>
        </w:rPr>
      </w:pPr>
      <w:r>
        <w:rPr>
          <w:rFonts w:hint="eastAsia" w:ascii="黑体" w:hAnsi="黑体" w:eastAsia="黑体"/>
          <w:sz w:val="24"/>
        </w:rPr>
        <w:t>20.电子备份投标文件</w:t>
      </w:r>
    </w:p>
    <w:p w14:paraId="40BA4E63">
      <w:pPr>
        <w:spacing w:line="360" w:lineRule="auto"/>
        <w:ind w:firstLine="420" w:firstLineChars="200"/>
        <w:rPr>
          <w:rFonts w:ascii="黑体" w:hAnsi="黑体" w:eastAsia="黑体"/>
          <w:sz w:val="24"/>
        </w:rPr>
      </w:pPr>
      <w:r>
        <w:rPr>
          <w:rFonts w:hint="eastAsia"/>
        </w:rPr>
        <w:t>电子备份投标文件是指通过在线编制生成且后缀名为“</w:t>
      </w:r>
      <w:r>
        <w:t>bfbs</w:t>
      </w:r>
      <w:r>
        <w:rPr>
          <w:rFonts w:hint="eastAsia"/>
        </w:rPr>
        <w:t>”的文件，是否接受电子备份投标文件</w:t>
      </w:r>
      <w:r>
        <w:rPr>
          <w:rFonts w:hint="eastAsia" w:hAnsi="宋体"/>
          <w:bCs/>
          <w:szCs w:val="21"/>
        </w:rPr>
        <w:t>详见在“投标人须知前附表”。</w:t>
      </w:r>
    </w:p>
    <w:p w14:paraId="1FD9F277">
      <w:pPr>
        <w:pStyle w:val="6"/>
        <w:keepNext w:val="0"/>
        <w:keepLines w:val="0"/>
        <w:numPr>
          <w:ilvl w:val="4"/>
          <w:numId w:val="6"/>
        </w:numPr>
        <w:spacing w:before="0" w:after="0" w:line="360" w:lineRule="auto"/>
        <w:ind w:left="420" w:leftChars="200"/>
        <w:rPr>
          <w:rFonts w:ascii="黑体" w:hAnsi="黑体" w:eastAsia="黑体"/>
          <w:sz w:val="24"/>
        </w:rPr>
      </w:pPr>
      <w:bookmarkStart w:id="119" w:name="_Toc254970544"/>
      <w:bookmarkStart w:id="120" w:name="_Toc254970685"/>
      <w:r>
        <w:rPr>
          <w:rFonts w:hint="eastAsia" w:ascii="黑体" w:hAnsi="黑体" w:eastAsia="黑体"/>
          <w:sz w:val="24"/>
        </w:rPr>
        <w:t>21.投标文件的提交</w:t>
      </w:r>
    </w:p>
    <w:p w14:paraId="3DA258F6">
      <w:pPr>
        <w:spacing w:line="360" w:lineRule="auto"/>
        <w:ind w:firstLine="420" w:firstLineChars="200"/>
        <w:rPr>
          <w:rFonts w:hAnsi="宋体"/>
          <w:b/>
        </w:rPr>
      </w:pPr>
      <w:bookmarkStart w:id="121" w:name="_21.1投标人必须在“投标人须知中的前附表”规定的投标文件接收时间和投"/>
      <w:bookmarkEnd w:id="121"/>
      <w:r>
        <w:rPr>
          <w:rFonts w:hAnsi="宋体"/>
          <w:bCs/>
          <w:szCs w:val="21"/>
        </w:rPr>
        <w:t>21.1</w:t>
      </w:r>
      <w:r>
        <w:rPr>
          <w:rFonts w:hint="eastAsia" w:hAnsi="宋体"/>
          <w:bCs/>
          <w:szCs w:val="21"/>
        </w:rPr>
        <w:t>投标人必须在“投标人须知前附表”规定的</w:t>
      </w:r>
      <w:r>
        <w:rPr>
          <w:rFonts w:hint="eastAsia" w:ascii="宋体" w:hAnsi="宋体"/>
          <w:szCs w:val="21"/>
        </w:rPr>
        <w:t>提交投标文件截止时间前将</w:t>
      </w:r>
      <w:r>
        <w:rPr>
          <w:rFonts w:hint="eastAsia" w:hAnsi="宋体"/>
          <w:bCs/>
          <w:szCs w:val="21"/>
        </w:rPr>
        <w:t>电子投标文件提交至投标地点。电子投标文件应在制作完成后，在投标截止时间前通过有效数字证书（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w:t>
      </w:r>
      <w:r>
        <w:rPr>
          <w:rFonts w:hint="eastAsia" w:ascii="宋体" w:hAnsi="宋体"/>
          <w:b/>
          <w:szCs w:val="21"/>
        </w:rPr>
        <w:t>广西政府采购云平台</w:t>
      </w:r>
      <w:r>
        <w:rPr>
          <w:rFonts w:hint="eastAsia" w:hAnsi="宋体"/>
          <w:bCs/>
          <w:szCs w:val="21"/>
        </w:rPr>
        <w:t>。</w:t>
      </w:r>
      <w:r>
        <w:rPr>
          <w:rFonts w:hAnsi="宋体"/>
          <w:bCs/>
          <w:szCs w:val="21"/>
        </w:rPr>
        <w:t xml:space="preserve"> </w:t>
      </w:r>
      <w:r>
        <w:rPr>
          <w:rFonts w:hAnsi="宋体"/>
          <w:b/>
        </w:rPr>
        <w:t xml:space="preserve"> </w:t>
      </w:r>
    </w:p>
    <w:p w14:paraId="5A2E9D5D">
      <w:pPr>
        <w:spacing w:line="360" w:lineRule="auto"/>
        <w:ind w:firstLine="422" w:firstLineChars="200"/>
        <w:rPr>
          <w:rFonts w:ascii="宋体" w:hAnsi="宋体"/>
          <w:b/>
          <w:szCs w:val="20"/>
        </w:rPr>
      </w:pPr>
      <w:r>
        <w:rPr>
          <w:rFonts w:hint="eastAsia" w:ascii="宋体" w:hAnsi="宋体"/>
          <w:b/>
          <w:szCs w:val="21"/>
        </w:rPr>
        <w:t>21.2未在规定时间内提交或者未按照招标文件要求加密的电子投标文件，广西政府采购云平台将拒收。</w:t>
      </w:r>
    </w:p>
    <w:p w14:paraId="5AC50B95">
      <w:pPr>
        <w:pStyle w:val="6"/>
        <w:keepNext w:val="0"/>
        <w:keepLines w:val="0"/>
        <w:numPr>
          <w:ilvl w:val="4"/>
          <w:numId w:val="6"/>
        </w:numPr>
        <w:spacing w:before="0" w:after="0" w:line="360" w:lineRule="auto"/>
        <w:ind w:left="420" w:leftChars="200"/>
        <w:rPr>
          <w:rFonts w:ascii="黑体" w:hAnsi="黑体" w:eastAsia="黑体"/>
          <w:sz w:val="24"/>
        </w:rPr>
      </w:pPr>
      <w:r>
        <w:rPr>
          <w:rFonts w:hint="eastAsia" w:ascii="黑体" w:hAnsi="黑体" w:eastAsia="黑体"/>
          <w:sz w:val="24"/>
        </w:rPr>
        <w:t>22. 投标文件的补充、修改、撤回与退回</w:t>
      </w:r>
    </w:p>
    <w:p w14:paraId="23EAB0FD">
      <w:pPr>
        <w:snapToGrid w:val="0"/>
        <w:spacing w:line="360" w:lineRule="auto"/>
        <w:ind w:firstLine="420"/>
        <w:jc w:val="left"/>
        <w:rPr>
          <w:rFonts w:ascii="宋体" w:hAnsi="宋体"/>
          <w:szCs w:val="21"/>
        </w:rPr>
      </w:pPr>
      <w:bookmarkStart w:id="122" w:name="_Toc254970684"/>
      <w:bookmarkStart w:id="123" w:name="_Toc254970543"/>
      <w:r>
        <w:rPr>
          <w:rFonts w:hint="eastAsia" w:ascii="宋体" w:hAnsi="宋体" w:cs="宋体"/>
          <w:szCs w:val="21"/>
        </w:rPr>
        <w:t>22.1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2"/>
    <w:bookmarkEnd w:id="123"/>
    <w:p w14:paraId="6F7AC3FC">
      <w:pPr>
        <w:pStyle w:val="115"/>
        <w:spacing w:before="0"/>
        <w:ind w:firstLine="420"/>
        <w:rPr>
          <w:rFonts w:ascii="宋体" w:hAnsi="宋体" w:cs="宋体"/>
          <w:sz w:val="21"/>
          <w:szCs w:val="21"/>
        </w:rPr>
      </w:pPr>
      <w:r>
        <w:rPr>
          <w:rFonts w:hint="eastAsia" w:ascii="宋体" w:hAnsi="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6F1DC97C">
      <w:pPr>
        <w:spacing w:line="360" w:lineRule="auto"/>
        <w:ind w:firstLine="420" w:firstLineChars="200"/>
        <w:rPr>
          <w:rFonts w:ascii="宋体" w:hAnsi="宋体" w:cs="宋体"/>
          <w:szCs w:val="21"/>
        </w:rPr>
      </w:pPr>
      <w:r>
        <w:rPr>
          <w:rFonts w:hint="eastAsia" w:ascii="宋体" w:hAnsi="宋体" w:cs="宋体"/>
          <w:szCs w:val="21"/>
        </w:rPr>
        <w:t>22.3在投标截止时间后，采购人和采购代理机构对已提交的投标文件概不退回。</w:t>
      </w:r>
    </w:p>
    <w:p w14:paraId="77DC1B54">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四、开    标</w:t>
      </w:r>
      <w:bookmarkEnd w:id="119"/>
      <w:bookmarkEnd w:id="120"/>
    </w:p>
    <w:p w14:paraId="440BE327">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4" w:name="_23.开标时间和地点"/>
      <w:bookmarkEnd w:id="124"/>
      <w:r>
        <w:rPr>
          <w:rFonts w:hint="eastAsia" w:asciiTheme="majorEastAsia" w:hAnsiTheme="majorEastAsia" w:eastAsiaTheme="majorEastAsia" w:cstheme="majorEastAsia"/>
          <w:sz w:val="24"/>
        </w:rPr>
        <w:t>23.开标时间和地点</w:t>
      </w:r>
    </w:p>
    <w:p w14:paraId="739DEFFF">
      <w:pPr>
        <w:spacing w:line="360" w:lineRule="auto"/>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开标时间及地点详见“投标人须知前附表”</w:t>
      </w:r>
    </w:p>
    <w:p w14:paraId="09C2DA38">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24.开标程序</w:t>
      </w:r>
    </w:p>
    <w:p w14:paraId="1D7A7D0E">
      <w:pPr>
        <w:pStyle w:val="7"/>
        <w:spacing w:line="360" w:lineRule="auto"/>
      </w:pPr>
      <w:r>
        <w:t>24.1</w:t>
      </w:r>
      <w:r>
        <w:rPr>
          <w:rFonts w:hint="eastAsia"/>
        </w:rPr>
        <w:t>提交投标文件截止时间止，投标人不足</w:t>
      </w:r>
      <w:r>
        <w:t>3</w:t>
      </w:r>
      <w:r>
        <w:rPr>
          <w:rFonts w:hint="eastAsia"/>
        </w:rPr>
        <w:t>家的，不得开标。</w:t>
      </w:r>
    </w:p>
    <w:p w14:paraId="7E97FFC4">
      <w:pPr>
        <w:pStyle w:val="7"/>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1D65284">
      <w:pPr>
        <w:pStyle w:val="7"/>
        <w:spacing w:line="360" w:lineRule="auto"/>
      </w:pPr>
      <w:r>
        <w:t>24.3</w:t>
      </w:r>
      <w:r>
        <w:rPr>
          <w:rFonts w:hint="eastAsia"/>
        </w:rPr>
        <w:t>开标程序</w:t>
      </w:r>
    </w:p>
    <w:p w14:paraId="21DBDDC1">
      <w:pPr>
        <w:pStyle w:val="7"/>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hint="eastAsia" w:ascii="宋体" w:hAnsi="宋体"/>
          <w:b/>
          <w:szCs w:val="21"/>
        </w:rPr>
        <w:t>投标人的投标文件作无效处理</w:t>
      </w:r>
      <w:r>
        <w:rPr>
          <w:rFonts w:hint="eastAsia"/>
          <w:b/>
        </w:rPr>
        <w:t>。</w:t>
      </w:r>
    </w:p>
    <w:p w14:paraId="09388EAA">
      <w:pPr>
        <w:pStyle w:val="7"/>
        <w:spacing w:line="360" w:lineRule="auto"/>
      </w:pPr>
      <w:r>
        <w:rPr>
          <w:rFonts w:hint="eastAsia"/>
        </w:rPr>
        <w:t>（</w:t>
      </w:r>
      <w:r>
        <w:t>2</w:t>
      </w:r>
      <w:r>
        <w:rPr>
          <w:rFonts w:hint="eastAsia"/>
        </w:rPr>
        <w:t>）电子唱标。投标文件解密结束，宣布的内容均在广西政府采购云平台远程开标大厅展示，具体详见</w:t>
      </w:r>
      <w:r>
        <w:rPr>
          <w:rFonts w:hint="eastAsia" w:hAnsi="宋体"/>
          <w:bCs/>
        </w:rPr>
        <w:t>“投标人须知前附表”</w:t>
      </w:r>
      <w:r>
        <w:rPr>
          <w:rFonts w:hint="eastAsia"/>
        </w:rPr>
        <w:t>；</w:t>
      </w:r>
    </w:p>
    <w:p w14:paraId="54606DA1">
      <w:pPr>
        <w:pStyle w:val="7"/>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33BB3B79">
      <w:pPr>
        <w:pStyle w:val="7"/>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86B478">
      <w:pPr>
        <w:pStyle w:val="7"/>
        <w:spacing w:line="360" w:lineRule="auto"/>
        <w:rPr>
          <w:szCs w:val="21"/>
        </w:rPr>
      </w:pPr>
      <w:r>
        <w:rPr>
          <w:rFonts w:hint="eastAsia"/>
          <w:szCs w:val="21"/>
        </w:rPr>
        <w:t>（</w:t>
      </w:r>
      <w:r>
        <w:rPr>
          <w:szCs w:val="21"/>
        </w:rPr>
        <w:t>5</w:t>
      </w:r>
      <w:r>
        <w:rPr>
          <w:rFonts w:hint="eastAsia"/>
          <w:szCs w:val="21"/>
        </w:rPr>
        <w:t>）开标结束。</w:t>
      </w:r>
    </w:p>
    <w:p w14:paraId="5ABB538C">
      <w:pPr>
        <w:pStyle w:val="25"/>
        <w:snapToGrid w:val="0"/>
        <w:spacing w:line="360" w:lineRule="auto"/>
        <w:ind w:firstLine="420" w:firstLineChars="200"/>
        <w:rPr>
          <w:rFonts w:hAnsi="宋体"/>
          <w:sz w:val="21"/>
        </w:rPr>
      </w:pPr>
      <w:r>
        <w:rPr>
          <w:rFonts w:hint="eastAsia"/>
          <w:sz w:val="21"/>
        </w:rPr>
        <w:t>特别说明：如遇广西政府采购云平台电子化开标或评审程序调整的，按调整后执行。</w:t>
      </w:r>
    </w:p>
    <w:p w14:paraId="47B54D18">
      <w:pPr>
        <w:pStyle w:val="25"/>
        <w:snapToGrid w:val="0"/>
        <w:spacing w:line="360" w:lineRule="auto"/>
        <w:ind w:left="689" w:leftChars="228" w:hanging="210" w:hangingChars="100"/>
        <w:rPr>
          <w:rFonts w:asciiTheme="majorEastAsia" w:hAnsiTheme="majorEastAsia" w:eastAsiaTheme="majorEastAsia" w:cstheme="majorEastAsia"/>
          <w:sz w:val="21"/>
        </w:rPr>
      </w:pPr>
    </w:p>
    <w:p w14:paraId="1C44298D">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五、资格审查</w:t>
      </w:r>
    </w:p>
    <w:p w14:paraId="565712B9">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25.资格审查</w:t>
      </w:r>
    </w:p>
    <w:p w14:paraId="284920AD">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25.1开标结束后，采购人或者采购代理机构通过电子开评标系统依据招标文件对电子投标文件进行线上资格审查。</w:t>
      </w:r>
    </w:p>
    <w:p w14:paraId="0E33AE07">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063FC9E7">
      <w:pPr>
        <w:pStyle w:val="6"/>
        <w:keepNext w:val="0"/>
        <w:keepLines w:val="0"/>
        <w:numPr>
          <w:ilvl w:val="0"/>
          <w:numId w:val="0"/>
        </w:numPr>
        <w:spacing w:before="0" w:after="0" w:line="360" w:lineRule="auto"/>
        <w:ind w:firstLine="422" w:firstLineChars="200"/>
        <w:rPr>
          <w:rFonts w:asciiTheme="majorEastAsia" w:hAnsiTheme="majorEastAsia" w:eastAsiaTheme="majorEastAsia" w:cstheme="majorEastAsia"/>
          <w:sz w:val="21"/>
          <w:szCs w:val="21"/>
        </w:rPr>
      </w:pPr>
      <w:bookmarkStart w:id="125" w:name="_25.3_投标人有下列情形之一的，资格审查不通过而导致其投标无效："/>
      <w:bookmarkEnd w:id="125"/>
      <w:r>
        <w:rPr>
          <w:rFonts w:hint="eastAsia" w:asciiTheme="majorEastAsia" w:hAnsiTheme="majorEastAsia" w:eastAsiaTheme="majorEastAsia" w:cstheme="majorEastAsia"/>
          <w:sz w:val="21"/>
          <w:szCs w:val="21"/>
        </w:rPr>
        <w:t>25.3 投标人有下列情形之一的，资格审查不通过，作无效投标处理：</w:t>
      </w:r>
    </w:p>
    <w:p w14:paraId="7F964E6A">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（1）不具备招标文件中规定的资格要求的；</w:t>
      </w:r>
    </w:p>
    <w:p w14:paraId="63DD89E1">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A685F6A">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02AAFD2F">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（4）投标文件中的资格证明文件缺少任一项“投标人须知前附表”资格证明文件规定“必须提供”的文件资料的；</w:t>
      </w:r>
    </w:p>
    <w:p w14:paraId="2F794098">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（5）投标文件中的资格证明文件出现任一项不符合“投标人须知前附表”资格证明文件规定“必须提供”的文件资料要求或者无效的。</w:t>
      </w:r>
    </w:p>
    <w:p w14:paraId="25A4DE6D">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sz w:val="21"/>
          <w:szCs w:val="21"/>
        </w:rPr>
        <w:t>25.4合格投标人不足3家的，不得评标。</w:t>
      </w:r>
    </w:p>
    <w:p w14:paraId="26BA1395">
      <w:pPr>
        <w:pStyle w:val="25"/>
        <w:snapToGrid w:val="0"/>
        <w:spacing w:line="360" w:lineRule="auto"/>
        <w:ind w:left="689" w:leftChars="228" w:hanging="210" w:hangingChars="100"/>
        <w:rPr>
          <w:rFonts w:asciiTheme="majorEastAsia" w:hAnsiTheme="majorEastAsia" w:eastAsiaTheme="majorEastAsia" w:cstheme="majorEastAsia"/>
          <w:sz w:val="21"/>
        </w:rPr>
      </w:pPr>
    </w:p>
    <w:p w14:paraId="55123BB0">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六、评   标</w:t>
      </w:r>
    </w:p>
    <w:p w14:paraId="4CEC18B4">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6" w:name="_26.组建评标委员会"/>
      <w:bookmarkEnd w:id="126"/>
      <w:r>
        <w:rPr>
          <w:rFonts w:hint="eastAsia" w:asciiTheme="majorEastAsia" w:hAnsiTheme="majorEastAsia" w:eastAsiaTheme="majorEastAsia" w:cstheme="majorEastAsia"/>
          <w:sz w:val="24"/>
        </w:rPr>
        <w:t>26.组建评标委员会</w:t>
      </w:r>
    </w:p>
    <w:p w14:paraId="50E40CA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26.1评标委员会由采购人代表和评审专家组成，具体人数详见“投标人须知前附表”，其中评审专家不得少于成员总数的三分之二。</w:t>
      </w:r>
    </w:p>
    <w:p w14:paraId="18525FE1">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26.2参加过采购项目前期咨询论证的专家，不得参加该采购项目的评审活动。</w:t>
      </w:r>
    </w:p>
    <w:p w14:paraId="293E15A0">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26.3</w:t>
      </w:r>
      <w:r>
        <w:rPr>
          <w:rFonts w:hint="eastAsia" w:asciiTheme="majorEastAsia" w:hAnsiTheme="majorEastAsia" w:eastAsiaTheme="majorEastAsia" w:cstheme="majorEastAsia"/>
          <w:bCs/>
          <w:sz w:val="21"/>
        </w:rPr>
        <w:t>采购代理机构应当基于广西政府采购云平台平台抽（选）取评审专家。</w:t>
      </w:r>
    </w:p>
    <w:p w14:paraId="6B6F88D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27.评标的依据</w:t>
      </w:r>
    </w:p>
    <w:p w14:paraId="1716997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评标委员会以“第四章 评标方法和评标标准”为依据对投标文件进行评审，没有规定的方法、评审因素和标准，不作为评标依据。</w:t>
      </w:r>
    </w:p>
    <w:p w14:paraId="6BBDF3D5">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28.评标原则</w:t>
      </w:r>
    </w:p>
    <w:p w14:paraId="547694E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9C19E9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28.2</w:t>
      </w:r>
      <w:bookmarkStart w:id="127" w:name="_28.3评标方法。本项目将按须知前附表规定的评标办法进行评标，具体评标"/>
      <w:bookmarkEnd w:id="127"/>
      <w:r>
        <w:rPr>
          <w:rFonts w:hint="eastAsia" w:asciiTheme="majorEastAsia" w:hAnsiTheme="majorEastAsia" w:eastAsiaTheme="majorEastAsia" w:cstheme="majorEastAsia"/>
          <w:sz w:val="21"/>
        </w:rPr>
        <w:t>评委表决。评标委员会成员对需要共同认定的事项存在争议的，应当按照少数服从多数的原则作出结论。</w:t>
      </w:r>
    </w:p>
    <w:p w14:paraId="66B427B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F1B5C8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28.4评标过程的监控。本项目电子评标过程实行网上留痕、全程录音、录像监控，</w:t>
      </w:r>
      <w:r>
        <w:rPr>
          <w:rFonts w:hint="eastAsia" w:asciiTheme="majorEastAsia" w:hAnsiTheme="majorEastAsia" w:eastAsiaTheme="majorEastAsia" w:cstheme="majorEastAsia"/>
          <w:b/>
          <w:sz w:val="21"/>
        </w:rPr>
        <w:t>投标人在评标过程中所进行的试图影响评标结果的不公正活动，可能导致其投标按无效处理。</w:t>
      </w:r>
    </w:p>
    <w:p w14:paraId="48477CA6">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29.评标方法及中标候选人推荐</w:t>
      </w:r>
    </w:p>
    <w:p w14:paraId="7F59D3B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29.1本项目的评标方法详见“投标人须知前附表”。</w:t>
      </w:r>
    </w:p>
    <w:p w14:paraId="1625EFC1">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29.2 商务要求允许负偏离的条款数详见“投标人须知前附表”。</w:t>
      </w:r>
    </w:p>
    <w:p w14:paraId="7BAACFC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29.3 中标候选人推荐数量详见“投标人须知前附表”。</w:t>
      </w:r>
    </w:p>
    <w:p w14:paraId="5922DA8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29.4 电子交易活动的中止。采购过程中出现以下情形，导致电子交易平台无法正常运行，或者无法保证电子交易的公平、公正和安全时，采购代理机构可以中止电子交易活动：</w:t>
      </w:r>
    </w:p>
    <w:p w14:paraId="0C1F34C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（1）电子交易平台发生故障而无法登录访问的； </w:t>
      </w:r>
    </w:p>
    <w:p w14:paraId="0F56DC3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（2）电子交易平台应用或数据库出现错误，不能进行正常操作的；</w:t>
      </w:r>
    </w:p>
    <w:p w14:paraId="45680F4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（3）电子交易平台发现严重安全漏洞，有潜在泄密危险的；</w:t>
      </w:r>
    </w:p>
    <w:p w14:paraId="55CBADD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（4）病毒发作导致不能进行正常操作的； </w:t>
      </w:r>
    </w:p>
    <w:p w14:paraId="7623105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（5）其他无法保证电子交易的公平、公正和安全的情况。</w:t>
      </w:r>
    </w:p>
    <w:p w14:paraId="78E76096">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0060F5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29.5出现下列情形之一的，应予废标：</w:t>
      </w:r>
    </w:p>
    <w:p w14:paraId="4E005CB4">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（1）符合专业条件的供应商或者对招标文件作实质响应的供应商不足三家的；</w:t>
      </w:r>
    </w:p>
    <w:p w14:paraId="2935F91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1EF6D84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（3）投标人的报价均超过了采购预算，采购人不能支付的；</w:t>
      </w:r>
    </w:p>
    <w:p w14:paraId="6F00E0F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p w14:paraId="34CE2CF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废标后，采购人应当将废标理由通知所有投标人。</w:t>
      </w:r>
    </w:p>
    <w:p w14:paraId="33A2041D">
      <w:pPr>
        <w:pStyle w:val="25"/>
        <w:snapToGrid w:val="0"/>
        <w:spacing w:line="360" w:lineRule="auto"/>
        <w:rPr>
          <w:rFonts w:asciiTheme="majorEastAsia" w:hAnsiTheme="majorEastAsia" w:eastAsiaTheme="majorEastAsia" w:cstheme="majorEastAsia"/>
          <w:sz w:val="21"/>
        </w:rPr>
      </w:pPr>
    </w:p>
    <w:p w14:paraId="456E9A4B">
      <w:pPr>
        <w:pStyle w:val="4"/>
        <w:keepNext w:val="0"/>
        <w:keepLines w:val="0"/>
        <w:jc w:val="center"/>
        <w:rPr>
          <w:rFonts w:asciiTheme="majorEastAsia" w:hAnsiTheme="majorEastAsia" w:eastAsiaTheme="majorEastAsia" w:cstheme="majorEastAsia"/>
        </w:rPr>
      </w:pPr>
      <w:bookmarkStart w:id="128" w:name="_Toc254970687"/>
      <w:bookmarkStart w:id="129" w:name="_Toc254970546"/>
      <w:r>
        <w:rPr>
          <w:rFonts w:hint="eastAsia" w:asciiTheme="majorEastAsia" w:hAnsiTheme="majorEastAsia" w:eastAsiaTheme="majorEastAsia" w:cstheme="majorEastAsia"/>
        </w:rPr>
        <w:t>七、</w:t>
      </w:r>
      <w:bookmarkEnd w:id="128"/>
      <w:bookmarkEnd w:id="129"/>
      <w:r>
        <w:rPr>
          <w:rFonts w:hint="eastAsia" w:asciiTheme="majorEastAsia" w:hAnsiTheme="majorEastAsia" w:eastAsiaTheme="majorEastAsia" w:cstheme="majorEastAsia"/>
        </w:rPr>
        <w:t>中标和合同</w:t>
      </w:r>
    </w:p>
    <w:p w14:paraId="0ABC5D9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 .确定中标人</w:t>
      </w:r>
    </w:p>
    <w:p w14:paraId="063D21A2">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7D44CE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30.2采购人在收到评标报告5个工作日内未按评标报告推荐的中标候选人顺序确定中标人，又不能说明合法理由的，视同按评标报告推荐的顺序确定排名第一的中标候选人为中标人。</w:t>
      </w:r>
    </w:p>
    <w:p w14:paraId="120D5088">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 结果公告</w:t>
      </w:r>
    </w:p>
    <w:p w14:paraId="2957D1B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35EC3D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以上信息查询记录及相关证据与招标文件一并保存。</w:t>
      </w:r>
    </w:p>
    <w:p w14:paraId="6CFE77E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4D0E505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32.发出中标通知书</w:t>
      </w:r>
    </w:p>
    <w:p w14:paraId="62837B94">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2DEA68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 无义务解释未中标原因</w:t>
      </w:r>
    </w:p>
    <w:p w14:paraId="2A58573A">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采购代理机构无义务向未中标的投标人解释未中标原因。</w:t>
      </w:r>
    </w:p>
    <w:p w14:paraId="0CF4F42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34.合同授予标准</w:t>
      </w:r>
    </w:p>
    <w:p w14:paraId="468A30E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合同将授予被确定实质上响应招标文件要求，具备履行合同能力的中标人。</w:t>
      </w:r>
    </w:p>
    <w:p w14:paraId="64016E7C">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35.履约保证金</w:t>
      </w:r>
    </w:p>
    <w:p w14:paraId="65244692">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bookmarkStart w:id="130" w:name="_39.1中标人须于签订合同前按本须知前附表规定的金额转账或电汇到指定账"/>
      <w:bookmarkEnd w:id="130"/>
      <w:r>
        <w:rPr>
          <w:rFonts w:hint="eastAsia" w:asciiTheme="majorEastAsia" w:hAnsiTheme="majorEastAsia" w:eastAsiaTheme="majorEastAsia" w:cstheme="majorEastAsia"/>
          <w:b w:val="0"/>
          <w:sz w:val="21"/>
          <w:szCs w:val="21"/>
        </w:rPr>
        <w:t xml:space="preserve"> 35.1 履约保证金的金额、提交方式、退付的时间和条件详见 “投标人须知前附表”。中标人未按规定提交履约保证金的，视为拒绝与采购人签订合同。</w:t>
      </w:r>
    </w:p>
    <w:p w14:paraId="06117666">
      <w:pPr>
        <w:pStyle w:val="6"/>
        <w:keepNext w:val="0"/>
        <w:keepLines w:val="0"/>
        <w:spacing w:before="0" w:after="0" w:line="360" w:lineRule="auto"/>
        <w:ind w:firstLine="315" w:firstLineChars="15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rPr>
        <w:t>35.2在履约保证金退还日期前，若中标人的开户名称、开户银行、账号有变动的，请以书面形式通知履约保证金收取单位，否则由此产生的后果由中标人自行承担。</w:t>
      </w:r>
    </w:p>
    <w:p w14:paraId="7EAF212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36.签订合同</w:t>
      </w:r>
    </w:p>
    <w:p w14:paraId="1AD9398D">
      <w:pPr>
        <w:pStyle w:val="6"/>
        <w:keepNext w:val="0"/>
        <w:keepLines w:val="0"/>
        <w:spacing w:before="0" w:after="0" w:line="360" w:lineRule="auto"/>
        <w:ind w:firstLine="316" w:firstLineChars="150"/>
        <w:rPr>
          <w:rFonts w:asciiTheme="majorEastAsia" w:hAnsiTheme="majorEastAsia" w:eastAsiaTheme="majorEastAsia" w:cstheme="majorEastAsia"/>
          <w:b w:val="0"/>
          <w:sz w:val="21"/>
          <w:szCs w:val="21"/>
        </w:rPr>
      </w:pPr>
      <w:bookmarkStart w:id="131" w:name="_40.1投标人接到中标通知书后，按须知前附表规定向采购人出示相关资格证"/>
      <w:bookmarkEnd w:id="131"/>
      <w:r>
        <w:rPr>
          <w:rFonts w:hint="eastAsia" w:asciiTheme="majorEastAsia" w:hAnsiTheme="majorEastAsia" w:eastAsiaTheme="majorEastAsia" w:cstheme="majorEastAsia"/>
          <w:sz w:val="21"/>
          <w:szCs w:val="21"/>
        </w:rPr>
        <w:t>36.1签订电子采购合同：中标人领取电子中标通知书后，</w:t>
      </w:r>
      <w:r>
        <w:rPr>
          <w:rFonts w:hint="eastAsia" w:asciiTheme="majorEastAsia" w:hAnsiTheme="majorEastAsia" w:eastAsiaTheme="majorEastAsia" w:cstheme="majorEastAsia"/>
          <w:kern w:val="0"/>
          <w:sz w:val="21"/>
          <w:szCs w:val="21"/>
        </w:rPr>
        <w:t>在</w:t>
      </w:r>
      <w:r>
        <w:rPr>
          <w:rFonts w:hint="eastAsia" w:asciiTheme="majorEastAsia" w:hAnsiTheme="majorEastAsia" w:eastAsiaTheme="majorEastAsia" w:cstheme="major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348F313">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线下签订纸质合同：投标人领取中标通知书后，按“投标人须知前附表”规定向采购人出示相关证明材料，经采购人核验合格后方可签订合同。</w:t>
      </w:r>
    </w:p>
    <w:p w14:paraId="578A86DE">
      <w:pPr>
        <w:pStyle w:val="6"/>
        <w:keepNext w:val="0"/>
        <w:keepLines w:val="0"/>
        <w:numPr>
          <w:ilvl w:val="0"/>
          <w:numId w:val="0"/>
        </w:numPr>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36.2签订合同时间：按中标通知书规定的时间与采购人签订合同。</w:t>
      </w:r>
    </w:p>
    <w:p w14:paraId="47F2C1ED">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4596846">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246CA2B">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0F3E039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36.6如签订合同并生效后，供应商无故拒绝或延期，除按照合同条款处理外，将承担相应的法律责任。</w:t>
      </w:r>
    </w:p>
    <w:p w14:paraId="406F60E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4F4AF3F7">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2" w:name="_41.政府采购合同公告"/>
      <w:bookmarkEnd w:id="132"/>
      <w:r>
        <w:rPr>
          <w:rFonts w:hint="eastAsia" w:asciiTheme="majorEastAsia" w:hAnsiTheme="majorEastAsia" w:eastAsiaTheme="majorEastAsia" w:cstheme="majorEastAsia"/>
          <w:sz w:val="24"/>
        </w:rPr>
        <w:t>37.政府采购合同公告</w:t>
      </w:r>
    </w:p>
    <w:p w14:paraId="4A9EC25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B3BFB8F">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38. 询问、质疑和投诉</w:t>
      </w:r>
    </w:p>
    <w:p w14:paraId="74D63EA9">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38.1供应商对政府采购活动事项有疑问的，可以向采购人提出询问，采购人或者采购代理机构应当在3个工作日内对供应商依法提出的询问作出答复，但答复的内容不得涉及商业秘密。</w:t>
      </w:r>
    </w:p>
    <w:p w14:paraId="2C004DDF">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DBB1CD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（1）对可以质疑的招标文件提出质疑的，为收到招标文件之日或者招标文件公告期限届满之日；</w:t>
      </w:r>
    </w:p>
    <w:p w14:paraId="319661A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（2）对采购过程提出质疑的，为各采购程序环节结束之日；</w:t>
      </w:r>
    </w:p>
    <w:p w14:paraId="3409053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sz w:val="21"/>
        </w:rPr>
        <w:t>（3）对中标结果提出质疑的，为中标结果公告期限届满之日。</w:t>
      </w:r>
    </w:p>
    <w:p w14:paraId="4F6A6E4C">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38.3 </w:t>
      </w:r>
      <w:r>
        <w:rPr>
          <w:rFonts w:hint="eastAsia" w:asciiTheme="majorEastAsia" w:hAnsiTheme="majorEastAsia" w:eastAsiaTheme="majorEastAsia" w:cstheme="majorEastAsia"/>
          <w:b w:val="0"/>
          <w:bCs/>
          <w:sz w:val="21"/>
        </w:rPr>
        <w:t>供应商提出质疑应当提交质疑函和必要的证明材料，针对同一采购程序环节的质疑必须在法定质疑期内一次性提出。质疑函应当包括下列内容（质疑函格式后附）：</w:t>
      </w:r>
    </w:p>
    <w:p w14:paraId="24245E7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（1）供应商的姓名或者名称、地址、邮编、联系人及联系电话；</w:t>
      </w:r>
    </w:p>
    <w:p w14:paraId="4A8AAB3B">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（2）质疑项目的名称、编号；</w:t>
      </w:r>
    </w:p>
    <w:p w14:paraId="522383D6">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（3）具体、明确的质疑事项和与质疑事项相关的请求；</w:t>
      </w:r>
    </w:p>
    <w:p w14:paraId="25198E30">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（4）事实依据；</w:t>
      </w:r>
    </w:p>
    <w:p w14:paraId="74C2763E">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（5）必要的法律依据；</w:t>
      </w:r>
    </w:p>
    <w:p w14:paraId="2C5A560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（6）提出质疑的日期。</w:t>
      </w:r>
    </w:p>
    <w:p w14:paraId="1FDC1A3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供应商为自然人的，应当由本人签字；供应商为法人或者其他组织的，应当由法定代表人、主要负责人，或者其委托代理人签字或者盖章，并加盖公章。</w:t>
      </w:r>
    </w:p>
    <w:p w14:paraId="18DC9A9F">
      <w:pPr>
        <w:pStyle w:val="6"/>
        <w:keepNext w:val="0"/>
        <w:keepLines w:val="0"/>
        <w:snapToGrid w:val="0"/>
        <w:spacing w:before="0" w:after="0" w:line="360" w:lineRule="auto"/>
        <w:ind w:firstLine="420" w:firstLineChars="200"/>
        <w:rPr>
          <w:rFonts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sz w:val="21"/>
          <w:szCs w:val="21"/>
        </w:rPr>
        <w:t>3</w:t>
      </w:r>
      <w:r>
        <w:rPr>
          <w:rFonts w:hint="eastAsia" w:asciiTheme="majorEastAsia" w:hAnsiTheme="majorEastAsia" w:eastAsiaTheme="majorEastAsia" w:cstheme="major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03264185">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（一）对招标文件提出的质疑，依法通过澄清或者修改可以继续开展采购活动的，澄清或者修改招标文件后继续开展采购活动；否则应当修改招标文件后重新开展采购活动。</w:t>
      </w:r>
    </w:p>
    <w:p w14:paraId="5F2F5CC7">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（二）对采购过程、中标结果提出的质疑，合格供应商符合法定数量时，可以从合格的中标候选人中另行确定中标供应商的，应当依法另行确定中标供应商；否则应当重新开展采购活动。</w:t>
      </w:r>
    </w:p>
    <w:p w14:paraId="493C518A">
      <w:pPr>
        <w:pStyle w:val="25"/>
        <w:snapToGrid w:val="0"/>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质疑答复导致中标结果改变的，采购人或者采购代理机构应当将有关情况书面报告本级财政部门。</w:t>
      </w:r>
    </w:p>
    <w:p w14:paraId="1E90136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10937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八、其他事项</w:t>
      </w:r>
    </w:p>
    <w:p w14:paraId="0AE1C3CF">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3" w:name="_42.代理服务费"/>
      <w:bookmarkEnd w:id="133"/>
      <w:r>
        <w:rPr>
          <w:rFonts w:hint="eastAsia" w:asciiTheme="majorEastAsia" w:hAnsiTheme="majorEastAsia" w:eastAsiaTheme="majorEastAsia" w:cstheme="majorEastAsia"/>
          <w:sz w:val="24"/>
        </w:rPr>
        <w:t>39.代理服务费</w:t>
      </w:r>
    </w:p>
    <w:p w14:paraId="7EC4AF6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39.1代理服务收取标准及缴费账户详见“投标人须知前附表”，投标人为联合体的，可以由联合体中的一方或者多方共同交纳代理服务费。</w:t>
      </w:r>
    </w:p>
    <w:p w14:paraId="75AB994F">
      <w:pPr>
        <w:pStyle w:val="25"/>
        <w:snapToGrid w:val="0"/>
        <w:spacing w:line="360" w:lineRule="auto"/>
        <w:ind w:firstLine="420" w:firstLineChars="200"/>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b w:val="0"/>
          <w:sz w:val="21"/>
          <w:szCs w:val="21"/>
        </w:rPr>
        <w:t>39.2代理服务收费标准：</w:t>
      </w:r>
      <w:r>
        <w:rPr>
          <w:rFonts w:hint="eastAsia" w:asciiTheme="majorEastAsia" w:hAnsiTheme="majorEastAsia" w:eastAsiaTheme="majorEastAsia" w:cstheme="majorEastAsia"/>
          <w:b w:val="0"/>
          <w:sz w:val="21"/>
          <w:szCs w:val="21"/>
          <w:lang w:eastAsia="zh-CN"/>
        </w:rPr>
        <w:t>固定收费。</w:t>
      </w:r>
    </w:p>
    <w:p w14:paraId="0FAE2E14">
      <w:pPr>
        <w:pStyle w:val="6"/>
        <w:keepNext w:val="0"/>
        <w:keepLines w:val="0"/>
        <w:spacing w:before="0" w:after="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40. 需要补充的其他内容</w:t>
      </w:r>
    </w:p>
    <w:p w14:paraId="22DFAAC2">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40.1本招标文件解释规则详见“投标人须知前附表”。</w:t>
      </w:r>
    </w:p>
    <w:p w14:paraId="75757370">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40.2 其他事项详见“投标人须知前附表”。</w:t>
      </w:r>
    </w:p>
    <w:p w14:paraId="20D31E33">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40.3</w:t>
      </w:r>
      <w:bookmarkStart w:id="134" w:name="_Hlk65857140"/>
      <w:r>
        <w:rPr>
          <w:rFonts w:hint="eastAsia" w:asciiTheme="majorEastAsia" w:hAnsiTheme="majorEastAsia" w:eastAsiaTheme="majorEastAsia" w:cstheme="major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C64F2F9">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（1）在货物采购项目中，货物由中小企业制造，即货物由中小企业生产且使用该中小企业商号或者注册商标，不对其中涉及的工程承建商和服务的承接商作出要求；</w:t>
      </w:r>
    </w:p>
    <w:p w14:paraId="7D6CC971">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（2）在工程采购项目中，工程由中小企业承建，即工程施工单位为中小企业，不对其中涉及的货物的制造商和服务的承接商作出要求；</w:t>
      </w:r>
    </w:p>
    <w:p w14:paraId="57DBE1B9">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3B1E591C">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D70F5EA">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依据本招标文件规定享受扶持政策获得政府采购合同的，小微企业不得将合同分包给大中型企业，中型企业不得将合同分包给大型企业。</w:t>
      </w:r>
      <w:bookmarkEnd w:id="134"/>
    </w:p>
    <w:p w14:paraId="1A8275FD">
      <w:pPr>
        <w:pStyle w:val="19"/>
        <w:ind w:left="479" w:leftChars="114" w:hanging="240" w:hangingChars="100"/>
        <w:rPr>
          <w:rFonts w:asciiTheme="majorEastAsia" w:hAnsiTheme="majorEastAsia" w:eastAsiaTheme="majorEastAsia" w:cstheme="majorEastAsia"/>
        </w:rPr>
      </w:pPr>
    </w:p>
    <w:p w14:paraId="0F323092">
      <w:pPr>
        <w:pStyle w:val="25"/>
        <w:snapToGrid w:val="0"/>
        <w:spacing w:before="120" w:after="120"/>
        <w:rPr>
          <w:rFonts w:asciiTheme="majorEastAsia" w:hAnsiTheme="majorEastAsia" w:eastAsiaTheme="majorEastAsia" w:cstheme="majorEastAsia"/>
        </w:rPr>
      </w:pPr>
    </w:p>
    <w:p w14:paraId="597A16C3">
      <w:pPr>
        <w:pStyle w:val="25"/>
        <w:snapToGrid w:val="0"/>
        <w:spacing w:before="120" w:after="120"/>
        <w:rPr>
          <w:rFonts w:asciiTheme="majorEastAsia" w:hAnsiTheme="majorEastAsia" w:eastAsiaTheme="majorEastAsia" w:cstheme="majorEastAsia"/>
        </w:rPr>
      </w:pPr>
    </w:p>
    <w:p w14:paraId="15B3CD85">
      <w:pPr>
        <w:pStyle w:val="25"/>
        <w:snapToGrid w:val="0"/>
        <w:spacing w:before="120" w:after="120"/>
        <w:rPr>
          <w:rFonts w:asciiTheme="majorEastAsia" w:hAnsiTheme="majorEastAsia" w:eastAsiaTheme="majorEastAsia" w:cstheme="majorEastAsia"/>
        </w:rPr>
      </w:pPr>
    </w:p>
    <w:p w14:paraId="2CF5C3BE">
      <w:pPr>
        <w:pStyle w:val="25"/>
        <w:snapToGrid w:val="0"/>
        <w:spacing w:before="120" w:after="120"/>
        <w:rPr>
          <w:rFonts w:asciiTheme="majorEastAsia" w:hAnsiTheme="majorEastAsia" w:eastAsiaTheme="majorEastAsia" w:cstheme="majorEastAsia"/>
        </w:rPr>
      </w:pPr>
    </w:p>
    <w:p w14:paraId="76250401">
      <w:pPr>
        <w:pStyle w:val="25"/>
        <w:snapToGrid w:val="0"/>
        <w:spacing w:before="120" w:after="120"/>
        <w:rPr>
          <w:rFonts w:asciiTheme="majorEastAsia" w:hAnsiTheme="majorEastAsia" w:eastAsiaTheme="majorEastAsia" w:cstheme="majorEastAsia"/>
        </w:rPr>
      </w:pPr>
    </w:p>
    <w:p w14:paraId="4C6B14D5">
      <w:pPr>
        <w:pStyle w:val="25"/>
        <w:snapToGrid w:val="0"/>
        <w:spacing w:before="120" w:after="120"/>
        <w:rPr>
          <w:rFonts w:asciiTheme="majorEastAsia" w:hAnsiTheme="majorEastAsia" w:eastAsiaTheme="majorEastAsia" w:cstheme="majorEastAsia"/>
        </w:rPr>
      </w:pPr>
    </w:p>
    <w:p w14:paraId="13C2376F">
      <w:pPr>
        <w:pStyle w:val="25"/>
        <w:snapToGrid w:val="0"/>
        <w:spacing w:before="120" w:after="120"/>
        <w:rPr>
          <w:rFonts w:asciiTheme="majorEastAsia" w:hAnsiTheme="majorEastAsia" w:eastAsiaTheme="majorEastAsia" w:cstheme="majorEastAsia"/>
        </w:rPr>
      </w:pPr>
    </w:p>
    <w:p w14:paraId="7DF4D8A9">
      <w:pPr>
        <w:pStyle w:val="25"/>
        <w:snapToGrid w:val="0"/>
        <w:spacing w:before="120" w:after="120"/>
        <w:rPr>
          <w:rFonts w:asciiTheme="majorEastAsia" w:hAnsiTheme="majorEastAsia" w:eastAsiaTheme="majorEastAsia" w:cstheme="majorEastAsia"/>
        </w:rPr>
      </w:pPr>
    </w:p>
    <w:p w14:paraId="7A3E0C20">
      <w:pPr>
        <w:pStyle w:val="25"/>
        <w:snapToGrid w:val="0"/>
        <w:spacing w:before="120" w:after="120"/>
        <w:rPr>
          <w:rFonts w:asciiTheme="majorEastAsia" w:hAnsiTheme="majorEastAsia" w:eastAsiaTheme="majorEastAsia" w:cstheme="majorEastAsia"/>
        </w:rPr>
      </w:pPr>
    </w:p>
    <w:p w14:paraId="6C3E8A0C">
      <w:pPr>
        <w:pStyle w:val="25"/>
        <w:snapToGrid w:val="0"/>
        <w:spacing w:before="120" w:after="120"/>
        <w:rPr>
          <w:rFonts w:asciiTheme="majorEastAsia" w:hAnsiTheme="majorEastAsia" w:eastAsiaTheme="majorEastAsia" w:cstheme="majorEastAsia"/>
        </w:rPr>
      </w:pPr>
    </w:p>
    <w:p w14:paraId="252A129D">
      <w:pPr>
        <w:pStyle w:val="25"/>
        <w:snapToGrid w:val="0"/>
        <w:spacing w:before="120" w:after="120"/>
        <w:rPr>
          <w:rFonts w:asciiTheme="majorEastAsia" w:hAnsiTheme="majorEastAsia" w:eastAsiaTheme="majorEastAsia" w:cstheme="majorEastAsia"/>
        </w:rPr>
      </w:pPr>
    </w:p>
    <w:p w14:paraId="0590BFD3">
      <w:pPr>
        <w:pStyle w:val="25"/>
        <w:snapToGrid w:val="0"/>
        <w:spacing w:before="120" w:after="120"/>
        <w:rPr>
          <w:rFonts w:asciiTheme="majorEastAsia" w:hAnsiTheme="majorEastAsia" w:eastAsiaTheme="majorEastAsia" w:cstheme="majorEastAsia"/>
        </w:rPr>
      </w:pPr>
    </w:p>
    <w:p w14:paraId="3E109FED">
      <w:pPr>
        <w:pStyle w:val="25"/>
        <w:snapToGrid w:val="0"/>
        <w:spacing w:before="120" w:after="120"/>
        <w:rPr>
          <w:rFonts w:asciiTheme="majorEastAsia" w:hAnsiTheme="majorEastAsia" w:eastAsiaTheme="majorEastAsia" w:cstheme="majorEastAsia"/>
        </w:rPr>
      </w:pPr>
    </w:p>
    <w:p w14:paraId="06F0E86C">
      <w:pPr>
        <w:rPr>
          <w:rFonts w:hint="eastAsia" w:asciiTheme="majorEastAsia" w:hAnsiTheme="majorEastAsia" w:eastAsiaTheme="majorEastAsia" w:cstheme="majorEastAsia"/>
        </w:rPr>
      </w:pPr>
      <w:bookmarkStart w:id="135" w:name="_Toc254970689"/>
      <w:bookmarkStart w:id="136" w:name="_Toc254970548"/>
      <w:bookmarkStart w:id="137" w:name="_Toc330456896"/>
      <w:bookmarkStart w:id="138" w:name="_Toc74320803"/>
      <w:r>
        <w:rPr>
          <w:rFonts w:hint="eastAsia" w:asciiTheme="majorEastAsia" w:hAnsiTheme="majorEastAsia" w:eastAsiaTheme="majorEastAsia" w:cstheme="majorEastAsia"/>
        </w:rPr>
        <w:br w:type="page"/>
      </w:r>
    </w:p>
    <w:p w14:paraId="27EA1249">
      <w:pPr>
        <w:pStyle w:val="2"/>
        <w:jc w:val="center"/>
        <w:rPr>
          <w:rFonts w:hint="eastAsia" w:asciiTheme="majorEastAsia" w:hAnsiTheme="majorEastAsia" w:eastAsiaTheme="majorEastAsia" w:cstheme="majorEastAsia"/>
        </w:rPr>
      </w:pPr>
    </w:p>
    <w:p w14:paraId="09AA415F">
      <w:pPr>
        <w:pStyle w:val="2"/>
        <w:jc w:val="center"/>
        <w:rPr>
          <w:rFonts w:hint="eastAsia" w:asciiTheme="majorEastAsia" w:hAnsiTheme="majorEastAsia" w:eastAsiaTheme="majorEastAsia" w:cstheme="majorEastAsia"/>
        </w:rPr>
      </w:pPr>
    </w:p>
    <w:p w14:paraId="2B6B79D4">
      <w:pPr>
        <w:pStyle w:val="2"/>
        <w:jc w:val="center"/>
        <w:rPr>
          <w:rFonts w:hint="eastAsia" w:asciiTheme="majorEastAsia" w:hAnsiTheme="majorEastAsia" w:eastAsiaTheme="majorEastAsia" w:cstheme="majorEastAsia"/>
        </w:rPr>
      </w:pPr>
    </w:p>
    <w:p w14:paraId="19A9C7A0">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t>第四章  评标方法及评标标准</w:t>
      </w:r>
      <w:bookmarkEnd w:id="135"/>
      <w:bookmarkEnd w:id="136"/>
      <w:bookmarkEnd w:id="137"/>
      <w:bookmarkEnd w:id="138"/>
    </w:p>
    <w:p w14:paraId="5F39B0BC">
      <w:pPr>
        <w:pStyle w:val="25"/>
        <w:spacing w:before="120" w:after="120"/>
        <w:outlineLvl w:val="0"/>
        <w:rPr>
          <w:rFonts w:asciiTheme="majorEastAsia" w:hAnsiTheme="majorEastAsia" w:eastAsiaTheme="majorEastAsia" w:cstheme="majorEastAsia"/>
          <w:b/>
        </w:rPr>
      </w:pPr>
      <w:bookmarkStart w:id="139" w:name="_Toc254970549"/>
      <w:bookmarkStart w:id="140" w:name="_Toc254970690"/>
    </w:p>
    <w:bookmarkEnd w:id="139"/>
    <w:bookmarkEnd w:id="140"/>
    <w:p w14:paraId="610939C2">
      <w:pPr>
        <w:pStyle w:val="25"/>
        <w:spacing w:before="120" w:after="120"/>
        <w:outlineLvl w:val="0"/>
        <w:rPr>
          <w:rFonts w:asciiTheme="majorEastAsia" w:hAnsiTheme="majorEastAsia" w:eastAsiaTheme="majorEastAsia" w:cstheme="majorEastAsia"/>
          <w:bCs/>
          <w:sz w:val="32"/>
          <w:szCs w:val="32"/>
        </w:rPr>
      </w:pPr>
    </w:p>
    <w:p w14:paraId="5B98A62E">
      <w:pPr>
        <w:pStyle w:val="25"/>
        <w:spacing w:before="120" w:after="120"/>
        <w:outlineLvl w:val="0"/>
        <w:rPr>
          <w:rFonts w:asciiTheme="majorEastAsia" w:hAnsiTheme="majorEastAsia" w:eastAsiaTheme="majorEastAsia" w:cstheme="majorEastAsia"/>
          <w:bCs/>
          <w:sz w:val="32"/>
          <w:szCs w:val="32"/>
        </w:rPr>
      </w:pPr>
    </w:p>
    <w:p w14:paraId="2C26B023">
      <w:pPr>
        <w:pStyle w:val="25"/>
        <w:spacing w:before="120" w:after="120"/>
        <w:outlineLvl w:val="0"/>
        <w:rPr>
          <w:rFonts w:asciiTheme="majorEastAsia" w:hAnsiTheme="majorEastAsia" w:eastAsiaTheme="majorEastAsia" w:cstheme="majorEastAsia"/>
          <w:bCs/>
          <w:sz w:val="32"/>
          <w:szCs w:val="32"/>
        </w:rPr>
      </w:pPr>
    </w:p>
    <w:p w14:paraId="6427AC5F">
      <w:pPr>
        <w:spacing w:before="120" w:beforeLines="50" w:after="120" w:afterLines="50" w:line="400" w:lineRule="exact"/>
        <w:rPr>
          <w:rFonts w:asciiTheme="majorEastAsia" w:hAnsiTheme="majorEastAsia" w:eastAsiaTheme="majorEastAsia" w:cstheme="majorEastAsia"/>
          <w:b/>
          <w:sz w:val="24"/>
        </w:rPr>
      </w:pPr>
    </w:p>
    <w:p w14:paraId="2636A96C">
      <w:pPr>
        <w:spacing w:before="120" w:beforeLines="50" w:after="120" w:afterLines="50" w:line="400" w:lineRule="exact"/>
        <w:rPr>
          <w:rFonts w:asciiTheme="majorEastAsia" w:hAnsiTheme="majorEastAsia" w:eastAsiaTheme="majorEastAsia" w:cstheme="majorEastAsia"/>
          <w:b/>
          <w:sz w:val="24"/>
        </w:rPr>
      </w:pPr>
    </w:p>
    <w:p w14:paraId="13674184">
      <w:pPr>
        <w:spacing w:before="120" w:beforeLines="50" w:after="120" w:afterLines="50" w:line="400" w:lineRule="exact"/>
        <w:rPr>
          <w:rFonts w:asciiTheme="majorEastAsia" w:hAnsiTheme="majorEastAsia" w:eastAsiaTheme="majorEastAsia" w:cstheme="majorEastAsia"/>
          <w:b/>
          <w:sz w:val="24"/>
        </w:rPr>
      </w:pPr>
    </w:p>
    <w:p w14:paraId="7E118ADE">
      <w:pPr>
        <w:spacing w:before="120" w:beforeLines="50" w:after="120" w:afterLines="50" w:line="400" w:lineRule="exact"/>
        <w:rPr>
          <w:rFonts w:asciiTheme="majorEastAsia" w:hAnsiTheme="majorEastAsia" w:eastAsiaTheme="majorEastAsia" w:cstheme="majorEastAsia"/>
          <w:b/>
          <w:sz w:val="24"/>
        </w:rPr>
      </w:pPr>
    </w:p>
    <w:p w14:paraId="4BB52A89">
      <w:pPr>
        <w:spacing w:before="120" w:beforeLines="50" w:after="120" w:afterLines="50" w:line="400" w:lineRule="exact"/>
        <w:rPr>
          <w:rFonts w:asciiTheme="majorEastAsia" w:hAnsiTheme="majorEastAsia" w:eastAsiaTheme="majorEastAsia" w:cstheme="majorEastAsia"/>
          <w:b/>
          <w:sz w:val="24"/>
        </w:rPr>
      </w:pPr>
    </w:p>
    <w:p w14:paraId="3B7E1F55">
      <w:pPr>
        <w:spacing w:before="120" w:beforeLines="50" w:after="120" w:afterLines="50" w:line="400" w:lineRule="exact"/>
        <w:rPr>
          <w:rFonts w:asciiTheme="majorEastAsia" w:hAnsiTheme="majorEastAsia" w:eastAsiaTheme="majorEastAsia" w:cstheme="majorEastAsia"/>
          <w:b/>
          <w:sz w:val="24"/>
        </w:rPr>
      </w:pPr>
    </w:p>
    <w:p w14:paraId="5D845B10">
      <w:pPr>
        <w:spacing w:before="120" w:beforeLines="50" w:after="120" w:afterLines="50" w:line="400" w:lineRule="exact"/>
        <w:rPr>
          <w:rFonts w:asciiTheme="majorEastAsia" w:hAnsiTheme="majorEastAsia" w:eastAsiaTheme="majorEastAsia" w:cstheme="majorEastAsia"/>
          <w:b/>
          <w:sz w:val="24"/>
        </w:rPr>
      </w:pPr>
    </w:p>
    <w:p w14:paraId="40811F14">
      <w:pPr>
        <w:pStyle w:val="25"/>
        <w:spacing w:line="360" w:lineRule="exact"/>
        <w:rPr>
          <w:rFonts w:asciiTheme="majorEastAsia" w:hAnsiTheme="majorEastAsia" w:eastAsiaTheme="majorEastAsia" w:cstheme="majorEastAsia"/>
          <w:b/>
          <w:sz w:val="24"/>
        </w:rPr>
      </w:pPr>
    </w:p>
    <w:p w14:paraId="5743D3BE">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br w:type="page"/>
      </w:r>
    </w:p>
    <w:p w14:paraId="245851BE">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一、评标方法</w:t>
      </w:r>
    </w:p>
    <w:p w14:paraId="2075B4AB">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综合评分法，是指投标文件满足招标文件全部实质性要求，且按照评审因素的量化指标评审得分最高的投标人为中标候选人的评标方法。</w:t>
      </w:r>
    </w:p>
    <w:p w14:paraId="1FCE4283">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最低评标价法，是指投标文件满足招标文件全部实质性要求，且投标报价最低的投标人为中标候选人的评标方法。</w:t>
      </w:r>
    </w:p>
    <w:p w14:paraId="416D9AA5">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二、评标程序</w:t>
      </w:r>
    </w:p>
    <w:p w14:paraId="2F9AE381">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1.符合性审查</w:t>
      </w:r>
    </w:p>
    <w:p w14:paraId="738583BB">
      <w:pPr>
        <w:pStyle w:val="25"/>
        <w:snapToGrid w:val="0"/>
        <w:spacing w:line="360" w:lineRule="auto"/>
        <w:ind w:left="1" w:firstLine="42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评标委员会应当对符合资格的投标人的投标文件进行投标报价、商务、技术等实质性内容符合性审查，以确定其是否满足招标文件的实质性要求。</w:t>
      </w:r>
    </w:p>
    <w:p w14:paraId="437F5943">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2.符合性审查不通过而导致投标无效的情形</w:t>
      </w:r>
    </w:p>
    <w:p w14:paraId="477A4327">
      <w:p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投标人的投标文件中存在对招标文件的任何实质性要求和条件的负偏离，将被视为投标无效。</w:t>
      </w:r>
    </w:p>
    <w:p w14:paraId="1B91BD7B">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2.1在报价评审时，如发现下列情形之一的，将被视为投标无效：</w:t>
      </w:r>
    </w:p>
    <w:p w14:paraId="5868E2B4">
      <w:pPr>
        <w:pStyle w:val="7"/>
        <w:numPr>
          <w:ilvl w:val="0"/>
          <w:numId w:val="7"/>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未提供“投标人须知前附表”第13条“报价文件”规定中“必须提供”的文件资料的；</w:t>
      </w:r>
    </w:p>
    <w:p w14:paraId="15864AFD">
      <w:pPr>
        <w:pStyle w:val="7"/>
        <w:numPr>
          <w:ilvl w:val="0"/>
          <w:numId w:val="7"/>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未采用人民币报价或者未按照招标文件标明的币种报价的；</w:t>
      </w:r>
    </w:p>
    <w:p w14:paraId="5D1DB49A">
      <w:pPr>
        <w:pStyle w:val="7"/>
        <w:numPr>
          <w:ilvl w:val="0"/>
          <w:numId w:val="7"/>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各分标报价超出招标文件相应分标规定最高限价，或者超出相应分标采购预算金额的；</w:t>
      </w:r>
    </w:p>
    <w:p w14:paraId="3E832C5F">
      <w:pPr>
        <w:pStyle w:val="7"/>
        <w:numPr>
          <w:ilvl w:val="0"/>
          <w:numId w:val="7"/>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6930401">
      <w:pPr>
        <w:pStyle w:val="7"/>
        <w:numPr>
          <w:ilvl w:val="0"/>
          <w:numId w:val="7"/>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修正后的报价，投标人不确认的；</w:t>
      </w:r>
    </w:p>
    <w:p w14:paraId="03346343">
      <w:pPr>
        <w:pStyle w:val="7"/>
        <w:numPr>
          <w:ilvl w:val="0"/>
          <w:numId w:val="7"/>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投标人属于本章第5.1条（2）或者第5.2条（2）项情形的；</w:t>
      </w:r>
    </w:p>
    <w:p w14:paraId="6034E6BF">
      <w:pPr>
        <w:pStyle w:val="7"/>
        <w:numPr>
          <w:ilvl w:val="0"/>
          <w:numId w:val="7"/>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响应的标的数量及单位与招标文件要求实质性不一致的。</w:t>
      </w:r>
    </w:p>
    <w:p w14:paraId="5DFEC32E">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2.2在商务及技术评审时，如发现下列情形之一的，将被视为投标无效：</w:t>
      </w:r>
    </w:p>
    <w:p w14:paraId="626CF276">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投标文件未按招标文件要求签署、盖章的；</w:t>
      </w:r>
    </w:p>
    <w:p w14:paraId="6E6D2300">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委托代理人未能出具有效身份证或者出具的身份证与授权委托书中的信息不符的；</w:t>
      </w:r>
    </w:p>
    <w:p w14:paraId="766D630B">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为无效投标保证金的或者未按照招标文件的规定提交投标保证金的；</w:t>
      </w:r>
    </w:p>
    <w:p w14:paraId="3586B016">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投标文件未提供“投标人须知前附表”第13条“商务及技术文件”规定中“必须提供”或者“委托时必须提供”的文件资料的；</w:t>
      </w:r>
    </w:p>
    <w:p w14:paraId="78389563">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允许负偏离的条款数超过“投标人须知前附表”规定项数的；</w:t>
      </w:r>
    </w:p>
    <w:p w14:paraId="01336EA0">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投标文件的实质性内容未使用中文表述、使用计量单位不符合招标文件要求的；</w:t>
      </w:r>
    </w:p>
    <w:p w14:paraId="4029C785">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投标文件中的文件资料因填写不齐全或者内容虚假或者出现其他情形而导致被评标委员会认定无效的；</w:t>
      </w:r>
    </w:p>
    <w:p w14:paraId="0CD64705">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投标文件含有采购人不能接受的附加条件的；</w:t>
      </w:r>
    </w:p>
    <w:p w14:paraId="2985B355">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属于投标人须知正文第9.2条情形的；</w:t>
      </w:r>
    </w:p>
    <w:p w14:paraId="0AEC465C">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投标文件标注的项目名称或者项目编号与招标文件标注的项目名称或者项目编号不一致的；</w:t>
      </w:r>
    </w:p>
    <w:p w14:paraId="6CA7A62D">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投标文件中承诺的投标有效期低于招标文件要求的期限的；</w:t>
      </w:r>
    </w:p>
    <w:p w14:paraId="482EA1C2">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招标文件明确不允许分包，投标文件拟分包的；</w:t>
      </w:r>
    </w:p>
    <w:p w14:paraId="0B2F0958">
      <w:pPr>
        <w:pStyle w:val="20"/>
        <w:numPr>
          <w:ilvl w:val="0"/>
          <w:numId w:val="8"/>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虚假投标，或者出现其他情形而导致被评标委员会认定无效的；</w:t>
      </w:r>
    </w:p>
    <w:p w14:paraId="0F4C93C8">
      <w:pPr>
        <w:pStyle w:val="20"/>
        <w:numPr>
          <w:ilvl w:val="0"/>
          <w:numId w:val="8"/>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招标文件未载明允许提供备选（替代）投标方案或明确不允许提供备选（替代）投标方案时，投标人提供了备选（替代）投标方案的；</w:t>
      </w:r>
    </w:p>
    <w:p w14:paraId="42FABBDC">
      <w:pPr>
        <w:pStyle w:val="20"/>
        <w:numPr>
          <w:ilvl w:val="0"/>
          <w:numId w:val="8"/>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未响应招标文件实质性要求的。</w:t>
      </w:r>
    </w:p>
    <w:p w14:paraId="4B0616D6">
      <w:pPr>
        <w:numPr>
          <w:ilvl w:val="0"/>
          <w:numId w:val="8"/>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法律、法规和招标文件规定的其他无效情形。</w:t>
      </w:r>
    </w:p>
    <w:p w14:paraId="007DC78D">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3.澄清补正</w:t>
      </w:r>
    </w:p>
    <w:p w14:paraId="6B12E5B7">
      <w:pPr>
        <w:spacing w:line="360" w:lineRule="auto"/>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对投标文件中含义不明确、同类问题表述不一致或者有明显文字和计算错误的内容，评标委员会应在</w:t>
      </w:r>
      <w:r>
        <w:rPr>
          <w:rFonts w:hint="eastAsia" w:ascii="宋体" w:hAnsi="宋体"/>
          <w:bCs/>
          <w:szCs w:val="21"/>
        </w:rPr>
        <w:t>广西政府采购云平台</w:t>
      </w:r>
      <w:r>
        <w:rPr>
          <w:rFonts w:hint="eastAsia" w:asciiTheme="majorEastAsia" w:hAnsiTheme="majorEastAsia" w:eastAsiaTheme="majorEastAsia" w:cstheme="majorEastAsia"/>
          <w:szCs w:val="21"/>
        </w:rPr>
        <w:t>发布电子澄清函，要求投标人在规定时间内作出必要的澄清、说明或者补正。投标人在</w:t>
      </w:r>
      <w:r>
        <w:rPr>
          <w:rFonts w:hint="eastAsia" w:ascii="宋体" w:hAnsi="宋体"/>
          <w:bCs/>
          <w:szCs w:val="21"/>
        </w:rPr>
        <w:t>广西政府采购云平台</w:t>
      </w:r>
      <w:r>
        <w:rPr>
          <w:rFonts w:hint="eastAsia" w:asciiTheme="majorEastAsia" w:hAnsiTheme="majorEastAsia" w:eastAsiaTheme="majorEastAsia" w:cstheme="majorEastAsia"/>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11CF12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3A57620">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未按评标委员会的要求作出明确澄清、说明或者更正的投标人的投标文件将按照有利于采购人的原则由评标委员会进行判定。</w:t>
      </w:r>
    </w:p>
    <w:p w14:paraId="4C14E42A">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4.投标文件修正</w:t>
      </w:r>
    </w:p>
    <w:p w14:paraId="4318FFE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4.1投标文件报价出现前后不一致的，按照下列规定修正： </w:t>
      </w:r>
    </w:p>
    <w:p w14:paraId="64AF717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（1）投标文件中开标一览表（报价表）内容与投标文件中相应内容不一致的，以开标一览表（报价表）为准；</w:t>
      </w:r>
    </w:p>
    <w:p w14:paraId="0D372082">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（2）大写金额和小写金额不一致的，以大写金额为准；</w:t>
      </w:r>
    </w:p>
    <w:p w14:paraId="1F785A2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（3）单价金额小数点或者百分比有明显错位的，以开标一览表的总价为准，并修改单价；</w:t>
      </w:r>
    </w:p>
    <w:p w14:paraId="450DFA4F">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（4）总价金额与按单价汇总金额不一致的，以单价金额计算结果为准。</w:t>
      </w:r>
    </w:p>
    <w:p w14:paraId="0F7D3C1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同时出现两种以上不一致的，按照以上（1）-（4）规定的顺序修正。修正后的报价经投标人确认后产生约束力，投标人不确认的，</w:t>
      </w:r>
      <w:r>
        <w:rPr>
          <w:rFonts w:hint="eastAsia" w:asciiTheme="majorEastAsia" w:hAnsiTheme="majorEastAsia" w:eastAsiaTheme="majorEastAsia" w:cstheme="majorEastAsia"/>
          <w:b/>
          <w:kern w:val="2"/>
          <w:sz w:val="21"/>
        </w:rPr>
        <w:t>其投标无效</w:t>
      </w:r>
      <w:r>
        <w:rPr>
          <w:rFonts w:hint="eastAsia" w:asciiTheme="majorEastAsia" w:hAnsiTheme="majorEastAsia" w:eastAsiaTheme="majorEastAsia" w:cstheme="majorEastAsia"/>
          <w:sz w:val="21"/>
        </w:rPr>
        <w:t>。</w:t>
      </w:r>
    </w:p>
    <w:p w14:paraId="6B10DB3E">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4.2经投标人确认修正后的报价若超过采购预算金额或者最高限价，</w:t>
      </w:r>
      <w:r>
        <w:rPr>
          <w:rFonts w:hint="eastAsia" w:asciiTheme="majorEastAsia" w:hAnsiTheme="majorEastAsia" w:eastAsiaTheme="majorEastAsia" w:cstheme="majorEastAsia"/>
          <w:sz w:val="21"/>
          <w:szCs w:val="21"/>
        </w:rPr>
        <w:t>投标人的投标文件作无效投标处理</w:t>
      </w:r>
      <w:r>
        <w:rPr>
          <w:rFonts w:hint="eastAsia" w:asciiTheme="majorEastAsia" w:hAnsiTheme="majorEastAsia" w:eastAsiaTheme="majorEastAsia" w:cstheme="majorEastAsia"/>
          <w:b w:val="0"/>
          <w:sz w:val="21"/>
          <w:szCs w:val="21"/>
        </w:rPr>
        <w:t>。</w:t>
      </w:r>
    </w:p>
    <w:p w14:paraId="3EF504EB">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4.3经投标人确认修正后的报价作为签订合同的依据，并以此报价计算价格分。</w:t>
      </w:r>
    </w:p>
    <w:p w14:paraId="0522CAD0">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5.比较与评价</w:t>
      </w:r>
    </w:p>
    <w:p w14:paraId="2F51F18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5.1采用综合评分法的</w:t>
      </w:r>
    </w:p>
    <w:p w14:paraId="0B96AC0C">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（1）评标委员会按照招标文件中规定的评标方法及评标标准，对符合性审查合格的投标文件进行商务和技术评估，综合比较与评价。</w:t>
      </w:r>
    </w:p>
    <w:p w14:paraId="06D550F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（2）评标委员会独立对每个投标人的投标文件进行评价，并汇总每个投标人的得分。</w:t>
      </w:r>
    </w:p>
    <w:p w14:paraId="20B234DE">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zCs w:val="21"/>
        </w:rPr>
        <w:t>投标人不能证明其报价合理性的，评标委员会将其作为无效投标处理</w:t>
      </w:r>
      <w:r>
        <w:rPr>
          <w:rFonts w:hint="eastAsia" w:asciiTheme="majorEastAsia" w:hAnsiTheme="majorEastAsia" w:eastAsiaTheme="majorEastAsia" w:cstheme="majorEastAsia"/>
          <w:szCs w:val="21"/>
        </w:rPr>
        <w:t>。</w:t>
      </w:r>
    </w:p>
    <w:p w14:paraId="0350D94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（3）评标委员会按照招标文件中规定的评标方法和标准计算各投标人的报价得分。在计算过程中，不得去掉最高报价或者最低报价。</w:t>
      </w:r>
    </w:p>
    <w:p w14:paraId="4B7434BC">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（4）各投标人的得分为所有评委的有效评分的算术平均数。</w:t>
      </w:r>
    </w:p>
    <w:p w14:paraId="1568B87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（5）评标委员会按照招标文件中的规定推荐中标候选人。</w:t>
      </w:r>
    </w:p>
    <w:p w14:paraId="297E66D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5085B4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5.2采用</w:t>
      </w:r>
      <w:r>
        <w:rPr>
          <w:rFonts w:hint="eastAsia" w:asciiTheme="majorEastAsia" w:hAnsiTheme="majorEastAsia" w:eastAsiaTheme="majorEastAsia" w:cstheme="majorEastAsia"/>
        </w:rPr>
        <w:t>最低评标价法</w:t>
      </w:r>
      <w:r>
        <w:rPr>
          <w:rFonts w:hint="eastAsia" w:asciiTheme="majorEastAsia" w:hAnsiTheme="majorEastAsia" w:eastAsiaTheme="majorEastAsia" w:cstheme="majorEastAsia"/>
          <w:szCs w:val="21"/>
        </w:rPr>
        <w:t>的</w:t>
      </w:r>
    </w:p>
    <w:p w14:paraId="2DE88F2C">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（1）评标委员会按照招标文件中规定的评标方法及评标标准，对符合性审查合格的投标文件报价进行比较。</w:t>
      </w:r>
    </w:p>
    <w:p w14:paraId="26D7D7BF">
      <w:pPr>
        <w:snapToGrid w:val="0"/>
        <w:spacing w:line="360" w:lineRule="auto"/>
        <w:ind w:firstLine="399" w:firstLineChars="202"/>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pacing w:val="-6"/>
          <w:szCs w:val="21"/>
        </w:rPr>
        <w:t>投标人不能证明其报价合理性的，评标委员会应当将其作为无效投标处理。</w:t>
      </w:r>
    </w:p>
    <w:p w14:paraId="58A43652">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（3）评标委员会按照招标文件中的规定推荐中标候选人。</w:t>
      </w:r>
    </w:p>
    <w:p w14:paraId="6553E71E">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3D51E2A">
      <w:pPr>
        <w:snapToGrid w:val="0"/>
        <w:spacing w:line="360" w:lineRule="auto"/>
        <w:ind w:firstLine="424" w:firstLineChars="20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b/>
          <w:bCs/>
          <w:sz w:val="32"/>
          <w:szCs w:val="32"/>
        </w:rPr>
        <w:t>三、评标标准（1、2分标通用）</w:t>
      </w:r>
    </w:p>
    <w:p w14:paraId="03E1A9A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4BB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73" w:type="dxa"/>
            <w:gridSpan w:val="2"/>
            <w:vAlign w:val="center"/>
          </w:tcPr>
          <w:p w14:paraId="09C267A6">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序号</w:t>
            </w:r>
          </w:p>
        </w:tc>
        <w:tc>
          <w:tcPr>
            <w:tcW w:w="1905" w:type="dxa"/>
            <w:vAlign w:val="center"/>
          </w:tcPr>
          <w:p w14:paraId="475CBBA8">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评审因素</w:t>
            </w:r>
          </w:p>
        </w:tc>
        <w:tc>
          <w:tcPr>
            <w:tcW w:w="5277" w:type="dxa"/>
            <w:vAlign w:val="center"/>
          </w:tcPr>
          <w:p w14:paraId="3B383C08">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评标标准</w:t>
            </w:r>
          </w:p>
        </w:tc>
      </w:tr>
      <w:tr w14:paraId="5A84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6A8E0A0">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711" w:type="dxa"/>
            <w:vAlign w:val="center"/>
          </w:tcPr>
          <w:p w14:paraId="1BE93002">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价格分</w:t>
            </w:r>
          </w:p>
          <w:p w14:paraId="6247B30D">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（满分</w:t>
            </w:r>
            <w:r>
              <w:rPr>
                <w:rFonts w:hint="eastAsia" w:asciiTheme="majorEastAsia" w:hAnsiTheme="majorEastAsia" w:eastAsiaTheme="majorEastAsia" w:cstheme="majorEastAsia"/>
                <w:b/>
                <w:bCs/>
                <w:szCs w:val="21"/>
                <w:u w:val="single"/>
              </w:rPr>
              <w:t>30</w:t>
            </w:r>
            <w:r>
              <w:rPr>
                <w:rFonts w:hint="eastAsia" w:asciiTheme="majorEastAsia" w:hAnsiTheme="majorEastAsia" w:eastAsiaTheme="majorEastAsia" w:cstheme="majorEastAsia"/>
                <w:b/>
                <w:bCs/>
                <w:szCs w:val="21"/>
              </w:rPr>
              <w:t>分）</w:t>
            </w:r>
          </w:p>
          <w:p w14:paraId="64E5F0D9">
            <w:pPr>
              <w:adjustRightInd w:val="0"/>
              <w:spacing w:line="360" w:lineRule="auto"/>
              <w:jc w:val="left"/>
              <w:textAlignment w:val="baseline"/>
              <w:rPr>
                <w:rFonts w:asciiTheme="majorEastAsia" w:hAnsiTheme="majorEastAsia" w:eastAsiaTheme="majorEastAsia" w:cstheme="majorEastAsia"/>
                <w:b/>
                <w:bCs/>
                <w:szCs w:val="21"/>
              </w:rPr>
            </w:pPr>
          </w:p>
        </w:tc>
        <w:tc>
          <w:tcPr>
            <w:tcW w:w="1905" w:type="dxa"/>
            <w:vAlign w:val="center"/>
          </w:tcPr>
          <w:p w14:paraId="43BEC271">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投标报价</w:t>
            </w:r>
          </w:p>
        </w:tc>
        <w:tc>
          <w:tcPr>
            <w:tcW w:w="5277" w:type="dxa"/>
            <w:vAlign w:val="center"/>
          </w:tcPr>
          <w:p w14:paraId="76D95CA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（1）评标报价为投标人的投标报价进行政策性扣除后的价格，评标报价只是作为评标时使用。最终中标人的中标金额等于投标报价。</w:t>
            </w:r>
          </w:p>
          <w:p w14:paraId="0C3F140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（2）政策性扣除计算方法。</w:t>
            </w:r>
          </w:p>
          <w:p w14:paraId="00183A9F">
            <w:pPr>
              <w:snapToGrid w:val="0"/>
              <w:spacing w:line="360" w:lineRule="auto"/>
              <w:ind w:firstLine="443" w:firstLineChars="211"/>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根据《政府采购促进中小企业发展管理办法》（财库〔2020〕46号）</w:t>
            </w:r>
            <w:r>
              <w:rPr>
                <w:rFonts w:hint="eastAsia" w:asciiTheme="majorEastAsia" w:hAnsiTheme="majorEastAsia" w:eastAsiaTheme="majorEastAsia" w:cstheme="majorEastAsia"/>
                <w:szCs w:val="21"/>
              </w:rPr>
              <w:t>及《广西壮族自治区财政厅关于持续优化政府采购营商环境推动高质量发展的通知》（桂财采〔2024〕55号）</w:t>
            </w:r>
            <w:r>
              <w:rPr>
                <w:rFonts w:hint="eastAsia" w:asciiTheme="majorEastAsia" w:hAnsiTheme="majorEastAsia" w:eastAsiaTheme="majorEastAsia" w:cstheme="majorEastAsia"/>
                <w:bCs/>
                <w:szCs w:val="21"/>
              </w:rPr>
              <w:t>的规定，投标人在其投标文件中提供《中小企业声明函》，且货物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的扣除，用扣除后的价格参加评审，扣除后的价格为评标报价，即评标报价=投标报价×（1-</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%）。除上述情况外，评标报价=投标报价。</w:t>
            </w:r>
          </w:p>
          <w:p w14:paraId="673E022B">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Theme="majorEastAsia" w:hAnsiTheme="majorEastAsia" w:eastAsiaTheme="majorEastAsia" w:cstheme="majorEastAsia"/>
                <w:szCs w:val="21"/>
              </w:rPr>
              <w:t>监狱企业参加政府采购活动时，应当提供由省级以上监狱管理局、戒毒管理局（含新疆生产建设兵团）出具的属于监狱企业的证明文件。</w:t>
            </w:r>
            <w:r>
              <w:rPr>
                <w:rFonts w:hint="eastAsia" w:asciiTheme="majorEastAsia" w:hAnsiTheme="majorEastAsia" w:eastAsiaTheme="majorEastAsia" w:cstheme="majorEastAsia"/>
                <w:bCs/>
                <w:szCs w:val="21"/>
              </w:rPr>
              <w:t>监狱企业属于小型、微型企业的，不重复享受政策。</w:t>
            </w:r>
          </w:p>
          <w:p w14:paraId="65F9683B">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（4）按照</w:t>
            </w:r>
            <w:r>
              <w:rPr>
                <w:rFonts w:hint="eastAsia" w:asciiTheme="majorEastAsia" w:hAnsiTheme="majorEastAsia" w:eastAsiaTheme="majorEastAsia" w:cstheme="majorEastAsia"/>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Theme="majorEastAsia" w:hAnsiTheme="majorEastAsia" w:eastAsiaTheme="majorEastAsia" w:cstheme="majorEastAsia"/>
                <w:szCs w:val="21"/>
              </w:rPr>
              <w:t>残疾人福利性单位参加政府采购活动时，应当提供该通知规定的《残疾人福利性单位声明函》，并对声明的真实性负责。</w:t>
            </w:r>
            <w:r>
              <w:rPr>
                <w:rFonts w:hint="eastAsia" w:asciiTheme="majorEastAsia" w:hAnsiTheme="majorEastAsia" w:eastAsiaTheme="majorEastAsia" w:cstheme="majorEastAsia"/>
                <w:bCs/>
                <w:szCs w:val="21"/>
              </w:rPr>
              <w:t>残疾人福利性单位属于小型、微型企业的，不重复享受政策。</w:t>
            </w:r>
          </w:p>
          <w:p w14:paraId="0722CFC5">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（5）满足招标文件要求且评标报价最低的评标报价为评标基准价，其价格分为满分。</w:t>
            </w:r>
          </w:p>
          <w:p w14:paraId="332F0198">
            <w:pPr>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（6）价格分计算公式：        </w:t>
            </w:r>
          </w:p>
          <w:p w14:paraId="3E68F206">
            <w:pPr>
              <w:spacing w:line="360" w:lineRule="auto"/>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价格分=（评标基准价／评标报价）×</w:t>
            </w:r>
            <w:r>
              <w:rPr>
                <w:rFonts w:hint="eastAsia" w:asciiTheme="majorEastAsia" w:hAnsiTheme="majorEastAsia" w:eastAsiaTheme="majorEastAsia" w:cstheme="majorEastAsia"/>
                <w:bCs/>
                <w:szCs w:val="21"/>
                <w:u w:val="single"/>
              </w:rPr>
              <w:t>30</w:t>
            </w:r>
            <w:r>
              <w:rPr>
                <w:rFonts w:hint="eastAsia" w:asciiTheme="majorEastAsia" w:hAnsiTheme="majorEastAsia" w:eastAsiaTheme="majorEastAsia" w:cstheme="majorEastAsia"/>
                <w:bCs/>
                <w:szCs w:val="21"/>
              </w:rPr>
              <w:t>分</w:t>
            </w:r>
          </w:p>
        </w:tc>
      </w:tr>
      <w:tr w14:paraId="0DD4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562" w:type="dxa"/>
            <w:vMerge w:val="restart"/>
            <w:vAlign w:val="center"/>
          </w:tcPr>
          <w:p w14:paraId="3FEB9010">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711" w:type="dxa"/>
            <w:vMerge w:val="restart"/>
            <w:vAlign w:val="center"/>
          </w:tcPr>
          <w:p w14:paraId="709B5A4E">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技术分</w:t>
            </w:r>
          </w:p>
          <w:p w14:paraId="728E30AE">
            <w:pPr>
              <w:adjustRightInd w:val="0"/>
              <w:snapToGrid w:val="0"/>
              <w:spacing w:line="360" w:lineRule="auto"/>
              <w:ind w:left="-105" w:leftChars="-50" w:right="-105" w:rightChars="-50"/>
              <w:jc w:val="center"/>
              <w:textAlignment w:val="baseline"/>
              <w:rPr>
                <w:rFonts w:asciiTheme="majorEastAsia" w:hAnsiTheme="majorEastAsia" w:eastAsiaTheme="majorEastAsia" w:cstheme="majorEastAsia"/>
                <w:spacing w:val="-18"/>
                <w:szCs w:val="21"/>
              </w:rPr>
            </w:pPr>
            <w:r>
              <w:rPr>
                <w:rFonts w:hint="eastAsia" w:asciiTheme="majorEastAsia" w:hAnsiTheme="majorEastAsia" w:eastAsiaTheme="majorEastAsia" w:cstheme="majorEastAsia"/>
                <w:b/>
                <w:szCs w:val="21"/>
              </w:rPr>
              <w:t>（满分36分）</w:t>
            </w:r>
          </w:p>
        </w:tc>
        <w:tc>
          <w:tcPr>
            <w:tcW w:w="1905" w:type="dxa"/>
            <w:vAlign w:val="center"/>
          </w:tcPr>
          <w:p w14:paraId="120D35CE">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设备性能分</w:t>
            </w:r>
          </w:p>
          <w:p w14:paraId="13261C67">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（满分36分）</w:t>
            </w:r>
          </w:p>
        </w:tc>
        <w:tc>
          <w:tcPr>
            <w:tcW w:w="5277" w:type="dxa"/>
            <w:vAlign w:val="center"/>
          </w:tcPr>
          <w:p w14:paraId="6663859F">
            <w:pPr>
              <w:snapToGrid w:val="0"/>
              <w:spacing w:line="360" w:lineRule="auto"/>
              <w:ind w:firstLine="233" w:firstLineChars="111"/>
              <w:rPr>
                <w:rFonts w:asciiTheme="majorEastAsia" w:hAnsiTheme="majorEastAsia" w:eastAsiaTheme="majorEastAsia" w:cstheme="majorEastAsia"/>
                <w:color w:val="0000FF"/>
                <w:szCs w:val="21"/>
              </w:rPr>
            </w:pPr>
            <w:r>
              <w:rPr>
                <w:rFonts w:hint="eastAsia" w:asciiTheme="majorEastAsia" w:hAnsiTheme="majorEastAsia" w:eastAsiaTheme="majorEastAsia" w:cstheme="majorEastAsia"/>
                <w:bCs/>
                <w:color w:val="0000FF"/>
                <w:szCs w:val="21"/>
              </w:rPr>
              <w:t>通过资格审查与符合性审查的投标人得基本分36分，非标“▲”的技术参数，负偏离或漏项的每一项扣2分，技术参数允许偏离（即标记“▲”的实质性技术参数除外）的项目数不超过招标文件允许偏离的项目数</w:t>
            </w:r>
            <w:r>
              <w:rPr>
                <w:rFonts w:hint="eastAsia" w:asciiTheme="majorEastAsia" w:hAnsiTheme="majorEastAsia" w:eastAsiaTheme="majorEastAsia" w:cstheme="majorEastAsia"/>
                <w:bCs/>
                <w:color w:val="FF0000"/>
                <w:szCs w:val="21"/>
              </w:rPr>
              <w:t>2</w:t>
            </w:r>
            <w:r>
              <w:rPr>
                <w:rFonts w:hint="eastAsia" w:asciiTheme="majorEastAsia" w:hAnsiTheme="majorEastAsia" w:eastAsiaTheme="majorEastAsia" w:cstheme="majorEastAsia"/>
                <w:bCs/>
                <w:color w:val="0000FF"/>
                <w:szCs w:val="21"/>
              </w:rPr>
              <w:t>项。</w:t>
            </w:r>
          </w:p>
        </w:tc>
      </w:tr>
      <w:tr w14:paraId="1354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restart"/>
            <w:vAlign w:val="center"/>
          </w:tcPr>
          <w:p w14:paraId="1A34F88B">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711" w:type="dxa"/>
            <w:vMerge w:val="restart"/>
            <w:vAlign w:val="center"/>
          </w:tcPr>
          <w:p w14:paraId="73599F6E">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商务分</w:t>
            </w:r>
          </w:p>
          <w:p w14:paraId="2A0BBE2B">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（满分34分）</w:t>
            </w:r>
          </w:p>
        </w:tc>
        <w:tc>
          <w:tcPr>
            <w:tcW w:w="1905" w:type="dxa"/>
            <w:vAlign w:val="center"/>
          </w:tcPr>
          <w:p w14:paraId="5D947C4C">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Cs w:val="21"/>
              </w:rPr>
              <w:t>（1）项目实施方案分（满分9分）</w:t>
            </w:r>
          </w:p>
        </w:tc>
        <w:tc>
          <w:tcPr>
            <w:tcW w:w="5277" w:type="dxa"/>
            <w:vAlign w:val="center"/>
          </w:tcPr>
          <w:p w14:paraId="036AF58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投标文件按照要求编写项目实施方案，并由评标委员会根据内容进行评分(不提供方案，不得分):</w:t>
            </w:r>
          </w:p>
          <w:p w14:paraId="11FBC366">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①项目实施方案包括管理措施、质量保证措施、风险防范等措施；</w:t>
            </w:r>
          </w:p>
          <w:p w14:paraId="6DE4E494">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②提供具体的实施流程、实施内容和项目进度表；</w:t>
            </w:r>
          </w:p>
          <w:p w14:paraId="245F794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③提供安装调试方案，分析安装调试环节重、难点和相应的应对策略。</w:t>
            </w:r>
          </w:p>
          <w:p w14:paraId="23D25790">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sz w:val="21"/>
                <w:szCs w:val="21"/>
              </w:rPr>
              <w:t>以上①-③项基础分评分标准(每项最高得3分，各项合计满分9分):缺项(0分)、内容完整(1分)、具有操作性(1分)、按照采购单位实际需求制定(1分)。</w:t>
            </w:r>
          </w:p>
        </w:tc>
      </w:tr>
      <w:tr w14:paraId="0093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6E372A93">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3BE13102">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0DF30F45">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（2）售后服务方案（满分9分）</w:t>
            </w:r>
          </w:p>
        </w:tc>
        <w:tc>
          <w:tcPr>
            <w:tcW w:w="5277" w:type="dxa"/>
            <w:vAlign w:val="center"/>
          </w:tcPr>
          <w:p w14:paraId="57534EC9">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评标委员会根据投标人制定的售后服务方案进行独立评审,包括:</w:t>
            </w:r>
          </w:p>
          <w:p w14:paraId="1CAD3F86">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①设备的维护保养方案及质保期外的含零配件的优惠供应等内容；</w:t>
            </w:r>
          </w:p>
          <w:p w14:paraId="295CA4F8">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②应急响应方案（包括设备使用过程中的质量控制、操作规程、保养与管理，常见故障的排除、紧急情况的处理等）；</w:t>
            </w:r>
          </w:p>
          <w:p w14:paraId="11E8E430">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③有专业维护人员安排。</w:t>
            </w:r>
          </w:p>
          <w:p w14:paraId="7DAD510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注:①-③项，每项得2分(每项基础分为2分，其中，科学合理内容完整(1分)、实际操作性强(0.5分)、对应本项目要求(0.5分)、内容缺项或不对应(0分)，满分6分。</w:t>
            </w:r>
          </w:p>
          <w:p w14:paraId="633A95CF">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细化分（满分3分）：</w:t>
            </w:r>
          </w:p>
          <w:p w14:paraId="79B2F66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①故障响应时间优于采购需求，承诺4个小时内到达现场进行处理，到达现场后2个小时内排除故障的，得2分。</w:t>
            </w:r>
          </w:p>
          <w:p w14:paraId="0BC8A1C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②针对专业维护人员，能明确质保期内维修和保养及其它售后服务人员安排并提供人员联系方式的，得1分。</w:t>
            </w:r>
          </w:p>
        </w:tc>
      </w:tr>
      <w:tr w14:paraId="3624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1B9690AC">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53E0819A">
            <w:pPr>
              <w:adjustRightInd w:val="0"/>
              <w:snapToGrid w:val="0"/>
              <w:spacing w:line="360" w:lineRule="auto"/>
              <w:jc w:val="center"/>
              <w:textAlignment w:val="baseline"/>
              <w:rPr>
                <w:rFonts w:asciiTheme="majorEastAsia" w:hAnsiTheme="majorEastAsia" w:eastAsiaTheme="majorEastAsia" w:cstheme="majorEastAsia"/>
                <w:b/>
                <w:szCs w:val="21"/>
              </w:rPr>
            </w:pPr>
          </w:p>
        </w:tc>
        <w:tc>
          <w:tcPr>
            <w:tcW w:w="1905" w:type="dxa"/>
            <w:vAlign w:val="center"/>
          </w:tcPr>
          <w:p w14:paraId="3800ABE2">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（3）技术培训方案（满分9分）</w:t>
            </w:r>
          </w:p>
        </w:tc>
        <w:tc>
          <w:tcPr>
            <w:tcW w:w="5277" w:type="dxa"/>
            <w:vAlign w:val="center"/>
          </w:tcPr>
          <w:p w14:paraId="2B4B0C5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评标委员会根据投标人制定的技术培训方案进行独立评审,包括:</w:t>
            </w:r>
          </w:p>
          <w:p w14:paraId="580B1252">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①有培训计划及流程安排，其中培训对象包含设备管理员、系统管理人员、操作员(医生、护士、技术员)、采购人维修技术员等；</w:t>
            </w:r>
          </w:p>
          <w:p w14:paraId="30E0908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②制定了培训课程及内容，包括但不限于培训内容、培训方式、培训教材、培训时间；</w:t>
            </w:r>
          </w:p>
          <w:p w14:paraId="66F3667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③培训师资及技术人员的配备。</w:t>
            </w:r>
          </w:p>
          <w:p w14:paraId="2513EEDA">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注:①-③项，每项得3分(每项基础分为9分，其中，科学合理内容完整(1分)、实际操作性强(1分)、对应本项目要求(1分)、内容缺项或不对应(0分)，满分9分。</w:t>
            </w:r>
          </w:p>
        </w:tc>
      </w:tr>
      <w:tr w14:paraId="2A6E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1E4EE5C">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0D879659">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08D66D61">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（4）管理体系认证分（满分4分）</w:t>
            </w:r>
          </w:p>
        </w:tc>
        <w:tc>
          <w:tcPr>
            <w:tcW w:w="5277" w:type="dxa"/>
            <w:vAlign w:val="center"/>
          </w:tcPr>
          <w:p w14:paraId="0725DE3D">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投标人或所投货物生产厂家通过质量管理体系认证（ISO9001系列）、环境管理体系认证（ISO14001系列）的，每个得2分，满分4分。</w:t>
            </w:r>
          </w:p>
          <w:p w14:paraId="68F93F79">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注：须提供上述证书复印件并加盖投标人公章或电子签章，不提供或证书无效不得分</w:t>
            </w:r>
            <w:r>
              <w:rPr>
                <w:rFonts w:hint="eastAsia" w:asciiTheme="majorEastAsia" w:hAnsiTheme="majorEastAsia" w:eastAsiaTheme="majorEastAsia" w:cstheme="majorEastAsia"/>
                <w:szCs w:val="21"/>
              </w:rPr>
              <w:t>。</w:t>
            </w:r>
          </w:p>
        </w:tc>
      </w:tr>
      <w:tr w14:paraId="2C23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885A5B4">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4174D861">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43AE37FC">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（5）业绩分</w:t>
            </w:r>
          </w:p>
          <w:p w14:paraId="671F4CB3">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（满分3分）</w:t>
            </w:r>
          </w:p>
        </w:tc>
        <w:tc>
          <w:tcPr>
            <w:tcW w:w="5277" w:type="dxa"/>
            <w:vAlign w:val="center"/>
          </w:tcPr>
          <w:p w14:paraId="38CEB272">
            <w:pPr>
              <w:adjustRightInd w:val="0"/>
              <w:snapToGrid w:val="0"/>
              <w:spacing w:line="360" w:lineRule="auto"/>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2019年1月1日至投标截止时间止，在投标文件中提供同类产品销售业绩的（业绩可以是供应商的，也可以是制造商），每提供1个得1分，最高得3分。</w:t>
            </w:r>
            <w:r>
              <w:rPr>
                <w:rFonts w:hint="eastAsia" w:asciiTheme="majorEastAsia" w:hAnsiTheme="majorEastAsia" w:eastAsiaTheme="majorEastAsia" w:cstheme="majorEastAsia"/>
                <w:b/>
                <w:bCs/>
                <w:szCs w:val="21"/>
              </w:rPr>
              <w:t>【提供合同或者中标通知书复印件，不提供不予计分】</w:t>
            </w:r>
          </w:p>
        </w:tc>
      </w:tr>
      <w:tr w14:paraId="7C55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55" w:type="dxa"/>
            <w:gridSpan w:val="4"/>
            <w:vAlign w:val="center"/>
          </w:tcPr>
          <w:p w14:paraId="3E330311">
            <w:pPr>
              <w:pStyle w:val="25"/>
              <w:snapToGrid w:val="0"/>
              <w:spacing w:line="360" w:lineRule="auto"/>
              <w:rPr>
                <w:rFonts w:asciiTheme="majorEastAsia" w:hAnsiTheme="majorEastAsia" w:eastAsiaTheme="majorEastAsia" w:cstheme="majorEastAsia"/>
                <w:b/>
                <w:bCs/>
                <w:sz w:val="21"/>
              </w:rPr>
            </w:pPr>
            <w:r>
              <w:rPr>
                <w:rFonts w:hint="eastAsia" w:asciiTheme="majorEastAsia" w:hAnsiTheme="majorEastAsia" w:eastAsiaTheme="majorEastAsia" w:cstheme="majorEastAsia"/>
                <w:b/>
                <w:bCs/>
                <w:sz w:val="21"/>
              </w:rPr>
              <w:t>总得分为以上各项评审因素得分合计。</w:t>
            </w:r>
          </w:p>
        </w:tc>
      </w:tr>
    </w:tbl>
    <w:p w14:paraId="385C173D">
      <w:pPr>
        <w:pStyle w:val="25"/>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注：计分方法按四舍五入取至百分位</w:t>
      </w:r>
    </w:p>
    <w:p w14:paraId="64B69DC7">
      <w:pPr>
        <w:spacing w:line="360" w:lineRule="auto"/>
        <w:ind w:firstLine="420" w:firstLineChars="200"/>
        <w:rPr>
          <w:rFonts w:asciiTheme="majorEastAsia" w:hAnsiTheme="majorEastAsia" w:eastAsiaTheme="majorEastAsia" w:cstheme="majorEastAsia"/>
        </w:rPr>
      </w:pPr>
    </w:p>
    <w:p w14:paraId="23126B7C">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四、中标候选人推荐</w:t>
      </w:r>
    </w:p>
    <w:p w14:paraId="06690B3A">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1.评标委员会根据原始评标记录和评标结果编写评标报告，并通过电子交易平台向采购人、采购代理机构提交。</w:t>
      </w:r>
    </w:p>
    <w:p w14:paraId="07D8CBD7">
      <w:pPr>
        <w:pStyle w:val="25"/>
        <w:spacing w:line="360" w:lineRule="auto"/>
        <w:ind w:firstLine="420" w:firstLineChars="200"/>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sz w:val="21"/>
        </w:rPr>
        <w:t>2.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895A175">
      <w:pPr>
        <w:pStyle w:val="3"/>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37B153FC">
      <w:pPr>
        <w:pStyle w:val="3"/>
        <w:keepNext w:val="0"/>
        <w:keepLines w:val="0"/>
        <w:jc w:val="center"/>
        <w:rPr>
          <w:rFonts w:asciiTheme="majorEastAsia" w:hAnsiTheme="majorEastAsia" w:eastAsiaTheme="majorEastAsia" w:cstheme="majorEastAsia"/>
        </w:rPr>
      </w:pPr>
    </w:p>
    <w:p w14:paraId="42A5FDB5">
      <w:pPr>
        <w:pStyle w:val="3"/>
        <w:keepNext w:val="0"/>
        <w:keepLines w:val="0"/>
        <w:jc w:val="center"/>
        <w:rPr>
          <w:rFonts w:asciiTheme="majorEastAsia" w:hAnsiTheme="majorEastAsia" w:eastAsiaTheme="majorEastAsia" w:cstheme="majorEastAsia"/>
        </w:rPr>
      </w:pPr>
    </w:p>
    <w:p w14:paraId="42ABD72C">
      <w:pPr>
        <w:pStyle w:val="3"/>
        <w:keepNext w:val="0"/>
        <w:keepLines w:val="0"/>
        <w:jc w:val="center"/>
        <w:rPr>
          <w:rFonts w:asciiTheme="majorEastAsia" w:hAnsiTheme="majorEastAsia" w:eastAsiaTheme="majorEastAsia" w:cstheme="majorEastAsia"/>
        </w:rPr>
      </w:pPr>
    </w:p>
    <w:p w14:paraId="614424DF">
      <w:pPr>
        <w:pStyle w:val="3"/>
        <w:keepNext w:val="0"/>
        <w:keepLines w:val="0"/>
        <w:jc w:val="center"/>
        <w:rPr>
          <w:rFonts w:asciiTheme="majorEastAsia" w:hAnsiTheme="majorEastAsia" w:eastAsiaTheme="majorEastAsia" w:cstheme="majorEastAsia"/>
        </w:rPr>
      </w:pPr>
    </w:p>
    <w:p w14:paraId="222CB786">
      <w:pPr>
        <w:pStyle w:val="2"/>
        <w:jc w:val="center"/>
        <w:rPr>
          <w:rFonts w:asciiTheme="majorEastAsia" w:hAnsiTheme="majorEastAsia" w:eastAsiaTheme="majorEastAsia" w:cstheme="majorEastAsia"/>
        </w:rPr>
      </w:pPr>
      <w:bookmarkStart w:id="141" w:name="_Toc74320804"/>
      <w:r>
        <w:rPr>
          <w:rFonts w:hint="eastAsia" w:asciiTheme="majorEastAsia" w:hAnsiTheme="majorEastAsia" w:eastAsiaTheme="majorEastAsia" w:cstheme="majorEastAsia"/>
        </w:rPr>
        <w:t>第五章  拟签订的合同文本</w:t>
      </w:r>
      <w:bookmarkEnd w:id="141"/>
    </w:p>
    <w:p w14:paraId="2BD4F3F8">
      <w:pPr>
        <w:snapToGrid w:val="0"/>
        <w:jc w:val="center"/>
        <w:rPr>
          <w:rFonts w:asciiTheme="majorEastAsia" w:hAnsiTheme="majorEastAsia" w:eastAsiaTheme="majorEastAsia" w:cstheme="majorEastAsia"/>
          <w:bCs/>
          <w:sz w:val="32"/>
          <w:szCs w:val="32"/>
        </w:rPr>
      </w:pPr>
    </w:p>
    <w:p w14:paraId="0FAB59C7">
      <w:pPr>
        <w:snapToGrid w:val="0"/>
        <w:jc w:val="center"/>
        <w:rPr>
          <w:rFonts w:asciiTheme="majorEastAsia" w:hAnsiTheme="majorEastAsia" w:eastAsiaTheme="majorEastAsia" w:cstheme="majorEastAsia"/>
          <w:bCs/>
          <w:sz w:val="32"/>
          <w:szCs w:val="32"/>
        </w:rPr>
      </w:pPr>
    </w:p>
    <w:p w14:paraId="7E9022B2">
      <w:pPr>
        <w:snapToGrid w:val="0"/>
        <w:jc w:val="center"/>
        <w:rPr>
          <w:rFonts w:asciiTheme="majorEastAsia" w:hAnsiTheme="majorEastAsia" w:eastAsiaTheme="majorEastAsia" w:cstheme="majorEastAsia"/>
          <w:bCs/>
          <w:sz w:val="32"/>
          <w:szCs w:val="32"/>
        </w:rPr>
      </w:pPr>
    </w:p>
    <w:p w14:paraId="24909920">
      <w:pPr>
        <w:snapToGrid w:val="0"/>
        <w:jc w:val="center"/>
        <w:rPr>
          <w:rFonts w:asciiTheme="majorEastAsia" w:hAnsiTheme="majorEastAsia" w:eastAsiaTheme="majorEastAsia" w:cstheme="majorEastAsia"/>
          <w:bCs/>
          <w:sz w:val="32"/>
          <w:szCs w:val="32"/>
        </w:rPr>
      </w:pPr>
    </w:p>
    <w:p w14:paraId="4205AB77">
      <w:pPr>
        <w:snapToGrid w:val="0"/>
        <w:jc w:val="center"/>
        <w:rPr>
          <w:rFonts w:asciiTheme="majorEastAsia" w:hAnsiTheme="majorEastAsia" w:eastAsiaTheme="majorEastAsia" w:cstheme="majorEastAsia"/>
          <w:bCs/>
          <w:sz w:val="32"/>
          <w:szCs w:val="32"/>
        </w:rPr>
      </w:pPr>
    </w:p>
    <w:p w14:paraId="6E8D35D3">
      <w:pPr>
        <w:snapToGrid w:val="0"/>
        <w:jc w:val="center"/>
        <w:rPr>
          <w:rFonts w:asciiTheme="majorEastAsia" w:hAnsiTheme="majorEastAsia" w:eastAsiaTheme="majorEastAsia" w:cstheme="majorEastAsia"/>
          <w:bCs/>
          <w:sz w:val="32"/>
          <w:szCs w:val="32"/>
        </w:rPr>
      </w:pPr>
    </w:p>
    <w:p w14:paraId="2F75AE92">
      <w:pPr>
        <w:snapToGrid w:val="0"/>
        <w:jc w:val="center"/>
        <w:rPr>
          <w:rFonts w:asciiTheme="majorEastAsia" w:hAnsiTheme="majorEastAsia" w:eastAsiaTheme="majorEastAsia" w:cstheme="majorEastAsia"/>
          <w:bCs/>
          <w:sz w:val="32"/>
          <w:szCs w:val="32"/>
        </w:rPr>
      </w:pPr>
    </w:p>
    <w:p w14:paraId="4EF64D4B">
      <w:pPr>
        <w:snapToGrid w:val="0"/>
        <w:jc w:val="center"/>
        <w:rPr>
          <w:rFonts w:asciiTheme="majorEastAsia" w:hAnsiTheme="majorEastAsia" w:eastAsiaTheme="majorEastAsia" w:cstheme="majorEastAsia"/>
          <w:bCs/>
          <w:sz w:val="32"/>
          <w:szCs w:val="32"/>
        </w:rPr>
      </w:pPr>
    </w:p>
    <w:p w14:paraId="5E4DECCE">
      <w:pPr>
        <w:snapToGrid w:val="0"/>
        <w:jc w:val="center"/>
        <w:rPr>
          <w:rFonts w:asciiTheme="majorEastAsia" w:hAnsiTheme="majorEastAsia" w:eastAsiaTheme="majorEastAsia" w:cstheme="majorEastAsia"/>
          <w:bCs/>
          <w:sz w:val="32"/>
          <w:szCs w:val="32"/>
        </w:rPr>
      </w:pPr>
    </w:p>
    <w:p w14:paraId="188C0A9E">
      <w:pPr>
        <w:snapToGrid w:val="0"/>
        <w:jc w:val="center"/>
        <w:rPr>
          <w:rFonts w:asciiTheme="majorEastAsia" w:hAnsiTheme="majorEastAsia" w:eastAsiaTheme="majorEastAsia" w:cstheme="majorEastAsia"/>
          <w:bCs/>
          <w:sz w:val="32"/>
          <w:szCs w:val="32"/>
        </w:rPr>
      </w:pPr>
    </w:p>
    <w:p w14:paraId="5D58D52D">
      <w:pPr>
        <w:snapToGrid w:val="0"/>
        <w:jc w:val="center"/>
        <w:rPr>
          <w:rFonts w:asciiTheme="majorEastAsia" w:hAnsiTheme="majorEastAsia" w:eastAsiaTheme="majorEastAsia" w:cstheme="majorEastAsia"/>
          <w:bCs/>
          <w:sz w:val="32"/>
          <w:szCs w:val="32"/>
        </w:rPr>
      </w:pPr>
    </w:p>
    <w:p w14:paraId="0F8BDB4D">
      <w:pPr>
        <w:snapToGrid w:val="0"/>
        <w:rPr>
          <w:rFonts w:asciiTheme="majorEastAsia" w:hAnsiTheme="majorEastAsia" w:eastAsiaTheme="majorEastAsia" w:cstheme="majorEastAsia"/>
          <w:bCs/>
          <w:sz w:val="32"/>
          <w:szCs w:val="32"/>
        </w:rPr>
      </w:pPr>
      <w:bookmarkStart w:id="142" w:name="_Hlk55381736"/>
    </w:p>
    <w:p w14:paraId="48E471F4">
      <w:pPr>
        <w:snapToGrid w:val="0"/>
        <w:spacing w:line="360" w:lineRule="auto"/>
        <w:ind w:firstLine="640" w:firstLineChars="2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Cs/>
          <w:sz w:val="32"/>
          <w:szCs w:val="32"/>
        </w:rPr>
        <w:br w:type="page"/>
      </w:r>
    </w:p>
    <w:p w14:paraId="5BE73AEA">
      <w:pPr>
        <w:snapToGrid w:val="0"/>
        <w:spacing w:line="360" w:lineRule="auto"/>
        <w:jc w:val="center"/>
        <w:rPr>
          <w:rFonts w:asciiTheme="majorEastAsia" w:hAnsiTheme="majorEastAsia" w:eastAsiaTheme="majorEastAsia" w:cstheme="majorEastAsia"/>
          <w:b/>
          <w:bCs/>
          <w:sz w:val="32"/>
          <w:szCs w:val="32"/>
        </w:rPr>
      </w:pPr>
    </w:p>
    <w:p w14:paraId="11F10749">
      <w:pPr>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《广西壮族自治区政府采购合同》</w:t>
      </w:r>
    </w:p>
    <w:p w14:paraId="4BA16CD6">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spacing w:val="-2"/>
          <w:kern w:val="0"/>
          <w:szCs w:val="21"/>
        </w:rPr>
      </w:pPr>
    </w:p>
    <w:p w14:paraId="0CD57EB2">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合同名称：                                合同编号：</w:t>
      </w:r>
    </w:p>
    <w:p w14:paraId="6BAD9371">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采购单位（甲方</w:t>
      </w:r>
      <w:r>
        <w:rPr>
          <w:rFonts w:hint="eastAsia" w:asciiTheme="majorEastAsia" w:hAnsiTheme="majorEastAsia" w:eastAsiaTheme="majorEastAsia" w:cstheme="majorEastAsia"/>
          <w:snapToGrid w:val="0"/>
          <w:spacing w:val="4"/>
          <w:kern w:val="0"/>
          <w:szCs w:val="21"/>
        </w:rPr>
        <w:t xml:space="preserve">）：                    </w:t>
      </w:r>
      <w:r>
        <w:rPr>
          <w:rFonts w:hint="eastAsia" w:asciiTheme="majorEastAsia" w:hAnsiTheme="majorEastAsia" w:eastAsiaTheme="majorEastAsia" w:cstheme="majorEastAsia"/>
          <w:snapToGrid w:val="0"/>
          <w:spacing w:val="-2"/>
          <w:kern w:val="0"/>
          <w:szCs w:val="21"/>
        </w:rPr>
        <w:t>采购计划号：</w:t>
      </w:r>
    </w:p>
    <w:p w14:paraId="1E998A8C">
      <w:pPr>
        <w:widowControl/>
        <w:autoSpaceDE w:val="0"/>
        <w:autoSpaceDN w:val="0"/>
        <w:adjustRightInd w:val="0"/>
        <w:snapToGrid w:val="0"/>
        <w:spacing w:line="360" w:lineRule="auto"/>
        <w:ind w:firstLine="40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3"/>
          <w:kern w:val="0"/>
          <w:szCs w:val="21"/>
        </w:rPr>
        <w:t>中标供应商（乙方</w:t>
      </w:r>
      <w:r>
        <w:rPr>
          <w:rFonts w:hint="eastAsia" w:asciiTheme="majorEastAsia" w:hAnsiTheme="majorEastAsia" w:eastAsiaTheme="majorEastAsia" w:cstheme="majorEastAsia"/>
          <w:snapToGrid w:val="0"/>
          <w:spacing w:val="2"/>
          <w:kern w:val="0"/>
          <w:szCs w:val="21"/>
        </w:rPr>
        <w:t xml:space="preserve">）：                   </w:t>
      </w:r>
      <w:r>
        <w:rPr>
          <w:rFonts w:hint="eastAsia" w:asciiTheme="majorEastAsia" w:hAnsiTheme="majorEastAsia" w:eastAsiaTheme="majorEastAsia" w:cstheme="majorEastAsia"/>
          <w:snapToGrid w:val="0"/>
          <w:spacing w:val="-3"/>
          <w:kern w:val="0"/>
          <w:szCs w:val="21"/>
        </w:rPr>
        <w:t>项目名称和编号：</w:t>
      </w:r>
    </w:p>
    <w:p w14:paraId="60AD7E30">
      <w:pPr>
        <w:widowControl/>
        <w:autoSpaceDE w:val="0"/>
        <w:autoSpaceDN w:val="0"/>
        <w:adjustRightInd w:val="0"/>
        <w:snapToGrid w:val="0"/>
        <w:spacing w:line="360" w:lineRule="auto"/>
        <w:ind w:firstLine="40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签订地点：                                签订时间：</w:t>
      </w:r>
    </w:p>
    <w:p w14:paraId="2AA64082">
      <w:pPr>
        <w:widowControl/>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kern w:val="0"/>
          <w:szCs w:val="21"/>
        </w:rPr>
      </w:pPr>
    </w:p>
    <w:p w14:paraId="08930CC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根据《中华人民共和国政府采购法》、《中华人民共和国民法典》等法律、法规</w:t>
      </w:r>
      <w:r>
        <w:rPr>
          <w:rFonts w:hint="eastAsia" w:asciiTheme="majorEastAsia" w:hAnsiTheme="majorEastAsia" w:eastAsiaTheme="majorEastAsia" w:cstheme="majorEastAsia"/>
          <w:snapToGrid w:val="0"/>
          <w:spacing w:val="8"/>
          <w:kern w:val="0"/>
          <w:szCs w:val="21"/>
        </w:rPr>
        <w:t>规定，按照招标文</w:t>
      </w:r>
      <w:r>
        <w:rPr>
          <w:rFonts w:hint="eastAsia" w:asciiTheme="majorEastAsia" w:hAnsiTheme="majorEastAsia" w:eastAsiaTheme="majorEastAsia" w:cstheme="majorEastAsia"/>
          <w:snapToGrid w:val="0"/>
          <w:spacing w:val="7"/>
          <w:kern w:val="0"/>
          <w:szCs w:val="21"/>
        </w:rPr>
        <w:t>件规定条款和中标供应商承诺，甲乙双方签订本合同。</w:t>
      </w:r>
    </w:p>
    <w:p w14:paraId="0E2F050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第一条  合同标的</w:t>
      </w:r>
    </w:p>
    <w:p w14:paraId="7FE65636">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5"/>
          <w:kern w:val="0"/>
          <w:szCs w:val="21"/>
        </w:rPr>
        <w:t>1、供货一览表</w:t>
      </w:r>
    </w:p>
    <w:tbl>
      <w:tblPr>
        <w:tblStyle w:val="112"/>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887"/>
        <w:gridCol w:w="887"/>
        <w:gridCol w:w="886"/>
        <w:gridCol w:w="886"/>
        <w:gridCol w:w="846"/>
        <w:gridCol w:w="846"/>
        <w:gridCol w:w="1265"/>
        <w:gridCol w:w="1265"/>
      </w:tblGrid>
      <w:tr w14:paraId="37BA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tcPr>
          <w:p w14:paraId="5908E1A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序号</w:t>
            </w:r>
          </w:p>
        </w:tc>
        <w:tc>
          <w:tcPr>
            <w:tcW w:w="887" w:type="dxa"/>
          </w:tcPr>
          <w:p w14:paraId="578F306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产品</w:t>
            </w:r>
          </w:p>
          <w:p w14:paraId="7C2C297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名称</w:t>
            </w:r>
          </w:p>
        </w:tc>
        <w:tc>
          <w:tcPr>
            <w:tcW w:w="887" w:type="dxa"/>
          </w:tcPr>
          <w:p w14:paraId="317732B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position w:val="11"/>
                <w:szCs w:val="21"/>
                <w:lang w:eastAsia="en-US"/>
              </w:rPr>
              <w:t>商标</w:t>
            </w:r>
          </w:p>
          <w:p w14:paraId="58C5CC3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szCs w:val="21"/>
                <w:lang w:eastAsia="en-US"/>
              </w:rPr>
              <w:t>品牌</w:t>
            </w:r>
          </w:p>
        </w:tc>
        <w:tc>
          <w:tcPr>
            <w:tcW w:w="886" w:type="dxa"/>
          </w:tcPr>
          <w:p w14:paraId="547A0F7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规格</w:t>
            </w:r>
          </w:p>
          <w:p w14:paraId="2C91084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型号</w:t>
            </w:r>
          </w:p>
        </w:tc>
        <w:tc>
          <w:tcPr>
            <w:tcW w:w="886" w:type="dxa"/>
          </w:tcPr>
          <w:p w14:paraId="077DD18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position w:val="11"/>
                <w:szCs w:val="21"/>
                <w:lang w:eastAsia="en-US"/>
              </w:rPr>
              <w:t>生产</w:t>
            </w:r>
          </w:p>
          <w:p w14:paraId="28A2D59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厂家</w:t>
            </w:r>
          </w:p>
        </w:tc>
        <w:tc>
          <w:tcPr>
            <w:tcW w:w="846" w:type="dxa"/>
          </w:tcPr>
          <w:p w14:paraId="4CE8511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数量</w:t>
            </w:r>
          </w:p>
        </w:tc>
        <w:tc>
          <w:tcPr>
            <w:tcW w:w="846" w:type="dxa"/>
          </w:tcPr>
          <w:p w14:paraId="6A831B2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单位</w:t>
            </w:r>
          </w:p>
        </w:tc>
        <w:tc>
          <w:tcPr>
            <w:tcW w:w="1265" w:type="dxa"/>
          </w:tcPr>
          <w:p w14:paraId="215733E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单价（元）</w:t>
            </w:r>
          </w:p>
        </w:tc>
        <w:tc>
          <w:tcPr>
            <w:tcW w:w="1265" w:type="dxa"/>
          </w:tcPr>
          <w:p w14:paraId="20F480F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金额（元）</w:t>
            </w:r>
          </w:p>
        </w:tc>
      </w:tr>
      <w:tr w14:paraId="5AD26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3F6CF6B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1</w:t>
            </w:r>
          </w:p>
        </w:tc>
        <w:tc>
          <w:tcPr>
            <w:tcW w:w="887" w:type="dxa"/>
          </w:tcPr>
          <w:p w14:paraId="01EB06DB">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491F309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1058104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52ACCAF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202E8A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0EB962EA">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7002218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315ECB3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418C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37C86766">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2</w:t>
            </w:r>
          </w:p>
        </w:tc>
        <w:tc>
          <w:tcPr>
            <w:tcW w:w="887" w:type="dxa"/>
          </w:tcPr>
          <w:p w14:paraId="4594290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3FA4B0D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044211C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6C93C72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297D7F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6594C10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7E0017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234246B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64756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13751FF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3</w:t>
            </w:r>
          </w:p>
        </w:tc>
        <w:tc>
          <w:tcPr>
            <w:tcW w:w="887" w:type="dxa"/>
          </w:tcPr>
          <w:p w14:paraId="61E724C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065C835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15145161">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6996D858">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58B74ED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709AFCD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4A7CC42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32F45E1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3418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18" w:type="dxa"/>
            <w:gridSpan w:val="9"/>
          </w:tcPr>
          <w:p w14:paraId="24872AA9">
            <w:pPr>
              <w:widowControl/>
              <w:autoSpaceDE w:val="0"/>
              <w:autoSpaceDN w:val="0"/>
              <w:adjustRightInd w:val="0"/>
              <w:snapToGrid w:val="0"/>
              <w:spacing w:line="360" w:lineRule="auto"/>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人民币合计总金额：</w:t>
            </w:r>
            <w:r>
              <w:rPr>
                <w:rFonts w:hint="eastAsia" w:asciiTheme="majorEastAsia" w:hAnsiTheme="majorEastAsia" w:eastAsiaTheme="majorEastAsia" w:cstheme="majorEastAsia"/>
                <w:snapToGrid w:val="0"/>
                <w:kern w:val="0"/>
                <w:szCs w:val="21"/>
                <w:u w:val="single"/>
                <w:lang w:eastAsia="en-US"/>
              </w:rPr>
              <w:t>（大写）         （¥     元）</w:t>
            </w:r>
          </w:p>
        </w:tc>
      </w:tr>
    </w:tbl>
    <w:p w14:paraId="479C7BF6">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2、合同合计金额包括该货物包含的一切设备、附件、备件、运输、施工、安装调试、人员工资、</w:t>
      </w:r>
      <w:r>
        <w:rPr>
          <w:rFonts w:hint="eastAsia" w:asciiTheme="majorEastAsia" w:hAnsiTheme="majorEastAsia" w:eastAsiaTheme="majorEastAsia" w:cstheme="majorEastAsia"/>
          <w:snapToGrid w:val="0"/>
          <w:spacing w:val="9"/>
          <w:kern w:val="0"/>
          <w:szCs w:val="21"/>
        </w:rPr>
        <w:t>税费、计量检测费、验收、培训、技术服务、室内技术线路改造、系统接入服务、信息系统对接费用、后期维护服务等相关工作范围内的所</w:t>
      </w:r>
      <w:r>
        <w:rPr>
          <w:rFonts w:hint="eastAsia" w:asciiTheme="majorEastAsia" w:hAnsiTheme="majorEastAsia" w:eastAsiaTheme="majorEastAsia" w:cstheme="majorEastAsia"/>
          <w:snapToGrid w:val="0"/>
          <w:spacing w:val="8"/>
          <w:kern w:val="0"/>
          <w:szCs w:val="21"/>
        </w:rPr>
        <w:t>有费用。如招标文件对其另有规定的，从其规定。</w:t>
      </w:r>
    </w:p>
    <w:p w14:paraId="760DA11F">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3、提供产品配置清单。</w:t>
      </w:r>
    </w:p>
    <w:p w14:paraId="1B747B3A">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第二条  质量保证</w:t>
      </w:r>
    </w:p>
    <w:p w14:paraId="1E3CFFD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1、乙方所提供的货物型号、技术参数等质量必须与投标文件和承诺</w:t>
      </w:r>
      <w:r>
        <w:rPr>
          <w:rFonts w:hint="eastAsia" w:asciiTheme="majorEastAsia" w:hAnsiTheme="majorEastAsia" w:eastAsiaTheme="majorEastAsia" w:cstheme="majorEastAsia"/>
          <w:snapToGrid w:val="0"/>
          <w:spacing w:val="10"/>
          <w:kern w:val="0"/>
          <w:szCs w:val="21"/>
        </w:rPr>
        <w:t>相一致。乙方提供的节能和环</w:t>
      </w:r>
      <w:r>
        <w:rPr>
          <w:rFonts w:hint="eastAsia" w:asciiTheme="majorEastAsia" w:hAnsiTheme="majorEastAsia" w:eastAsiaTheme="majorEastAsia" w:cstheme="majorEastAsia"/>
          <w:snapToGrid w:val="0"/>
          <w:spacing w:val="8"/>
          <w:kern w:val="0"/>
          <w:szCs w:val="21"/>
        </w:rPr>
        <w:t>保产品必须是列入政府采购清单的产品。</w:t>
      </w:r>
    </w:p>
    <w:p w14:paraId="2A07C56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11"/>
          <w:kern w:val="0"/>
          <w:szCs w:val="21"/>
        </w:rPr>
        <w:t>2、乙方所提供的货物必须是全新、未使用的原装产品，且在正常安装、使用和保养条件下，其使</w:t>
      </w:r>
      <w:r>
        <w:rPr>
          <w:rFonts w:hint="eastAsia" w:asciiTheme="majorEastAsia" w:hAnsiTheme="majorEastAsia" w:eastAsiaTheme="majorEastAsia" w:cstheme="majorEastAsia"/>
          <w:snapToGrid w:val="0"/>
          <w:spacing w:val="8"/>
          <w:kern w:val="0"/>
          <w:szCs w:val="21"/>
        </w:rPr>
        <w:t>用寿命期内各项指标均达到质量要求。</w:t>
      </w:r>
    </w:p>
    <w:p w14:paraId="3462F0C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3、质保期：</w:t>
      </w:r>
      <w:r>
        <w:rPr>
          <w:rFonts w:hint="eastAsia" w:asciiTheme="majorEastAsia" w:hAnsiTheme="majorEastAsia" w:eastAsiaTheme="majorEastAsia" w:cstheme="majorEastAsia"/>
          <w:bCs/>
          <w:snapToGrid w:val="0"/>
          <w:kern w:val="0"/>
          <w:szCs w:val="21"/>
        </w:rPr>
        <w:t>自货物验收合格</w:t>
      </w:r>
      <w:r>
        <w:rPr>
          <w:rFonts w:hint="eastAsia" w:asciiTheme="majorEastAsia" w:hAnsiTheme="majorEastAsia" w:eastAsiaTheme="majorEastAsia" w:cstheme="majorEastAsia"/>
          <w:snapToGrid w:val="0"/>
          <w:spacing w:val="10"/>
          <w:kern w:val="0"/>
          <w:szCs w:val="21"/>
        </w:rPr>
        <w:t>之日起     年。</w:t>
      </w:r>
    </w:p>
    <w:p w14:paraId="647EE13F">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第三条  权利保证</w:t>
      </w:r>
    </w:p>
    <w:p w14:paraId="6B5592B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1、乙方应保证所提供货物在使用时不会侵犯任何第三方的专利权、</w:t>
      </w:r>
      <w:r>
        <w:rPr>
          <w:rFonts w:hint="eastAsia" w:asciiTheme="majorEastAsia" w:hAnsiTheme="majorEastAsia" w:eastAsiaTheme="majorEastAsia" w:cstheme="majorEastAsia"/>
          <w:snapToGrid w:val="0"/>
          <w:spacing w:val="10"/>
          <w:kern w:val="0"/>
          <w:szCs w:val="21"/>
        </w:rPr>
        <w:t>商标权、工业设计权或其他权</w:t>
      </w:r>
      <w:r>
        <w:rPr>
          <w:rFonts w:hint="eastAsia" w:asciiTheme="majorEastAsia" w:hAnsiTheme="majorEastAsia" w:eastAsiaTheme="majorEastAsia" w:cstheme="majorEastAsia"/>
          <w:snapToGrid w:val="0"/>
          <w:kern w:val="0"/>
          <w:szCs w:val="21"/>
        </w:rPr>
        <w:t>利。</w:t>
      </w:r>
    </w:p>
    <w:p w14:paraId="0038F7FA">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2、乙方应按招标文件规定的时间向甲方提供使用货物的有关技术资料。</w:t>
      </w:r>
    </w:p>
    <w:p w14:paraId="18D66E79">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3、没有甲方事先书面同意，乙方不得将由甲方提供的有关合同或任何合同条文、规格、计划、图</w:t>
      </w:r>
      <w:r>
        <w:rPr>
          <w:rFonts w:hint="eastAsia" w:asciiTheme="majorEastAsia" w:hAnsiTheme="majorEastAsia" w:eastAsiaTheme="majorEastAsia" w:cstheme="majorEastAsia"/>
          <w:snapToGrid w:val="0"/>
          <w:spacing w:val="9"/>
          <w:kern w:val="0"/>
          <w:szCs w:val="21"/>
        </w:rPr>
        <w:t>纸、样品或资料提供给与履行本合同无关的任何其他人。即使向履行本合同有关的人员</w:t>
      </w:r>
      <w:r>
        <w:rPr>
          <w:rFonts w:hint="eastAsia" w:asciiTheme="majorEastAsia" w:hAnsiTheme="majorEastAsia" w:eastAsiaTheme="majorEastAsia" w:cstheme="majorEastAsia"/>
          <w:snapToGrid w:val="0"/>
          <w:spacing w:val="8"/>
          <w:kern w:val="0"/>
          <w:szCs w:val="21"/>
        </w:rPr>
        <w:t>提供，也应注意保密并限于履行合同的必需范围。</w:t>
      </w:r>
    </w:p>
    <w:p w14:paraId="0EDF74AD">
      <w:pPr>
        <w:widowControl/>
        <w:snapToGrid w:val="0"/>
        <w:spacing w:line="440" w:lineRule="exact"/>
        <w:ind w:firstLine="456"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4、乙方保证所交付的货物的所有权完全属于乙方且无任何抵押、质押、查封等产权瑕疵。</w:t>
      </w:r>
    </w:p>
    <w:p w14:paraId="16509CE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第四条  包装和运输</w:t>
      </w:r>
    </w:p>
    <w:p w14:paraId="14078CB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1、乙方提供的货物均应按招标文件要求的包装材料、包装标准、包</w:t>
      </w:r>
      <w:r>
        <w:rPr>
          <w:rFonts w:hint="eastAsia" w:asciiTheme="majorEastAsia" w:hAnsiTheme="majorEastAsia" w:eastAsiaTheme="majorEastAsia" w:cstheme="majorEastAsia"/>
          <w:snapToGrid w:val="0"/>
          <w:spacing w:val="10"/>
          <w:kern w:val="0"/>
          <w:szCs w:val="21"/>
        </w:rPr>
        <w:t>装方式进行包装，每一包装单</w:t>
      </w:r>
      <w:r>
        <w:rPr>
          <w:rFonts w:hint="eastAsia" w:asciiTheme="majorEastAsia" w:hAnsiTheme="majorEastAsia" w:eastAsiaTheme="majorEastAsia" w:cstheme="majorEastAsia"/>
          <w:snapToGrid w:val="0"/>
          <w:spacing w:val="8"/>
          <w:kern w:val="0"/>
          <w:szCs w:val="21"/>
        </w:rPr>
        <w:t>元内应附详细的装箱单和质量合格证。</w:t>
      </w:r>
    </w:p>
    <w:p w14:paraId="0EFD51F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2、货物的运输方式：由乙方自行安排。</w:t>
      </w:r>
    </w:p>
    <w:p w14:paraId="074286F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3、乙方负责货物运输，货物运输合理损耗及计算方法：本项目不接受损耗。</w:t>
      </w:r>
    </w:p>
    <w:p w14:paraId="066ABD1A">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第五条  交付调试和验收</w:t>
      </w:r>
    </w:p>
    <w:p w14:paraId="4C3CB1BA">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7"/>
          <w:kern w:val="0"/>
          <w:szCs w:val="21"/>
        </w:rPr>
        <w:t>1、交货时间（安装、调试、培训完</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6"/>
          <w:kern w:val="0"/>
          <w:szCs w:val="21"/>
          <w:u w:val="single"/>
        </w:rPr>
        <w:t xml:space="preserve">                 </w:t>
      </w:r>
      <w:r>
        <w:rPr>
          <w:rFonts w:hint="eastAsia" w:asciiTheme="majorEastAsia" w:hAnsiTheme="majorEastAsia" w:eastAsiaTheme="majorEastAsia" w:cstheme="majorEastAsia"/>
          <w:snapToGrid w:val="0"/>
          <w:spacing w:val="6"/>
          <w:kern w:val="0"/>
          <w:szCs w:val="21"/>
        </w:rPr>
        <w:t>。</w:t>
      </w:r>
    </w:p>
    <w:p w14:paraId="6CA6A2DF">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2、交货地点：岑溪市内甲方指定地点。</w:t>
      </w:r>
    </w:p>
    <w:p w14:paraId="71A100BA">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3、乙方提供不符合招标文件（及乙方投标（响应）文件）和本合同规定的货物，甲方有权拒</w:t>
      </w:r>
      <w:r>
        <w:rPr>
          <w:rFonts w:hint="eastAsia" w:asciiTheme="majorEastAsia" w:hAnsiTheme="majorEastAsia" w:eastAsiaTheme="majorEastAsia" w:cstheme="majorEastAsia"/>
          <w:snapToGrid w:val="0"/>
          <w:spacing w:val="9"/>
          <w:kern w:val="0"/>
          <w:szCs w:val="21"/>
        </w:rPr>
        <w:t>绝接</w:t>
      </w:r>
      <w:r>
        <w:rPr>
          <w:rFonts w:hint="eastAsia" w:asciiTheme="majorEastAsia" w:hAnsiTheme="majorEastAsia" w:eastAsiaTheme="majorEastAsia" w:cstheme="majorEastAsia"/>
          <w:snapToGrid w:val="0"/>
          <w:spacing w:val="-2"/>
          <w:kern w:val="0"/>
          <w:szCs w:val="21"/>
        </w:rPr>
        <w:t>受。</w:t>
      </w:r>
    </w:p>
    <w:p w14:paraId="342549B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4、甲方自行组织或委托政府采购代理机构组织初步验收及最终（安装）验收，由甲方或政府采购代理机构组织相关专业专家到场参与验收。如项目属于技术复杂的货物，甲方聘请国家认可的专</w:t>
      </w:r>
      <w:r>
        <w:rPr>
          <w:rFonts w:hint="eastAsia" w:asciiTheme="majorEastAsia" w:hAnsiTheme="majorEastAsia" w:eastAsiaTheme="majorEastAsia" w:cstheme="majorEastAsia"/>
          <w:snapToGrid w:val="0"/>
          <w:spacing w:val="8"/>
          <w:kern w:val="0"/>
          <w:szCs w:val="21"/>
        </w:rPr>
        <w:t>业检测</w:t>
      </w:r>
      <w:r>
        <w:rPr>
          <w:rFonts w:hint="eastAsia" w:asciiTheme="majorEastAsia" w:hAnsiTheme="majorEastAsia" w:eastAsiaTheme="majorEastAsia" w:cstheme="majorEastAsia"/>
          <w:snapToGrid w:val="0"/>
          <w:spacing w:val="9"/>
          <w:kern w:val="0"/>
          <w:szCs w:val="21"/>
        </w:rPr>
        <w:t>机构参与初步验收及最终（安装）验收，与甲方或政府采购代理机构组织的相关专业专家共同组</w:t>
      </w:r>
      <w:r>
        <w:rPr>
          <w:rFonts w:hint="eastAsia" w:asciiTheme="majorEastAsia" w:hAnsiTheme="majorEastAsia" w:eastAsiaTheme="majorEastAsia" w:cstheme="majorEastAsia"/>
          <w:snapToGrid w:val="0"/>
          <w:spacing w:val="8"/>
          <w:kern w:val="0"/>
          <w:szCs w:val="21"/>
        </w:rPr>
        <w:t>成验收</w:t>
      </w:r>
      <w:r>
        <w:rPr>
          <w:rFonts w:hint="eastAsia" w:asciiTheme="majorEastAsia" w:hAnsiTheme="majorEastAsia" w:eastAsiaTheme="majorEastAsia" w:cstheme="majorEastAsia"/>
          <w:snapToGrid w:val="0"/>
          <w:spacing w:val="9"/>
          <w:kern w:val="0"/>
          <w:szCs w:val="21"/>
        </w:rPr>
        <w:t>小组。验收时乙方必须在现场，验收完毕后出具验收结果报告；验收所产生的费用（包含</w:t>
      </w:r>
      <w:r>
        <w:rPr>
          <w:rFonts w:hint="eastAsia" w:asciiTheme="majorEastAsia" w:hAnsiTheme="majorEastAsia" w:eastAsiaTheme="majorEastAsia" w:cstheme="majorEastAsia"/>
          <w:snapToGrid w:val="0"/>
          <w:spacing w:val="8"/>
          <w:kern w:val="0"/>
          <w:szCs w:val="21"/>
        </w:rPr>
        <w:t>但不限于聘请</w:t>
      </w:r>
      <w:r>
        <w:rPr>
          <w:rFonts w:hint="eastAsia" w:asciiTheme="majorEastAsia" w:hAnsiTheme="majorEastAsia" w:eastAsiaTheme="majorEastAsia" w:cstheme="majorEastAsia"/>
          <w:snapToGrid w:val="0"/>
          <w:spacing w:val="6"/>
          <w:kern w:val="0"/>
          <w:szCs w:val="21"/>
        </w:rPr>
        <w:t>专家、检测机构费用）由乙方承担。</w:t>
      </w:r>
    </w:p>
    <w:p w14:paraId="5C6EAF7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5、验收时间以本项目验收方案约定的验收时间为准，验收结果以本项目验收报告结论为准。</w:t>
      </w:r>
    </w:p>
    <w:p w14:paraId="476BF595">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6、初步验收：</w:t>
      </w:r>
    </w:p>
    <w:p w14:paraId="773E164C">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6.1、甲方（或验收小组）对乙方提交的货物，依据招标文件（及乙方投标（响应</w:t>
      </w:r>
      <w:r>
        <w:rPr>
          <w:rFonts w:hint="eastAsia" w:asciiTheme="majorEastAsia" w:hAnsiTheme="majorEastAsia" w:eastAsiaTheme="majorEastAsia" w:cstheme="majorEastAsia"/>
          <w:snapToGrid w:val="0"/>
          <w:spacing w:val="9"/>
          <w:kern w:val="0"/>
          <w:szCs w:val="21"/>
        </w:rPr>
        <w:t>）文件）上的技术规格要求和国家有关质量标准进行现场初步验收，产品外观、说明书符合招标文件（及乙方</w:t>
      </w:r>
      <w:r>
        <w:rPr>
          <w:rFonts w:hint="eastAsia" w:asciiTheme="majorEastAsia" w:hAnsiTheme="majorEastAsia" w:eastAsiaTheme="majorEastAsia" w:cstheme="majorEastAsia"/>
          <w:snapToGrid w:val="0"/>
          <w:spacing w:val="8"/>
          <w:kern w:val="0"/>
          <w:szCs w:val="21"/>
        </w:rPr>
        <w:t>投标（响</w:t>
      </w:r>
      <w:r>
        <w:rPr>
          <w:rFonts w:hint="eastAsia" w:asciiTheme="majorEastAsia" w:hAnsiTheme="majorEastAsia" w:eastAsiaTheme="majorEastAsia" w:cstheme="majorEastAsia"/>
          <w:snapToGrid w:val="0"/>
          <w:spacing w:val="9"/>
          <w:kern w:val="0"/>
          <w:szCs w:val="21"/>
        </w:rPr>
        <w:t>应）文件）技术要求的，给予签收；对不符合要求的货物视为初步验收不合格不予签收</w:t>
      </w:r>
      <w:r>
        <w:rPr>
          <w:rFonts w:hint="eastAsia" w:asciiTheme="majorEastAsia" w:hAnsiTheme="majorEastAsia" w:eastAsiaTheme="majorEastAsia" w:cstheme="majorEastAsia"/>
          <w:snapToGrid w:val="0"/>
          <w:spacing w:val="8"/>
          <w:kern w:val="0"/>
          <w:szCs w:val="21"/>
        </w:rPr>
        <w:t>，可立即要求退换，乙方不得拒绝和延误。</w:t>
      </w:r>
    </w:p>
    <w:p w14:paraId="284DE69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6.2、乙方应将所提供货物的装箱清单、用户手册、原厂保修卡、随机资料、工具</w:t>
      </w:r>
      <w:r>
        <w:rPr>
          <w:rFonts w:hint="eastAsia" w:asciiTheme="majorEastAsia" w:hAnsiTheme="majorEastAsia" w:eastAsiaTheme="majorEastAsia" w:cstheme="majorEastAsia"/>
          <w:snapToGrid w:val="0"/>
          <w:spacing w:val="10"/>
          <w:kern w:val="0"/>
          <w:szCs w:val="21"/>
        </w:rPr>
        <w:t>和备品、备件、</w:t>
      </w:r>
      <w:r>
        <w:rPr>
          <w:rFonts w:hint="eastAsia" w:asciiTheme="majorEastAsia" w:hAnsiTheme="majorEastAsia" w:eastAsiaTheme="majorEastAsia" w:cstheme="majorEastAsia"/>
          <w:snapToGrid w:val="0"/>
          <w:spacing w:val="9"/>
          <w:kern w:val="0"/>
          <w:szCs w:val="21"/>
        </w:rPr>
        <w:t>合格证明、医疗器械注册证及医疗器械登记表（如有）、生产许可证、经营许可证复印</w:t>
      </w:r>
      <w:r>
        <w:rPr>
          <w:rFonts w:hint="eastAsia" w:asciiTheme="majorEastAsia" w:hAnsiTheme="majorEastAsia" w:eastAsiaTheme="majorEastAsia" w:cstheme="majorEastAsia"/>
          <w:snapToGrid w:val="0"/>
          <w:spacing w:val="8"/>
          <w:kern w:val="0"/>
          <w:szCs w:val="21"/>
        </w:rPr>
        <w:t>件加盖公章交付</w:t>
      </w:r>
      <w:r>
        <w:rPr>
          <w:rFonts w:hint="eastAsia" w:asciiTheme="majorEastAsia" w:hAnsiTheme="majorEastAsia" w:eastAsiaTheme="majorEastAsia" w:cstheme="majorEastAsia"/>
          <w:snapToGrid w:val="0"/>
          <w:spacing w:val="9"/>
          <w:kern w:val="0"/>
          <w:szCs w:val="21"/>
        </w:rPr>
        <w:t>给甲方（或验收小组）,并列出清单,作为甲方（或验收小组）收货验收</w:t>
      </w:r>
      <w:r>
        <w:rPr>
          <w:rFonts w:hint="eastAsia" w:asciiTheme="majorEastAsia" w:hAnsiTheme="majorEastAsia" w:eastAsiaTheme="majorEastAsia" w:cstheme="majorEastAsia"/>
          <w:snapToGrid w:val="0"/>
          <w:spacing w:val="8"/>
          <w:kern w:val="0"/>
          <w:szCs w:val="21"/>
        </w:rPr>
        <w:t>和使用的技术条件依据，检验的</w:t>
      </w:r>
      <w:r>
        <w:rPr>
          <w:rFonts w:hint="eastAsia" w:asciiTheme="majorEastAsia" w:hAnsiTheme="majorEastAsia" w:eastAsiaTheme="majorEastAsia" w:cstheme="majorEastAsia"/>
          <w:snapToGrid w:val="0"/>
          <w:spacing w:val="9"/>
          <w:kern w:val="0"/>
          <w:szCs w:val="21"/>
        </w:rPr>
        <w:t>结果应随货物交甲方（或验收小组）。如有缺失应及时补齐，否则视为逾期交货。</w:t>
      </w:r>
    </w:p>
    <w:p w14:paraId="1DBB955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6.3、乙方应按投标文件要求提供设备纸质版或电子版的操作规程和维护保养流</w:t>
      </w:r>
      <w:r>
        <w:rPr>
          <w:rFonts w:hint="eastAsia" w:asciiTheme="majorEastAsia" w:hAnsiTheme="majorEastAsia" w:eastAsiaTheme="majorEastAsia" w:cstheme="majorEastAsia"/>
          <w:snapToGrid w:val="0"/>
          <w:spacing w:val="10"/>
          <w:kern w:val="0"/>
          <w:szCs w:val="21"/>
        </w:rPr>
        <w:t>程。提供设备维护</w:t>
      </w:r>
      <w:r>
        <w:rPr>
          <w:rFonts w:hint="eastAsia" w:asciiTheme="majorEastAsia" w:hAnsiTheme="majorEastAsia" w:eastAsiaTheme="majorEastAsia" w:cstheme="majorEastAsia"/>
          <w:snapToGrid w:val="0"/>
          <w:spacing w:val="9"/>
          <w:kern w:val="0"/>
          <w:szCs w:val="21"/>
        </w:rPr>
        <w:t>手册、维修手册、软件备份、故障代码表、备件清单、零部件、维修密码、软件光盘及</w:t>
      </w:r>
      <w:r>
        <w:rPr>
          <w:rFonts w:hint="eastAsia" w:asciiTheme="majorEastAsia" w:hAnsiTheme="majorEastAsia" w:eastAsiaTheme="majorEastAsia" w:cstheme="majorEastAsia"/>
          <w:snapToGrid w:val="0"/>
          <w:spacing w:val="8"/>
          <w:kern w:val="0"/>
          <w:szCs w:val="21"/>
        </w:rPr>
        <w:t>软件安装流程等维护维修必需的材料和信息。</w:t>
      </w:r>
    </w:p>
    <w:p w14:paraId="44A096B1">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6.4、甲方（或验收小组）应当在收到货并收到乙方验收申请之日起5个工作</w:t>
      </w:r>
      <w:r>
        <w:rPr>
          <w:rFonts w:hint="eastAsia" w:asciiTheme="majorEastAsia" w:hAnsiTheme="majorEastAsia" w:eastAsiaTheme="majorEastAsia" w:cstheme="majorEastAsia"/>
          <w:snapToGrid w:val="0"/>
          <w:spacing w:val="7"/>
          <w:kern w:val="0"/>
          <w:szCs w:val="21"/>
        </w:rPr>
        <w:t>日内进行初步验收，无正当理由逾期不验收的，乙方可视同</w:t>
      </w:r>
      <w:r>
        <w:rPr>
          <w:rFonts w:hint="eastAsia" w:asciiTheme="majorEastAsia" w:hAnsiTheme="majorEastAsia" w:eastAsiaTheme="majorEastAsia" w:cstheme="majorEastAsia"/>
          <w:snapToGrid w:val="0"/>
          <w:spacing w:val="9"/>
          <w:kern w:val="0"/>
          <w:szCs w:val="21"/>
        </w:rPr>
        <w:t>初步验收合格。初步验收合格后由甲乙双方签署货物初步验收单并加盖采购单位公章，甲乙双方</w:t>
      </w:r>
      <w:r>
        <w:rPr>
          <w:rFonts w:hint="eastAsia" w:asciiTheme="majorEastAsia" w:hAnsiTheme="majorEastAsia" w:eastAsiaTheme="majorEastAsia" w:cstheme="majorEastAsia"/>
          <w:snapToGrid w:val="0"/>
          <w:spacing w:val="8"/>
          <w:kern w:val="0"/>
          <w:szCs w:val="21"/>
        </w:rPr>
        <w:t>各执一</w:t>
      </w:r>
      <w:r>
        <w:rPr>
          <w:rFonts w:hint="eastAsia" w:asciiTheme="majorEastAsia" w:hAnsiTheme="majorEastAsia" w:eastAsiaTheme="majorEastAsia" w:cstheme="majorEastAsia"/>
          <w:snapToGrid w:val="0"/>
          <w:kern w:val="0"/>
          <w:szCs w:val="21"/>
        </w:rPr>
        <w:t>份。</w:t>
      </w:r>
    </w:p>
    <w:p w14:paraId="5787BF83">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7、最终（安装后）验收：</w:t>
      </w:r>
    </w:p>
    <w:p w14:paraId="0A17470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7.1、初步验收合格并安装完成后，甲方对乙方提供的货物在使用运行前</w:t>
      </w:r>
      <w:r>
        <w:rPr>
          <w:rFonts w:hint="eastAsia" w:asciiTheme="majorEastAsia" w:hAnsiTheme="majorEastAsia" w:eastAsiaTheme="majorEastAsia" w:cstheme="majorEastAsia"/>
          <w:snapToGrid w:val="0"/>
          <w:spacing w:val="9"/>
          <w:kern w:val="0"/>
          <w:szCs w:val="21"/>
        </w:rPr>
        <w:t>进行调试时，乙方需负责</w:t>
      </w:r>
      <w:r>
        <w:rPr>
          <w:rFonts w:hint="eastAsia" w:asciiTheme="majorEastAsia" w:hAnsiTheme="majorEastAsia" w:eastAsiaTheme="majorEastAsia" w:cstheme="majorEastAsia"/>
          <w:snapToGrid w:val="0"/>
          <w:spacing w:val="4"/>
          <w:kern w:val="0"/>
          <w:szCs w:val="21"/>
        </w:rPr>
        <w:t>培训甲方的使用操作人员，并协助甲方一起调试，直到符合技术要求，甲方（或验收小组）开展最终（安</w:t>
      </w:r>
      <w:r>
        <w:rPr>
          <w:rFonts w:hint="eastAsia" w:asciiTheme="majorEastAsia" w:hAnsiTheme="majorEastAsia" w:eastAsiaTheme="majorEastAsia" w:cstheme="majorEastAsia"/>
          <w:snapToGrid w:val="0"/>
          <w:spacing w:val="7"/>
          <w:kern w:val="0"/>
          <w:szCs w:val="21"/>
        </w:rPr>
        <w:t>装后）验收活动。</w:t>
      </w:r>
    </w:p>
    <w:p w14:paraId="7313551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7.2、由甲方（或验收小组）进行最终（安装后）验收，验收内容包括采购项目</w:t>
      </w:r>
      <w:r>
        <w:rPr>
          <w:rFonts w:hint="eastAsia" w:asciiTheme="majorEastAsia" w:hAnsiTheme="majorEastAsia" w:eastAsiaTheme="majorEastAsia" w:cstheme="majorEastAsia"/>
          <w:snapToGrid w:val="0"/>
          <w:spacing w:val="9"/>
          <w:kern w:val="0"/>
          <w:szCs w:val="21"/>
        </w:rPr>
        <w:t>的每一项技术要求和商务要求（含乙方投标文件响应的技术和商务内容）、合同与补充合同的约定，并按照招</w:t>
      </w:r>
      <w:r>
        <w:rPr>
          <w:rFonts w:hint="eastAsia" w:asciiTheme="majorEastAsia" w:hAnsiTheme="majorEastAsia" w:eastAsiaTheme="majorEastAsia" w:cstheme="majorEastAsia"/>
          <w:snapToGrid w:val="0"/>
          <w:spacing w:val="8"/>
          <w:kern w:val="0"/>
          <w:szCs w:val="21"/>
        </w:rPr>
        <w:t>标文件（及</w:t>
      </w:r>
      <w:r>
        <w:rPr>
          <w:rFonts w:hint="eastAsia" w:asciiTheme="majorEastAsia" w:hAnsiTheme="majorEastAsia" w:eastAsiaTheme="majorEastAsia" w:cstheme="majorEastAsia"/>
          <w:snapToGrid w:val="0"/>
          <w:spacing w:val="9"/>
          <w:kern w:val="0"/>
          <w:szCs w:val="21"/>
        </w:rPr>
        <w:t>乙方投标（响应）文件）上的技术规格要求和国家有关质量标准验收。</w:t>
      </w:r>
    </w:p>
    <w:p w14:paraId="77F2CF8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7.3、验收时乙方必须在现场，验收结束后，应当出具验收报告，列明各</w:t>
      </w:r>
      <w:r>
        <w:rPr>
          <w:rFonts w:hint="eastAsia" w:asciiTheme="majorEastAsia" w:hAnsiTheme="majorEastAsia" w:eastAsiaTheme="majorEastAsia" w:cstheme="majorEastAsia"/>
          <w:snapToGrid w:val="0"/>
          <w:spacing w:val="10"/>
          <w:kern w:val="0"/>
          <w:szCs w:val="21"/>
        </w:rPr>
        <w:t>项标准的验收情况及项目</w:t>
      </w:r>
      <w:r>
        <w:rPr>
          <w:rFonts w:hint="eastAsia" w:asciiTheme="majorEastAsia" w:hAnsiTheme="majorEastAsia" w:eastAsiaTheme="majorEastAsia" w:cstheme="majorEastAsia"/>
          <w:snapToGrid w:val="0"/>
          <w:spacing w:val="8"/>
          <w:kern w:val="0"/>
          <w:szCs w:val="21"/>
        </w:rPr>
        <w:t>总体评价，由验收各方共同签署。对不符合要求或有质量问题的货物视为最终(安装后)验收不合格的，</w:t>
      </w:r>
      <w:r>
        <w:rPr>
          <w:rFonts w:hint="eastAsia" w:asciiTheme="majorEastAsia" w:hAnsiTheme="majorEastAsia" w:eastAsiaTheme="majorEastAsia" w:cstheme="majorEastAsia"/>
          <w:snapToGrid w:val="0"/>
          <w:spacing w:val="9"/>
          <w:kern w:val="0"/>
          <w:szCs w:val="21"/>
        </w:rPr>
        <w:t>可立即要求退换，乙方不得拒绝和延误。验收费用由乙方负责。</w:t>
      </w:r>
    </w:p>
    <w:p w14:paraId="7427290E">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8、甲方对验收有异议的，在验收后五个工作日内以书面形式向乙方提出，乙方应自收到甲方书面</w:t>
      </w:r>
      <w:r>
        <w:rPr>
          <w:rFonts w:hint="eastAsia" w:asciiTheme="majorEastAsia" w:hAnsiTheme="majorEastAsia" w:eastAsiaTheme="majorEastAsia" w:cstheme="majorEastAsia"/>
          <w:snapToGrid w:val="0"/>
          <w:spacing w:val="8"/>
          <w:kern w:val="0"/>
          <w:szCs w:val="21"/>
        </w:rPr>
        <w:t>异议后五个工作日内及时予以解决。</w:t>
      </w:r>
    </w:p>
    <w:p w14:paraId="23DFAFC9">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9、负责完成设备的控评和验收报告，负责配合采购人完成设备办证工作。如属于计量器具或</w:t>
      </w:r>
      <w:r>
        <w:rPr>
          <w:rFonts w:hint="eastAsia" w:asciiTheme="majorEastAsia" w:hAnsiTheme="majorEastAsia" w:eastAsiaTheme="majorEastAsia" w:cstheme="majorEastAsia"/>
          <w:snapToGrid w:val="0"/>
          <w:spacing w:val="9"/>
          <w:kern w:val="0"/>
          <w:szCs w:val="21"/>
        </w:rPr>
        <w:t>特种设备的，还需按国家相关要求提供合格检定证书或校准证书（或检验报告）。如设备安装</w:t>
      </w:r>
      <w:r>
        <w:rPr>
          <w:rFonts w:hint="eastAsia" w:asciiTheme="majorEastAsia" w:hAnsiTheme="majorEastAsia" w:eastAsiaTheme="majorEastAsia" w:cstheme="majorEastAsia"/>
          <w:snapToGrid w:val="0"/>
          <w:spacing w:val="8"/>
          <w:kern w:val="0"/>
          <w:szCs w:val="21"/>
        </w:rPr>
        <w:t>场地需技</w:t>
      </w:r>
      <w:r>
        <w:rPr>
          <w:rFonts w:hint="eastAsia" w:asciiTheme="majorEastAsia" w:hAnsiTheme="majorEastAsia" w:eastAsiaTheme="majorEastAsia" w:cstheme="majorEastAsia"/>
          <w:snapToGrid w:val="0"/>
          <w:spacing w:val="9"/>
          <w:kern w:val="0"/>
          <w:szCs w:val="21"/>
        </w:rPr>
        <w:t>术安装改造的，乙方应负责安装改造至设备正式投入使用。</w:t>
      </w:r>
    </w:p>
    <w:p w14:paraId="75E16E7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w:t>
      </w:r>
      <w:r>
        <w:rPr>
          <w:rFonts w:hint="eastAsia" w:asciiTheme="majorEastAsia" w:hAnsiTheme="majorEastAsia" w:eastAsiaTheme="majorEastAsia" w:cstheme="majorEastAsia"/>
          <w:snapToGrid w:val="0"/>
          <w:spacing w:val="8"/>
          <w:kern w:val="0"/>
          <w:szCs w:val="21"/>
          <w:lang w:val="en-US" w:eastAsia="zh-CN"/>
        </w:rPr>
        <w:t>0</w:t>
      </w:r>
      <w:r>
        <w:rPr>
          <w:rFonts w:hint="eastAsia" w:asciiTheme="majorEastAsia" w:hAnsiTheme="majorEastAsia" w:eastAsiaTheme="majorEastAsia" w:cstheme="majorEastAsia"/>
          <w:snapToGrid w:val="0"/>
          <w:spacing w:val="8"/>
          <w:kern w:val="0"/>
          <w:szCs w:val="21"/>
        </w:rPr>
        <w:t>、在验收过程中发现乙方有违约问题，可暂缓资金结算，待违约问题解决后，方可办理资金结算事宜。因乙方违约导致甲方迟延付款的，甲方不承担逾期付款违约责任。</w:t>
      </w:r>
    </w:p>
    <w:p w14:paraId="1A70C905">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第六条  安装和培训</w:t>
      </w:r>
    </w:p>
    <w:p w14:paraId="03AF7891">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1、甲方应提供必要安装条件（如场地、电源、水源等）。</w:t>
      </w:r>
    </w:p>
    <w:p w14:paraId="1243610A">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2、乙方负责甲方有关人员的培训。培训时间、地点：按甲方规定的时间和地点。</w:t>
      </w:r>
    </w:p>
    <w:p w14:paraId="6929A0C9">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第七条  售后服务、保修期</w:t>
      </w:r>
    </w:p>
    <w:p w14:paraId="26B21151">
      <w:pPr>
        <w:widowControl/>
        <w:autoSpaceDE w:val="0"/>
        <w:autoSpaceDN w:val="0"/>
        <w:adjustRightInd w:val="0"/>
        <w:snapToGrid w:val="0"/>
        <w:spacing w:line="360" w:lineRule="auto"/>
        <w:ind w:firstLine="456"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1、乙方应按照国家有关法律法规和“三包”规定以及招标文件和本合同所附的《服务承诺》，为甲方提供售后服务。国家法律法规、规章、规范性文件或相关技术标准、规范有更长质保期</w:t>
      </w:r>
      <w:r>
        <w:rPr>
          <w:rFonts w:hint="eastAsia" w:asciiTheme="majorEastAsia" w:hAnsiTheme="majorEastAsia" w:eastAsiaTheme="majorEastAsia" w:cstheme="majorEastAsia"/>
          <w:snapToGrid w:val="0"/>
          <w:spacing w:val="8"/>
          <w:kern w:val="0"/>
          <w:szCs w:val="21"/>
        </w:rPr>
        <w:t>规定的，从</w:t>
      </w:r>
      <w:r>
        <w:rPr>
          <w:rFonts w:hint="eastAsia" w:asciiTheme="majorEastAsia" w:hAnsiTheme="majorEastAsia" w:eastAsiaTheme="majorEastAsia" w:cstheme="majorEastAsia"/>
          <w:snapToGrid w:val="0"/>
          <w:spacing w:val="4"/>
          <w:kern w:val="0"/>
          <w:szCs w:val="21"/>
        </w:rPr>
        <w:t>其规定。</w:t>
      </w:r>
    </w:p>
    <w:p w14:paraId="62B6FF8E">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2、如在使用过程中发生质量问题，乙方在接到甲方通知后在【 】小时内到达甲方现场处理。</w:t>
      </w:r>
    </w:p>
    <w:p w14:paraId="26FC28D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3、在质保期内，乙方应对货物出现的质量及安全问题负责处理解决并承担一切费用。</w:t>
      </w:r>
    </w:p>
    <w:p w14:paraId="57A8B2E3">
      <w:pPr>
        <w:widowControl/>
        <w:autoSpaceDE w:val="0"/>
        <w:autoSpaceDN w:val="0"/>
        <w:adjustRightInd w:val="0"/>
        <w:snapToGrid w:val="0"/>
        <w:spacing w:line="360" w:lineRule="auto"/>
        <w:ind w:firstLine="460"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4、上述的货物质保期，按投标文件关于质保期的内容执行，负责保修包含</w:t>
      </w:r>
      <w:r>
        <w:rPr>
          <w:rFonts w:hint="eastAsia" w:asciiTheme="majorEastAsia" w:hAnsiTheme="majorEastAsia" w:eastAsiaTheme="majorEastAsia" w:cstheme="majorEastAsia"/>
          <w:snapToGrid w:val="0"/>
          <w:spacing w:val="9"/>
          <w:kern w:val="0"/>
          <w:szCs w:val="21"/>
        </w:rPr>
        <w:t>需要更换的零配件的费用。因人为故意或重大过失因素出现的故障不在保修范围内。超过保修期的</w:t>
      </w:r>
      <w:r>
        <w:rPr>
          <w:rFonts w:hint="eastAsia" w:asciiTheme="majorEastAsia" w:hAnsiTheme="majorEastAsia" w:eastAsiaTheme="majorEastAsia" w:cstheme="majorEastAsia"/>
          <w:snapToGrid w:val="0"/>
          <w:spacing w:val="8"/>
          <w:kern w:val="0"/>
          <w:szCs w:val="21"/>
        </w:rPr>
        <w:t>机器设备，终生</w:t>
      </w:r>
      <w:r>
        <w:rPr>
          <w:rFonts w:hint="eastAsia" w:asciiTheme="majorEastAsia" w:hAnsiTheme="majorEastAsia" w:eastAsiaTheme="majorEastAsia" w:cstheme="majorEastAsia"/>
          <w:snapToGrid w:val="0"/>
          <w:spacing w:val="9"/>
          <w:kern w:val="0"/>
          <w:szCs w:val="21"/>
        </w:rPr>
        <w:t>维修，维修时只收部件成本费。若保修期届满仍存在未解决的技术问题、未完成的任务</w:t>
      </w:r>
      <w:r>
        <w:rPr>
          <w:rFonts w:hint="eastAsia" w:asciiTheme="majorEastAsia" w:hAnsiTheme="majorEastAsia" w:eastAsiaTheme="majorEastAsia" w:cstheme="majorEastAsia"/>
          <w:snapToGrid w:val="0"/>
          <w:spacing w:val="8"/>
          <w:kern w:val="0"/>
          <w:szCs w:val="21"/>
        </w:rPr>
        <w:t>，乙方应当按照</w:t>
      </w:r>
      <w:r>
        <w:rPr>
          <w:rFonts w:hint="eastAsia" w:asciiTheme="majorEastAsia" w:hAnsiTheme="majorEastAsia" w:eastAsiaTheme="majorEastAsia" w:cstheme="majorEastAsia"/>
          <w:snapToGrid w:val="0"/>
          <w:spacing w:val="9"/>
          <w:kern w:val="0"/>
          <w:szCs w:val="21"/>
        </w:rPr>
        <w:t>合同约定继续履行至问题解决、任务完成为</w:t>
      </w:r>
      <w:r>
        <w:rPr>
          <w:rFonts w:hint="eastAsia" w:asciiTheme="majorEastAsia" w:hAnsiTheme="majorEastAsia" w:eastAsiaTheme="majorEastAsia" w:cstheme="majorEastAsia"/>
          <w:snapToGrid w:val="0"/>
          <w:spacing w:val="8"/>
          <w:kern w:val="0"/>
          <w:szCs w:val="21"/>
        </w:rPr>
        <w:t>止。</w:t>
      </w:r>
    </w:p>
    <w:p w14:paraId="300852D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5、乙方提供的服务承诺和售后服务及保修期责任等其它具体约定事项。（乙方提供的投标（响应或澄清）文件）</w:t>
      </w:r>
    </w:p>
    <w:p w14:paraId="282F8646">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第八条  付款条件</w:t>
      </w:r>
    </w:p>
    <w:p w14:paraId="68495600">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1、付款方式：以银行转账形式汇款到乙</w:t>
      </w:r>
      <w:r>
        <w:rPr>
          <w:rFonts w:hint="eastAsia" w:asciiTheme="majorEastAsia" w:hAnsiTheme="majorEastAsia" w:eastAsiaTheme="majorEastAsia" w:cstheme="majorEastAsia"/>
          <w:snapToGrid w:val="0"/>
          <w:spacing w:val="6"/>
          <w:kern w:val="0"/>
          <w:szCs w:val="21"/>
        </w:rPr>
        <w:t>方银行账户。</w:t>
      </w:r>
    </w:p>
    <w:p w14:paraId="386F5462">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2、付款条件：双方签订合同后，乙方在采购人指定地点交货、安装、调试，经甲方验收合格后，支付至合同总价款的50%；验收合格后一年内，甲方支付至合同总金额的100%。</w:t>
      </w:r>
    </w:p>
    <w:p w14:paraId="680178A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注：乙方商应在采购人付款前，向甲方提供相应金额增值税发票，甲方自收到发票后10个工作日内将资金支付到合同约定的乙方账户。</w:t>
      </w:r>
    </w:p>
    <w:p w14:paraId="66DED262">
      <w:pPr>
        <w:widowControl/>
        <w:autoSpaceDE w:val="0"/>
        <w:autoSpaceDN w:val="0"/>
        <w:adjustRightInd w:val="0"/>
        <w:snapToGrid w:val="0"/>
        <w:spacing w:line="360" w:lineRule="auto"/>
        <w:ind w:firstLine="450"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7"/>
          <w:kern w:val="0"/>
          <w:szCs w:val="21"/>
        </w:rPr>
        <w:t>第九条  税费</w:t>
      </w:r>
    </w:p>
    <w:p w14:paraId="3309797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本合同执行中相关的一切税费均由乙方负担。</w:t>
      </w:r>
    </w:p>
    <w:p w14:paraId="0A55F9EC">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第十条  质量保证</w:t>
      </w:r>
    </w:p>
    <w:p w14:paraId="6D96016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乙方应按招标文件规定的货物性能、技术要求、质量标准向甲方提供未经使用的全新产品。不符合</w:t>
      </w:r>
      <w:r>
        <w:rPr>
          <w:rFonts w:hint="eastAsia" w:asciiTheme="majorEastAsia" w:hAnsiTheme="majorEastAsia" w:eastAsiaTheme="majorEastAsia" w:cstheme="majorEastAsia"/>
          <w:snapToGrid w:val="0"/>
          <w:spacing w:val="9"/>
          <w:kern w:val="0"/>
          <w:szCs w:val="21"/>
        </w:rPr>
        <w:t>要求者，根据实际情况，经双方协商，可按以下办法处理：</w:t>
      </w:r>
    </w:p>
    <w:p w14:paraId="1757089D">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6"/>
          <w:kern w:val="0"/>
          <w:szCs w:val="21"/>
        </w:rPr>
        <w:t>（1）更换：由乙方承担所发生的全部费用。</w:t>
      </w:r>
    </w:p>
    <w:p w14:paraId="656810D1">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（2）退货处理：乙方应退还甲方支付的合同款，同时应承担甲方的全部损失费用(包括但不限于该货</w:t>
      </w:r>
      <w:r>
        <w:rPr>
          <w:rFonts w:hint="eastAsia" w:asciiTheme="majorEastAsia" w:hAnsiTheme="majorEastAsia" w:eastAsiaTheme="majorEastAsia" w:cstheme="majorEastAsia"/>
          <w:snapToGrid w:val="0"/>
          <w:spacing w:val="11"/>
          <w:kern w:val="0"/>
          <w:szCs w:val="21"/>
        </w:rPr>
        <w:t>物的运输、装卸、保险、检验、货款利息及银行手续费以及诉讼费、鉴定费、评估费、保全费、保险</w:t>
      </w:r>
      <w:r>
        <w:rPr>
          <w:rFonts w:hint="eastAsia" w:asciiTheme="majorEastAsia" w:hAnsiTheme="majorEastAsia" w:eastAsiaTheme="majorEastAsia" w:cstheme="majorEastAsia"/>
          <w:snapToGrid w:val="0"/>
          <w:spacing w:val="9"/>
          <w:kern w:val="0"/>
          <w:szCs w:val="21"/>
        </w:rPr>
        <w:t>费、律师费、差旅费等；全文同此)。如发生前述情况，甲方有权解除</w:t>
      </w:r>
      <w:r>
        <w:rPr>
          <w:rFonts w:hint="eastAsia" w:asciiTheme="majorEastAsia" w:hAnsiTheme="majorEastAsia" w:eastAsiaTheme="majorEastAsia" w:cstheme="majorEastAsia"/>
          <w:snapToGrid w:val="0"/>
          <w:spacing w:val="8"/>
          <w:kern w:val="0"/>
          <w:szCs w:val="21"/>
        </w:rPr>
        <w:t>本合同，并向财政部门(政府采购</w:t>
      </w:r>
      <w:r>
        <w:rPr>
          <w:rFonts w:hint="eastAsia" w:asciiTheme="majorEastAsia" w:hAnsiTheme="majorEastAsia" w:eastAsiaTheme="majorEastAsia" w:cstheme="majorEastAsia"/>
          <w:snapToGrid w:val="0"/>
          <w:spacing w:val="7"/>
          <w:kern w:val="0"/>
          <w:szCs w:val="21"/>
        </w:rPr>
        <w:t>监管部门)备案处理。</w:t>
      </w:r>
    </w:p>
    <w:p w14:paraId="7387E30B">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第十一条  违约责任</w:t>
      </w:r>
    </w:p>
    <w:p w14:paraId="7A978EDD">
      <w:pPr>
        <w:widowControl/>
        <w:snapToGrid w:val="0"/>
        <w:spacing w:line="440" w:lineRule="exact"/>
        <w:ind w:firstLine="464"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w:t>
      </w:r>
      <w:r>
        <w:rPr>
          <w:rFonts w:hint="eastAsia" w:asciiTheme="majorEastAsia" w:hAnsiTheme="majorEastAsia" w:eastAsiaTheme="majorEastAsia" w:cstheme="majorEastAsia"/>
          <w:snapToGrid w:val="0"/>
          <w:spacing w:val="9"/>
          <w:kern w:val="0"/>
          <w:szCs w:val="21"/>
        </w:rPr>
        <w:t>乙方所提供的货物规格、技术标准、材料等质量不合格的，或提供的货物名称、商标品牌、生产厂家、规格型号、技术参数等相关内容未满足甲方招标文件要求的（或与乙方投标（响应）文件及有关响应（承诺）不一致的），或不能满足甲方项目实施要求的，应及时更换，更换不及时的按逾期交货处罚；乙方拒绝更换或逾期更换超过【  】日或经更换仍存在前述相关问题的，视为乙方不具备履约能力，甲方有权单方通知乙方解除合同，并按照本条第4款处理。因上述质量问题甲方不同意接收的或特殊情况甲方同意接收的，乙方应向甲方支付违约货款额5%违约金并赔偿甲方经济损失。</w:t>
      </w:r>
    </w:p>
    <w:p w14:paraId="0F8DA757">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2、乙方提供的货物如侵犯了第三方合法权益而引发的</w:t>
      </w:r>
      <w:r>
        <w:rPr>
          <w:rFonts w:hint="eastAsia" w:asciiTheme="majorEastAsia" w:hAnsiTheme="majorEastAsia" w:eastAsiaTheme="majorEastAsia" w:cstheme="majorEastAsia"/>
          <w:snapToGrid w:val="0"/>
          <w:spacing w:val="10"/>
          <w:kern w:val="0"/>
          <w:szCs w:val="21"/>
        </w:rPr>
        <w:t>任何纠纷或诉讼，均由乙方负责交涉并承担</w:t>
      </w:r>
      <w:r>
        <w:rPr>
          <w:rFonts w:hint="eastAsia" w:asciiTheme="majorEastAsia" w:hAnsiTheme="majorEastAsia" w:eastAsiaTheme="majorEastAsia" w:cstheme="majorEastAsia"/>
          <w:snapToGrid w:val="0"/>
          <w:spacing w:val="9"/>
          <w:kern w:val="0"/>
          <w:szCs w:val="21"/>
        </w:rPr>
        <w:t>全部责任。若甲方收到任何第三方有关权益的主</w:t>
      </w:r>
      <w:r>
        <w:rPr>
          <w:rFonts w:hint="eastAsia" w:asciiTheme="majorEastAsia" w:hAnsiTheme="majorEastAsia" w:eastAsiaTheme="majorEastAsia" w:cstheme="majorEastAsia"/>
          <w:snapToGrid w:val="0"/>
          <w:spacing w:val="8"/>
          <w:kern w:val="0"/>
          <w:szCs w:val="21"/>
        </w:rPr>
        <w:t>张、索赔或诉讼，乙方应在收到甲方通知后，以甲方名</w:t>
      </w:r>
      <w:r>
        <w:rPr>
          <w:rFonts w:hint="eastAsia" w:asciiTheme="majorEastAsia" w:hAnsiTheme="majorEastAsia" w:eastAsiaTheme="majorEastAsia" w:cstheme="majorEastAsia"/>
          <w:snapToGrid w:val="0"/>
          <w:spacing w:val="6"/>
          <w:kern w:val="0"/>
          <w:szCs w:val="21"/>
        </w:rPr>
        <w:t>义并在甲方的协助下，自负费用处理与第三方的索赔或诉讼，并赔偿甲方因此发生的费用</w:t>
      </w:r>
      <w:r>
        <w:rPr>
          <w:rFonts w:hint="eastAsia" w:asciiTheme="majorEastAsia" w:hAnsiTheme="majorEastAsia" w:eastAsiaTheme="majorEastAsia" w:cstheme="majorEastAsia"/>
          <w:snapToGrid w:val="0"/>
          <w:spacing w:val="5"/>
          <w:kern w:val="0"/>
          <w:szCs w:val="21"/>
        </w:rPr>
        <w:t>和遭受的损失。</w:t>
      </w:r>
      <w:r>
        <w:rPr>
          <w:rFonts w:hint="eastAsia" w:asciiTheme="majorEastAsia" w:hAnsiTheme="majorEastAsia" w:eastAsiaTheme="majorEastAsia" w:cstheme="majorEastAsia"/>
          <w:snapToGrid w:val="0"/>
          <w:spacing w:val="7"/>
          <w:kern w:val="0"/>
          <w:szCs w:val="21"/>
        </w:rPr>
        <w:t>若乙方拒绝处理前述索赔或诉讼或在收到甲方通知后3日内未作表示，甲方可以自己的名义进</w:t>
      </w:r>
      <w:r>
        <w:rPr>
          <w:rFonts w:hint="eastAsia" w:asciiTheme="majorEastAsia" w:hAnsiTheme="majorEastAsia" w:eastAsiaTheme="majorEastAsia" w:cstheme="majorEastAsia"/>
          <w:snapToGrid w:val="0"/>
          <w:spacing w:val="6"/>
          <w:kern w:val="0"/>
          <w:szCs w:val="21"/>
        </w:rPr>
        <w:t>行这些索</w:t>
      </w:r>
      <w:r>
        <w:rPr>
          <w:rFonts w:hint="eastAsia" w:asciiTheme="majorEastAsia" w:hAnsiTheme="majorEastAsia" w:eastAsiaTheme="majorEastAsia" w:cstheme="majorEastAsia"/>
          <w:snapToGrid w:val="0"/>
          <w:spacing w:val="9"/>
          <w:kern w:val="0"/>
          <w:szCs w:val="21"/>
        </w:rPr>
        <w:t>赔或诉讼，因此发生的费用和甲方遭受的全部损失由乙方承担。</w:t>
      </w:r>
    </w:p>
    <w:p w14:paraId="60DB52D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3、因包装、运输引起的货物损坏，按质量不合</w:t>
      </w:r>
      <w:r>
        <w:rPr>
          <w:rFonts w:hint="eastAsia" w:asciiTheme="majorEastAsia" w:hAnsiTheme="majorEastAsia" w:eastAsiaTheme="majorEastAsia" w:cstheme="majorEastAsia"/>
          <w:snapToGrid w:val="0"/>
          <w:spacing w:val="8"/>
          <w:kern w:val="0"/>
          <w:szCs w:val="21"/>
        </w:rPr>
        <w:t>格处罚。</w:t>
      </w:r>
    </w:p>
    <w:p w14:paraId="3320C05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4、乙方未按本合同和投标文件中约定的服务承诺提供售后服务或未履行保修期责任等的，乙方应</w:t>
      </w:r>
      <w:r>
        <w:rPr>
          <w:rFonts w:hint="eastAsia" w:asciiTheme="majorEastAsia" w:hAnsiTheme="majorEastAsia" w:eastAsiaTheme="majorEastAsia" w:cstheme="majorEastAsia"/>
          <w:snapToGrid w:val="0"/>
          <w:spacing w:val="10"/>
          <w:kern w:val="0"/>
          <w:szCs w:val="21"/>
        </w:rPr>
        <w:t>按本合同合计金额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10"/>
          <w:kern w:val="0"/>
          <w:szCs w:val="21"/>
        </w:rPr>
        <w:t>向甲方支付违约金。且甲方可在无需征求乙方意见的情况下自行委托第三方进</w:t>
      </w:r>
      <w:r>
        <w:rPr>
          <w:rFonts w:hint="eastAsia" w:asciiTheme="majorEastAsia" w:hAnsiTheme="majorEastAsia" w:eastAsiaTheme="majorEastAsia" w:cstheme="majorEastAsia"/>
          <w:snapToGrid w:val="0"/>
          <w:spacing w:val="9"/>
          <w:kern w:val="0"/>
          <w:szCs w:val="21"/>
        </w:rPr>
        <w:t>行维修，产生的费用在剩余款项中扣减，如剩余款项不足以扣减的由乙方另行承担。</w:t>
      </w:r>
    </w:p>
    <w:p w14:paraId="2A15EE27">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5、乙方提供的货物在质保期内，因设计、工艺或材料的缺陷和其它质量原因造成的问题，由乙方</w:t>
      </w:r>
      <w:r>
        <w:rPr>
          <w:rFonts w:hint="eastAsia" w:asciiTheme="majorEastAsia" w:hAnsiTheme="majorEastAsia" w:eastAsiaTheme="majorEastAsia" w:cstheme="majorEastAsia"/>
          <w:snapToGrid w:val="0"/>
          <w:spacing w:val="8"/>
          <w:kern w:val="0"/>
          <w:szCs w:val="21"/>
        </w:rPr>
        <w:t>负责，费用从合同款中扣除，不足另补。</w:t>
      </w:r>
    </w:p>
    <w:p w14:paraId="0E54D87D">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6、其它违约行为，违约方按合同总金额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8"/>
          <w:kern w:val="0"/>
          <w:szCs w:val="21"/>
        </w:rPr>
        <w:t>向守约方支付违约金并赔偿守约方经济损失。</w:t>
      </w:r>
    </w:p>
    <w:p w14:paraId="12DBF524">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第十二条  货物包装、发运及运输</w:t>
      </w:r>
    </w:p>
    <w:p w14:paraId="19276E69">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1、乙方应在货物发运前对其进行满足运输距离、防潮、防震、防锈和防破损装卸等要求包装，以</w:t>
      </w:r>
      <w:r>
        <w:rPr>
          <w:rFonts w:hint="eastAsia" w:asciiTheme="majorEastAsia" w:hAnsiTheme="majorEastAsia" w:eastAsiaTheme="majorEastAsia" w:cstheme="majorEastAsia"/>
          <w:snapToGrid w:val="0"/>
          <w:spacing w:val="8"/>
          <w:kern w:val="0"/>
          <w:szCs w:val="21"/>
        </w:rPr>
        <w:t>保证货物安全运达甲方指定地点。</w:t>
      </w:r>
    </w:p>
    <w:p w14:paraId="2685BFE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2、使用说明书、质量检验证明书、随配附件和工具以及清单一并附于货物内。</w:t>
      </w:r>
    </w:p>
    <w:p w14:paraId="3640505B">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3、乙方在货物发运手续办理完毕后二十四小时内或货到甲方四十八小时前通知</w:t>
      </w:r>
      <w:r>
        <w:rPr>
          <w:rFonts w:hint="eastAsia" w:asciiTheme="majorEastAsia" w:hAnsiTheme="majorEastAsia" w:eastAsiaTheme="majorEastAsia" w:cstheme="majorEastAsia"/>
          <w:snapToGrid w:val="0"/>
          <w:spacing w:val="7"/>
          <w:kern w:val="0"/>
          <w:szCs w:val="21"/>
        </w:rPr>
        <w:t>甲方，以准备接货。</w:t>
      </w:r>
    </w:p>
    <w:p w14:paraId="2672B021">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4、货物在交付甲方前发生的风险均由乙方负责。</w:t>
      </w:r>
    </w:p>
    <w:p w14:paraId="2F4DB932">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5、货物在规定的交付期限内由乙方送达甲方指定的地点并安装调试、验收合格</w:t>
      </w:r>
      <w:r>
        <w:rPr>
          <w:rFonts w:hint="eastAsia" w:asciiTheme="majorEastAsia" w:hAnsiTheme="majorEastAsia" w:eastAsiaTheme="majorEastAsia" w:cstheme="majorEastAsia"/>
          <w:snapToGrid w:val="0"/>
          <w:spacing w:val="7"/>
          <w:kern w:val="0"/>
          <w:szCs w:val="21"/>
        </w:rPr>
        <w:t>和培训才视为交付。</w:t>
      </w:r>
    </w:p>
    <w:p w14:paraId="75317C24">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第十三条  不可抗力事件处理</w:t>
      </w:r>
    </w:p>
    <w:p w14:paraId="2AB3D7B6">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1、在合同有效期内，任何一方因不可抗力事件导致不能履行合同，</w:t>
      </w:r>
      <w:r>
        <w:rPr>
          <w:rFonts w:hint="eastAsia" w:asciiTheme="majorEastAsia" w:hAnsiTheme="majorEastAsia" w:eastAsiaTheme="majorEastAsia" w:cstheme="majorEastAsia"/>
          <w:snapToGrid w:val="0"/>
          <w:spacing w:val="10"/>
          <w:kern w:val="0"/>
          <w:szCs w:val="21"/>
        </w:rPr>
        <w:t>则合同履行期可延长，其延长</w:t>
      </w:r>
      <w:r>
        <w:rPr>
          <w:rFonts w:hint="eastAsia" w:asciiTheme="majorEastAsia" w:hAnsiTheme="majorEastAsia" w:eastAsiaTheme="majorEastAsia" w:cstheme="majorEastAsia"/>
          <w:snapToGrid w:val="0"/>
          <w:spacing w:val="8"/>
          <w:kern w:val="0"/>
          <w:szCs w:val="21"/>
        </w:rPr>
        <w:t>期与不可抗力影响期相同。</w:t>
      </w:r>
    </w:p>
    <w:p w14:paraId="322F27F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2、不可抗力事件发生后，应立即通知对方，并寄送有关权威机构出具的证明。</w:t>
      </w:r>
    </w:p>
    <w:p w14:paraId="5F24852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3、不可抗力事件延续一百二十天以上，双方应通过友好协商，确定是否继续履行合同。</w:t>
      </w:r>
    </w:p>
    <w:p w14:paraId="1C3C560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第十四条  合同争议解决</w:t>
      </w:r>
    </w:p>
    <w:p w14:paraId="0F24CAE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1、因货物质量问题发生争议的，应邀请国家认可的质量检测机构对</w:t>
      </w:r>
      <w:r>
        <w:rPr>
          <w:rFonts w:hint="eastAsia" w:asciiTheme="majorEastAsia" w:hAnsiTheme="majorEastAsia" w:eastAsiaTheme="majorEastAsia" w:cstheme="majorEastAsia"/>
          <w:snapToGrid w:val="0"/>
          <w:spacing w:val="10"/>
          <w:kern w:val="0"/>
          <w:szCs w:val="21"/>
        </w:rPr>
        <w:t>货物质量进行鉴定。货物符合</w:t>
      </w:r>
      <w:r>
        <w:rPr>
          <w:rFonts w:hint="eastAsia" w:asciiTheme="majorEastAsia" w:hAnsiTheme="majorEastAsia" w:eastAsiaTheme="majorEastAsia" w:cstheme="majorEastAsia"/>
          <w:snapToGrid w:val="0"/>
          <w:spacing w:val="9"/>
          <w:kern w:val="0"/>
          <w:szCs w:val="21"/>
        </w:rPr>
        <w:t>标准的，鉴定费由甲方承担；货物不符合标准的，鉴定费由乙方承担。</w:t>
      </w:r>
    </w:p>
    <w:p w14:paraId="33AD66B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2、因履行本合同引起的或与本合同有关的争议，甲乙双方应首先通过友好协商解决，如果</w:t>
      </w:r>
      <w:r>
        <w:rPr>
          <w:rFonts w:hint="eastAsia" w:asciiTheme="majorEastAsia" w:hAnsiTheme="majorEastAsia" w:eastAsiaTheme="majorEastAsia" w:cstheme="majorEastAsia"/>
          <w:snapToGrid w:val="0"/>
          <w:spacing w:val="9"/>
          <w:kern w:val="0"/>
          <w:szCs w:val="21"/>
        </w:rPr>
        <w:t>协商不</w:t>
      </w:r>
      <w:r>
        <w:rPr>
          <w:rFonts w:hint="eastAsia" w:asciiTheme="majorEastAsia" w:hAnsiTheme="majorEastAsia" w:eastAsiaTheme="majorEastAsia" w:cstheme="majorEastAsia"/>
          <w:snapToGrid w:val="0"/>
          <w:spacing w:val="8"/>
          <w:kern w:val="0"/>
          <w:szCs w:val="21"/>
        </w:rPr>
        <w:t>能解决，可向甲方所在地人民法院提起诉讼。</w:t>
      </w:r>
    </w:p>
    <w:p w14:paraId="70DC3A07">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3、诉讼期间，本合同继续履行。</w:t>
      </w:r>
    </w:p>
    <w:p w14:paraId="7F121FFC">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第十五条  合同生效及其它</w:t>
      </w:r>
    </w:p>
    <w:p w14:paraId="1EA89279">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1、合同经双方法定代表人或授权代表签字并加盖单位公章后生效。</w:t>
      </w:r>
    </w:p>
    <w:p w14:paraId="111737E4">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2、合同执行中涉及采购资金和采购内容修改或补充的，须经财政部门审批，并签书面补充协议报</w:t>
      </w:r>
      <w:r>
        <w:rPr>
          <w:rFonts w:hint="eastAsia" w:asciiTheme="majorEastAsia" w:hAnsiTheme="majorEastAsia" w:eastAsiaTheme="majorEastAsia" w:cstheme="majorEastAsia"/>
          <w:snapToGrid w:val="0"/>
          <w:spacing w:val="9"/>
          <w:kern w:val="0"/>
          <w:szCs w:val="21"/>
        </w:rPr>
        <w:t>财政部门备案，方可作为主合同不可分割的一部分。</w:t>
      </w:r>
    </w:p>
    <w:p w14:paraId="307F822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3、本合同未尽事宜，遵照《中华人民共和国民法典》有关条</w:t>
      </w:r>
      <w:r>
        <w:rPr>
          <w:rFonts w:hint="eastAsia" w:asciiTheme="majorEastAsia" w:hAnsiTheme="majorEastAsia" w:eastAsiaTheme="majorEastAsia" w:cstheme="majorEastAsia"/>
          <w:snapToGrid w:val="0"/>
          <w:spacing w:val="8"/>
          <w:kern w:val="0"/>
          <w:szCs w:val="21"/>
        </w:rPr>
        <w:t>文执行。</w:t>
      </w:r>
    </w:p>
    <w:p w14:paraId="671D1BE7">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第十六条  合同的变更、终止与转让</w:t>
      </w:r>
    </w:p>
    <w:p w14:paraId="2208527C">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1、除《中华人民共和国政府采购法》第五十条规定的情形外，本</w:t>
      </w:r>
      <w:r>
        <w:rPr>
          <w:rFonts w:hint="eastAsia" w:asciiTheme="majorEastAsia" w:hAnsiTheme="majorEastAsia" w:eastAsiaTheme="majorEastAsia" w:cstheme="majorEastAsia"/>
          <w:snapToGrid w:val="0"/>
          <w:spacing w:val="9"/>
          <w:kern w:val="0"/>
          <w:szCs w:val="21"/>
        </w:rPr>
        <w:t>合同一经签订，甲乙双方不得擅</w:t>
      </w:r>
      <w:r>
        <w:rPr>
          <w:rFonts w:hint="eastAsia" w:asciiTheme="majorEastAsia" w:hAnsiTheme="majorEastAsia" w:eastAsiaTheme="majorEastAsia" w:cstheme="majorEastAsia"/>
          <w:snapToGrid w:val="0"/>
          <w:spacing w:val="4"/>
          <w:kern w:val="0"/>
          <w:szCs w:val="21"/>
        </w:rPr>
        <w:t>自变更、中止或终止。</w:t>
      </w:r>
    </w:p>
    <w:p w14:paraId="5BB4F222">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2、乙方不得擅自转让其应履行的合同义务。</w:t>
      </w:r>
    </w:p>
    <w:p w14:paraId="7F422FD3">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第十七条  签订本合同依据</w:t>
      </w:r>
    </w:p>
    <w:p w14:paraId="45220D20">
      <w:pPr>
        <w:widowControl/>
        <w:autoSpaceDE w:val="0"/>
        <w:autoSpaceDN w:val="0"/>
        <w:adjustRightInd w:val="0"/>
        <w:snapToGrid w:val="0"/>
        <w:spacing w:line="360" w:lineRule="auto"/>
        <w:ind w:firstLine="43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1、招标文件；</w:t>
      </w:r>
    </w:p>
    <w:p w14:paraId="160BD8C6">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position w:val="11"/>
          <w:szCs w:val="21"/>
        </w:rPr>
        <w:t>2、乙方提供的投标（响应或澄清）文件；</w:t>
      </w:r>
    </w:p>
    <w:p w14:paraId="42027366">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spacing w:val="5"/>
          <w:kern w:val="0"/>
          <w:szCs w:val="21"/>
        </w:rPr>
      </w:pPr>
      <w:r>
        <w:rPr>
          <w:rFonts w:hint="eastAsia" w:asciiTheme="majorEastAsia" w:hAnsiTheme="majorEastAsia" w:eastAsiaTheme="majorEastAsia" w:cstheme="majorEastAsia"/>
          <w:snapToGrid w:val="0"/>
          <w:spacing w:val="5"/>
          <w:kern w:val="0"/>
          <w:szCs w:val="21"/>
        </w:rPr>
        <w:t>3、承诺书；</w:t>
      </w:r>
    </w:p>
    <w:p w14:paraId="0EDC7FED">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4、中标或成交通知书。</w:t>
      </w:r>
    </w:p>
    <w:p w14:paraId="4BFFE5AF">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第十八条  合同份数与附件</w:t>
      </w:r>
    </w:p>
    <w:p w14:paraId="023275A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1、本合同一式伍份，具有同等法律效力，</w:t>
      </w:r>
      <w:r>
        <w:rPr>
          <w:rFonts w:hint="eastAsia" w:asciiTheme="majorEastAsia" w:hAnsiTheme="majorEastAsia" w:eastAsiaTheme="majorEastAsia" w:cstheme="majorEastAsia"/>
          <w:snapToGrid w:val="0"/>
          <w:spacing w:val="6"/>
          <w:kern w:val="0"/>
          <w:szCs w:val="21"/>
        </w:rPr>
        <w:t>甲乙双方各执两份</w:t>
      </w:r>
      <w:r>
        <w:rPr>
          <w:rFonts w:hint="eastAsia" w:asciiTheme="majorEastAsia" w:hAnsiTheme="majorEastAsia" w:eastAsiaTheme="majorEastAsia" w:cstheme="majorEastAsia"/>
          <w:snapToGrid w:val="0"/>
          <w:spacing w:val="10"/>
          <w:kern w:val="0"/>
          <w:szCs w:val="21"/>
        </w:rPr>
        <w:t>，采购代理机构执一</w:t>
      </w:r>
      <w:r>
        <w:rPr>
          <w:rFonts w:hint="eastAsia" w:asciiTheme="majorEastAsia" w:hAnsiTheme="majorEastAsia" w:eastAsiaTheme="majorEastAsia" w:cstheme="majorEastAsia"/>
          <w:snapToGrid w:val="0"/>
          <w:spacing w:val="6"/>
          <w:kern w:val="0"/>
          <w:szCs w:val="21"/>
        </w:rPr>
        <w:t>份（可根据需要另增加）。</w:t>
      </w:r>
    </w:p>
    <w:p w14:paraId="40CF1EC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2、本合同附件</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1）产品配置清单</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2）售后服务承</w:t>
      </w:r>
      <w:r>
        <w:rPr>
          <w:rFonts w:hint="eastAsia" w:asciiTheme="majorEastAsia" w:hAnsiTheme="majorEastAsia" w:eastAsiaTheme="majorEastAsia" w:cstheme="majorEastAsia"/>
          <w:snapToGrid w:val="0"/>
          <w:spacing w:val="10"/>
          <w:kern w:val="0"/>
          <w:szCs w:val="21"/>
        </w:rPr>
        <w:t>诺书。（具体</w:t>
      </w:r>
      <w:r>
        <w:rPr>
          <w:rFonts w:hint="eastAsia" w:asciiTheme="majorEastAsia" w:hAnsiTheme="majorEastAsia" w:eastAsiaTheme="majorEastAsia" w:cstheme="majorEastAsia"/>
          <w:snapToGrid w:val="0"/>
          <w:spacing w:val="11"/>
          <w:kern w:val="0"/>
          <w:szCs w:val="21"/>
        </w:rPr>
        <w:t>见供应商投标文件响应的内容）</w:t>
      </w:r>
    </w:p>
    <w:p w14:paraId="058C0CEA">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本合同落款处甲乙双方所留联系方式均为真实、合法、有效信息，作为双方通知、法院诉讼文书等送达地址；任何一方联系方式变更的，应在变更之日起2日内书面通知对方，否则因此导致的一切不利后果均由未尽到通知义务的一方承担；双方通知、法院诉讼文书等根据所留信息送达，一经发出，满3日均视为送达成功。</w:t>
      </w:r>
    </w:p>
    <w:tbl>
      <w:tblPr>
        <w:tblStyle w:val="112"/>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27D3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518" w:type="dxa"/>
          </w:tcPr>
          <w:p w14:paraId="0AAD4B34">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甲方（章）</w:t>
            </w:r>
          </w:p>
          <w:p w14:paraId="236E357E">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02C813B7">
            <w:pPr>
              <w:widowControl/>
              <w:autoSpaceDE w:val="0"/>
              <w:autoSpaceDN w:val="0"/>
              <w:adjustRightInd w:val="0"/>
              <w:snapToGrid w:val="0"/>
              <w:spacing w:line="360" w:lineRule="auto"/>
              <w:ind w:firstLine="2688" w:firstLineChars="14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c>
          <w:tcPr>
            <w:tcW w:w="4519" w:type="dxa"/>
          </w:tcPr>
          <w:p w14:paraId="257AE3E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乙方（章）</w:t>
            </w:r>
          </w:p>
          <w:p w14:paraId="69CB5D0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532ED70B">
            <w:pPr>
              <w:widowControl/>
              <w:autoSpaceDE w:val="0"/>
              <w:autoSpaceDN w:val="0"/>
              <w:adjustRightInd w:val="0"/>
              <w:snapToGrid w:val="0"/>
              <w:spacing w:line="360" w:lineRule="auto"/>
              <w:ind w:firstLine="2880" w:firstLineChars="15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r>
      <w:tr w14:paraId="086E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3903A30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c>
          <w:tcPr>
            <w:tcW w:w="4519" w:type="dxa"/>
          </w:tcPr>
          <w:p w14:paraId="38846106">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r>
      <w:tr w14:paraId="0ABC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785BB1C">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c>
          <w:tcPr>
            <w:tcW w:w="4519" w:type="dxa"/>
          </w:tcPr>
          <w:p w14:paraId="2D542A97">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r>
      <w:tr w14:paraId="2C4B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1F6FFC5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授权委托代理人：</w:t>
            </w:r>
          </w:p>
        </w:tc>
        <w:tc>
          <w:tcPr>
            <w:tcW w:w="4519" w:type="dxa"/>
          </w:tcPr>
          <w:p w14:paraId="3A3A491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授权委托代理人</w:t>
            </w:r>
          </w:p>
        </w:tc>
      </w:tr>
      <w:tr w14:paraId="3EAD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0DA356EE">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c>
          <w:tcPr>
            <w:tcW w:w="4519" w:type="dxa"/>
          </w:tcPr>
          <w:p w14:paraId="43D1FD7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r>
      <w:tr w14:paraId="33D7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E243EE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c>
          <w:tcPr>
            <w:tcW w:w="4519" w:type="dxa"/>
          </w:tcPr>
          <w:p w14:paraId="3383E34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r>
      <w:tr w14:paraId="7C0E7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53DA636">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c>
          <w:tcPr>
            <w:tcW w:w="4519" w:type="dxa"/>
          </w:tcPr>
          <w:p w14:paraId="4EBDE6CB">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r>
      <w:tr w14:paraId="75B3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5D47E1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c>
          <w:tcPr>
            <w:tcW w:w="4519" w:type="dxa"/>
          </w:tcPr>
          <w:p w14:paraId="67D62EE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r>
      <w:tr w14:paraId="5363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3142E8C2">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c>
          <w:tcPr>
            <w:tcW w:w="4519" w:type="dxa"/>
          </w:tcPr>
          <w:p w14:paraId="43FFAF5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r>
    </w:tbl>
    <w:p w14:paraId="58A1DA56">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br w:type="page"/>
      </w:r>
    </w:p>
    <w:p w14:paraId="4649FD14">
      <w:pPr>
        <w:widowControl/>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项目采购（货物、服务类）廉洁协议</w:t>
      </w:r>
    </w:p>
    <w:p w14:paraId="2ACEB64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项目名称：             </w:t>
      </w:r>
    </w:p>
    <w:p w14:paraId="2104C97C">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项目编号： </w:t>
      </w:r>
    </w:p>
    <w:p w14:paraId="0EEDAF1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甲方（采购单位）： </w:t>
      </w:r>
    </w:p>
    <w:p w14:paraId="0A8B8BD8">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乙方（成交/中标供应商）： </w:t>
      </w:r>
    </w:p>
    <w:p w14:paraId="706A0A12">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为进一步加强医疗卫生行风建设，规范甲乙双方的购销行为，有效防范商业贿赂，营造公平交易、诚实守信的购销环境，维护医院正常医疗秩序，经甲、乙双方协商，同意签订本协议，并共同遵守：</w:t>
      </w:r>
    </w:p>
    <w:p w14:paraId="5D935E68">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一、甲乙双方按照《中华人民共和国民法典》《中华人民共和国政府采购法》及政府采购合同约定履行合同内容。</w:t>
      </w:r>
    </w:p>
    <w:p w14:paraId="417EC527">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二、甲方应当严格执行货物、服务类采购合同的验收、入库等制度，对采购内容及发票进行查验，不得违反有关规定合同外采购、违价采购或从非规定渠道采购。</w:t>
      </w:r>
    </w:p>
    <w:p w14:paraId="56367310">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甲方严禁接受乙方以任何名义、形式给予的回扣，不得将接受捐赠资助与采购挂钩。甲方工作人员不得参加乙方安排并支付费用的宴请、旅游和营业性娱乐活动等，不得以任何形式向乙方索要现金、有价证券、支付凭证和贵重礼品等。</w:t>
      </w:r>
    </w:p>
    <w:p w14:paraId="656AC0A9">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四、乙方不得以回扣、宴请等方式影响甲方工作人员的采购工作，不得在学术活动中提供旅游、超标准支付食宿费用。</w:t>
      </w:r>
    </w:p>
    <w:p w14:paraId="53C50F54">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五、乙方不得以围标、相互串通投标，或者排挤其他供应商的公平竞争，损害采购人或者其他供应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5C94443E">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六、乙方指定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61EF223F">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七、乙方如违反本协议，一经发现，甲方有权终止采购合同。如乙方被列入政府采购严重违法失信行为记录名单，则严格按照《中华人民共和国政府采购法》相关规定处理。</w:t>
      </w:r>
    </w:p>
    <w:p w14:paraId="550E853E">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八、本协议作为采购合同的重要组成部分，与采购合同一并执行，具有同等的法律效力，从签订之日起生效。</w:t>
      </w:r>
    </w:p>
    <w:p w14:paraId="5BA07C4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甲方（盖章）：                             乙方（盖章）： </w:t>
      </w:r>
    </w:p>
    <w:p w14:paraId="0A0885D0">
      <w:pPr>
        <w:autoSpaceDE w:val="0"/>
        <w:autoSpaceDN w:val="0"/>
        <w:adjustRightInd w:val="0"/>
        <w:spacing w:line="590" w:lineRule="exact"/>
        <w:ind w:left="4200" w:right="-25" w:rightChars="-12" w:hanging="4200" w:hangingChars="20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                                     地址：</w:t>
      </w:r>
    </w:p>
    <w:p w14:paraId="1737D07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                               法定代表人：</w:t>
      </w:r>
    </w:p>
    <w:p w14:paraId="2750DA4F">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经办人签名：                               经办人签名：</w:t>
      </w:r>
    </w:p>
    <w:p w14:paraId="5CBCE694">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日期：    年    月    日                   日期：    年   月  日</w:t>
      </w:r>
    </w:p>
    <w:p w14:paraId="17E0E079">
      <w:pPr>
        <w:snapToGrid w:val="0"/>
        <w:spacing w:line="360" w:lineRule="auto"/>
        <w:jc w:val="left"/>
        <w:rPr>
          <w:rFonts w:asciiTheme="majorEastAsia" w:hAnsiTheme="majorEastAsia" w:eastAsiaTheme="majorEastAsia" w:cstheme="majorEastAsia"/>
          <w:szCs w:val="21"/>
        </w:rPr>
      </w:pPr>
    </w:p>
    <w:p w14:paraId="2295760A">
      <w:pPr>
        <w:snapToGrid w:val="0"/>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
          <w:szCs w:val="21"/>
        </w:rPr>
        <w:br w:type="page"/>
      </w:r>
    </w:p>
    <w:bookmarkEnd w:id="142"/>
    <w:p w14:paraId="4A00EEAE">
      <w:pPr>
        <w:snapToGrid w:val="0"/>
        <w:spacing w:line="480" w:lineRule="auto"/>
        <w:rPr>
          <w:rFonts w:asciiTheme="majorEastAsia" w:hAnsiTheme="majorEastAsia" w:eastAsiaTheme="majorEastAsia" w:cstheme="majorEastAsia"/>
          <w:bCs/>
          <w:sz w:val="32"/>
          <w:szCs w:val="32"/>
        </w:rPr>
      </w:pPr>
    </w:p>
    <w:p w14:paraId="16399828">
      <w:pPr>
        <w:snapToGrid w:val="0"/>
        <w:jc w:val="center"/>
        <w:rPr>
          <w:rFonts w:asciiTheme="majorEastAsia" w:hAnsiTheme="majorEastAsia" w:eastAsiaTheme="majorEastAsia" w:cstheme="majorEastAsia"/>
          <w:bCs/>
          <w:sz w:val="32"/>
          <w:szCs w:val="32"/>
        </w:rPr>
      </w:pPr>
    </w:p>
    <w:p w14:paraId="09F48A1A">
      <w:pPr>
        <w:snapToGrid w:val="0"/>
        <w:jc w:val="center"/>
        <w:rPr>
          <w:rFonts w:asciiTheme="majorEastAsia" w:hAnsiTheme="majorEastAsia" w:eastAsiaTheme="majorEastAsia" w:cstheme="majorEastAsia"/>
          <w:bCs/>
          <w:sz w:val="32"/>
          <w:szCs w:val="32"/>
        </w:rPr>
      </w:pPr>
    </w:p>
    <w:p w14:paraId="1BE6C8A6">
      <w:pPr>
        <w:snapToGrid w:val="0"/>
        <w:jc w:val="center"/>
        <w:rPr>
          <w:rFonts w:asciiTheme="majorEastAsia" w:hAnsiTheme="majorEastAsia" w:eastAsiaTheme="majorEastAsia" w:cstheme="majorEastAsia"/>
          <w:bCs/>
          <w:sz w:val="32"/>
          <w:szCs w:val="32"/>
        </w:rPr>
      </w:pPr>
    </w:p>
    <w:p w14:paraId="7ECD1537">
      <w:pPr>
        <w:snapToGrid w:val="0"/>
        <w:jc w:val="center"/>
        <w:rPr>
          <w:rFonts w:asciiTheme="majorEastAsia" w:hAnsiTheme="majorEastAsia" w:eastAsiaTheme="majorEastAsia" w:cstheme="majorEastAsia"/>
          <w:bCs/>
          <w:sz w:val="32"/>
          <w:szCs w:val="32"/>
        </w:rPr>
      </w:pPr>
    </w:p>
    <w:p w14:paraId="5A9DC488">
      <w:pPr>
        <w:snapToGrid w:val="0"/>
        <w:jc w:val="center"/>
        <w:rPr>
          <w:rFonts w:asciiTheme="majorEastAsia" w:hAnsiTheme="majorEastAsia" w:eastAsiaTheme="majorEastAsia" w:cstheme="majorEastAsia"/>
          <w:bCs/>
          <w:sz w:val="32"/>
          <w:szCs w:val="32"/>
        </w:rPr>
      </w:pPr>
    </w:p>
    <w:p w14:paraId="7F775545">
      <w:pPr>
        <w:snapToGrid w:val="0"/>
        <w:jc w:val="center"/>
        <w:rPr>
          <w:rFonts w:asciiTheme="majorEastAsia" w:hAnsiTheme="majorEastAsia" w:eastAsiaTheme="majorEastAsia" w:cstheme="majorEastAsia"/>
          <w:bCs/>
          <w:sz w:val="32"/>
          <w:szCs w:val="32"/>
        </w:rPr>
      </w:pPr>
    </w:p>
    <w:p w14:paraId="4933D7E1">
      <w:pPr>
        <w:snapToGrid w:val="0"/>
        <w:jc w:val="center"/>
        <w:rPr>
          <w:rFonts w:asciiTheme="majorEastAsia" w:hAnsiTheme="majorEastAsia" w:eastAsiaTheme="majorEastAsia" w:cstheme="majorEastAsia"/>
          <w:bCs/>
          <w:sz w:val="32"/>
          <w:szCs w:val="32"/>
        </w:rPr>
      </w:pPr>
    </w:p>
    <w:p w14:paraId="1BF318F3">
      <w:pPr>
        <w:snapToGrid w:val="0"/>
        <w:jc w:val="center"/>
        <w:rPr>
          <w:rFonts w:asciiTheme="majorEastAsia" w:hAnsiTheme="majorEastAsia" w:eastAsiaTheme="majorEastAsia" w:cstheme="majorEastAsia"/>
          <w:bCs/>
          <w:sz w:val="32"/>
          <w:szCs w:val="32"/>
        </w:rPr>
      </w:pPr>
    </w:p>
    <w:p w14:paraId="1CCA466B">
      <w:pPr>
        <w:snapToGrid w:val="0"/>
        <w:jc w:val="center"/>
        <w:rPr>
          <w:rFonts w:asciiTheme="majorEastAsia" w:hAnsiTheme="majorEastAsia" w:eastAsiaTheme="majorEastAsia" w:cstheme="majorEastAsia"/>
          <w:bCs/>
          <w:sz w:val="32"/>
          <w:szCs w:val="32"/>
        </w:rPr>
      </w:pPr>
    </w:p>
    <w:p w14:paraId="6D954944">
      <w:pPr>
        <w:snapToGrid w:val="0"/>
        <w:jc w:val="center"/>
        <w:rPr>
          <w:rFonts w:asciiTheme="majorEastAsia" w:hAnsiTheme="majorEastAsia" w:eastAsiaTheme="majorEastAsia" w:cstheme="majorEastAsia"/>
          <w:bCs/>
          <w:sz w:val="32"/>
          <w:szCs w:val="32"/>
        </w:rPr>
      </w:pPr>
    </w:p>
    <w:p w14:paraId="3A8A58B1">
      <w:pPr>
        <w:snapToGrid w:val="0"/>
        <w:jc w:val="center"/>
        <w:rPr>
          <w:rFonts w:asciiTheme="majorEastAsia" w:hAnsiTheme="majorEastAsia" w:eastAsiaTheme="majorEastAsia" w:cstheme="majorEastAsia"/>
          <w:bCs/>
          <w:sz w:val="32"/>
          <w:szCs w:val="32"/>
        </w:rPr>
      </w:pPr>
    </w:p>
    <w:p w14:paraId="74716852">
      <w:pPr>
        <w:pStyle w:val="2"/>
        <w:jc w:val="center"/>
        <w:rPr>
          <w:rFonts w:asciiTheme="majorEastAsia" w:hAnsiTheme="majorEastAsia" w:eastAsiaTheme="majorEastAsia" w:cstheme="majorEastAsia"/>
        </w:rPr>
      </w:pPr>
      <w:bookmarkStart w:id="143" w:name="_Toc74320805"/>
      <w:r>
        <w:rPr>
          <w:rFonts w:hint="eastAsia" w:asciiTheme="majorEastAsia" w:hAnsiTheme="majorEastAsia" w:eastAsiaTheme="majorEastAsia" w:cstheme="majorEastAsia"/>
        </w:rPr>
        <w:t>第六章　投标文件格式</w:t>
      </w:r>
      <w:bookmarkEnd w:id="143"/>
    </w:p>
    <w:p w14:paraId="2A09DF63">
      <w:pPr>
        <w:snapToGrid w:val="0"/>
        <w:spacing w:before="50" w:after="50"/>
        <w:outlineLvl w:val="1"/>
        <w:rPr>
          <w:rFonts w:asciiTheme="majorEastAsia" w:hAnsiTheme="majorEastAsia" w:eastAsiaTheme="majorEastAsia" w:cstheme="majorEastAsia"/>
          <w:sz w:val="32"/>
          <w:szCs w:val="20"/>
        </w:rPr>
      </w:pPr>
    </w:p>
    <w:p w14:paraId="750D3F57">
      <w:pPr>
        <w:snapToGrid w:val="0"/>
        <w:spacing w:before="50" w:after="50"/>
        <w:outlineLvl w:val="1"/>
        <w:rPr>
          <w:rFonts w:asciiTheme="majorEastAsia" w:hAnsiTheme="majorEastAsia" w:eastAsiaTheme="majorEastAsia" w:cstheme="majorEastAsia"/>
          <w:sz w:val="32"/>
          <w:szCs w:val="20"/>
        </w:rPr>
      </w:pPr>
    </w:p>
    <w:p w14:paraId="02AFDB43">
      <w:pPr>
        <w:snapToGrid w:val="0"/>
        <w:spacing w:before="50" w:after="50"/>
        <w:outlineLvl w:val="1"/>
        <w:rPr>
          <w:rFonts w:asciiTheme="majorEastAsia" w:hAnsiTheme="majorEastAsia" w:eastAsiaTheme="majorEastAsia" w:cstheme="majorEastAsia"/>
          <w:sz w:val="32"/>
          <w:szCs w:val="20"/>
        </w:rPr>
      </w:pPr>
    </w:p>
    <w:p w14:paraId="3A7F229E">
      <w:pPr>
        <w:snapToGrid w:val="0"/>
        <w:spacing w:before="50" w:after="50"/>
        <w:outlineLvl w:val="1"/>
        <w:rPr>
          <w:rFonts w:asciiTheme="majorEastAsia" w:hAnsiTheme="majorEastAsia" w:eastAsiaTheme="majorEastAsia" w:cstheme="majorEastAsia"/>
          <w:sz w:val="32"/>
          <w:szCs w:val="20"/>
        </w:rPr>
      </w:pPr>
    </w:p>
    <w:p w14:paraId="351DB9BE">
      <w:pPr>
        <w:snapToGrid w:val="0"/>
        <w:spacing w:before="50" w:after="50"/>
        <w:outlineLvl w:val="1"/>
        <w:rPr>
          <w:rFonts w:asciiTheme="majorEastAsia" w:hAnsiTheme="majorEastAsia" w:eastAsiaTheme="majorEastAsia" w:cstheme="majorEastAsia"/>
          <w:sz w:val="32"/>
          <w:szCs w:val="20"/>
        </w:rPr>
      </w:pPr>
    </w:p>
    <w:p w14:paraId="25E47ACC">
      <w:pPr>
        <w:snapToGrid w:val="0"/>
        <w:spacing w:before="50" w:after="50"/>
        <w:outlineLvl w:val="1"/>
        <w:rPr>
          <w:rFonts w:asciiTheme="majorEastAsia" w:hAnsiTheme="majorEastAsia" w:eastAsiaTheme="majorEastAsia" w:cstheme="majorEastAsia"/>
          <w:sz w:val="32"/>
          <w:szCs w:val="20"/>
        </w:rPr>
      </w:pPr>
    </w:p>
    <w:p w14:paraId="6DBCDFE1">
      <w:pPr>
        <w:snapToGrid w:val="0"/>
        <w:spacing w:before="50" w:after="50"/>
        <w:outlineLvl w:val="1"/>
        <w:rPr>
          <w:rFonts w:asciiTheme="majorEastAsia" w:hAnsiTheme="majorEastAsia" w:eastAsiaTheme="majorEastAsia" w:cstheme="majorEastAsia"/>
          <w:sz w:val="32"/>
          <w:szCs w:val="20"/>
        </w:rPr>
      </w:pPr>
    </w:p>
    <w:p w14:paraId="1907DD77">
      <w:pPr>
        <w:snapToGrid w:val="0"/>
        <w:spacing w:before="50" w:after="50"/>
        <w:outlineLvl w:val="1"/>
        <w:rPr>
          <w:rFonts w:asciiTheme="majorEastAsia" w:hAnsiTheme="majorEastAsia" w:eastAsiaTheme="majorEastAsia" w:cstheme="majorEastAsia"/>
          <w:sz w:val="32"/>
          <w:szCs w:val="20"/>
        </w:rPr>
      </w:pPr>
    </w:p>
    <w:p w14:paraId="65670058">
      <w:pPr>
        <w:snapToGrid w:val="0"/>
        <w:spacing w:before="50" w:after="50"/>
        <w:outlineLvl w:val="1"/>
        <w:rPr>
          <w:rFonts w:asciiTheme="majorEastAsia" w:hAnsiTheme="majorEastAsia" w:eastAsiaTheme="majorEastAsia" w:cstheme="majorEastAsia"/>
          <w:sz w:val="32"/>
          <w:szCs w:val="20"/>
        </w:rPr>
      </w:pPr>
    </w:p>
    <w:p w14:paraId="0B8FEA88">
      <w:pPr>
        <w:snapToGrid w:val="0"/>
        <w:spacing w:before="50" w:after="50"/>
        <w:outlineLvl w:val="1"/>
        <w:rPr>
          <w:rFonts w:asciiTheme="majorEastAsia" w:hAnsiTheme="majorEastAsia" w:eastAsiaTheme="majorEastAsia" w:cstheme="majorEastAsia"/>
          <w:sz w:val="32"/>
          <w:szCs w:val="20"/>
        </w:rPr>
      </w:pPr>
    </w:p>
    <w:p w14:paraId="1C982B3A">
      <w:pPr>
        <w:snapToGrid w:val="0"/>
        <w:spacing w:before="50" w:after="50"/>
        <w:outlineLvl w:val="1"/>
        <w:rPr>
          <w:rFonts w:asciiTheme="majorEastAsia" w:hAnsiTheme="majorEastAsia" w:eastAsiaTheme="majorEastAsia" w:cstheme="majorEastAsia"/>
          <w:sz w:val="32"/>
          <w:szCs w:val="20"/>
        </w:rPr>
      </w:pPr>
    </w:p>
    <w:p w14:paraId="3038AE45">
      <w:pPr>
        <w:snapToGrid w:val="0"/>
        <w:spacing w:before="50" w:after="50"/>
        <w:outlineLvl w:val="1"/>
        <w:rPr>
          <w:rFonts w:asciiTheme="majorEastAsia" w:hAnsiTheme="majorEastAsia" w:eastAsiaTheme="majorEastAsia" w:cstheme="majorEastAsia"/>
          <w:sz w:val="32"/>
          <w:szCs w:val="20"/>
        </w:rPr>
      </w:pPr>
    </w:p>
    <w:p w14:paraId="5122C02C">
      <w:pPr>
        <w:snapToGrid w:val="0"/>
        <w:spacing w:before="50" w:after="50"/>
        <w:outlineLvl w:val="1"/>
        <w:rPr>
          <w:rFonts w:asciiTheme="majorEastAsia" w:hAnsiTheme="majorEastAsia" w:eastAsiaTheme="majorEastAsia" w:cstheme="majorEastAsia"/>
          <w:sz w:val="32"/>
          <w:szCs w:val="20"/>
        </w:rPr>
      </w:pPr>
    </w:p>
    <w:p w14:paraId="117C05F9">
      <w:pPr>
        <w:snapToGrid w:val="0"/>
        <w:spacing w:before="120" w:beforeLines="50" w:after="50"/>
        <w:jc w:val="center"/>
        <w:outlineLvl w:val="1"/>
        <w:rPr>
          <w:rFonts w:asciiTheme="majorEastAsia" w:hAnsiTheme="majorEastAsia" w:eastAsiaTheme="majorEastAsia" w:cstheme="majorEastAsia"/>
        </w:rPr>
      </w:pPr>
    </w:p>
    <w:p w14:paraId="5A451EAF">
      <w:pPr>
        <w:rPr>
          <w:rFonts w:asciiTheme="majorEastAsia" w:hAnsiTheme="majorEastAsia" w:eastAsiaTheme="majorEastAsia" w:cstheme="majorEastAsia"/>
          <w:b/>
          <w:sz w:val="28"/>
          <w:szCs w:val="28"/>
        </w:rPr>
      </w:pPr>
      <w:bookmarkStart w:id="144" w:name="_Toc19686836"/>
      <w:bookmarkStart w:id="145" w:name="_Toc254970698"/>
      <w:bookmarkStart w:id="146" w:name="_Toc254970557"/>
      <w:r>
        <w:rPr>
          <w:rFonts w:hint="eastAsia" w:asciiTheme="majorEastAsia" w:hAnsiTheme="majorEastAsia" w:eastAsiaTheme="majorEastAsia" w:cstheme="majorEastAsia"/>
          <w:b/>
          <w:sz w:val="28"/>
          <w:szCs w:val="28"/>
        </w:rPr>
        <w:t>一、报价文件格式</w:t>
      </w:r>
      <w:bookmarkEnd w:id="144"/>
    </w:p>
    <w:p w14:paraId="4AD20F85">
      <w:pPr>
        <w:snapToGrid w:val="0"/>
        <w:spacing w:before="120" w:beforeLines="50" w:after="50" w:line="360" w:lineRule="auto"/>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 报价文件封面格式： </w:t>
      </w:r>
    </w:p>
    <w:p w14:paraId="45E20EBC">
      <w:pPr>
        <w:snapToGrid w:val="0"/>
        <w:spacing w:before="120" w:beforeLines="50" w:after="50" w:line="360" w:lineRule="auto"/>
        <w:ind w:left="142"/>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258A41B">
      <w:pPr>
        <w:snapToGrid w:val="0"/>
        <w:spacing w:before="120" w:beforeLines="50" w:after="50" w:line="400" w:lineRule="exact"/>
        <w:jc w:val="left"/>
        <w:rPr>
          <w:rFonts w:asciiTheme="majorEastAsia" w:hAnsiTheme="majorEastAsia" w:eastAsiaTheme="majorEastAsia" w:cstheme="majorEastAsia"/>
          <w:bCs/>
          <w:sz w:val="48"/>
          <w:szCs w:val="48"/>
        </w:rPr>
      </w:pPr>
    </w:p>
    <w:p w14:paraId="71C5BA2B">
      <w:pPr>
        <w:snapToGrid w:val="0"/>
        <w:spacing w:before="120" w:beforeLines="50" w:after="50" w:line="40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报  价  文  件</w:t>
      </w:r>
    </w:p>
    <w:p w14:paraId="12C0D890">
      <w:pPr>
        <w:snapToGrid w:val="0"/>
        <w:spacing w:before="120" w:beforeLines="50" w:after="50" w:line="400" w:lineRule="exact"/>
        <w:rPr>
          <w:rFonts w:asciiTheme="majorEastAsia" w:hAnsiTheme="majorEastAsia" w:eastAsiaTheme="majorEastAsia" w:cstheme="majorEastAsia"/>
          <w:bCs/>
          <w:sz w:val="24"/>
          <w:szCs w:val="20"/>
        </w:rPr>
      </w:pPr>
    </w:p>
    <w:p w14:paraId="0F75A1B8">
      <w:pPr>
        <w:snapToGrid w:val="0"/>
        <w:spacing w:before="120" w:beforeLines="50" w:after="50" w:line="400" w:lineRule="exact"/>
        <w:rPr>
          <w:rFonts w:asciiTheme="majorEastAsia" w:hAnsiTheme="majorEastAsia" w:eastAsiaTheme="majorEastAsia" w:cstheme="majorEastAsia"/>
          <w:bCs/>
          <w:sz w:val="24"/>
          <w:szCs w:val="20"/>
        </w:rPr>
      </w:pPr>
    </w:p>
    <w:p w14:paraId="03BF4617">
      <w:pPr>
        <w:snapToGrid w:val="0"/>
        <w:spacing w:before="120" w:beforeLines="50" w:after="50" w:line="400" w:lineRule="exact"/>
        <w:rPr>
          <w:rFonts w:asciiTheme="majorEastAsia" w:hAnsiTheme="majorEastAsia" w:eastAsiaTheme="majorEastAsia" w:cstheme="majorEastAsia"/>
          <w:bCs/>
          <w:sz w:val="24"/>
          <w:szCs w:val="20"/>
        </w:rPr>
      </w:pPr>
    </w:p>
    <w:p w14:paraId="77CD21E7">
      <w:pPr>
        <w:snapToGrid w:val="0"/>
        <w:spacing w:before="120" w:beforeLines="50" w:after="50" w:line="400" w:lineRule="exact"/>
        <w:rPr>
          <w:rFonts w:asciiTheme="majorEastAsia" w:hAnsiTheme="majorEastAsia" w:eastAsiaTheme="majorEastAsia" w:cstheme="majorEastAsia"/>
          <w:bCs/>
          <w:sz w:val="24"/>
          <w:szCs w:val="20"/>
        </w:rPr>
      </w:pPr>
    </w:p>
    <w:p w14:paraId="17C8E870">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项目名称： </w:t>
      </w:r>
    </w:p>
    <w:p w14:paraId="2968DD5B">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6C4FBE99">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项目编号： </w:t>
      </w:r>
    </w:p>
    <w:p w14:paraId="4CF4B485">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71D3C5F6">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57652491">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495070B5">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投标人名称：</w:t>
      </w:r>
    </w:p>
    <w:p w14:paraId="43D67ABB">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33295F34">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投标人地址：</w:t>
      </w:r>
    </w:p>
    <w:p w14:paraId="47613221">
      <w:pPr>
        <w:pStyle w:val="7"/>
        <w:snapToGrid w:val="0"/>
        <w:spacing w:before="50" w:after="50" w:line="400" w:lineRule="exact"/>
        <w:ind w:firstLine="960" w:firstLineChars="400"/>
        <w:rPr>
          <w:rFonts w:asciiTheme="majorEastAsia" w:hAnsiTheme="majorEastAsia" w:eastAsiaTheme="majorEastAsia" w:cstheme="majorEastAsia"/>
          <w:bCs/>
          <w:sz w:val="24"/>
          <w:szCs w:val="24"/>
        </w:rPr>
      </w:pPr>
    </w:p>
    <w:p w14:paraId="715A56D3">
      <w:pPr>
        <w:snapToGrid w:val="0"/>
        <w:spacing w:before="120" w:beforeLines="50" w:after="50" w:line="400" w:lineRule="exact"/>
        <w:rPr>
          <w:rFonts w:asciiTheme="majorEastAsia" w:hAnsiTheme="majorEastAsia" w:eastAsiaTheme="majorEastAsia" w:cstheme="majorEastAsia"/>
          <w:sz w:val="30"/>
          <w:szCs w:val="20"/>
        </w:rPr>
      </w:pPr>
      <w:r>
        <w:rPr>
          <w:rFonts w:hint="eastAsia" w:asciiTheme="majorEastAsia" w:hAnsiTheme="majorEastAsia" w:eastAsiaTheme="majorEastAsia" w:cstheme="majorEastAsia"/>
          <w:sz w:val="24"/>
        </w:rPr>
        <w:t xml:space="preserve">                                   年  月  日</w:t>
      </w:r>
    </w:p>
    <w:p w14:paraId="2868CB92">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w:t>
      </w:r>
      <w:r>
        <w:rPr>
          <w:rFonts w:hint="eastAsia" w:asciiTheme="majorEastAsia" w:hAnsiTheme="majorEastAsia" w:eastAsiaTheme="majorEastAsia" w:cstheme="majorEastAsia"/>
          <w:b/>
          <w:bCs/>
          <w:sz w:val="24"/>
        </w:rPr>
        <w:t>报价文件目录</w:t>
      </w:r>
    </w:p>
    <w:p w14:paraId="1CAD7319">
      <w:pPr>
        <w:snapToGrid w:val="0"/>
        <w:spacing w:before="50" w:after="120" w:afterLines="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Cs w:val="21"/>
        </w:rPr>
        <w:t>根据招标文件规定及投标人提供的材料自行编写目录。</w:t>
      </w:r>
    </w:p>
    <w:p w14:paraId="2EF65D5A">
      <w:pPr>
        <w:snapToGrid w:val="0"/>
        <w:spacing w:before="120" w:beforeLines="50" w:after="50"/>
        <w:rPr>
          <w:rFonts w:asciiTheme="majorEastAsia" w:hAnsiTheme="majorEastAsia" w:eastAsiaTheme="majorEastAsia" w:cstheme="majorEastAsia"/>
          <w:b/>
          <w:sz w:val="24"/>
        </w:rPr>
      </w:pPr>
    </w:p>
    <w:p w14:paraId="223A27A1">
      <w:pPr>
        <w:snapToGrid w:val="0"/>
        <w:spacing w:before="120" w:beforeLines="50" w:after="50"/>
        <w:rPr>
          <w:rFonts w:asciiTheme="majorEastAsia" w:hAnsiTheme="majorEastAsia" w:eastAsiaTheme="majorEastAsia" w:cstheme="majorEastAsia"/>
          <w:b/>
          <w:sz w:val="24"/>
        </w:rPr>
      </w:pPr>
    </w:p>
    <w:p w14:paraId="49B12236">
      <w:pPr>
        <w:snapToGrid w:val="0"/>
        <w:spacing w:before="120" w:beforeLines="50" w:after="50"/>
        <w:rPr>
          <w:rFonts w:asciiTheme="majorEastAsia" w:hAnsiTheme="majorEastAsia" w:eastAsiaTheme="majorEastAsia" w:cstheme="majorEastAsia"/>
          <w:b/>
          <w:sz w:val="24"/>
        </w:rPr>
      </w:pPr>
    </w:p>
    <w:p w14:paraId="42560E13">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 投标函格式：</w:t>
      </w:r>
    </w:p>
    <w:p w14:paraId="731B838F">
      <w:pPr>
        <w:snapToGrid w:val="0"/>
        <w:spacing w:before="120" w:beforeLines="50" w:after="50" w:line="360" w:lineRule="auto"/>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投 标 函</w:t>
      </w:r>
    </w:p>
    <w:p w14:paraId="4F243B59">
      <w:pPr>
        <w:snapToGrid w:val="0"/>
        <w:spacing w:before="120" w:beforeLines="50" w:after="50" w:line="320" w:lineRule="exact"/>
        <w:jc w:val="center"/>
        <w:rPr>
          <w:rFonts w:asciiTheme="majorEastAsia" w:hAnsiTheme="majorEastAsia" w:eastAsiaTheme="majorEastAsia" w:cstheme="majorEastAsia"/>
          <w:b/>
          <w:sz w:val="32"/>
          <w:szCs w:val="32"/>
        </w:rPr>
      </w:pPr>
    </w:p>
    <w:p w14:paraId="33407E3D">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0E46FFEA">
      <w:pPr>
        <w:spacing w:line="360" w:lineRule="auto"/>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根据贵方</w:t>
      </w:r>
      <w:r>
        <w:rPr>
          <w:rFonts w:hint="eastAsia" w:asciiTheme="majorEastAsia" w:hAnsiTheme="majorEastAsia" w:eastAsiaTheme="majorEastAsia" w:cstheme="majorEastAsia"/>
          <w:sz w:val="24"/>
          <w:u w:val="single"/>
        </w:rPr>
        <w:t xml:space="preserve">        项目名称</w:t>
      </w:r>
      <w:r>
        <w:rPr>
          <w:rFonts w:hint="eastAsia" w:asciiTheme="majorEastAsia" w:hAnsiTheme="majorEastAsia" w:eastAsiaTheme="majorEastAsia" w:cstheme="majorEastAsia"/>
          <w:sz w:val="24"/>
        </w:rPr>
        <w:t>（项目编号：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）的招标文件，签字代表______（姓名）经正式授权并代表投标人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（投标人名称）提交投标文件。</w:t>
      </w:r>
    </w:p>
    <w:p w14:paraId="24FF830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据此函，我方宣布同意如下：</w:t>
      </w:r>
    </w:p>
    <w:p w14:paraId="58B6955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B0613F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2.我方在投标之前已经完全理解并接受招标文件的各项规定和要求，对招标文件的合理性、合法性不再有异议。</w:t>
      </w:r>
    </w:p>
    <w:p w14:paraId="6E12BDF0">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3.本投标有效期自投标截止之日起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14:paraId="551DC06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4.如中标，本投标文件至本项目合同履行完毕止均保持有效，我方将按“招标文件”及政府采购法律、法规的规定履行合同责任和义务。</w:t>
      </w:r>
    </w:p>
    <w:p w14:paraId="4641ECF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5.我方同意按照贵方要求提供与投标有关的一切数据或者资料。</w:t>
      </w:r>
    </w:p>
    <w:p w14:paraId="5D2595F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6.我方向贵方提交的所有投标文件、资料都是准确的和真实的。</w:t>
      </w:r>
    </w:p>
    <w:p w14:paraId="62D7889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7.以上事项如有虚假或者隐瞒，我方愿意承担一切后果，并不再寻求任何旨在减轻或者免除法律责任的辩解。</w:t>
      </w:r>
    </w:p>
    <w:p w14:paraId="427DF7A8">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EFF8809">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内容中</w:t>
      </w:r>
      <w:r>
        <w:rPr>
          <w:rFonts w:hint="eastAsia" w:asciiTheme="majorEastAsia" w:hAnsiTheme="majorEastAsia" w:eastAsiaTheme="majorEastAsia" w:cstheme="majorEastAsia"/>
          <w:sz w:val="24"/>
        </w:rPr>
        <w:t>未</w:t>
      </w:r>
      <w:r>
        <w:rPr>
          <w:rFonts w:hint="eastAsia" w:asciiTheme="majorEastAsia" w:hAnsiTheme="majorEastAsia" w:eastAsiaTheme="majorEastAsia" w:cstheme="majorEastAsia"/>
          <w:kern w:val="0"/>
          <w:sz w:val="24"/>
        </w:rPr>
        <w:t>涉及商业秘密；</w:t>
      </w:r>
    </w:p>
    <w:p w14:paraId="6758944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涉及商业秘密的内容有：</w:t>
      </w:r>
      <w:r>
        <w:rPr>
          <w:rFonts w:hint="eastAsia" w:asciiTheme="majorEastAsia" w:hAnsiTheme="majorEastAsia" w:eastAsiaTheme="majorEastAsia" w:cstheme="majorEastAsia"/>
          <w:kern w:val="0"/>
          <w:sz w:val="24"/>
          <w:u w:val="single"/>
        </w:rPr>
        <w:t xml:space="preserve">                </w:t>
      </w:r>
      <w:r>
        <w:rPr>
          <w:rFonts w:hint="eastAsia" w:asciiTheme="majorEastAsia" w:hAnsiTheme="majorEastAsia" w:eastAsiaTheme="majorEastAsia" w:cstheme="majorEastAsia"/>
          <w:kern w:val="0"/>
          <w:sz w:val="24"/>
        </w:rPr>
        <w:t>；</w:t>
      </w:r>
    </w:p>
    <w:p w14:paraId="7D4E1544">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9.与本项目有关的一切正式往来信函请寄：</w:t>
      </w:r>
    </w:p>
    <w:p w14:paraId="768D94BA">
      <w:pPr>
        <w:spacing w:line="360" w:lineRule="auto"/>
        <w:ind w:firstLine="480" w:firstLineChars="200"/>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地址：</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邮编：</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F777FC4">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电话：</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传真：</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45D5322">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4367135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p>
    <w:p w14:paraId="36E49D5C">
      <w:pPr>
        <w:spacing w:line="360" w:lineRule="auto"/>
        <w:ind w:firstLine="480" w:firstLineChars="200"/>
        <w:contextualSpacing/>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开户银行：</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银行账号：</w:t>
      </w:r>
      <w:r>
        <w:rPr>
          <w:rFonts w:hint="eastAsia" w:asciiTheme="majorEastAsia" w:hAnsiTheme="majorEastAsia" w:eastAsiaTheme="majorEastAsia" w:cstheme="majorEastAsia"/>
          <w:sz w:val="24"/>
          <w:u w:val="single"/>
        </w:rPr>
        <w:t xml:space="preserve">                   </w:t>
      </w:r>
    </w:p>
    <w:p w14:paraId="5289C195">
      <w:pPr>
        <w:pStyle w:val="19"/>
        <w:rPr>
          <w:rFonts w:asciiTheme="majorEastAsia" w:hAnsiTheme="majorEastAsia" w:eastAsiaTheme="majorEastAsia" w:cstheme="majorEastAsia"/>
        </w:rPr>
      </w:pPr>
    </w:p>
    <w:p w14:paraId="36DB2CC4">
      <w:pPr>
        <w:spacing w:line="360" w:lineRule="auto"/>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法定代表人或者委托代理人（签字或者电子签名）：_______ </w:t>
      </w:r>
    </w:p>
    <w:p w14:paraId="517ABB89">
      <w:pPr>
        <w:pStyle w:val="25"/>
        <w:spacing w:line="360" w:lineRule="auto"/>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p w14:paraId="764ABA94">
      <w:pPr>
        <w:pStyle w:val="25"/>
        <w:spacing w:line="360" w:lineRule="auto"/>
        <w:contextualSpacing/>
        <w:jc w:val="center"/>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rPr>
        <w:t>投标人名称（电子签章）：</w:t>
      </w:r>
    </w:p>
    <w:p w14:paraId="3C2466F5">
      <w:pPr>
        <w:snapToGrid w:val="0"/>
        <w:spacing w:before="120" w:beforeLines="50" w:after="50"/>
        <w:jc w:val="righ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年     月    日</w:t>
      </w:r>
      <w:r>
        <w:rPr>
          <w:rFonts w:hint="eastAsia" w:asciiTheme="majorEastAsia" w:hAnsiTheme="majorEastAsia" w:eastAsiaTheme="majorEastAsia" w:cstheme="majorEastAsia"/>
          <w:u w:val="single"/>
        </w:rPr>
        <w:br w:type="page"/>
      </w:r>
      <w:r>
        <w:rPr>
          <w:rFonts w:hint="eastAsia" w:asciiTheme="majorEastAsia" w:hAnsiTheme="majorEastAsia" w:eastAsiaTheme="majorEastAsia" w:cstheme="majorEastAsia"/>
          <w:b/>
          <w:sz w:val="24"/>
        </w:rPr>
        <w:t>4. 开标一览表</w:t>
      </w:r>
    </w:p>
    <w:p w14:paraId="2D427B25">
      <w:pPr>
        <w:snapToGrid w:val="0"/>
        <w:spacing w:before="50" w:after="50"/>
        <w:jc w:val="center"/>
        <w:rPr>
          <w:rFonts w:asciiTheme="majorEastAsia" w:hAnsiTheme="majorEastAsia" w:eastAsiaTheme="majorEastAsia" w:cstheme="majorEastAsia"/>
          <w:b/>
          <w:sz w:val="30"/>
        </w:rPr>
      </w:pPr>
      <w:r>
        <w:rPr>
          <w:rFonts w:hint="eastAsia" w:asciiTheme="majorEastAsia" w:hAnsiTheme="majorEastAsia" w:eastAsiaTheme="majorEastAsia" w:cstheme="majorEastAsia"/>
          <w:b/>
          <w:sz w:val="30"/>
        </w:rPr>
        <w:t>开标一览表</w:t>
      </w:r>
    </w:p>
    <w:p w14:paraId="1DC9F921">
      <w:pPr>
        <w:snapToGrid w:val="0"/>
        <w:spacing w:before="50" w:after="50" w:line="360" w:lineRule="auto"/>
        <w:jc w:val="center"/>
        <w:rPr>
          <w:rFonts w:asciiTheme="majorEastAsia" w:hAnsiTheme="majorEastAsia" w:eastAsiaTheme="majorEastAsia" w:cstheme="majorEastAsia"/>
          <w:b/>
          <w:sz w:val="30"/>
          <w:szCs w:val="20"/>
        </w:rPr>
      </w:pPr>
    </w:p>
    <w:p w14:paraId="7AB2C001">
      <w:pPr>
        <w:snapToGrid w:val="0"/>
        <w:spacing w:before="50" w:after="50"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项目名称：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分标：</w:t>
      </w:r>
      <w:r>
        <w:rPr>
          <w:rFonts w:hint="eastAsia" w:asciiTheme="majorEastAsia" w:hAnsiTheme="majorEastAsia" w:eastAsiaTheme="majorEastAsia" w:cstheme="majorEastAsia"/>
          <w:sz w:val="24"/>
          <w:u w:val="single"/>
        </w:rPr>
        <w:t xml:space="preserve">       </w:t>
      </w:r>
    </w:p>
    <w:p w14:paraId="1452ABB8">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单位：元</w:t>
      </w:r>
    </w:p>
    <w:tbl>
      <w:tblPr>
        <w:tblStyle w:val="46"/>
        <w:tblW w:w="8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910"/>
        <w:gridCol w:w="937"/>
        <w:gridCol w:w="1376"/>
        <w:gridCol w:w="1477"/>
        <w:gridCol w:w="755"/>
        <w:gridCol w:w="1552"/>
      </w:tblGrid>
      <w:tr w14:paraId="77511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208E7DC">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910" w:type="dxa"/>
            <w:tcBorders>
              <w:top w:val="single" w:color="auto" w:sz="4" w:space="0"/>
              <w:left w:val="single" w:color="auto" w:sz="4" w:space="0"/>
              <w:bottom w:val="single" w:color="auto" w:sz="4" w:space="0"/>
              <w:right w:val="single" w:color="auto" w:sz="4" w:space="0"/>
            </w:tcBorders>
            <w:vAlign w:val="center"/>
          </w:tcPr>
          <w:p w14:paraId="32237B76">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标的的名称</w:t>
            </w:r>
          </w:p>
        </w:tc>
        <w:tc>
          <w:tcPr>
            <w:tcW w:w="937" w:type="dxa"/>
            <w:tcBorders>
              <w:top w:val="single" w:color="auto" w:sz="4" w:space="0"/>
              <w:left w:val="single" w:color="auto" w:sz="4" w:space="0"/>
              <w:bottom w:val="single" w:color="auto" w:sz="4" w:space="0"/>
              <w:right w:val="single" w:color="auto" w:sz="4" w:space="0"/>
            </w:tcBorders>
            <w:vAlign w:val="center"/>
          </w:tcPr>
          <w:p w14:paraId="0C1F2D34">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品牌</w:t>
            </w:r>
          </w:p>
        </w:tc>
        <w:tc>
          <w:tcPr>
            <w:tcW w:w="1376" w:type="dxa"/>
            <w:tcBorders>
              <w:top w:val="single" w:color="auto" w:sz="4" w:space="0"/>
              <w:left w:val="single" w:color="auto" w:sz="4" w:space="0"/>
              <w:bottom w:val="single" w:color="auto" w:sz="4" w:space="0"/>
              <w:right w:val="single" w:color="auto" w:sz="4" w:space="0"/>
            </w:tcBorders>
            <w:vAlign w:val="center"/>
          </w:tcPr>
          <w:p w14:paraId="21D55A2A">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规格型号</w:t>
            </w:r>
          </w:p>
        </w:tc>
        <w:tc>
          <w:tcPr>
            <w:tcW w:w="1477" w:type="dxa"/>
            <w:tcBorders>
              <w:top w:val="single" w:color="auto" w:sz="4" w:space="0"/>
              <w:left w:val="single" w:color="auto" w:sz="4" w:space="0"/>
              <w:bottom w:val="single" w:color="auto" w:sz="4" w:space="0"/>
              <w:right w:val="single" w:color="auto" w:sz="4" w:space="0"/>
            </w:tcBorders>
            <w:vAlign w:val="center"/>
          </w:tcPr>
          <w:p w14:paraId="6BFE8E3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数量及单位①</w:t>
            </w:r>
          </w:p>
        </w:tc>
        <w:tc>
          <w:tcPr>
            <w:tcW w:w="755" w:type="dxa"/>
            <w:tcBorders>
              <w:top w:val="single" w:color="auto" w:sz="4" w:space="0"/>
              <w:left w:val="single" w:color="auto" w:sz="4" w:space="0"/>
              <w:bottom w:val="single" w:color="auto" w:sz="4" w:space="0"/>
              <w:right w:val="single" w:color="auto" w:sz="4" w:space="0"/>
            </w:tcBorders>
            <w:vAlign w:val="center"/>
          </w:tcPr>
          <w:p w14:paraId="55378715">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单价</w:t>
            </w:r>
          </w:p>
          <w:p w14:paraId="65EB6052">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②</w:t>
            </w:r>
          </w:p>
        </w:tc>
        <w:tc>
          <w:tcPr>
            <w:tcW w:w="1552" w:type="dxa"/>
            <w:tcBorders>
              <w:top w:val="single" w:color="auto" w:sz="4" w:space="0"/>
              <w:left w:val="single" w:color="auto" w:sz="4" w:space="0"/>
              <w:bottom w:val="single" w:color="auto" w:sz="4" w:space="0"/>
              <w:right w:val="single" w:color="auto" w:sz="4" w:space="0"/>
            </w:tcBorders>
            <w:vAlign w:val="center"/>
          </w:tcPr>
          <w:p w14:paraId="3B56DD52">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投标报价</w:t>
            </w:r>
          </w:p>
          <w:p w14:paraId="4682B9A0">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③=①×②</w:t>
            </w:r>
          </w:p>
        </w:tc>
      </w:tr>
      <w:tr w14:paraId="45BE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BC091B0">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1910" w:type="dxa"/>
            <w:tcBorders>
              <w:top w:val="single" w:color="auto" w:sz="4" w:space="0"/>
              <w:left w:val="single" w:color="auto" w:sz="4" w:space="0"/>
              <w:bottom w:val="single" w:color="auto" w:sz="4" w:space="0"/>
              <w:right w:val="single" w:color="auto" w:sz="4" w:space="0"/>
            </w:tcBorders>
            <w:vAlign w:val="center"/>
          </w:tcPr>
          <w:p w14:paraId="0D51636F">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541F3FED">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DBBCCF2">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ABA79E5">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23BA78EF">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15BA1FEF">
            <w:pPr>
              <w:snapToGrid w:val="0"/>
              <w:spacing w:before="50" w:after="50" w:line="360" w:lineRule="auto"/>
              <w:rPr>
                <w:rFonts w:asciiTheme="majorEastAsia" w:hAnsiTheme="majorEastAsia" w:eastAsiaTheme="majorEastAsia" w:cstheme="majorEastAsia"/>
                <w:sz w:val="24"/>
              </w:rPr>
            </w:pPr>
          </w:p>
        </w:tc>
      </w:tr>
      <w:tr w14:paraId="564B6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F8CE5BD">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1910" w:type="dxa"/>
            <w:tcBorders>
              <w:top w:val="single" w:color="auto" w:sz="4" w:space="0"/>
              <w:left w:val="single" w:color="auto" w:sz="4" w:space="0"/>
              <w:bottom w:val="single" w:color="auto" w:sz="4" w:space="0"/>
              <w:right w:val="single" w:color="auto" w:sz="4" w:space="0"/>
            </w:tcBorders>
            <w:vAlign w:val="center"/>
          </w:tcPr>
          <w:p w14:paraId="767A7CEE">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74F9E944">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BAB99C6">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08E22EF">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6B713D4A">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520EDBB6">
            <w:pPr>
              <w:snapToGrid w:val="0"/>
              <w:spacing w:before="50" w:after="50" w:line="360" w:lineRule="auto"/>
              <w:rPr>
                <w:rFonts w:asciiTheme="majorEastAsia" w:hAnsiTheme="majorEastAsia" w:eastAsiaTheme="majorEastAsia" w:cstheme="majorEastAsia"/>
                <w:sz w:val="24"/>
              </w:rPr>
            </w:pPr>
          </w:p>
        </w:tc>
      </w:tr>
      <w:tr w14:paraId="20E54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A496237">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1910" w:type="dxa"/>
            <w:tcBorders>
              <w:top w:val="single" w:color="auto" w:sz="4" w:space="0"/>
              <w:left w:val="single" w:color="auto" w:sz="4" w:space="0"/>
              <w:bottom w:val="single" w:color="auto" w:sz="4" w:space="0"/>
              <w:right w:val="single" w:color="auto" w:sz="4" w:space="0"/>
            </w:tcBorders>
            <w:vAlign w:val="center"/>
          </w:tcPr>
          <w:p w14:paraId="1862BD7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937" w:type="dxa"/>
            <w:tcBorders>
              <w:top w:val="single" w:color="auto" w:sz="4" w:space="0"/>
              <w:left w:val="single" w:color="auto" w:sz="4" w:space="0"/>
              <w:bottom w:val="single" w:color="auto" w:sz="4" w:space="0"/>
              <w:right w:val="single" w:color="auto" w:sz="4" w:space="0"/>
            </w:tcBorders>
            <w:vAlign w:val="center"/>
          </w:tcPr>
          <w:p w14:paraId="1DD8C8D0">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15FF89D">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2E7AE3E">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5A64C4D8">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204109F">
            <w:pPr>
              <w:snapToGrid w:val="0"/>
              <w:spacing w:before="50" w:after="50" w:line="360" w:lineRule="auto"/>
              <w:rPr>
                <w:rFonts w:asciiTheme="majorEastAsia" w:hAnsiTheme="majorEastAsia" w:eastAsiaTheme="majorEastAsia" w:cstheme="majorEastAsia"/>
                <w:sz w:val="24"/>
              </w:rPr>
            </w:pPr>
          </w:p>
        </w:tc>
      </w:tr>
      <w:tr w14:paraId="2AD65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7"/>
            <w:tcBorders>
              <w:top w:val="single" w:color="auto" w:sz="4" w:space="0"/>
              <w:left w:val="single" w:color="auto" w:sz="4" w:space="0"/>
              <w:bottom w:val="single" w:color="auto" w:sz="4" w:space="0"/>
              <w:right w:val="single" w:color="auto" w:sz="4" w:space="0"/>
            </w:tcBorders>
            <w:vAlign w:val="center"/>
          </w:tcPr>
          <w:p w14:paraId="5B30C864">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合计金额大写：人民币（</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w:t>
            </w:r>
          </w:p>
          <w:p w14:paraId="09303F59">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投标货物中，属于优先采购节能产品总值为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；属于优先采购环境标志产品总值为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tc>
      </w:tr>
    </w:tbl>
    <w:p w14:paraId="5F57E8F6">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注: </w:t>
      </w:r>
    </w:p>
    <w:p w14:paraId="0514428D">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1.投标人的开标一览表必须加盖投标人电子签章并由法定代表人或者委托代理人签字或者电子签名，</w:t>
      </w:r>
      <w:r>
        <w:rPr>
          <w:rFonts w:hint="eastAsia" w:asciiTheme="majorEastAsia" w:hAnsiTheme="majorEastAsia" w:eastAsiaTheme="majorEastAsia" w:cstheme="majorEastAsia"/>
          <w:b/>
          <w:sz w:val="24"/>
        </w:rPr>
        <w:t>否则其投标作无效标处理</w:t>
      </w:r>
      <w:r>
        <w:rPr>
          <w:rFonts w:hint="eastAsia" w:asciiTheme="majorEastAsia" w:hAnsiTheme="majorEastAsia" w:eastAsiaTheme="majorEastAsia" w:cstheme="majorEastAsia"/>
          <w:sz w:val="24"/>
        </w:rPr>
        <w:t>。</w:t>
      </w:r>
    </w:p>
    <w:p w14:paraId="51FA1DED">
      <w:pPr>
        <w:snapToGrid w:val="0"/>
        <w:spacing w:line="360" w:lineRule="auto"/>
        <w:ind w:firstLine="480" w:firstLineChars="20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sz w:val="24"/>
        </w:rPr>
        <w:t>报价一经涂改，应在涂改处加盖投标人公章或者加盖电子签章或者由法定代表人或者委托代理人签字（或者电子签名）</w:t>
      </w:r>
      <w:r>
        <w:rPr>
          <w:rFonts w:hint="eastAsia" w:asciiTheme="majorEastAsia" w:hAnsiTheme="majorEastAsia" w:eastAsiaTheme="majorEastAsia" w:cstheme="majorEastAsia"/>
          <w:b/>
          <w:sz w:val="24"/>
        </w:rPr>
        <w:t>，否则其投标作无效标处理。</w:t>
      </w:r>
    </w:p>
    <w:p w14:paraId="0DE5BDE0">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3.招标文件中列明采购专用耗材的，应按招标文件规定的耗材量或者按耗材的常规试用量提供报价。</w:t>
      </w:r>
    </w:p>
    <w:p w14:paraId="7C4905B3">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4.如为联合体投标，“投标人名称”处必须列明联合体各方名称，并标注联合体牵头人名称，</w:t>
      </w:r>
      <w:r>
        <w:rPr>
          <w:rFonts w:hint="eastAsia" w:asciiTheme="majorEastAsia" w:hAnsiTheme="majorEastAsia" w:eastAsiaTheme="majorEastAsia" w:cstheme="majorEastAsia"/>
          <w:b/>
          <w:sz w:val="24"/>
        </w:rPr>
        <w:t>否则其投标作无效标处理。</w:t>
      </w:r>
    </w:p>
    <w:p w14:paraId="335C3702">
      <w:pPr>
        <w:snapToGrid w:val="0"/>
        <w:spacing w:line="360" w:lineRule="auto"/>
        <w:ind w:firstLine="456" w:firstLineChars="200"/>
        <w:jc w:val="left"/>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5.如为联合体投标，盖章处须加盖联合体牵头人电子签章，</w:t>
      </w:r>
      <w:r>
        <w:rPr>
          <w:rFonts w:hint="eastAsia" w:asciiTheme="majorEastAsia" w:hAnsiTheme="majorEastAsia" w:eastAsiaTheme="majorEastAsia" w:cstheme="majorEastAsia"/>
          <w:b/>
          <w:spacing w:val="-6"/>
          <w:sz w:val="24"/>
        </w:rPr>
        <w:t>否则其投标作无效标处理。</w:t>
      </w:r>
    </w:p>
    <w:p w14:paraId="646BDEE9">
      <w:pPr>
        <w:snapToGrid w:val="0"/>
        <w:spacing w:line="360" w:lineRule="auto"/>
        <w:ind w:firstLine="480"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6.如有多分标，按分标分别提供开标一览表，</w:t>
      </w:r>
      <w:r>
        <w:rPr>
          <w:rFonts w:hint="eastAsia" w:asciiTheme="majorEastAsia" w:hAnsiTheme="majorEastAsia" w:eastAsiaTheme="majorEastAsia" w:cstheme="majorEastAsia"/>
          <w:b/>
          <w:sz w:val="24"/>
        </w:rPr>
        <w:t>否则投标无效。</w:t>
      </w:r>
    </w:p>
    <w:p w14:paraId="60E7A8D1">
      <w:pPr>
        <w:pStyle w:val="19"/>
        <w:spacing w:line="360" w:lineRule="auto"/>
        <w:rPr>
          <w:rFonts w:asciiTheme="majorEastAsia" w:hAnsiTheme="majorEastAsia" w:eastAsiaTheme="majorEastAsia" w:cstheme="majorEastAsia"/>
        </w:rPr>
      </w:pPr>
    </w:p>
    <w:p w14:paraId="6AF03F42">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 </w:t>
      </w:r>
    </w:p>
    <w:p w14:paraId="66382AA1">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4A49C467">
      <w:pPr>
        <w:snapToGrid w:val="0"/>
        <w:spacing w:line="360" w:lineRule="auto"/>
        <w:ind w:left="-3" w:leftChars="-15" w:right="-817" w:rightChars="-389" w:hanging="28" w:hangingChars="12"/>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4D8EAE2B">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bCs/>
          <w:sz w:val="24"/>
        </w:rPr>
        <w:br w:type="page"/>
      </w:r>
      <w:bookmarkStart w:id="147" w:name="_Toc19686837"/>
      <w:r>
        <w:rPr>
          <w:rFonts w:hint="eastAsia" w:asciiTheme="majorEastAsia" w:hAnsiTheme="majorEastAsia" w:eastAsiaTheme="majorEastAsia" w:cstheme="majorEastAsia"/>
          <w:b/>
          <w:sz w:val="28"/>
          <w:szCs w:val="28"/>
        </w:rPr>
        <w:t>二、资格证明文件格式</w:t>
      </w:r>
      <w:bookmarkEnd w:id="145"/>
      <w:bookmarkEnd w:id="146"/>
      <w:bookmarkEnd w:id="147"/>
    </w:p>
    <w:p w14:paraId="2F084950">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1.资格证明文件封面格式： </w:t>
      </w:r>
    </w:p>
    <w:p w14:paraId="0403021D">
      <w:pPr>
        <w:snapToGrid w:val="0"/>
        <w:spacing w:before="120" w:beforeLines="50" w:after="50"/>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7B42E84">
      <w:pPr>
        <w:snapToGrid w:val="0"/>
        <w:spacing w:before="120" w:beforeLines="50" w:after="50"/>
        <w:jc w:val="cente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32"/>
          <w:szCs w:val="32"/>
        </w:rPr>
        <w:t>资格证明文件</w:t>
      </w:r>
    </w:p>
    <w:p w14:paraId="7F8C12F2">
      <w:pPr>
        <w:snapToGrid w:val="0"/>
        <w:spacing w:before="120" w:beforeLines="50" w:after="50"/>
        <w:rPr>
          <w:rFonts w:asciiTheme="majorEastAsia" w:hAnsiTheme="majorEastAsia" w:eastAsiaTheme="majorEastAsia" w:cstheme="majorEastAsia"/>
          <w:bCs/>
          <w:sz w:val="24"/>
          <w:szCs w:val="20"/>
        </w:rPr>
      </w:pPr>
    </w:p>
    <w:p w14:paraId="0F887BE4">
      <w:pPr>
        <w:snapToGrid w:val="0"/>
        <w:spacing w:before="120" w:beforeLines="50" w:after="50"/>
        <w:rPr>
          <w:rFonts w:asciiTheme="majorEastAsia" w:hAnsiTheme="majorEastAsia" w:eastAsiaTheme="majorEastAsia" w:cstheme="majorEastAsia"/>
          <w:bCs/>
          <w:sz w:val="24"/>
          <w:szCs w:val="20"/>
        </w:rPr>
      </w:pPr>
    </w:p>
    <w:p w14:paraId="09F24CDD">
      <w:pPr>
        <w:snapToGrid w:val="0"/>
        <w:spacing w:before="120" w:beforeLines="50" w:after="50"/>
        <w:rPr>
          <w:rFonts w:asciiTheme="majorEastAsia" w:hAnsiTheme="majorEastAsia" w:eastAsiaTheme="majorEastAsia" w:cstheme="majorEastAsia"/>
          <w:bCs/>
          <w:sz w:val="24"/>
          <w:szCs w:val="20"/>
        </w:rPr>
      </w:pPr>
    </w:p>
    <w:p w14:paraId="1341210A">
      <w:pPr>
        <w:snapToGrid w:val="0"/>
        <w:spacing w:before="120" w:beforeLines="50" w:after="50"/>
        <w:rPr>
          <w:rFonts w:asciiTheme="majorEastAsia" w:hAnsiTheme="majorEastAsia" w:eastAsiaTheme="majorEastAsia" w:cstheme="majorEastAsia"/>
          <w:bCs/>
          <w:sz w:val="24"/>
          <w:szCs w:val="20"/>
        </w:rPr>
      </w:pPr>
    </w:p>
    <w:p w14:paraId="768BD85B">
      <w:pPr>
        <w:snapToGrid w:val="0"/>
        <w:spacing w:before="120" w:beforeLines="50" w:after="50"/>
        <w:rPr>
          <w:rFonts w:asciiTheme="majorEastAsia" w:hAnsiTheme="majorEastAsia" w:eastAsiaTheme="majorEastAsia" w:cstheme="majorEastAsia"/>
          <w:bCs/>
          <w:sz w:val="24"/>
          <w:szCs w:val="20"/>
        </w:rPr>
      </w:pPr>
    </w:p>
    <w:p w14:paraId="7BCD4E16">
      <w:pPr>
        <w:snapToGrid w:val="0"/>
        <w:spacing w:before="120" w:beforeLines="50" w:after="50"/>
        <w:rPr>
          <w:rFonts w:asciiTheme="majorEastAsia" w:hAnsiTheme="majorEastAsia" w:eastAsiaTheme="majorEastAsia" w:cstheme="majorEastAsia"/>
          <w:bCs/>
          <w:sz w:val="24"/>
          <w:szCs w:val="20"/>
        </w:rPr>
      </w:pPr>
    </w:p>
    <w:p w14:paraId="427C6B22">
      <w:pPr>
        <w:snapToGrid w:val="0"/>
        <w:spacing w:before="120" w:beforeLines="50" w:after="50"/>
        <w:rPr>
          <w:rFonts w:asciiTheme="majorEastAsia" w:hAnsiTheme="majorEastAsia" w:eastAsiaTheme="majorEastAsia" w:cstheme="majorEastAsia"/>
          <w:bCs/>
          <w:sz w:val="24"/>
          <w:szCs w:val="20"/>
        </w:rPr>
      </w:pPr>
    </w:p>
    <w:p w14:paraId="4FAA8FE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0EBDA51F">
      <w:pPr>
        <w:snapToGrid w:val="0"/>
        <w:spacing w:before="120" w:beforeLines="50" w:after="50"/>
        <w:ind w:firstLine="540" w:firstLineChars="225"/>
        <w:rPr>
          <w:rFonts w:asciiTheme="majorEastAsia" w:hAnsiTheme="majorEastAsia" w:eastAsiaTheme="majorEastAsia" w:cstheme="majorEastAsia"/>
          <w:bCs/>
          <w:sz w:val="24"/>
          <w:szCs w:val="20"/>
        </w:rPr>
      </w:pPr>
    </w:p>
    <w:p w14:paraId="6D12FBEF">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180BEC85">
      <w:pPr>
        <w:snapToGrid w:val="0"/>
        <w:spacing w:before="120" w:beforeLines="50" w:after="50"/>
        <w:ind w:firstLine="540" w:firstLineChars="225"/>
        <w:rPr>
          <w:rFonts w:asciiTheme="majorEastAsia" w:hAnsiTheme="majorEastAsia" w:eastAsiaTheme="majorEastAsia" w:cstheme="majorEastAsia"/>
          <w:bCs/>
          <w:sz w:val="24"/>
          <w:szCs w:val="20"/>
        </w:rPr>
      </w:pPr>
    </w:p>
    <w:p w14:paraId="28FE1F7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04061127">
      <w:pPr>
        <w:pStyle w:val="7"/>
        <w:snapToGrid w:val="0"/>
        <w:spacing w:before="50" w:after="50"/>
        <w:ind w:firstLine="540" w:firstLineChars="225"/>
        <w:rPr>
          <w:rFonts w:asciiTheme="majorEastAsia" w:hAnsiTheme="majorEastAsia" w:eastAsiaTheme="majorEastAsia" w:cstheme="majorEastAsia"/>
          <w:bCs/>
          <w:sz w:val="24"/>
          <w:szCs w:val="24"/>
        </w:rPr>
      </w:pPr>
    </w:p>
    <w:p w14:paraId="688F8FE3">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0BA59496">
      <w:pPr>
        <w:pStyle w:val="7"/>
        <w:snapToGrid w:val="0"/>
        <w:spacing w:before="50" w:after="50"/>
        <w:ind w:firstLine="540" w:firstLineChars="225"/>
        <w:rPr>
          <w:rFonts w:asciiTheme="majorEastAsia" w:hAnsiTheme="majorEastAsia" w:eastAsiaTheme="majorEastAsia" w:cstheme="majorEastAsia"/>
          <w:bCs/>
          <w:sz w:val="24"/>
          <w:szCs w:val="24"/>
        </w:rPr>
      </w:pPr>
    </w:p>
    <w:p w14:paraId="201BFE7B">
      <w:pPr>
        <w:pStyle w:val="7"/>
        <w:snapToGrid w:val="0"/>
        <w:spacing w:before="50" w:after="50"/>
        <w:ind w:firstLine="960" w:firstLineChars="400"/>
        <w:rPr>
          <w:rFonts w:asciiTheme="majorEastAsia" w:hAnsiTheme="majorEastAsia" w:eastAsiaTheme="majorEastAsia" w:cstheme="majorEastAsia"/>
          <w:bCs/>
          <w:sz w:val="24"/>
          <w:szCs w:val="24"/>
        </w:rPr>
      </w:pPr>
    </w:p>
    <w:p w14:paraId="4CE1692B">
      <w:pPr>
        <w:snapToGrid w:val="0"/>
        <w:spacing w:before="120" w:beforeLines="50" w:after="50"/>
        <w:ind w:firstLine="645"/>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265DE63D">
      <w:pPr>
        <w:snapToGrid w:val="0"/>
        <w:spacing w:before="120" w:beforeLines="50" w:after="50"/>
        <w:rPr>
          <w:rFonts w:asciiTheme="majorEastAsia" w:hAnsiTheme="majorEastAsia" w:eastAsiaTheme="majorEastAsia" w:cstheme="majorEastAsia"/>
          <w:sz w:val="24"/>
          <w:szCs w:val="20"/>
        </w:rPr>
      </w:pPr>
    </w:p>
    <w:p w14:paraId="4B54D359">
      <w:pPr>
        <w:snapToGrid w:val="0"/>
        <w:spacing w:before="120" w:beforeLines="50" w:after="50"/>
        <w:rPr>
          <w:rFonts w:asciiTheme="majorEastAsia" w:hAnsiTheme="majorEastAsia" w:eastAsiaTheme="majorEastAsia" w:cstheme="majorEastAsia"/>
          <w:sz w:val="24"/>
          <w:szCs w:val="20"/>
        </w:rPr>
      </w:pPr>
    </w:p>
    <w:p w14:paraId="08D649E5">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bCs/>
          <w:sz w:val="24"/>
        </w:rPr>
        <w:br w:type="page"/>
      </w:r>
      <w:r>
        <w:rPr>
          <w:rFonts w:hint="eastAsia" w:asciiTheme="majorEastAsia" w:hAnsiTheme="majorEastAsia" w:eastAsiaTheme="majorEastAsia" w:cstheme="majorEastAsia"/>
          <w:b/>
          <w:bCs/>
          <w:sz w:val="24"/>
        </w:rPr>
        <w:t>2.资格证明文件目录</w:t>
      </w:r>
    </w:p>
    <w:p w14:paraId="725CC998">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根据招标文件规定及投标人提供的材料自行编写目录。</w:t>
      </w:r>
    </w:p>
    <w:p w14:paraId="2F85FDE8">
      <w:pPr>
        <w:snapToGrid w:val="0"/>
        <w:spacing w:before="50" w:after="120" w:afterLines="50"/>
        <w:jc w:val="left"/>
        <w:rPr>
          <w:rFonts w:asciiTheme="majorEastAsia" w:hAnsiTheme="majorEastAsia" w:eastAsiaTheme="majorEastAsia" w:cstheme="majorEastAsia"/>
          <w:sz w:val="24"/>
        </w:rPr>
      </w:pPr>
    </w:p>
    <w:p w14:paraId="0DF0F05C">
      <w:pPr>
        <w:snapToGrid w:val="0"/>
        <w:spacing w:before="50" w:after="120" w:afterLines="50"/>
        <w:jc w:val="left"/>
        <w:rPr>
          <w:rFonts w:asciiTheme="majorEastAsia" w:hAnsiTheme="majorEastAsia" w:eastAsiaTheme="majorEastAsia" w:cstheme="majorEastAsia"/>
          <w:sz w:val="24"/>
        </w:rPr>
      </w:pPr>
    </w:p>
    <w:p w14:paraId="546DD29D">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w:t>
      </w:r>
      <w:r>
        <w:rPr>
          <w:rFonts w:hint="eastAsia" w:asciiTheme="majorEastAsia" w:hAnsiTheme="majorEastAsia" w:eastAsiaTheme="majorEastAsia" w:cstheme="majorEastAsia"/>
          <w:b/>
          <w:sz w:val="28"/>
          <w:szCs w:val="28"/>
        </w:rPr>
        <w:t>投标人直接控股股东信息表</w:t>
      </w:r>
    </w:p>
    <w:p w14:paraId="7C3733B2">
      <w:pPr>
        <w:snapToGrid w:val="0"/>
        <w:spacing w:before="50" w:after="120" w:afterLines="50"/>
        <w:jc w:val="center"/>
        <w:rPr>
          <w:rFonts w:asciiTheme="majorEastAsia" w:hAnsiTheme="majorEastAsia" w:eastAsiaTheme="majorEastAsia" w:cstheme="majorEastAsia"/>
          <w:b/>
          <w:sz w:val="28"/>
          <w:szCs w:val="28"/>
        </w:rPr>
      </w:pPr>
    </w:p>
    <w:p w14:paraId="7ABD2423">
      <w:pPr>
        <w:snapToGrid w:val="0"/>
        <w:spacing w:before="50" w:after="120" w:afterLines="50"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464744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F648B3">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F132F3">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8727DD">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0DC2F5">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5D5871">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5A1DF36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3C589">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D64A9D">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374FAF">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CD2CC">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9E31AC">
            <w:pPr>
              <w:spacing w:line="360" w:lineRule="auto"/>
              <w:jc w:val="center"/>
              <w:rPr>
                <w:rFonts w:asciiTheme="majorEastAsia" w:hAnsiTheme="majorEastAsia" w:eastAsiaTheme="majorEastAsia" w:cstheme="majorEastAsia"/>
                <w:kern w:val="0"/>
                <w:sz w:val="24"/>
              </w:rPr>
            </w:pPr>
          </w:p>
        </w:tc>
      </w:tr>
      <w:tr w14:paraId="0341989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8C1235">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25E14">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C69F20">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353029">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7AAB54">
            <w:pPr>
              <w:spacing w:line="360" w:lineRule="auto"/>
              <w:jc w:val="center"/>
              <w:rPr>
                <w:rFonts w:asciiTheme="majorEastAsia" w:hAnsiTheme="majorEastAsia" w:eastAsiaTheme="majorEastAsia" w:cstheme="majorEastAsia"/>
                <w:kern w:val="0"/>
                <w:sz w:val="24"/>
              </w:rPr>
            </w:pPr>
          </w:p>
        </w:tc>
      </w:tr>
      <w:tr w14:paraId="5778BD0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9B21BD">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971C9">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8869B">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5AF80">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ACB62A">
            <w:pPr>
              <w:spacing w:line="360" w:lineRule="auto"/>
              <w:jc w:val="center"/>
              <w:rPr>
                <w:rFonts w:asciiTheme="majorEastAsia" w:hAnsiTheme="majorEastAsia" w:eastAsiaTheme="majorEastAsia" w:cstheme="majorEastAsia"/>
                <w:kern w:val="0"/>
                <w:sz w:val="24"/>
              </w:rPr>
            </w:pPr>
          </w:p>
        </w:tc>
      </w:tr>
      <w:tr w14:paraId="52BBD1E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86E230">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B0AF6">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AEB252">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4241F">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D34F02">
            <w:pPr>
              <w:spacing w:line="360" w:lineRule="auto"/>
              <w:jc w:val="center"/>
              <w:rPr>
                <w:rFonts w:asciiTheme="majorEastAsia" w:hAnsiTheme="majorEastAsia" w:eastAsiaTheme="majorEastAsia" w:cstheme="majorEastAsia"/>
                <w:kern w:val="0"/>
                <w:sz w:val="24"/>
              </w:rPr>
            </w:pPr>
          </w:p>
        </w:tc>
      </w:tr>
    </w:tbl>
    <w:p w14:paraId="4B8B9163">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149DB2AC">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82FEDE">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2.本表所指的控股关系仅限于直接控股关系，不包括间接的控股关系。公司实际控制人与公司之间的关系不属于本表所指的直接控股关系。</w:t>
      </w:r>
    </w:p>
    <w:p w14:paraId="1E2EAD55">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3.供应商不存在直接控股股东的，则在“</w:t>
      </w:r>
      <w:r>
        <w:rPr>
          <w:rFonts w:hint="eastAsia" w:asciiTheme="majorEastAsia" w:hAnsiTheme="majorEastAsia" w:eastAsiaTheme="majorEastAsia" w:cstheme="majorEastAsia"/>
          <w:b/>
          <w:bCs/>
          <w:kern w:val="0"/>
          <w:sz w:val="24"/>
        </w:rPr>
        <w:t>直接控股股东名称</w:t>
      </w:r>
      <w:r>
        <w:rPr>
          <w:rFonts w:hint="eastAsia" w:asciiTheme="majorEastAsia" w:hAnsiTheme="majorEastAsia" w:eastAsiaTheme="majorEastAsia" w:cstheme="majorEastAsia"/>
          <w:sz w:val="24"/>
        </w:rPr>
        <w:t>”中填“无”。</w:t>
      </w:r>
    </w:p>
    <w:p w14:paraId="2735A0D8">
      <w:pPr>
        <w:snapToGrid w:val="0"/>
        <w:spacing w:line="360" w:lineRule="auto"/>
        <w:jc w:val="left"/>
        <w:rPr>
          <w:rFonts w:asciiTheme="majorEastAsia" w:hAnsiTheme="majorEastAsia" w:eastAsiaTheme="majorEastAsia" w:cstheme="majorEastAsia"/>
          <w:sz w:val="24"/>
        </w:rPr>
      </w:pPr>
    </w:p>
    <w:p w14:paraId="13627A85">
      <w:pPr>
        <w:snapToGrid w:val="0"/>
        <w:spacing w:line="360" w:lineRule="auto"/>
        <w:jc w:val="left"/>
        <w:rPr>
          <w:rFonts w:asciiTheme="majorEastAsia" w:hAnsiTheme="majorEastAsia" w:eastAsiaTheme="majorEastAsia" w:cstheme="majorEastAsia"/>
          <w:sz w:val="24"/>
        </w:rPr>
      </w:pPr>
    </w:p>
    <w:p w14:paraId="1F6285DD">
      <w:pPr>
        <w:snapToGrid w:val="0"/>
        <w:spacing w:line="360" w:lineRule="auto"/>
        <w:jc w:val="left"/>
        <w:rPr>
          <w:rFonts w:asciiTheme="majorEastAsia" w:hAnsiTheme="majorEastAsia" w:eastAsiaTheme="majorEastAsia" w:cstheme="majorEastAsia"/>
          <w:sz w:val="24"/>
        </w:rPr>
      </w:pPr>
    </w:p>
    <w:p w14:paraId="16F2F253">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63B3B48B">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CA32252">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6D641DF5">
      <w:pPr>
        <w:snapToGrid w:val="0"/>
        <w:jc w:val="center"/>
        <w:rPr>
          <w:rFonts w:asciiTheme="majorEastAsia" w:hAnsiTheme="majorEastAsia" w:eastAsiaTheme="majorEastAsia" w:cstheme="majorEastAsia"/>
          <w:b/>
          <w:sz w:val="28"/>
          <w:szCs w:val="28"/>
        </w:rPr>
      </w:pPr>
    </w:p>
    <w:p w14:paraId="10A81144">
      <w:pPr>
        <w:snapToGrid w:val="0"/>
        <w:spacing w:line="360" w:lineRule="auto"/>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br w:type="page"/>
      </w:r>
      <w:r>
        <w:rPr>
          <w:rFonts w:hint="eastAsia" w:asciiTheme="majorEastAsia" w:hAnsiTheme="majorEastAsia" w:eastAsiaTheme="majorEastAsia" w:cstheme="majorEastAsia"/>
          <w:b/>
          <w:sz w:val="24"/>
        </w:rPr>
        <w:t>4.</w:t>
      </w:r>
      <w:r>
        <w:rPr>
          <w:rFonts w:hint="eastAsia" w:asciiTheme="majorEastAsia" w:hAnsiTheme="majorEastAsia" w:eastAsiaTheme="majorEastAsia" w:cstheme="majorEastAsia"/>
          <w:b/>
          <w:sz w:val="28"/>
          <w:szCs w:val="28"/>
        </w:rPr>
        <w:t>投标人直接管理关系信息表</w:t>
      </w:r>
    </w:p>
    <w:p w14:paraId="30FF95BD">
      <w:pPr>
        <w:snapToGrid w:val="0"/>
        <w:spacing w:line="360" w:lineRule="auto"/>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C988472">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29B15F">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F8DA87">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890512">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B63206">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3E71F0C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45DD5">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4606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1D8BC">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9703F">
            <w:pPr>
              <w:spacing w:line="360" w:lineRule="auto"/>
              <w:jc w:val="center"/>
              <w:rPr>
                <w:rFonts w:asciiTheme="majorEastAsia" w:hAnsiTheme="majorEastAsia" w:eastAsiaTheme="majorEastAsia" w:cstheme="majorEastAsia"/>
                <w:kern w:val="0"/>
                <w:sz w:val="24"/>
              </w:rPr>
            </w:pPr>
          </w:p>
        </w:tc>
      </w:tr>
      <w:tr w14:paraId="2FD3C2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E32FA4">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6E24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FA41A1">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A2BB09">
            <w:pPr>
              <w:spacing w:line="360" w:lineRule="auto"/>
              <w:jc w:val="center"/>
              <w:rPr>
                <w:rFonts w:asciiTheme="majorEastAsia" w:hAnsiTheme="majorEastAsia" w:eastAsiaTheme="majorEastAsia" w:cstheme="majorEastAsia"/>
                <w:kern w:val="0"/>
                <w:sz w:val="24"/>
              </w:rPr>
            </w:pPr>
          </w:p>
        </w:tc>
      </w:tr>
      <w:tr w14:paraId="5DBF60B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FF7FAE">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8FB67">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B498A">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342722">
            <w:pPr>
              <w:spacing w:line="360" w:lineRule="auto"/>
              <w:jc w:val="center"/>
              <w:rPr>
                <w:rFonts w:asciiTheme="majorEastAsia" w:hAnsiTheme="majorEastAsia" w:eastAsiaTheme="majorEastAsia" w:cstheme="majorEastAsia"/>
                <w:kern w:val="0"/>
                <w:sz w:val="24"/>
              </w:rPr>
            </w:pPr>
          </w:p>
        </w:tc>
      </w:tr>
      <w:tr w14:paraId="1115A22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550680">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1118E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413920">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ED0C7A">
            <w:pPr>
              <w:spacing w:line="360" w:lineRule="auto"/>
              <w:jc w:val="center"/>
              <w:rPr>
                <w:rFonts w:asciiTheme="majorEastAsia" w:hAnsiTheme="majorEastAsia" w:eastAsiaTheme="majorEastAsia" w:cstheme="majorEastAsia"/>
                <w:kern w:val="0"/>
                <w:sz w:val="24"/>
              </w:rPr>
            </w:pPr>
          </w:p>
        </w:tc>
      </w:tr>
    </w:tbl>
    <w:p w14:paraId="7AC613FA">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2863D8AD">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1.管理关系：是指不具有出资持股关系的其他单位之间存在的管理与被管理关系，如一些上下级关系的事业单位和团体组织。</w:t>
      </w:r>
    </w:p>
    <w:p w14:paraId="4B5DA878">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pacing w:val="-6"/>
          <w:sz w:val="24"/>
        </w:rPr>
        <w:t>本表所指的管理关系仅限于直接管理关系，不包括间接的管理关系。</w:t>
      </w:r>
    </w:p>
    <w:p w14:paraId="6093E549">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3.供应商不存在直接管理关系的，则在“</w:t>
      </w:r>
      <w:r>
        <w:rPr>
          <w:rFonts w:hint="eastAsia" w:asciiTheme="majorEastAsia" w:hAnsiTheme="majorEastAsia" w:eastAsiaTheme="majorEastAsia" w:cstheme="majorEastAsia"/>
          <w:b/>
          <w:bCs/>
          <w:kern w:val="0"/>
          <w:sz w:val="24"/>
        </w:rPr>
        <w:t>直接管理关系单位名称</w:t>
      </w:r>
      <w:r>
        <w:rPr>
          <w:rFonts w:hint="eastAsia" w:asciiTheme="majorEastAsia" w:hAnsiTheme="majorEastAsia" w:eastAsiaTheme="majorEastAsia" w:cstheme="majorEastAsia"/>
          <w:sz w:val="24"/>
        </w:rPr>
        <w:t>”中填“无”。</w:t>
      </w:r>
    </w:p>
    <w:p w14:paraId="3A49D285">
      <w:pPr>
        <w:snapToGrid w:val="0"/>
        <w:spacing w:line="360" w:lineRule="auto"/>
        <w:jc w:val="left"/>
        <w:rPr>
          <w:rFonts w:asciiTheme="majorEastAsia" w:hAnsiTheme="majorEastAsia" w:eastAsiaTheme="majorEastAsia" w:cstheme="majorEastAsia"/>
          <w:sz w:val="24"/>
        </w:rPr>
      </w:pPr>
    </w:p>
    <w:p w14:paraId="796EE2EA">
      <w:pPr>
        <w:snapToGrid w:val="0"/>
        <w:spacing w:line="360" w:lineRule="auto"/>
        <w:jc w:val="left"/>
        <w:rPr>
          <w:rFonts w:asciiTheme="majorEastAsia" w:hAnsiTheme="majorEastAsia" w:eastAsiaTheme="majorEastAsia" w:cstheme="majorEastAsia"/>
          <w:sz w:val="24"/>
        </w:rPr>
      </w:pPr>
    </w:p>
    <w:p w14:paraId="19F062FD">
      <w:pPr>
        <w:snapToGrid w:val="0"/>
        <w:spacing w:line="360" w:lineRule="auto"/>
        <w:jc w:val="left"/>
        <w:rPr>
          <w:rFonts w:asciiTheme="majorEastAsia" w:hAnsiTheme="majorEastAsia" w:eastAsiaTheme="majorEastAsia" w:cstheme="majorEastAsia"/>
          <w:sz w:val="24"/>
        </w:rPr>
      </w:pPr>
    </w:p>
    <w:p w14:paraId="45DF87F0">
      <w:pPr>
        <w:snapToGrid w:val="0"/>
        <w:spacing w:line="360" w:lineRule="auto"/>
        <w:jc w:val="left"/>
        <w:rPr>
          <w:rFonts w:asciiTheme="majorEastAsia" w:hAnsiTheme="majorEastAsia" w:eastAsiaTheme="majorEastAsia" w:cstheme="majorEastAsia"/>
          <w:sz w:val="24"/>
        </w:rPr>
      </w:pPr>
    </w:p>
    <w:p w14:paraId="01FA6CAC">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07EBA3C5">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22B06408">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037ECEC1">
      <w:pPr>
        <w:snapToGrid w:val="0"/>
        <w:spacing w:before="120" w:beforeLines="50" w:after="50"/>
        <w:jc w:val="left"/>
        <w:rPr>
          <w:rFonts w:asciiTheme="majorEastAsia" w:hAnsiTheme="majorEastAsia" w:eastAsiaTheme="majorEastAsia" w:cstheme="majorEastAsia"/>
          <w:b/>
          <w:sz w:val="24"/>
          <w:szCs w:val="20"/>
        </w:rPr>
      </w:pPr>
    </w:p>
    <w:p w14:paraId="2193D74E">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5.投标声明</w:t>
      </w:r>
    </w:p>
    <w:p w14:paraId="5988C8B5">
      <w:pPr>
        <w:snapToGrid w:val="0"/>
        <w:spacing w:before="50" w:after="120" w:afterLines="50"/>
        <w:jc w:val="left"/>
        <w:rPr>
          <w:rFonts w:asciiTheme="majorEastAsia" w:hAnsiTheme="majorEastAsia" w:eastAsiaTheme="majorEastAsia" w:cstheme="majorEastAsia"/>
        </w:rPr>
      </w:pPr>
    </w:p>
    <w:p w14:paraId="2BC71AA4">
      <w:pPr>
        <w:snapToGrid w:val="0"/>
        <w:spacing w:before="50" w:after="120" w:afterLines="50"/>
        <w:jc w:val="center"/>
        <w:rPr>
          <w:rFonts w:asciiTheme="majorEastAsia" w:hAnsiTheme="majorEastAsia" w:eastAsiaTheme="majorEastAsia" w:cstheme="majorEastAsia"/>
          <w:bCs/>
          <w:sz w:val="44"/>
          <w:szCs w:val="44"/>
        </w:rPr>
      </w:pPr>
      <w:bookmarkStart w:id="148" w:name="_Toc19686838"/>
      <w:r>
        <w:rPr>
          <w:rFonts w:hint="eastAsia" w:asciiTheme="majorEastAsia" w:hAnsiTheme="majorEastAsia" w:eastAsiaTheme="majorEastAsia" w:cstheme="majorEastAsia"/>
          <w:bCs/>
          <w:sz w:val="44"/>
          <w:szCs w:val="44"/>
        </w:rPr>
        <w:t>投标声明</w:t>
      </w:r>
    </w:p>
    <w:p w14:paraId="7EA8559D">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（采购人名称）         </w:t>
      </w:r>
      <w:r>
        <w:rPr>
          <w:rFonts w:hint="eastAsia" w:asciiTheme="majorEastAsia" w:hAnsiTheme="majorEastAsia" w:eastAsiaTheme="majorEastAsia" w:cstheme="majorEastAsia"/>
          <w:sz w:val="24"/>
        </w:rPr>
        <w:t xml:space="preserve"> ：</w:t>
      </w:r>
    </w:p>
    <w:p w14:paraId="7EA5E764">
      <w:pPr>
        <w:spacing w:line="400" w:lineRule="exact"/>
        <w:ind w:firstLine="523" w:firstLineChars="218"/>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我方参加贵单位组织</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项目（项目编号：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）的政府采购活动。我方在此郑重声明：</w:t>
      </w:r>
    </w:p>
    <w:p w14:paraId="54A55B31">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267613">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2.我方不是为本次采购项目提供整体设计、规范编制或者项目管理、监理、检测等服务的供应商。</w:t>
      </w:r>
    </w:p>
    <w:p w14:paraId="540F6977">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我方承诺符合《中华人民共和国政府采购法》第二十二条规定：</w:t>
      </w:r>
    </w:p>
    <w:p w14:paraId="702583BA">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（一）具有独立承担民事责任的能力；</w:t>
      </w:r>
    </w:p>
    <w:p w14:paraId="56587855">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（二）具有良好的商业信誉和健全的财务会计制度；</w:t>
      </w:r>
    </w:p>
    <w:p w14:paraId="746EA323">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（三）具有履行合同所必需的设备和专业技术能力；</w:t>
      </w:r>
    </w:p>
    <w:p w14:paraId="0D98E08D">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（四）有依法缴纳税收和社会保障资金的良好记录；</w:t>
      </w:r>
    </w:p>
    <w:p w14:paraId="4698888F">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（五）参加政府采购活动前三年内，在经营活动中没有重大违法记录；</w:t>
      </w:r>
    </w:p>
    <w:p w14:paraId="0E96A90C">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（六）法律、行政法规规定的其他条件。</w:t>
      </w:r>
    </w:p>
    <w:p w14:paraId="600481EB">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4.以上事项如有虚假或者隐瞒，我方愿意承担一切后果，并不再寻求任何旨在减轻或者免除法律责任的辩解。</w:t>
      </w:r>
    </w:p>
    <w:p w14:paraId="5D1A9279">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特此承诺。</w:t>
      </w:r>
    </w:p>
    <w:p w14:paraId="190CBFF7">
      <w:pPr>
        <w:snapToGrid w:val="0"/>
        <w:spacing w:before="50" w:after="50"/>
        <w:rPr>
          <w:rFonts w:asciiTheme="majorEastAsia" w:hAnsiTheme="majorEastAsia" w:eastAsiaTheme="majorEastAsia" w:cstheme="majorEastAsia"/>
          <w:sz w:val="24"/>
        </w:rPr>
      </w:pPr>
    </w:p>
    <w:p w14:paraId="4584519D">
      <w:pPr>
        <w:snapToGrid w:val="0"/>
        <w:spacing w:before="50" w:after="50"/>
        <w:ind w:firstLine="840" w:firstLineChars="3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r>
        <w:rPr>
          <w:rFonts w:hint="eastAsia" w:asciiTheme="majorEastAsia" w:hAnsiTheme="majorEastAsia" w:eastAsiaTheme="majorEastAsia" w:cstheme="majorEastAsia"/>
          <w:spacing w:val="20"/>
          <w:sz w:val="24"/>
          <w:u w:val="single"/>
        </w:rPr>
        <w:t xml:space="preserve">          </w:t>
      </w:r>
    </w:p>
    <w:p w14:paraId="42E89281">
      <w:pPr>
        <w:spacing w:line="400" w:lineRule="exact"/>
        <w:contextualSpacing/>
        <w:jc w:val="left"/>
        <w:rPr>
          <w:rFonts w:asciiTheme="majorEastAsia" w:hAnsiTheme="majorEastAsia" w:eastAsiaTheme="majorEastAsia" w:cstheme="majorEastAsia"/>
          <w:sz w:val="24"/>
        </w:rPr>
      </w:pPr>
    </w:p>
    <w:p w14:paraId="2D452E20">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r>
        <w:rPr>
          <w:rFonts w:hint="eastAsia" w:asciiTheme="majorEastAsia" w:hAnsiTheme="majorEastAsia" w:eastAsiaTheme="majorEastAsia" w:cstheme="majorEastAsia"/>
          <w:sz w:val="24"/>
          <w:u w:val="single"/>
        </w:rPr>
        <w:t xml:space="preserve">                   </w:t>
      </w:r>
    </w:p>
    <w:p w14:paraId="6BB1C7B4">
      <w:pPr>
        <w:spacing w:line="400" w:lineRule="exact"/>
        <w:contextualSpacing/>
        <w:jc w:val="left"/>
        <w:rPr>
          <w:rFonts w:asciiTheme="majorEastAsia" w:hAnsiTheme="majorEastAsia" w:eastAsiaTheme="majorEastAsia" w:cstheme="majorEastAsia"/>
        </w:rPr>
      </w:pPr>
      <w:r>
        <w:rPr>
          <w:rFonts w:hint="eastAsia" w:asciiTheme="majorEastAsia" w:hAnsiTheme="majorEastAsia" w:eastAsiaTheme="majorEastAsia" w:cstheme="majorEastAsia"/>
          <w:sz w:val="24"/>
        </w:rPr>
        <w:t xml:space="preserve">                                                  年    月    日</w:t>
      </w:r>
    </w:p>
    <w:p w14:paraId="7F411AFF">
      <w:pPr>
        <w:spacing w:line="440" w:lineRule="exact"/>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注：如为联合体投标，盖章处须加盖联合体牵头人电子签章并由联合体牵头人法定代表人签字或者盖章或者电子签名，否则投标无效。</w:t>
      </w:r>
    </w:p>
    <w:p w14:paraId="4AE0AE8F">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br w:type="page"/>
      </w:r>
      <w:r>
        <w:rPr>
          <w:rFonts w:hint="eastAsia" w:asciiTheme="majorEastAsia" w:hAnsiTheme="majorEastAsia" w:eastAsiaTheme="majorEastAsia" w:cstheme="majorEastAsia"/>
          <w:b/>
          <w:sz w:val="28"/>
          <w:szCs w:val="28"/>
        </w:rPr>
        <w:t>三、商务及技术文件格式</w:t>
      </w:r>
      <w:bookmarkEnd w:id="148"/>
    </w:p>
    <w:p w14:paraId="5BC32530">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1.商务及技术文件封面格式： </w:t>
      </w:r>
    </w:p>
    <w:p w14:paraId="721E6DF3">
      <w:pPr>
        <w:snapToGrid w:val="0"/>
        <w:spacing w:before="120" w:beforeLines="50" w:after="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Cs/>
          <w:sz w:val="48"/>
          <w:szCs w:val="48"/>
        </w:rPr>
        <w:t>电子投标文件</w:t>
      </w:r>
    </w:p>
    <w:p w14:paraId="1AF40858">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商务及技术文件</w:t>
      </w:r>
    </w:p>
    <w:p w14:paraId="4949BB95">
      <w:pPr>
        <w:snapToGrid w:val="0"/>
        <w:spacing w:before="120" w:beforeLines="50" w:after="50"/>
        <w:rPr>
          <w:rFonts w:asciiTheme="majorEastAsia" w:hAnsiTheme="majorEastAsia" w:eastAsiaTheme="majorEastAsia" w:cstheme="majorEastAsia"/>
          <w:bCs/>
          <w:sz w:val="24"/>
          <w:szCs w:val="20"/>
        </w:rPr>
      </w:pPr>
    </w:p>
    <w:p w14:paraId="58687980">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551B4FB4">
      <w:pPr>
        <w:snapToGrid w:val="0"/>
        <w:spacing w:before="120" w:beforeLines="50" w:after="50"/>
        <w:ind w:firstLine="540" w:firstLineChars="225"/>
        <w:rPr>
          <w:rFonts w:asciiTheme="majorEastAsia" w:hAnsiTheme="majorEastAsia" w:eastAsiaTheme="majorEastAsia" w:cstheme="majorEastAsia"/>
          <w:bCs/>
          <w:sz w:val="24"/>
          <w:szCs w:val="20"/>
        </w:rPr>
      </w:pPr>
    </w:p>
    <w:p w14:paraId="674F15B0">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0A6E8450">
      <w:pPr>
        <w:snapToGrid w:val="0"/>
        <w:spacing w:before="120" w:beforeLines="50" w:after="50"/>
        <w:ind w:firstLine="540" w:firstLineChars="225"/>
        <w:rPr>
          <w:rFonts w:asciiTheme="majorEastAsia" w:hAnsiTheme="majorEastAsia" w:eastAsiaTheme="majorEastAsia" w:cstheme="majorEastAsia"/>
          <w:bCs/>
          <w:sz w:val="24"/>
          <w:szCs w:val="20"/>
        </w:rPr>
      </w:pPr>
    </w:p>
    <w:p w14:paraId="7CFBF2D2">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21597B20">
      <w:pPr>
        <w:snapToGrid w:val="0"/>
        <w:spacing w:before="120" w:beforeLines="50" w:after="50"/>
        <w:ind w:firstLine="540" w:firstLineChars="225"/>
        <w:rPr>
          <w:rFonts w:asciiTheme="majorEastAsia" w:hAnsiTheme="majorEastAsia" w:eastAsiaTheme="majorEastAsia" w:cstheme="majorEastAsia"/>
          <w:bCs/>
          <w:sz w:val="24"/>
          <w:szCs w:val="20"/>
        </w:rPr>
      </w:pPr>
    </w:p>
    <w:p w14:paraId="118AAB68">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769AE1D2">
      <w:pPr>
        <w:pStyle w:val="7"/>
        <w:snapToGrid w:val="0"/>
        <w:spacing w:before="50" w:after="50"/>
        <w:ind w:firstLine="540" w:firstLineChars="225"/>
        <w:rPr>
          <w:rFonts w:asciiTheme="majorEastAsia" w:hAnsiTheme="majorEastAsia" w:eastAsiaTheme="majorEastAsia" w:cstheme="majorEastAsia"/>
          <w:bCs/>
          <w:sz w:val="24"/>
          <w:szCs w:val="24"/>
        </w:rPr>
      </w:pPr>
    </w:p>
    <w:p w14:paraId="1705D85B">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投标人地址：</w:t>
      </w:r>
    </w:p>
    <w:p w14:paraId="6EC8D0CE">
      <w:pPr>
        <w:pStyle w:val="7"/>
        <w:snapToGrid w:val="0"/>
        <w:spacing w:before="50" w:after="50"/>
        <w:ind w:firstLine="960" w:firstLineChars="400"/>
        <w:rPr>
          <w:rFonts w:asciiTheme="majorEastAsia" w:hAnsiTheme="majorEastAsia" w:eastAsiaTheme="majorEastAsia" w:cstheme="majorEastAsia"/>
          <w:bCs/>
          <w:sz w:val="24"/>
          <w:szCs w:val="24"/>
        </w:rPr>
      </w:pPr>
    </w:p>
    <w:p w14:paraId="60128442">
      <w:pPr>
        <w:snapToGrid w:val="0"/>
        <w:spacing w:before="120" w:beforeLines="50" w:after="50"/>
        <w:ind w:firstLine="6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2459895A">
      <w:pPr>
        <w:snapToGrid w:val="0"/>
        <w:spacing w:before="120" w:beforeLines="50" w:after="50"/>
        <w:rPr>
          <w:rFonts w:asciiTheme="majorEastAsia" w:hAnsiTheme="majorEastAsia" w:eastAsiaTheme="majorEastAsia" w:cstheme="majorEastAsia"/>
          <w:sz w:val="24"/>
          <w:szCs w:val="20"/>
        </w:rPr>
      </w:pPr>
    </w:p>
    <w:p w14:paraId="4BD4D66B">
      <w:pPr>
        <w:snapToGrid w:val="0"/>
        <w:spacing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2.商务及技术文件目录</w:t>
      </w:r>
    </w:p>
    <w:p w14:paraId="51075D0E">
      <w:pPr>
        <w:snapToGrid w:val="0"/>
        <w:spacing w:before="50" w:after="120" w:afterLines="50" w:line="360" w:lineRule="auto"/>
        <w:ind w:firstLine="560" w:firstLineChars="200"/>
        <w:jc w:val="lef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28"/>
          <w:szCs w:val="28"/>
        </w:rPr>
        <w:t>根据招标文件规定及投标人提供的材料自行编写目录。</w:t>
      </w:r>
    </w:p>
    <w:p w14:paraId="43463425">
      <w:pPr>
        <w:snapToGrid w:val="0"/>
        <w:spacing w:before="50" w:after="120" w:afterLines="50"/>
        <w:jc w:val="left"/>
        <w:rPr>
          <w:rFonts w:asciiTheme="majorEastAsia" w:hAnsiTheme="majorEastAsia" w:eastAsiaTheme="majorEastAsia" w:cstheme="majorEastAsia"/>
        </w:rPr>
      </w:pPr>
    </w:p>
    <w:p w14:paraId="537B7D37">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3.投标人参加本项目无围标串标行为的承诺</w:t>
      </w:r>
    </w:p>
    <w:p w14:paraId="167049C8">
      <w:pPr>
        <w:snapToGrid w:val="0"/>
        <w:spacing w:before="120" w:beforeLines="50" w:after="50"/>
        <w:jc w:val="left"/>
        <w:rPr>
          <w:rFonts w:asciiTheme="majorEastAsia" w:hAnsiTheme="majorEastAsia" w:eastAsiaTheme="majorEastAsia" w:cstheme="majorEastAsia"/>
          <w:b/>
          <w:sz w:val="24"/>
        </w:rPr>
      </w:pPr>
    </w:p>
    <w:p w14:paraId="11F54BF9">
      <w:pPr>
        <w:spacing w:line="360" w:lineRule="auto"/>
        <w:ind w:left="420"/>
        <w:contextualSpacing/>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Cs/>
          <w:spacing w:val="-11"/>
          <w:sz w:val="44"/>
          <w:szCs w:val="44"/>
        </w:rPr>
        <w:t>投标人参加本项目无围标串标行为的承诺函</w:t>
      </w:r>
    </w:p>
    <w:p w14:paraId="37FF6A50">
      <w:pPr>
        <w:spacing w:line="440" w:lineRule="exact"/>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一、我方承诺无下列相互串通投标的情形：</w:t>
      </w:r>
    </w:p>
    <w:p w14:paraId="231A6D6D">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1.不同投标人的投标文件由同一单位或者个人编制；</w:t>
      </w:r>
    </w:p>
    <w:p w14:paraId="6369F6F7">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2.不同投标人委托同一单位或者个人办理投标事宜；</w:t>
      </w:r>
    </w:p>
    <w:p w14:paraId="615497E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3.不同的投标人的投标文件载明的项目管理员为同一个人；</w:t>
      </w:r>
    </w:p>
    <w:p w14:paraId="11D2B8C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4.不同投标人的投标文件异常一致或者投标报价呈规律性差异；</w:t>
      </w:r>
    </w:p>
    <w:p w14:paraId="3E4904F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5.不同投标人的投标文件相互混装；</w:t>
      </w:r>
    </w:p>
    <w:p w14:paraId="580EF6E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6.不同投标人的投标保证金从同一单位或者个人账户转出。</w:t>
      </w:r>
    </w:p>
    <w:p w14:paraId="01A876E5">
      <w:pPr>
        <w:spacing w:line="44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二、我方承诺无下列恶意串通的情形：</w:t>
      </w:r>
    </w:p>
    <w:p w14:paraId="42DAA66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1.投标人直接或者间接从采购人或者采购代理机构处获得其他投标人的相关信息并修改其投标文件或者响应文件；</w:t>
      </w:r>
    </w:p>
    <w:p w14:paraId="651DC86E">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2.投标人按照采购人或者采购代理机构的授意撤换、修改投标文件或者响应文件；</w:t>
      </w:r>
    </w:p>
    <w:p w14:paraId="13878DA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3.投标人之间协商报价、技术方案等投标文件或者响应文件的实质性内容；</w:t>
      </w:r>
    </w:p>
    <w:p w14:paraId="737C4AB2">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4.属于同一集团、协会、商会等组织成员的投标人按照该组织要求协同参加政府采购活动；</w:t>
      </w:r>
    </w:p>
    <w:p w14:paraId="3F7A7D4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5.投标人之间事先约定一致抬高或者压低投标报价，或者在招标项目中事先约定轮流以高价位或者低价位中标，或者事先约定由某一特定投标人中标，然后再参加投标；</w:t>
      </w:r>
    </w:p>
    <w:p w14:paraId="051E045D">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6.投标人之间商定部分投标人放弃参加政府采购活动或者放弃中标；</w:t>
      </w:r>
    </w:p>
    <w:p w14:paraId="331D1A2A">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7.投标人与采购人或者采购代理机构之间、投标人相互之间，为谋求特定投标人中标或者排斥其他投标人的其他串通行为。</w:t>
      </w:r>
    </w:p>
    <w:p w14:paraId="50C498C7">
      <w:pPr>
        <w:spacing w:line="440" w:lineRule="exact"/>
        <w:ind w:firstLine="472" w:firstLineChars="196"/>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以上情形一经核查属实，我方愿意承担一切后果，并不再寻求任何旨在减轻或者免除法律责任的辩解。</w:t>
      </w:r>
    </w:p>
    <w:p w14:paraId="1452A67D">
      <w:pPr>
        <w:pStyle w:val="25"/>
        <w:spacing w:line="440" w:lineRule="exact"/>
        <w:ind w:firstLine="960" w:firstLineChars="4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47A2D3EC">
      <w:pPr>
        <w:pStyle w:val="25"/>
        <w:spacing w:line="440" w:lineRule="exact"/>
        <w:contextualSpacing/>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投标人名称（电子签章）</w:t>
      </w:r>
    </w:p>
    <w:p w14:paraId="378D0664">
      <w:pPr>
        <w:pStyle w:val="25"/>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年月日</w:t>
      </w:r>
    </w:p>
    <w:p w14:paraId="68450F18">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4.法定代表人身份证明</w:t>
      </w:r>
    </w:p>
    <w:p w14:paraId="73C7D6E1">
      <w:pPr>
        <w:spacing w:before="240" w:beforeLines="100" w:after="120" w:afterLines="50"/>
        <w:ind w:left="540"/>
        <w:jc w:val="center"/>
        <w:rPr>
          <w:rFonts w:asciiTheme="majorEastAsia" w:hAnsiTheme="majorEastAsia" w:eastAsiaTheme="majorEastAsia" w:cstheme="majorEastAsia"/>
          <w:b/>
          <w:sz w:val="32"/>
          <w:szCs w:val="32"/>
        </w:rPr>
      </w:pPr>
    </w:p>
    <w:p w14:paraId="79AEE703">
      <w:pPr>
        <w:spacing w:before="240" w:beforeLines="100" w:after="120" w:afterLines="50"/>
        <w:ind w:left="54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法定代表人身份证明</w:t>
      </w:r>
    </w:p>
    <w:p w14:paraId="23D8F9C7">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 标 人：</w:t>
      </w:r>
      <w:r>
        <w:rPr>
          <w:rFonts w:hint="eastAsia" w:asciiTheme="majorEastAsia" w:hAnsiTheme="majorEastAsia" w:eastAsiaTheme="majorEastAsia" w:cstheme="majorEastAsia"/>
          <w:sz w:val="24"/>
          <w:u w:val="single"/>
        </w:rPr>
        <w:t xml:space="preserve">                                           </w:t>
      </w:r>
    </w:p>
    <w:p w14:paraId="1FF1D443">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u w:val="single"/>
        </w:rPr>
        <w:t xml:space="preserve">                                          </w:t>
      </w:r>
    </w:p>
    <w:p w14:paraId="5A051FF7">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    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性      别：</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BE12173">
      <w:pPr>
        <w:spacing w:line="500" w:lineRule="exact"/>
        <w:ind w:left="54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年    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职      务：</w:t>
      </w:r>
      <w:r>
        <w:rPr>
          <w:rFonts w:hint="eastAsia" w:asciiTheme="majorEastAsia" w:hAnsiTheme="majorEastAsia" w:eastAsiaTheme="majorEastAsia" w:cstheme="majorEastAsia"/>
          <w:sz w:val="24"/>
          <w:u w:val="single"/>
        </w:rPr>
        <w:t xml:space="preserve">             </w:t>
      </w:r>
    </w:p>
    <w:p w14:paraId="0F55337E">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身份证号码：</w:t>
      </w:r>
      <w:r>
        <w:rPr>
          <w:rFonts w:hint="eastAsia" w:asciiTheme="majorEastAsia" w:hAnsiTheme="majorEastAsia" w:eastAsiaTheme="majorEastAsia" w:cstheme="majorEastAsia"/>
          <w:sz w:val="24"/>
          <w:u w:val="single"/>
        </w:rPr>
        <w:t xml:space="preserve">                                         </w:t>
      </w:r>
    </w:p>
    <w:p w14:paraId="61A4F559">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系</w:t>
      </w:r>
      <w:r>
        <w:rPr>
          <w:rFonts w:hint="eastAsia" w:asciiTheme="majorEastAsia" w:hAnsiTheme="majorEastAsia" w:eastAsiaTheme="majorEastAsia" w:cstheme="majorEastAsia"/>
          <w:sz w:val="24"/>
          <w:u w:val="single"/>
        </w:rPr>
        <w:t xml:space="preserve">            （投标人名称）              </w:t>
      </w:r>
      <w:r>
        <w:rPr>
          <w:rFonts w:hint="eastAsia" w:asciiTheme="majorEastAsia" w:hAnsiTheme="majorEastAsia" w:eastAsiaTheme="majorEastAsia" w:cstheme="majorEastAsia"/>
          <w:sz w:val="24"/>
        </w:rPr>
        <w:t>的法定代表人。</w:t>
      </w:r>
    </w:p>
    <w:p w14:paraId="38EE2210">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特此证明。</w:t>
      </w:r>
    </w:p>
    <w:p w14:paraId="2B419295">
      <w:pPr>
        <w:spacing w:line="500" w:lineRule="exact"/>
        <w:ind w:left="540"/>
        <w:rPr>
          <w:rFonts w:asciiTheme="majorEastAsia" w:hAnsiTheme="majorEastAsia" w:eastAsiaTheme="majorEastAsia" w:cstheme="majorEastAsia"/>
          <w:sz w:val="24"/>
        </w:rPr>
      </w:pPr>
    </w:p>
    <w:p w14:paraId="5EE31092">
      <w:pPr>
        <w:spacing w:line="500" w:lineRule="exact"/>
        <w:ind w:left="540"/>
        <w:rPr>
          <w:rFonts w:asciiTheme="majorEastAsia" w:hAnsiTheme="majorEastAsia" w:eastAsiaTheme="majorEastAsia" w:cstheme="majorEastAsia"/>
          <w:sz w:val="24"/>
        </w:rPr>
      </w:pPr>
    </w:p>
    <w:p w14:paraId="6CC6FEFC">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附件：法定代表人有效身份证正反面复印件</w:t>
      </w:r>
    </w:p>
    <w:p w14:paraId="45D34235">
      <w:pPr>
        <w:spacing w:line="500" w:lineRule="exact"/>
        <w:ind w:left="540"/>
        <w:rPr>
          <w:rFonts w:asciiTheme="majorEastAsia" w:hAnsiTheme="majorEastAsia" w:eastAsiaTheme="majorEastAsia" w:cstheme="majorEastAsia"/>
          <w:sz w:val="24"/>
        </w:rPr>
      </w:pPr>
    </w:p>
    <w:p w14:paraId="22BF8834">
      <w:pPr>
        <w:wordWrap w:val="0"/>
        <w:spacing w:line="500" w:lineRule="exact"/>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投标人名称（电子签章）</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7A9A762E">
      <w:pPr>
        <w:spacing w:line="500" w:lineRule="exact"/>
        <w:ind w:left="540"/>
        <w:jc w:val="right"/>
        <w:rPr>
          <w:rFonts w:asciiTheme="majorEastAsia" w:hAnsiTheme="majorEastAsia" w:eastAsiaTheme="majorEastAsia" w:cstheme="majorEastAsia"/>
          <w:sz w:val="24"/>
        </w:rPr>
      </w:pPr>
    </w:p>
    <w:p w14:paraId="031F5106">
      <w:pPr>
        <w:snapToGrid w:val="0"/>
        <w:spacing w:before="120" w:beforeLines="50" w:after="50"/>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12F3E585">
      <w:pPr>
        <w:snapToGrid w:val="0"/>
        <w:spacing w:before="120" w:beforeLines="50" w:after="50"/>
        <w:jc w:val="center"/>
        <w:rPr>
          <w:rFonts w:asciiTheme="majorEastAsia" w:hAnsiTheme="majorEastAsia" w:eastAsiaTheme="majorEastAsia" w:cstheme="majorEastAsia"/>
          <w:b/>
          <w:sz w:val="24"/>
        </w:rPr>
      </w:pPr>
    </w:p>
    <w:p w14:paraId="7C53BAE9">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注：自然人投标的无需提供</w:t>
      </w:r>
    </w:p>
    <w:p w14:paraId="0D569386">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p>
    <w:p w14:paraId="5E779676">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5.授权委托书格式</w:t>
      </w:r>
    </w:p>
    <w:p w14:paraId="51B97FAB">
      <w:pPr>
        <w:spacing w:line="360" w:lineRule="auto"/>
        <w:contextualSpacing/>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授权委托书</w:t>
      </w:r>
    </w:p>
    <w:p w14:paraId="796616F5">
      <w:pPr>
        <w:spacing w:line="360" w:lineRule="auto"/>
        <w:contextualSpacing/>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（非联合体投标格式）</w:t>
      </w:r>
    </w:p>
    <w:p w14:paraId="58D268E6">
      <w:pPr>
        <w:spacing w:line="360" w:lineRule="auto"/>
        <w:contextualSpacing/>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32"/>
          <w:szCs w:val="32"/>
        </w:rPr>
        <w:t>（如有委托时）</w:t>
      </w:r>
    </w:p>
    <w:p w14:paraId="32591B47">
      <w:pPr>
        <w:spacing w:line="440" w:lineRule="exact"/>
        <w:contextualSpacing/>
        <w:jc w:val="center"/>
        <w:rPr>
          <w:rFonts w:asciiTheme="majorEastAsia" w:hAnsiTheme="majorEastAsia" w:eastAsiaTheme="majorEastAsia" w:cstheme="majorEastAsia"/>
          <w:b/>
          <w:sz w:val="24"/>
        </w:rPr>
      </w:pPr>
    </w:p>
    <w:p w14:paraId="6A6E04A7">
      <w:pPr>
        <w:spacing w:line="440" w:lineRule="exact"/>
        <w:contextualSpacing/>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1BEF1610">
      <w:pPr>
        <w:spacing w:line="440" w:lineRule="exact"/>
        <w:ind w:firstLine="566" w:firstLineChars="236"/>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（姓名）系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（投标人名称）的法定代表人，现授权委托</w:t>
      </w:r>
      <w:r>
        <w:rPr>
          <w:rFonts w:hint="eastAsia" w:asciiTheme="majorEastAsia" w:hAnsiTheme="majorEastAsia" w:eastAsiaTheme="majorEastAsia" w:cstheme="majorEastAsia"/>
          <w:sz w:val="24"/>
          <w:u w:val="single"/>
        </w:rPr>
        <w:t xml:space="preserve">              （姓名）</w:t>
      </w:r>
      <w:r>
        <w:rPr>
          <w:rFonts w:hint="eastAsia" w:asciiTheme="majorEastAsia" w:hAnsiTheme="majorEastAsia" w:eastAsiaTheme="majorEastAsia" w:cstheme="majorEastAsia"/>
          <w:sz w:val="24"/>
        </w:rPr>
        <w:t>以我方的名义参加项目的投标活动，并代表我方全权办理针对上述项目的所有采购程序和环节的具体事务和签署相关文件。</w:t>
      </w:r>
    </w:p>
    <w:p w14:paraId="14337DE0">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我方对委托代理人的签字或者电子签名事项负全部责任。</w:t>
      </w:r>
    </w:p>
    <w:p w14:paraId="44FC0B05">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本授权书自签署之日起生效，在撤销授权的书面通知以前，本授权书一直有效。委托代理人在授权书有效期内签署的所有文件不因授权的撤销而失效。</w:t>
      </w:r>
    </w:p>
    <w:p w14:paraId="6EF9DFFA">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委托代理人无转委托权，特此委托。</w:t>
      </w:r>
    </w:p>
    <w:p w14:paraId="13F8B518">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附：法定代表人身份证明及委托代理人有效身份证正反面复印件</w:t>
      </w:r>
    </w:p>
    <w:p w14:paraId="03B8F211">
      <w:pPr>
        <w:spacing w:line="440" w:lineRule="exact"/>
        <w:contextualSpacing/>
        <w:rPr>
          <w:rFonts w:asciiTheme="majorEastAsia" w:hAnsiTheme="majorEastAsia" w:eastAsiaTheme="majorEastAsia" w:cstheme="majorEastAsia"/>
          <w:sz w:val="24"/>
        </w:rPr>
      </w:pPr>
    </w:p>
    <w:p w14:paraId="63D9AFD3">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委托代理人（签字或者电子签名）：</w:t>
      </w:r>
      <w:r>
        <w:rPr>
          <w:rFonts w:hint="eastAsia" w:asciiTheme="majorEastAsia" w:hAnsiTheme="majorEastAsia" w:eastAsiaTheme="majorEastAsia" w:cstheme="majorEastAsia"/>
          <w:sz w:val="24"/>
          <w:u w:val="single"/>
        </w:rPr>
        <w:t xml:space="preserve">                          </w:t>
      </w:r>
    </w:p>
    <w:p w14:paraId="5D31D2CD">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委托代理人身份证号码：</w:t>
      </w:r>
      <w:r>
        <w:rPr>
          <w:rFonts w:hint="eastAsia" w:asciiTheme="majorEastAsia" w:hAnsiTheme="majorEastAsia" w:eastAsiaTheme="majorEastAsia" w:cstheme="majorEastAsia"/>
          <w:sz w:val="24"/>
          <w:u w:val="single"/>
        </w:rPr>
        <w:t xml:space="preserve">                      </w:t>
      </w:r>
    </w:p>
    <w:p w14:paraId="53FBCA4F">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法定代表人（签字或者盖章或者电子签名）：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6A5A18E">
      <w:pPr>
        <w:spacing w:line="440" w:lineRule="exact"/>
        <w:contextualSpacing/>
        <w:rPr>
          <w:rFonts w:asciiTheme="majorEastAsia" w:hAnsiTheme="majorEastAsia" w:eastAsiaTheme="majorEastAsia" w:cstheme="majorEastAsia"/>
          <w:sz w:val="24"/>
        </w:rPr>
      </w:pPr>
    </w:p>
    <w:p w14:paraId="05543369">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E36F920">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3D56DA2A">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w:t>
      </w:r>
      <w:bookmarkStart w:id="149" w:name="_Hlk65851555"/>
      <w:bookmarkStart w:id="150" w:name="_Hlk65851620"/>
      <w:r>
        <w:rPr>
          <w:rFonts w:hint="eastAsia" w:asciiTheme="majorEastAsia" w:hAnsiTheme="majorEastAsia" w:eastAsiaTheme="majorEastAsia" w:cstheme="majorEastAsia"/>
          <w:sz w:val="24"/>
        </w:rPr>
        <w:t>法定代表人必须在授权委托书上签字或者盖章或者电子签名，</w:t>
      </w:r>
      <w:bookmarkEnd w:id="149"/>
      <w:r>
        <w:rPr>
          <w:rFonts w:hint="eastAsia" w:asciiTheme="majorEastAsia" w:hAnsiTheme="majorEastAsia" w:eastAsiaTheme="majorEastAsia" w:cstheme="majorEastAsia"/>
          <w:sz w:val="24"/>
        </w:rPr>
        <w:t>委托代理人必须在授权委托书上签字或者电子签名，</w:t>
      </w:r>
      <w:r>
        <w:rPr>
          <w:rFonts w:hint="eastAsia" w:asciiTheme="majorEastAsia" w:hAnsiTheme="majorEastAsia" w:eastAsiaTheme="majorEastAsia" w:cstheme="majorEastAsia"/>
          <w:b/>
          <w:bCs/>
          <w:sz w:val="24"/>
        </w:rPr>
        <w:t>否则按无效投标处理</w:t>
      </w:r>
      <w:r>
        <w:rPr>
          <w:rFonts w:hint="eastAsia" w:asciiTheme="majorEastAsia" w:hAnsiTheme="majorEastAsia" w:eastAsiaTheme="majorEastAsia" w:cstheme="majorEastAsia"/>
          <w:sz w:val="24"/>
        </w:rPr>
        <w:t>；</w:t>
      </w:r>
      <w:bookmarkEnd w:id="150"/>
    </w:p>
    <w:p w14:paraId="36F82224">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2.法人、其他组织投标时“我方”是指“我单位”，自然人投标时“我方”是指“本人”。</w:t>
      </w:r>
    </w:p>
    <w:p w14:paraId="2193718E">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097911F4">
      <w:pP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6.商务要求偏离表格式</w:t>
      </w:r>
    </w:p>
    <w:p w14:paraId="2B73403C">
      <w:pPr>
        <w:snapToGrid w:val="0"/>
        <w:spacing w:before="50"/>
        <w:jc w:val="left"/>
        <w:rPr>
          <w:rFonts w:asciiTheme="majorEastAsia" w:hAnsiTheme="majorEastAsia" w:eastAsiaTheme="majorEastAsia" w:cstheme="majorEastAsia"/>
          <w:sz w:val="24"/>
        </w:rPr>
      </w:pPr>
    </w:p>
    <w:p w14:paraId="74C93A99">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p w14:paraId="61F03014">
      <w:pPr>
        <w:snapToGrid w:val="0"/>
        <w:spacing w:before="50"/>
        <w:jc w:val="left"/>
        <w:rPr>
          <w:rFonts w:asciiTheme="majorEastAsia" w:hAnsiTheme="majorEastAsia" w:eastAsiaTheme="majorEastAsia" w:cstheme="majorEastAsia"/>
          <w:sz w:val="24"/>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8"/>
        <w:gridCol w:w="2528"/>
        <w:gridCol w:w="1760"/>
        <w:gridCol w:w="2035"/>
      </w:tblGrid>
      <w:tr w14:paraId="41F0E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18" w:type="dxa"/>
            <w:tcBorders>
              <w:top w:val="single" w:color="auto" w:sz="4" w:space="0"/>
              <w:left w:val="single" w:color="auto" w:sz="4" w:space="0"/>
              <w:bottom w:val="single" w:color="auto" w:sz="4" w:space="0"/>
              <w:right w:val="single" w:color="auto" w:sz="4" w:space="0"/>
            </w:tcBorders>
          </w:tcPr>
          <w:p w14:paraId="037C7E09">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w:t>
            </w:r>
          </w:p>
        </w:tc>
        <w:tc>
          <w:tcPr>
            <w:tcW w:w="2528" w:type="dxa"/>
            <w:tcBorders>
              <w:top w:val="single" w:color="auto" w:sz="4" w:space="0"/>
              <w:left w:val="single" w:color="auto" w:sz="4" w:space="0"/>
              <w:bottom w:val="single" w:color="auto" w:sz="4" w:space="0"/>
              <w:right w:val="single" w:color="auto" w:sz="4" w:space="0"/>
            </w:tcBorders>
          </w:tcPr>
          <w:p w14:paraId="6C636BB9">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E40F87A">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0D5788F">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偏离说明</w:t>
            </w:r>
          </w:p>
        </w:tc>
      </w:tr>
      <w:tr w14:paraId="3920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1DBBF923">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交付时间和地点</w:t>
            </w:r>
          </w:p>
        </w:tc>
        <w:tc>
          <w:tcPr>
            <w:tcW w:w="2528" w:type="dxa"/>
            <w:tcBorders>
              <w:top w:val="single" w:color="auto" w:sz="4" w:space="0"/>
              <w:left w:val="single" w:color="auto" w:sz="4" w:space="0"/>
              <w:bottom w:val="single" w:color="auto" w:sz="4" w:space="0"/>
              <w:right w:val="single" w:color="auto" w:sz="4" w:space="0"/>
            </w:tcBorders>
            <w:vAlign w:val="center"/>
          </w:tcPr>
          <w:p w14:paraId="73FEC80F">
            <w:pPr>
              <w:pStyle w:val="122"/>
              <w:autoSpaceDE/>
              <w:autoSpaceDN/>
              <w:adjustRightInd/>
              <w:spacing w:line="440" w:lineRule="exact"/>
              <w:rPr>
                <w:rFonts w:asciiTheme="majorEastAsia" w:hAnsiTheme="majorEastAsia" w:eastAsiaTheme="majorEastAsia" w:cstheme="majorEastAsia"/>
              </w:rPr>
            </w:pPr>
          </w:p>
        </w:tc>
        <w:tc>
          <w:tcPr>
            <w:tcW w:w="1760" w:type="dxa"/>
            <w:tcBorders>
              <w:top w:val="single" w:color="auto" w:sz="4" w:space="0"/>
              <w:left w:val="single" w:color="auto" w:sz="4" w:space="0"/>
              <w:bottom w:val="single" w:color="auto" w:sz="4" w:space="0"/>
              <w:right w:val="single" w:color="auto" w:sz="4" w:space="0"/>
            </w:tcBorders>
          </w:tcPr>
          <w:p w14:paraId="0666D334">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7D3DC646">
            <w:pPr>
              <w:snapToGrid w:val="0"/>
              <w:spacing w:before="120" w:beforeLines="50"/>
              <w:jc w:val="center"/>
              <w:rPr>
                <w:rFonts w:asciiTheme="majorEastAsia" w:hAnsiTheme="majorEastAsia" w:eastAsiaTheme="majorEastAsia" w:cstheme="majorEastAsia"/>
                <w:sz w:val="24"/>
              </w:rPr>
            </w:pPr>
          </w:p>
        </w:tc>
      </w:tr>
      <w:tr w14:paraId="6FA37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7E65D22">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合同签订时间</w:t>
            </w:r>
          </w:p>
        </w:tc>
        <w:tc>
          <w:tcPr>
            <w:tcW w:w="2528" w:type="dxa"/>
            <w:tcBorders>
              <w:top w:val="single" w:color="auto" w:sz="4" w:space="0"/>
              <w:left w:val="single" w:color="auto" w:sz="4" w:space="0"/>
              <w:bottom w:val="single" w:color="auto" w:sz="4" w:space="0"/>
              <w:right w:val="single" w:color="auto" w:sz="4" w:space="0"/>
            </w:tcBorders>
            <w:vAlign w:val="center"/>
          </w:tcPr>
          <w:p w14:paraId="2D9E0951">
            <w:pPr>
              <w:pStyle w:val="17"/>
              <w:spacing w:line="440" w:lineRule="exact"/>
              <w:rPr>
                <w:rFonts w:asciiTheme="majorEastAsia" w:hAnsiTheme="majorEastAsia" w:eastAsiaTheme="majorEastAsia" w:cstheme="majorEastAsia"/>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6C62FA5B">
            <w:pPr>
              <w:snapToGrid w:val="0"/>
              <w:spacing w:before="120" w:beforeLines="50"/>
              <w:ind w:left="43"/>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C56432A">
            <w:pPr>
              <w:snapToGrid w:val="0"/>
              <w:spacing w:before="120" w:beforeLines="50"/>
              <w:ind w:left="43"/>
              <w:jc w:val="center"/>
              <w:rPr>
                <w:rFonts w:asciiTheme="majorEastAsia" w:hAnsiTheme="majorEastAsia" w:eastAsiaTheme="majorEastAsia" w:cstheme="majorEastAsia"/>
                <w:sz w:val="24"/>
              </w:rPr>
            </w:pPr>
          </w:p>
        </w:tc>
      </w:tr>
      <w:tr w14:paraId="2869C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A86F2E1">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付款方式</w:t>
            </w:r>
          </w:p>
        </w:tc>
        <w:tc>
          <w:tcPr>
            <w:tcW w:w="2528" w:type="dxa"/>
            <w:tcBorders>
              <w:top w:val="single" w:color="auto" w:sz="4" w:space="0"/>
              <w:left w:val="single" w:color="auto" w:sz="4" w:space="0"/>
              <w:bottom w:val="single" w:color="auto" w:sz="4" w:space="0"/>
              <w:right w:val="single" w:color="auto" w:sz="4" w:space="0"/>
            </w:tcBorders>
            <w:vAlign w:val="center"/>
          </w:tcPr>
          <w:p w14:paraId="24C83155">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49D53A48">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1084B361">
            <w:pPr>
              <w:snapToGrid w:val="0"/>
              <w:spacing w:before="120" w:beforeLines="50"/>
              <w:jc w:val="center"/>
              <w:rPr>
                <w:rFonts w:asciiTheme="majorEastAsia" w:hAnsiTheme="majorEastAsia" w:eastAsiaTheme="majorEastAsia" w:cstheme="majorEastAsia"/>
                <w:sz w:val="24"/>
              </w:rPr>
            </w:pPr>
          </w:p>
        </w:tc>
      </w:tr>
      <w:tr w14:paraId="6C3B4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293EB52B">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质保期</w:t>
            </w:r>
          </w:p>
        </w:tc>
        <w:tc>
          <w:tcPr>
            <w:tcW w:w="2528" w:type="dxa"/>
            <w:tcBorders>
              <w:top w:val="single" w:color="auto" w:sz="4" w:space="0"/>
              <w:left w:val="single" w:color="auto" w:sz="4" w:space="0"/>
              <w:bottom w:val="single" w:color="auto" w:sz="4" w:space="0"/>
              <w:right w:val="single" w:color="auto" w:sz="4" w:space="0"/>
            </w:tcBorders>
            <w:vAlign w:val="center"/>
          </w:tcPr>
          <w:p w14:paraId="6D060206">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454D37F5">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65C3A5D2">
            <w:pPr>
              <w:snapToGrid w:val="0"/>
              <w:spacing w:before="120" w:beforeLines="50"/>
              <w:jc w:val="center"/>
              <w:rPr>
                <w:rFonts w:asciiTheme="majorEastAsia" w:hAnsiTheme="majorEastAsia" w:eastAsiaTheme="majorEastAsia" w:cstheme="majorEastAsia"/>
                <w:sz w:val="24"/>
              </w:rPr>
            </w:pPr>
          </w:p>
        </w:tc>
      </w:tr>
      <w:tr w14:paraId="31101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47848D9A">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售后服务要求</w:t>
            </w:r>
          </w:p>
        </w:tc>
        <w:tc>
          <w:tcPr>
            <w:tcW w:w="2528" w:type="dxa"/>
            <w:tcBorders>
              <w:top w:val="single" w:color="auto" w:sz="4" w:space="0"/>
              <w:left w:val="single" w:color="auto" w:sz="4" w:space="0"/>
              <w:bottom w:val="single" w:color="auto" w:sz="4" w:space="0"/>
              <w:right w:val="single" w:color="auto" w:sz="4" w:space="0"/>
            </w:tcBorders>
            <w:vAlign w:val="center"/>
          </w:tcPr>
          <w:p w14:paraId="54BBC656">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68CD9D63">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6585E914">
            <w:pPr>
              <w:snapToGrid w:val="0"/>
              <w:spacing w:before="120" w:beforeLines="50"/>
              <w:jc w:val="center"/>
              <w:rPr>
                <w:rFonts w:asciiTheme="majorEastAsia" w:hAnsiTheme="majorEastAsia" w:eastAsiaTheme="majorEastAsia" w:cstheme="majorEastAsia"/>
                <w:sz w:val="24"/>
              </w:rPr>
            </w:pPr>
          </w:p>
        </w:tc>
      </w:tr>
      <w:tr w14:paraId="365F4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D478FBD">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投标报价要求</w:t>
            </w:r>
          </w:p>
        </w:tc>
        <w:tc>
          <w:tcPr>
            <w:tcW w:w="2528" w:type="dxa"/>
            <w:tcBorders>
              <w:top w:val="single" w:color="auto" w:sz="4" w:space="0"/>
              <w:left w:val="single" w:color="auto" w:sz="4" w:space="0"/>
              <w:bottom w:val="single" w:color="auto" w:sz="4" w:space="0"/>
              <w:right w:val="single" w:color="auto" w:sz="4" w:space="0"/>
            </w:tcBorders>
            <w:vAlign w:val="center"/>
          </w:tcPr>
          <w:p w14:paraId="69702044">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27A07F45">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68BBA1D">
            <w:pPr>
              <w:snapToGrid w:val="0"/>
              <w:spacing w:before="120" w:beforeLines="50"/>
              <w:jc w:val="center"/>
              <w:rPr>
                <w:rFonts w:asciiTheme="majorEastAsia" w:hAnsiTheme="majorEastAsia" w:eastAsiaTheme="majorEastAsia" w:cstheme="majorEastAsia"/>
                <w:sz w:val="24"/>
              </w:rPr>
            </w:pPr>
          </w:p>
        </w:tc>
      </w:tr>
    </w:tbl>
    <w:p w14:paraId="095596A5">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48470796">
      <w:pPr>
        <w:pStyle w:val="20"/>
        <w:spacing w:line="520" w:lineRule="exact"/>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1.说明：应对照招标文件“第二章 采购需求”中的商务要求逐条作明确的投标响应，并作出偏离说明。</w:t>
      </w:r>
    </w:p>
    <w:p w14:paraId="5B8EFB4B">
      <w:pPr>
        <w:pStyle w:val="18"/>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2.投标人应根据自身的承诺，对照招标文件要求在“偏离说明”中注明“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76862E76">
      <w:pPr>
        <w:snapToGrid w:val="0"/>
        <w:spacing w:before="50" w:after="50"/>
        <w:rPr>
          <w:rFonts w:asciiTheme="majorEastAsia" w:hAnsiTheme="majorEastAsia" w:eastAsiaTheme="majorEastAsia" w:cstheme="majorEastAsia"/>
          <w:sz w:val="24"/>
        </w:rPr>
      </w:pPr>
    </w:p>
    <w:p w14:paraId="463BD548">
      <w:pPr>
        <w:snapToGrid w:val="0"/>
        <w:spacing w:before="50" w:after="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43977C47">
      <w:pPr>
        <w:snapToGrid w:val="0"/>
        <w:spacing w:before="120" w:beforeLines="50"/>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2158D65A">
      <w:pPr>
        <w:snapToGrid w:val="0"/>
        <w:spacing w:before="120" w:beforeLines="50"/>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318413E4">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7.投标人业绩证明材料</w:t>
      </w:r>
    </w:p>
    <w:p w14:paraId="286EFC97">
      <w:pPr>
        <w:pStyle w:val="35"/>
        <w:snapToGrid w:val="0"/>
        <w:ind w:left="480" w:hanging="480"/>
        <w:rPr>
          <w:rFonts w:asciiTheme="majorEastAsia" w:hAnsiTheme="majorEastAsia" w:eastAsiaTheme="majorEastAsia" w:cstheme="majorEastAsia"/>
          <w:sz w:val="24"/>
        </w:rPr>
      </w:pPr>
    </w:p>
    <w:p w14:paraId="6FD86DBD">
      <w:pPr>
        <w:pStyle w:val="35"/>
        <w:snapToGrid w:val="0"/>
        <w:ind w:left="480" w:hanging="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投标人业绩情况一览表格式： </w:t>
      </w:r>
    </w:p>
    <w:tbl>
      <w:tblPr>
        <w:tblStyle w:val="46"/>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0"/>
        <w:gridCol w:w="1810"/>
        <w:gridCol w:w="1810"/>
        <w:gridCol w:w="2920"/>
      </w:tblGrid>
      <w:tr w14:paraId="7BBD0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80" w:type="dxa"/>
            <w:vMerge w:val="restart"/>
            <w:tcBorders>
              <w:top w:val="single" w:color="auto" w:sz="4" w:space="0"/>
              <w:left w:val="single" w:color="auto" w:sz="4" w:space="0"/>
              <w:bottom w:val="single" w:color="auto" w:sz="4" w:space="0"/>
              <w:right w:val="single" w:color="auto" w:sz="4" w:space="0"/>
            </w:tcBorders>
            <w:vAlign w:val="center"/>
          </w:tcPr>
          <w:p w14:paraId="0F208EB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5A01EFB0">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73A77CA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合同金额</w:t>
            </w:r>
          </w:p>
          <w:p w14:paraId="3BFFEF5B">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（万元）</w:t>
            </w:r>
          </w:p>
        </w:tc>
        <w:tc>
          <w:tcPr>
            <w:tcW w:w="2920" w:type="dxa"/>
            <w:vMerge w:val="restart"/>
            <w:tcBorders>
              <w:top w:val="single" w:color="auto" w:sz="4" w:space="0"/>
              <w:left w:val="single" w:color="auto" w:sz="4" w:space="0"/>
              <w:bottom w:val="single" w:color="auto" w:sz="4" w:space="0"/>
              <w:right w:val="single" w:color="auto" w:sz="4" w:space="0"/>
            </w:tcBorders>
            <w:vAlign w:val="center"/>
          </w:tcPr>
          <w:p w14:paraId="2A462298">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采购人联系人及</w:t>
            </w:r>
          </w:p>
          <w:p w14:paraId="2208856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r>
      <w:tr w14:paraId="1A90F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80" w:type="dxa"/>
            <w:vMerge w:val="continue"/>
            <w:tcBorders>
              <w:top w:val="single" w:color="auto" w:sz="4" w:space="0"/>
              <w:left w:val="single" w:color="auto" w:sz="4" w:space="0"/>
              <w:bottom w:val="single" w:color="auto" w:sz="4" w:space="0"/>
              <w:right w:val="single" w:color="auto" w:sz="4" w:space="0"/>
            </w:tcBorders>
            <w:vAlign w:val="center"/>
          </w:tcPr>
          <w:p w14:paraId="5082E3DC">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7CA5F551">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3104F6E1">
            <w:pPr>
              <w:jc w:val="left"/>
              <w:rPr>
                <w:rFonts w:asciiTheme="majorEastAsia" w:hAnsiTheme="majorEastAsia" w:eastAsiaTheme="majorEastAsia" w:cstheme="majorEastAsia"/>
                <w:sz w:val="24"/>
              </w:rPr>
            </w:pPr>
          </w:p>
        </w:tc>
        <w:tc>
          <w:tcPr>
            <w:tcW w:w="2920" w:type="dxa"/>
            <w:vMerge w:val="continue"/>
            <w:tcBorders>
              <w:top w:val="single" w:color="auto" w:sz="4" w:space="0"/>
              <w:left w:val="single" w:color="auto" w:sz="4" w:space="0"/>
              <w:bottom w:val="single" w:color="auto" w:sz="4" w:space="0"/>
              <w:right w:val="single" w:color="auto" w:sz="4" w:space="0"/>
            </w:tcBorders>
            <w:vAlign w:val="center"/>
          </w:tcPr>
          <w:p w14:paraId="1AA84054">
            <w:pPr>
              <w:jc w:val="left"/>
              <w:rPr>
                <w:rFonts w:asciiTheme="majorEastAsia" w:hAnsiTheme="majorEastAsia" w:eastAsiaTheme="majorEastAsia" w:cstheme="majorEastAsia"/>
                <w:sz w:val="24"/>
              </w:rPr>
            </w:pPr>
          </w:p>
        </w:tc>
      </w:tr>
      <w:tr w14:paraId="5A1FD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80" w:type="dxa"/>
            <w:tcBorders>
              <w:top w:val="single" w:color="auto" w:sz="4" w:space="0"/>
              <w:left w:val="single" w:color="auto" w:sz="4" w:space="0"/>
              <w:bottom w:val="single" w:color="auto" w:sz="4" w:space="0"/>
              <w:right w:val="single" w:color="auto" w:sz="4" w:space="0"/>
            </w:tcBorders>
          </w:tcPr>
          <w:p w14:paraId="702C6A05">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786B8DAB">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6205507A">
            <w:pPr>
              <w:snapToGrid w:val="0"/>
              <w:spacing w:line="24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6D089870">
            <w:pPr>
              <w:snapToGrid w:val="0"/>
              <w:spacing w:line="240" w:lineRule="exact"/>
              <w:jc w:val="left"/>
              <w:rPr>
                <w:rFonts w:asciiTheme="majorEastAsia" w:hAnsiTheme="majorEastAsia" w:eastAsiaTheme="majorEastAsia" w:cstheme="majorEastAsia"/>
                <w:sz w:val="24"/>
              </w:rPr>
            </w:pPr>
          </w:p>
        </w:tc>
      </w:tr>
      <w:tr w14:paraId="34BC2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21F35D02">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471B21CC">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26A39AF">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628710ED">
            <w:pPr>
              <w:snapToGrid w:val="0"/>
              <w:spacing w:before="50" w:after="120" w:afterLines="50" w:line="400" w:lineRule="exact"/>
              <w:jc w:val="left"/>
              <w:rPr>
                <w:rFonts w:asciiTheme="majorEastAsia" w:hAnsiTheme="majorEastAsia" w:eastAsiaTheme="majorEastAsia" w:cstheme="majorEastAsia"/>
                <w:sz w:val="24"/>
              </w:rPr>
            </w:pPr>
          </w:p>
        </w:tc>
      </w:tr>
      <w:tr w14:paraId="37ABE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80" w:type="dxa"/>
            <w:tcBorders>
              <w:top w:val="single" w:color="auto" w:sz="4" w:space="0"/>
              <w:left w:val="single" w:color="auto" w:sz="4" w:space="0"/>
              <w:bottom w:val="single" w:color="auto" w:sz="4" w:space="0"/>
              <w:right w:val="single" w:color="auto" w:sz="4" w:space="0"/>
            </w:tcBorders>
          </w:tcPr>
          <w:p w14:paraId="35E18DCD">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FC24B71">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0207934C">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15EE64A7">
            <w:pPr>
              <w:snapToGrid w:val="0"/>
              <w:spacing w:before="50" w:after="120" w:afterLines="50" w:line="400" w:lineRule="exact"/>
              <w:jc w:val="left"/>
              <w:rPr>
                <w:rFonts w:asciiTheme="majorEastAsia" w:hAnsiTheme="majorEastAsia" w:eastAsiaTheme="majorEastAsia" w:cstheme="majorEastAsia"/>
                <w:sz w:val="24"/>
              </w:rPr>
            </w:pPr>
          </w:p>
        </w:tc>
      </w:tr>
      <w:tr w14:paraId="671B9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103918AF">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C319C72">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42F908A2">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3D0CAC64">
            <w:pPr>
              <w:snapToGrid w:val="0"/>
              <w:spacing w:before="50" w:after="120" w:afterLines="50" w:line="400" w:lineRule="exact"/>
              <w:jc w:val="left"/>
              <w:rPr>
                <w:rFonts w:asciiTheme="majorEastAsia" w:hAnsiTheme="majorEastAsia" w:eastAsiaTheme="majorEastAsia" w:cstheme="majorEastAsia"/>
                <w:sz w:val="24"/>
              </w:rPr>
            </w:pPr>
          </w:p>
        </w:tc>
      </w:tr>
      <w:tr w14:paraId="71DAA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4BA3E829">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7EB3D0E">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0F41CA40">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209835B2">
            <w:pPr>
              <w:snapToGrid w:val="0"/>
              <w:spacing w:before="50" w:after="120" w:afterLines="50" w:line="400" w:lineRule="exact"/>
              <w:jc w:val="left"/>
              <w:rPr>
                <w:rFonts w:asciiTheme="majorEastAsia" w:hAnsiTheme="majorEastAsia" w:eastAsiaTheme="majorEastAsia" w:cstheme="majorEastAsia"/>
                <w:sz w:val="24"/>
              </w:rPr>
            </w:pPr>
          </w:p>
        </w:tc>
      </w:tr>
    </w:tbl>
    <w:p w14:paraId="3F4AE8E3">
      <w:pPr>
        <w:pStyle w:val="14"/>
        <w:spacing w:before="0" w:after="0" w:line="360" w:lineRule="auto"/>
        <w:contextualSpacing/>
        <w:rPr>
          <w:rFonts w:asciiTheme="majorEastAsia" w:hAnsiTheme="majorEastAsia" w:eastAsiaTheme="majorEastAsia" w:cstheme="majorEastAsia"/>
          <w:sz w:val="24"/>
          <w:szCs w:val="24"/>
        </w:rPr>
      </w:pPr>
    </w:p>
    <w:p w14:paraId="0D71E523">
      <w:pPr>
        <w:pStyle w:val="14"/>
        <w:spacing w:before="0" w:after="0" w:line="360" w:lineRule="auto"/>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r>
        <w:rPr>
          <w:rFonts w:hint="eastAsia" w:asciiTheme="majorEastAsia" w:hAnsiTheme="majorEastAsia" w:eastAsiaTheme="majorEastAsia" w:cstheme="majorEastAsia"/>
          <w:sz w:val="24"/>
        </w:rPr>
        <w:t>投标人根据评标标准具体要求附业绩证明材料。</w:t>
      </w:r>
    </w:p>
    <w:p w14:paraId="44B6605D">
      <w:pPr>
        <w:pStyle w:val="14"/>
        <w:spacing w:before="0" w:after="0" w:line="360" w:lineRule="auto"/>
        <w:contextualSpacing/>
        <w:jc w:val="left"/>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法定代表人或者委托代理人（签字或者电子签名）：</w:t>
      </w:r>
      <w:r>
        <w:rPr>
          <w:rFonts w:hint="eastAsia" w:asciiTheme="majorEastAsia" w:hAnsiTheme="majorEastAsia" w:eastAsiaTheme="majorEastAsia" w:cstheme="majorEastAsia"/>
          <w:sz w:val="24"/>
          <w:szCs w:val="24"/>
          <w:u w:val="single"/>
        </w:rPr>
        <w:t>　　　　　</w:t>
      </w:r>
    </w:p>
    <w:p w14:paraId="1645200E">
      <w:pPr>
        <w:spacing w:line="360" w:lineRule="auto"/>
        <w:ind w:right="480"/>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rPr>
        <w:t>投标人名称（电子签章）：                                                               年    月    日</w:t>
      </w:r>
    </w:p>
    <w:p w14:paraId="6B6D417F">
      <w:pPr>
        <w:snapToGrid w:val="0"/>
        <w:spacing w:before="50"/>
        <w:ind w:firstLine="480" w:firstLineChars="200"/>
        <w:jc w:val="left"/>
        <w:rPr>
          <w:rFonts w:asciiTheme="majorEastAsia" w:hAnsiTheme="majorEastAsia" w:eastAsiaTheme="majorEastAsia" w:cstheme="majorEastAsia"/>
          <w:sz w:val="24"/>
          <w:szCs w:val="20"/>
        </w:rPr>
      </w:pPr>
    </w:p>
    <w:p w14:paraId="50B06312">
      <w:pPr>
        <w:snapToGrid w:val="0"/>
        <w:spacing w:before="120" w:beforeLines="50" w:after="5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bCs/>
          <w:sz w:val="24"/>
        </w:rPr>
        <w:t>8. 代理服务费承诺书</w:t>
      </w:r>
    </w:p>
    <w:p w14:paraId="6EF52C99">
      <w:pPr>
        <w:snapToGrid w:val="0"/>
        <w:spacing w:before="120" w:beforeLines="50" w:after="50"/>
        <w:jc w:val="left"/>
        <w:rPr>
          <w:rFonts w:asciiTheme="majorEastAsia" w:hAnsiTheme="majorEastAsia" w:eastAsiaTheme="majorEastAsia" w:cstheme="majorEastAsia"/>
          <w:bCs/>
          <w:szCs w:val="21"/>
        </w:rPr>
      </w:pPr>
    </w:p>
    <w:p w14:paraId="5DC57867">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代理服务费承诺书</w:t>
      </w:r>
    </w:p>
    <w:p w14:paraId="217E5FDA">
      <w:pPr>
        <w:snapToGrid w:val="0"/>
        <w:spacing w:before="120" w:beforeLines="50" w:after="50"/>
        <w:jc w:val="center"/>
        <w:rPr>
          <w:rFonts w:asciiTheme="majorEastAsia" w:hAnsiTheme="majorEastAsia" w:eastAsiaTheme="majorEastAsia" w:cstheme="majorEastAsia"/>
          <w:b/>
          <w:sz w:val="24"/>
        </w:rPr>
      </w:pPr>
    </w:p>
    <w:p w14:paraId="11410992">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招标代理机构名称</w:t>
      </w:r>
      <w:r>
        <w:rPr>
          <w:rFonts w:hint="eastAsia" w:asciiTheme="majorEastAsia" w:hAnsiTheme="majorEastAsia" w:eastAsiaTheme="majorEastAsia" w:cstheme="majorEastAsia"/>
          <w:sz w:val="24"/>
        </w:rPr>
        <w:t>：</w:t>
      </w:r>
    </w:p>
    <w:p w14:paraId="412B9ED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本单位参加了贵方组织的</w:t>
      </w:r>
      <w:r>
        <w:rPr>
          <w:rFonts w:hint="eastAsia" w:asciiTheme="majorEastAsia" w:hAnsiTheme="majorEastAsia" w:eastAsiaTheme="majorEastAsia" w:cstheme="majorEastAsia"/>
          <w:sz w:val="24"/>
          <w:u w:val="single"/>
        </w:rPr>
        <w:t xml:space="preserve">  项目名称（项目编号）  </w:t>
      </w:r>
      <w:r>
        <w:rPr>
          <w:rFonts w:hint="eastAsia" w:asciiTheme="majorEastAsia" w:hAnsiTheme="majorEastAsia" w:eastAsiaTheme="majorEastAsia" w:cstheme="majorEastAsia"/>
          <w:sz w:val="24"/>
        </w:rPr>
        <w:t>项目， 在此说明如下：</w:t>
      </w:r>
    </w:p>
    <w:p w14:paraId="6FE21D5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1.我方承诺，若本单位中标，保证在发出中标通知书之后，按本项目招标文件的规定标准向贵单位一次性足额支付代理服务费。</w:t>
      </w:r>
    </w:p>
    <w:p w14:paraId="2159BA3F">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2.本单位选择第种方式作为代理服务费开票类型：</w:t>
      </w:r>
    </w:p>
    <w:p w14:paraId="3232B97E">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第一种方式：开具增值税普通发票。开票信息如下：</w:t>
      </w:r>
    </w:p>
    <w:p w14:paraId="51D9A54D">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849737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24FF7883">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第二种方式：开具增值税专用发票，开票信息如下：</w:t>
      </w:r>
    </w:p>
    <w:p w14:paraId="39FAC48A">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1E7B4F6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83DADF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（3）在税局登记的地址</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15D4DE1F">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（4）在税局登记的电话</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662BC2FA">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（5）开户银行</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3C8C6725">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（6）银行账户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FB443A4">
      <w:pPr>
        <w:spacing w:line="440" w:lineRule="exact"/>
        <w:rPr>
          <w:rFonts w:asciiTheme="majorEastAsia" w:hAnsiTheme="majorEastAsia" w:eastAsiaTheme="majorEastAsia" w:cstheme="majorEastAsia"/>
          <w:sz w:val="24"/>
        </w:rPr>
      </w:pPr>
    </w:p>
    <w:p w14:paraId="72EDA515">
      <w:pPr>
        <w:spacing w:line="440" w:lineRule="exact"/>
        <w:rPr>
          <w:rFonts w:asciiTheme="majorEastAsia" w:hAnsiTheme="majorEastAsia" w:eastAsiaTheme="majorEastAsia" w:cstheme="majorEastAsia"/>
          <w:sz w:val="24"/>
        </w:rPr>
      </w:pPr>
    </w:p>
    <w:p w14:paraId="4B506606">
      <w:pPr>
        <w:spacing w:line="440" w:lineRule="exact"/>
        <w:rPr>
          <w:rFonts w:asciiTheme="majorEastAsia" w:hAnsiTheme="majorEastAsia" w:eastAsiaTheme="majorEastAsia" w:cstheme="majorEastAsia"/>
          <w:sz w:val="24"/>
        </w:rPr>
      </w:pPr>
    </w:p>
    <w:p w14:paraId="4ABFE28F">
      <w:pPr>
        <w:snapToGrid w:val="0"/>
        <w:spacing w:line="360" w:lineRule="auto"/>
        <w:ind w:left="-2" w:leftChars="-1" w:right="-817" w:rightChars="-389" w:firstLine="1920" w:firstLineChars="8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法定代表人或者委托代理人（签字或者电子签名）： </w:t>
      </w:r>
    </w:p>
    <w:p w14:paraId="12901030">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供应商公章（电子签章）：</w:t>
      </w:r>
    </w:p>
    <w:p w14:paraId="0E741062">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78C649C9">
      <w:pPr>
        <w:rPr>
          <w:rFonts w:asciiTheme="majorEastAsia" w:hAnsiTheme="majorEastAsia" w:eastAsiaTheme="majorEastAsia" w:cstheme="majorEastAsia"/>
        </w:rPr>
      </w:pPr>
    </w:p>
    <w:p w14:paraId="60503135">
      <w:pPr>
        <w:snapToGrid w:val="0"/>
        <w:spacing w:before="50"/>
        <w:jc w:val="left"/>
        <w:rPr>
          <w:rFonts w:asciiTheme="majorEastAsia" w:hAnsiTheme="majorEastAsia" w:eastAsiaTheme="majorEastAsia" w:cstheme="majorEastAsia"/>
          <w:sz w:val="24"/>
        </w:rPr>
      </w:pPr>
    </w:p>
    <w:p w14:paraId="58E24D2E">
      <w:pPr>
        <w:snapToGrid w:val="0"/>
        <w:spacing w:before="120" w:beforeLines="50"/>
        <w:rPr>
          <w:rFonts w:asciiTheme="majorEastAsia" w:hAnsiTheme="majorEastAsia" w:eastAsiaTheme="majorEastAsia" w:cstheme="majorEastAsia"/>
          <w:sz w:val="24"/>
          <w:szCs w:val="20"/>
        </w:rPr>
        <w:sectPr>
          <w:footerReference r:id="rId5" w:type="first"/>
          <w:headerReference r:id="rId3" w:type="default"/>
          <w:footerReference r:id="rId4" w:type="default"/>
          <w:pgSz w:w="11906" w:h="16838"/>
          <w:pgMar w:top="1701" w:right="1701" w:bottom="1701" w:left="1701" w:header="851" w:footer="992" w:gutter="0"/>
          <w:cols w:space="720" w:num="1"/>
          <w:titlePg/>
          <w:docGrid w:linePitch="312" w:charSpace="0"/>
        </w:sectPr>
      </w:pPr>
    </w:p>
    <w:p w14:paraId="0AB144AC">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9. 技术要求偏离表格式</w:t>
      </w:r>
    </w:p>
    <w:p w14:paraId="24B552ED">
      <w:pPr>
        <w:snapToGrid w:val="0"/>
        <w:spacing w:before="120" w:beforeLines="50" w:after="50"/>
        <w:ind w:left="142"/>
        <w:jc w:val="left"/>
        <w:rPr>
          <w:rFonts w:asciiTheme="majorEastAsia" w:hAnsiTheme="majorEastAsia" w:eastAsiaTheme="majorEastAsia" w:cstheme="majorEastAsia"/>
          <w:b/>
          <w:sz w:val="24"/>
        </w:rPr>
      </w:pPr>
    </w:p>
    <w:p w14:paraId="6A813B1D">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技术要求偏离表</w:t>
      </w:r>
    </w:p>
    <w:p w14:paraId="1AFD0D38">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9A9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424405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项号</w:t>
            </w:r>
          </w:p>
        </w:tc>
        <w:tc>
          <w:tcPr>
            <w:tcW w:w="2143" w:type="dxa"/>
            <w:vAlign w:val="center"/>
          </w:tcPr>
          <w:p w14:paraId="6D4E767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标的的名称</w:t>
            </w:r>
          </w:p>
        </w:tc>
        <w:tc>
          <w:tcPr>
            <w:tcW w:w="1834" w:type="dxa"/>
            <w:vAlign w:val="center"/>
          </w:tcPr>
          <w:p w14:paraId="138AC4B0">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技术要求</w:t>
            </w:r>
          </w:p>
        </w:tc>
        <w:tc>
          <w:tcPr>
            <w:tcW w:w="2181" w:type="dxa"/>
            <w:vAlign w:val="center"/>
          </w:tcPr>
          <w:p w14:paraId="6A867D2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投标响应</w:t>
            </w:r>
          </w:p>
        </w:tc>
        <w:tc>
          <w:tcPr>
            <w:tcW w:w="1934" w:type="dxa"/>
            <w:vAlign w:val="center"/>
          </w:tcPr>
          <w:p w14:paraId="37BA1939">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偏离说明</w:t>
            </w:r>
          </w:p>
        </w:tc>
      </w:tr>
      <w:tr w14:paraId="6B5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6760521">
            <w:pPr>
              <w:pStyle w:val="25"/>
              <w:spacing w:line="600" w:lineRule="exact"/>
              <w:jc w:val="center"/>
              <w:rPr>
                <w:rFonts w:asciiTheme="majorEastAsia" w:hAnsiTheme="majorEastAsia" w:eastAsiaTheme="majorEastAsia" w:cstheme="majorEastAsia"/>
                <w:kern w:val="2"/>
                <w:sz w:val="24"/>
                <w:szCs w:val="24"/>
              </w:rPr>
            </w:pPr>
          </w:p>
        </w:tc>
        <w:tc>
          <w:tcPr>
            <w:tcW w:w="2143" w:type="dxa"/>
            <w:vAlign w:val="center"/>
          </w:tcPr>
          <w:p w14:paraId="35E1FE2D">
            <w:pPr>
              <w:pStyle w:val="25"/>
              <w:spacing w:line="600" w:lineRule="exact"/>
              <w:jc w:val="center"/>
              <w:rPr>
                <w:rFonts w:asciiTheme="majorEastAsia" w:hAnsiTheme="majorEastAsia" w:eastAsiaTheme="majorEastAsia" w:cstheme="majorEastAsia"/>
                <w:kern w:val="2"/>
                <w:sz w:val="24"/>
                <w:szCs w:val="24"/>
              </w:rPr>
            </w:pPr>
          </w:p>
        </w:tc>
        <w:tc>
          <w:tcPr>
            <w:tcW w:w="1834" w:type="dxa"/>
            <w:vAlign w:val="center"/>
          </w:tcPr>
          <w:p w14:paraId="05D5EAE1">
            <w:pPr>
              <w:pStyle w:val="25"/>
              <w:spacing w:line="600" w:lineRule="exact"/>
              <w:jc w:val="center"/>
              <w:rPr>
                <w:rFonts w:asciiTheme="majorEastAsia" w:hAnsiTheme="majorEastAsia" w:eastAsiaTheme="majorEastAsia" w:cstheme="majorEastAsia"/>
                <w:kern w:val="2"/>
                <w:sz w:val="24"/>
                <w:szCs w:val="24"/>
              </w:rPr>
            </w:pPr>
          </w:p>
        </w:tc>
        <w:tc>
          <w:tcPr>
            <w:tcW w:w="2181" w:type="dxa"/>
            <w:vAlign w:val="center"/>
          </w:tcPr>
          <w:p w14:paraId="47AA4388">
            <w:pPr>
              <w:pStyle w:val="25"/>
              <w:spacing w:line="600" w:lineRule="exact"/>
              <w:jc w:val="center"/>
              <w:rPr>
                <w:rFonts w:asciiTheme="majorEastAsia" w:hAnsiTheme="majorEastAsia" w:eastAsiaTheme="majorEastAsia" w:cstheme="majorEastAsia"/>
                <w:kern w:val="2"/>
                <w:sz w:val="24"/>
                <w:szCs w:val="24"/>
              </w:rPr>
            </w:pPr>
          </w:p>
        </w:tc>
        <w:tc>
          <w:tcPr>
            <w:tcW w:w="1934" w:type="dxa"/>
            <w:vAlign w:val="center"/>
          </w:tcPr>
          <w:p w14:paraId="7BF6DAFA">
            <w:pPr>
              <w:pStyle w:val="25"/>
              <w:spacing w:line="600" w:lineRule="exact"/>
              <w:jc w:val="center"/>
              <w:rPr>
                <w:rFonts w:asciiTheme="majorEastAsia" w:hAnsiTheme="majorEastAsia" w:eastAsiaTheme="majorEastAsia" w:cstheme="majorEastAsia"/>
                <w:kern w:val="2"/>
                <w:sz w:val="24"/>
                <w:szCs w:val="24"/>
              </w:rPr>
            </w:pPr>
          </w:p>
        </w:tc>
      </w:tr>
      <w:tr w14:paraId="113A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126FE4C">
            <w:pPr>
              <w:pStyle w:val="25"/>
              <w:spacing w:line="600" w:lineRule="exact"/>
              <w:rPr>
                <w:rFonts w:asciiTheme="majorEastAsia" w:hAnsiTheme="majorEastAsia" w:eastAsiaTheme="majorEastAsia" w:cstheme="majorEastAsia"/>
                <w:kern w:val="2"/>
                <w:sz w:val="24"/>
                <w:szCs w:val="24"/>
              </w:rPr>
            </w:pPr>
          </w:p>
        </w:tc>
        <w:tc>
          <w:tcPr>
            <w:tcW w:w="2143" w:type="dxa"/>
          </w:tcPr>
          <w:p w14:paraId="1D10444D">
            <w:pPr>
              <w:pStyle w:val="25"/>
              <w:spacing w:line="600" w:lineRule="exact"/>
              <w:rPr>
                <w:rFonts w:asciiTheme="majorEastAsia" w:hAnsiTheme="majorEastAsia" w:eastAsiaTheme="majorEastAsia" w:cstheme="majorEastAsia"/>
                <w:kern w:val="2"/>
                <w:sz w:val="24"/>
                <w:szCs w:val="24"/>
              </w:rPr>
            </w:pPr>
          </w:p>
        </w:tc>
        <w:tc>
          <w:tcPr>
            <w:tcW w:w="1834" w:type="dxa"/>
          </w:tcPr>
          <w:p w14:paraId="3CBE38A7">
            <w:pPr>
              <w:pStyle w:val="25"/>
              <w:spacing w:line="600" w:lineRule="exact"/>
              <w:rPr>
                <w:rFonts w:asciiTheme="majorEastAsia" w:hAnsiTheme="majorEastAsia" w:eastAsiaTheme="majorEastAsia" w:cstheme="majorEastAsia"/>
                <w:kern w:val="2"/>
                <w:sz w:val="24"/>
                <w:szCs w:val="24"/>
              </w:rPr>
            </w:pPr>
          </w:p>
        </w:tc>
        <w:tc>
          <w:tcPr>
            <w:tcW w:w="2181" w:type="dxa"/>
          </w:tcPr>
          <w:p w14:paraId="5F3E112B">
            <w:pPr>
              <w:pStyle w:val="25"/>
              <w:spacing w:line="600" w:lineRule="exact"/>
              <w:rPr>
                <w:rFonts w:asciiTheme="majorEastAsia" w:hAnsiTheme="majorEastAsia" w:eastAsiaTheme="majorEastAsia" w:cstheme="majorEastAsia"/>
                <w:kern w:val="2"/>
                <w:sz w:val="24"/>
                <w:szCs w:val="24"/>
              </w:rPr>
            </w:pPr>
          </w:p>
        </w:tc>
        <w:tc>
          <w:tcPr>
            <w:tcW w:w="1934" w:type="dxa"/>
          </w:tcPr>
          <w:p w14:paraId="2ACE3043">
            <w:pPr>
              <w:pStyle w:val="25"/>
              <w:spacing w:line="600" w:lineRule="exact"/>
              <w:rPr>
                <w:rFonts w:asciiTheme="majorEastAsia" w:hAnsiTheme="majorEastAsia" w:eastAsiaTheme="majorEastAsia" w:cstheme="majorEastAsia"/>
                <w:kern w:val="2"/>
                <w:sz w:val="24"/>
                <w:szCs w:val="24"/>
              </w:rPr>
            </w:pPr>
          </w:p>
        </w:tc>
      </w:tr>
      <w:tr w14:paraId="16F5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5B19D3">
            <w:pPr>
              <w:pStyle w:val="25"/>
              <w:spacing w:line="600" w:lineRule="exact"/>
              <w:rPr>
                <w:rFonts w:asciiTheme="majorEastAsia" w:hAnsiTheme="majorEastAsia" w:eastAsiaTheme="majorEastAsia" w:cstheme="majorEastAsia"/>
                <w:kern w:val="2"/>
                <w:sz w:val="24"/>
                <w:szCs w:val="24"/>
              </w:rPr>
            </w:pPr>
          </w:p>
        </w:tc>
        <w:tc>
          <w:tcPr>
            <w:tcW w:w="2143" w:type="dxa"/>
          </w:tcPr>
          <w:p w14:paraId="1DD1D66B">
            <w:pPr>
              <w:pStyle w:val="25"/>
              <w:spacing w:line="600" w:lineRule="exact"/>
              <w:rPr>
                <w:rFonts w:asciiTheme="majorEastAsia" w:hAnsiTheme="majorEastAsia" w:eastAsiaTheme="majorEastAsia" w:cstheme="majorEastAsia"/>
                <w:kern w:val="2"/>
                <w:sz w:val="24"/>
                <w:szCs w:val="24"/>
              </w:rPr>
            </w:pPr>
          </w:p>
        </w:tc>
        <w:tc>
          <w:tcPr>
            <w:tcW w:w="1834" w:type="dxa"/>
          </w:tcPr>
          <w:p w14:paraId="5D57D3C1">
            <w:pPr>
              <w:pStyle w:val="25"/>
              <w:spacing w:line="600" w:lineRule="exact"/>
              <w:rPr>
                <w:rFonts w:asciiTheme="majorEastAsia" w:hAnsiTheme="majorEastAsia" w:eastAsiaTheme="majorEastAsia" w:cstheme="majorEastAsia"/>
                <w:kern w:val="2"/>
                <w:sz w:val="24"/>
                <w:szCs w:val="24"/>
              </w:rPr>
            </w:pPr>
          </w:p>
        </w:tc>
        <w:tc>
          <w:tcPr>
            <w:tcW w:w="2181" w:type="dxa"/>
          </w:tcPr>
          <w:p w14:paraId="372AA2DE">
            <w:pPr>
              <w:pStyle w:val="25"/>
              <w:spacing w:line="600" w:lineRule="exact"/>
              <w:rPr>
                <w:rFonts w:asciiTheme="majorEastAsia" w:hAnsiTheme="majorEastAsia" w:eastAsiaTheme="majorEastAsia" w:cstheme="majorEastAsia"/>
                <w:kern w:val="2"/>
                <w:sz w:val="24"/>
                <w:szCs w:val="24"/>
              </w:rPr>
            </w:pPr>
          </w:p>
        </w:tc>
        <w:tc>
          <w:tcPr>
            <w:tcW w:w="1934" w:type="dxa"/>
          </w:tcPr>
          <w:p w14:paraId="35A68DC8">
            <w:pPr>
              <w:pStyle w:val="25"/>
              <w:spacing w:line="600" w:lineRule="exact"/>
              <w:rPr>
                <w:rFonts w:asciiTheme="majorEastAsia" w:hAnsiTheme="majorEastAsia" w:eastAsiaTheme="majorEastAsia" w:cstheme="majorEastAsia"/>
                <w:kern w:val="2"/>
                <w:sz w:val="24"/>
                <w:szCs w:val="24"/>
              </w:rPr>
            </w:pPr>
          </w:p>
        </w:tc>
      </w:tr>
      <w:tr w14:paraId="5D3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DCF8E0B">
            <w:pPr>
              <w:pStyle w:val="25"/>
              <w:spacing w:line="600" w:lineRule="exact"/>
              <w:rPr>
                <w:rFonts w:asciiTheme="majorEastAsia" w:hAnsiTheme="majorEastAsia" w:eastAsiaTheme="majorEastAsia" w:cstheme="majorEastAsia"/>
                <w:kern w:val="2"/>
                <w:sz w:val="24"/>
                <w:szCs w:val="24"/>
              </w:rPr>
            </w:pPr>
          </w:p>
        </w:tc>
        <w:tc>
          <w:tcPr>
            <w:tcW w:w="2143" w:type="dxa"/>
          </w:tcPr>
          <w:p w14:paraId="73344F63">
            <w:pPr>
              <w:pStyle w:val="25"/>
              <w:spacing w:line="600" w:lineRule="exact"/>
              <w:rPr>
                <w:rFonts w:asciiTheme="majorEastAsia" w:hAnsiTheme="majorEastAsia" w:eastAsiaTheme="majorEastAsia" w:cstheme="majorEastAsia"/>
                <w:kern w:val="2"/>
                <w:sz w:val="24"/>
                <w:szCs w:val="24"/>
              </w:rPr>
            </w:pPr>
          </w:p>
        </w:tc>
        <w:tc>
          <w:tcPr>
            <w:tcW w:w="1834" w:type="dxa"/>
          </w:tcPr>
          <w:p w14:paraId="6745E7A9">
            <w:pPr>
              <w:pStyle w:val="25"/>
              <w:spacing w:line="600" w:lineRule="exact"/>
              <w:rPr>
                <w:rFonts w:asciiTheme="majorEastAsia" w:hAnsiTheme="majorEastAsia" w:eastAsiaTheme="majorEastAsia" w:cstheme="majorEastAsia"/>
                <w:kern w:val="2"/>
                <w:sz w:val="24"/>
                <w:szCs w:val="24"/>
              </w:rPr>
            </w:pPr>
          </w:p>
        </w:tc>
        <w:tc>
          <w:tcPr>
            <w:tcW w:w="2181" w:type="dxa"/>
          </w:tcPr>
          <w:p w14:paraId="7337E0C2">
            <w:pPr>
              <w:pStyle w:val="25"/>
              <w:spacing w:line="600" w:lineRule="exact"/>
              <w:rPr>
                <w:rFonts w:asciiTheme="majorEastAsia" w:hAnsiTheme="majorEastAsia" w:eastAsiaTheme="majorEastAsia" w:cstheme="majorEastAsia"/>
                <w:kern w:val="2"/>
                <w:sz w:val="24"/>
                <w:szCs w:val="24"/>
              </w:rPr>
            </w:pPr>
          </w:p>
        </w:tc>
        <w:tc>
          <w:tcPr>
            <w:tcW w:w="1934" w:type="dxa"/>
          </w:tcPr>
          <w:p w14:paraId="4D35B646">
            <w:pPr>
              <w:pStyle w:val="25"/>
              <w:spacing w:line="600" w:lineRule="exact"/>
              <w:rPr>
                <w:rFonts w:asciiTheme="majorEastAsia" w:hAnsiTheme="majorEastAsia" w:eastAsiaTheme="majorEastAsia" w:cstheme="majorEastAsia"/>
                <w:kern w:val="2"/>
                <w:sz w:val="24"/>
                <w:szCs w:val="24"/>
              </w:rPr>
            </w:pPr>
          </w:p>
        </w:tc>
      </w:tr>
      <w:tr w14:paraId="71F7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5D61BB">
            <w:pPr>
              <w:pStyle w:val="25"/>
              <w:spacing w:line="600" w:lineRule="exact"/>
              <w:rPr>
                <w:rFonts w:asciiTheme="majorEastAsia" w:hAnsiTheme="majorEastAsia" w:eastAsiaTheme="majorEastAsia" w:cstheme="majorEastAsia"/>
                <w:kern w:val="2"/>
                <w:sz w:val="24"/>
                <w:szCs w:val="24"/>
              </w:rPr>
            </w:pPr>
          </w:p>
        </w:tc>
        <w:tc>
          <w:tcPr>
            <w:tcW w:w="2143" w:type="dxa"/>
          </w:tcPr>
          <w:p w14:paraId="50A376B8">
            <w:pPr>
              <w:pStyle w:val="25"/>
              <w:spacing w:line="600" w:lineRule="exact"/>
              <w:rPr>
                <w:rFonts w:asciiTheme="majorEastAsia" w:hAnsiTheme="majorEastAsia" w:eastAsiaTheme="majorEastAsia" w:cstheme="majorEastAsia"/>
                <w:kern w:val="2"/>
                <w:sz w:val="24"/>
                <w:szCs w:val="24"/>
              </w:rPr>
            </w:pPr>
          </w:p>
        </w:tc>
        <w:tc>
          <w:tcPr>
            <w:tcW w:w="1834" w:type="dxa"/>
          </w:tcPr>
          <w:p w14:paraId="3309ED32">
            <w:pPr>
              <w:pStyle w:val="25"/>
              <w:spacing w:line="600" w:lineRule="exact"/>
              <w:rPr>
                <w:rFonts w:asciiTheme="majorEastAsia" w:hAnsiTheme="majorEastAsia" w:eastAsiaTheme="majorEastAsia" w:cstheme="majorEastAsia"/>
                <w:kern w:val="2"/>
                <w:sz w:val="24"/>
                <w:szCs w:val="24"/>
              </w:rPr>
            </w:pPr>
          </w:p>
        </w:tc>
        <w:tc>
          <w:tcPr>
            <w:tcW w:w="2181" w:type="dxa"/>
          </w:tcPr>
          <w:p w14:paraId="768C4965">
            <w:pPr>
              <w:pStyle w:val="25"/>
              <w:spacing w:line="600" w:lineRule="exact"/>
              <w:rPr>
                <w:rFonts w:asciiTheme="majorEastAsia" w:hAnsiTheme="majorEastAsia" w:eastAsiaTheme="majorEastAsia" w:cstheme="majorEastAsia"/>
                <w:kern w:val="2"/>
                <w:sz w:val="24"/>
                <w:szCs w:val="24"/>
              </w:rPr>
            </w:pPr>
          </w:p>
        </w:tc>
        <w:tc>
          <w:tcPr>
            <w:tcW w:w="1934" w:type="dxa"/>
          </w:tcPr>
          <w:p w14:paraId="706D2AFF">
            <w:pPr>
              <w:pStyle w:val="25"/>
              <w:spacing w:line="600" w:lineRule="exact"/>
              <w:rPr>
                <w:rFonts w:asciiTheme="majorEastAsia" w:hAnsiTheme="majorEastAsia" w:eastAsiaTheme="majorEastAsia" w:cstheme="majorEastAsia"/>
                <w:kern w:val="2"/>
                <w:sz w:val="24"/>
                <w:szCs w:val="24"/>
              </w:rPr>
            </w:pPr>
          </w:p>
        </w:tc>
      </w:tr>
      <w:tr w14:paraId="666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9581D7">
            <w:pPr>
              <w:pStyle w:val="25"/>
              <w:spacing w:line="600" w:lineRule="exact"/>
              <w:rPr>
                <w:rFonts w:asciiTheme="majorEastAsia" w:hAnsiTheme="majorEastAsia" w:eastAsiaTheme="majorEastAsia" w:cstheme="majorEastAsia"/>
                <w:kern w:val="2"/>
                <w:sz w:val="24"/>
                <w:szCs w:val="24"/>
              </w:rPr>
            </w:pPr>
          </w:p>
        </w:tc>
        <w:tc>
          <w:tcPr>
            <w:tcW w:w="2143" w:type="dxa"/>
          </w:tcPr>
          <w:p w14:paraId="2DB4731A">
            <w:pPr>
              <w:pStyle w:val="25"/>
              <w:spacing w:line="600" w:lineRule="exact"/>
              <w:rPr>
                <w:rFonts w:asciiTheme="majorEastAsia" w:hAnsiTheme="majorEastAsia" w:eastAsiaTheme="majorEastAsia" w:cstheme="majorEastAsia"/>
                <w:kern w:val="2"/>
                <w:sz w:val="24"/>
                <w:szCs w:val="24"/>
              </w:rPr>
            </w:pPr>
          </w:p>
        </w:tc>
        <w:tc>
          <w:tcPr>
            <w:tcW w:w="1834" w:type="dxa"/>
          </w:tcPr>
          <w:p w14:paraId="771C07C5">
            <w:pPr>
              <w:pStyle w:val="25"/>
              <w:spacing w:line="600" w:lineRule="exact"/>
              <w:rPr>
                <w:rFonts w:asciiTheme="majorEastAsia" w:hAnsiTheme="majorEastAsia" w:eastAsiaTheme="majorEastAsia" w:cstheme="majorEastAsia"/>
                <w:kern w:val="2"/>
                <w:sz w:val="24"/>
                <w:szCs w:val="24"/>
              </w:rPr>
            </w:pPr>
          </w:p>
        </w:tc>
        <w:tc>
          <w:tcPr>
            <w:tcW w:w="2181" w:type="dxa"/>
          </w:tcPr>
          <w:p w14:paraId="48F6E2BE">
            <w:pPr>
              <w:pStyle w:val="25"/>
              <w:spacing w:line="600" w:lineRule="exact"/>
              <w:rPr>
                <w:rFonts w:asciiTheme="majorEastAsia" w:hAnsiTheme="majorEastAsia" w:eastAsiaTheme="majorEastAsia" w:cstheme="majorEastAsia"/>
                <w:kern w:val="2"/>
                <w:sz w:val="24"/>
                <w:szCs w:val="24"/>
              </w:rPr>
            </w:pPr>
          </w:p>
        </w:tc>
        <w:tc>
          <w:tcPr>
            <w:tcW w:w="1934" w:type="dxa"/>
          </w:tcPr>
          <w:p w14:paraId="152F2CC3">
            <w:pPr>
              <w:pStyle w:val="25"/>
              <w:spacing w:line="600" w:lineRule="exact"/>
              <w:rPr>
                <w:rFonts w:asciiTheme="majorEastAsia" w:hAnsiTheme="majorEastAsia" w:eastAsiaTheme="majorEastAsia" w:cstheme="majorEastAsia"/>
                <w:kern w:val="2"/>
                <w:sz w:val="24"/>
                <w:szCs w:val="24"/>
              </w:rPr>
            </w:pPr>
          </w:p>
        </w:tc>
      </w:tr>
    </w:tbl>
    <w:p w14:paraId="4B3221E8">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6233E36B">
      <w:pPr>
        <w:pStyle w:val="20"/>
        <w:spacing w:line="360" w:lineRule="auto"/>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 说明：应对照招标文件“第二章 采购需求”中的“技术要求”逐条作明确的投标响应，并作出偏离说明。</w:t>
      </w:r>
    </w:p>
    <w:p w14:paraId="5623D243">
      <w:pPr>
        <w:pStyle w:val="18"/>
        <w:spacing w:line="360" w:lineRule="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2.投标人根据投标货物的性能指标，对照招标文件技术要求，在“偏离说明”中注明“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05D4455E">
      <w:pPr>
        <w:pStyle w:val="20"/>
        <w:spacing w:line="360" w:lineRule="auto"/>
        <w:ind w:firstLine="0"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如技术要求偏离表中的投标响应与佐证材料不一致的，以佐证材料为准。</w:t>
      </w:r>
    </w:p>
    <w:p w14:paraId="0F8B2376">
      <w:pPr>
        <w:spacing w:line="360" w:lineRule="auto"/>
        <w:jc w:val="left"/>
        <w:rPr>
          <w:rFonts w:asciiTheme="majorEastAsia" w:hAnsiTheme="majorEastAsia" w:eastAsiaTheme="majorEastAsia" w:cstheme="majorEastAsia"/>
        </w:rPr>
      </w:pPr>
      <w:r>
        <w:rPr>
          <w:rFonts w:hint="eastAsia" w:asciiTheme="majorEastAsia" w:hAnsiTheme="majorEastAsia" w:eastAsiaTheme="majorEastAsia" w:cstheme="majorEastAsia"/>
          <w:b/>
          <w:bCs/>
          <w:szCs w:val="21"/>
        </w:rPr>
        <w:t>4.投标人应根据自身实际情况如实响应招标文件，</w:t>
      </w:r>
      <w:r>
        <w:rPr>
          <w:rFonts w:hint="eastAsia" w:asciiTheme="majorEastAsia" w:hAnsiTheme="majorEastAsia" w:eastAsiaTheme="majorEastAsia" w:cstheme="majorEastAsia"/>
          <w:b/>
          <w:bCs/>
          <w:sz w:val="22"/>
          <w:szCs w:val="22"/>
        </w:rPr>
        <w:t>对招标文件提出的要求和条件作出明确响应</w:t>
      </w:r>
      <w:r>
        <w:rPr>
          <w:rFonts w:hint="eastAsia" w:asciiTheme="majorEastAsia" w:hAnsiTheme="majorEastAsia" w:eastAsiaTheme="majorEastAsia" w:cstheme="majorEastAsia"/>
          <w:b/>
          <w:bCs/>
          <w:szCs w:val="21"/>
        </w:rPr>
        <w:t>，不得仅将招标文件内容简单复制粘贴作为投标响应，采购需求中以范围值表述的技术要求，投标人须按照自身产品的实际技术参数如实响应招标文件</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bCs/>
          <w:szCs w:val="21"/>
        </w:rPr>
        <w:t>否则将作无效响应处理</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对于重要技术条款或技术参数如要求在投标文件中提供技术支持资料，技术支持资料以招标文件中规定的形式为准，</w:t>
      </w:r>
      <w:r>
        <w:rPr>
          <w:rFonts w:hint="eastAsia" w:asciiTheme="majorEastAsia" w:hAnsiTheme="majorEastAsia" w:eastAsiaTheme="majorEastAsia" w:cstheme="majorEastAsia"/>
          <w:b/>
          <w:bCs/>
        </w:rPr>
        <w:t>否则将视为无效技术支持资料</w:t>
      </w:r>
      <w:r>
        <w:rPr>
          <w:rFonts w:hint="eastAsia" w:asciiTheme="majorEastAsia" w:hAnsiTheme="majorEastAsia" w:eastAsiaTheme="majorEastAsia" w:cstheme="majorEastAsia"/>
        </w:rPr>
        <w:t>。</w:t>
      </w:r>
    </w:p>
    <w:p w14:paraId="06122DFA">
      <w:pPr>
        <w:snapToGrid w:val="0"/>
        <w:spacing w:before="50" w:after="50" w:line="360" w:lineRule="auto"/>
        <w:rPr>
          <w:rFonts w:asciiTheme="majorEastAsia" w:hAnsiTheme="majorEastAsia" w:eastAsiaTheme="majorEastAsia" w:cstheme="majorEastAsia"/>
          <w:sz w:val="24"/>
        </w:rPr>
      </w:pPr>
    </w:p>
    <w:p w14:paraId="225AD1E9">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70A15A69">
      <w:pPr>
        <w:snapToGrid w:val="0"/>
        <w:spacing w:before="50" w:after="50" w:line="360" w:lineRule="auto"/>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46E05A18">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pacing w:val="20"/>
          <w:sz w:val="24"/>
        </w:rPr>
        <w:t>日 期：</w:t>
      </w:r>
    </w:p>
    <w:p w14:paraId="3A4693DB">
      <w:pPr>
        <w:snapToGrid w:val="0"/>
        <w:spacing w:before="50" w:after="50" w:line="360" w:lineRule="auto"/>
        <w:rPr>
          <w:rFonts w:asciiTheme="majorEastAsia" w:hAnsiTheme="majorEastAsia" w:eastAsiaTheme="majorEastAsia" w:cstheme="majorEastAsia"/>
          <w:sz w:val="24"/>
          <w:szCs w:val="20"/>
        </w:rPr>
      </w:pPr>
    </w:p>
    <w:p w14:paraId="4BA24D3C">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10. 项目实施人员一览表格式</w:t>
      </w:r>
    </w:p>
    <w:p w14:paraId="73630E88">
      <w:pPr>
        <w:snapToGrid w:val="0"/>
        <w:spacing w:before="120" w:beforeLines="50" w:after="50"/>
        <w:ind w:left="142"/>
        <w:jc w:val="left"/>
        <w:rPr>
          <w:rFonts w:asciiTheme="majorEastAsia" w:hAnsiTheme="majorEastAsia" w:eastAsiaTheme="majorEastAsia" w:cstheme="majorEastAsia"/>
          <w:b/>
          <w:sz w:val="24"/>
        </w:rPr>
      </w:pPr>
    </w:p>
    <w:p w14:paraId="2142BFA1">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项目实施人员一览表</w:t>
      </w:r>
    </w:p>
    <w:p w14:paraId="228EBD27">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A6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0A0AA4">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姓名</w:t>
            </w:r>
          </w:p>
        </w:tc>
        <w:tc>
          <w:tcPr>
            <w:tcW w:w="709" w:type="dxa"/>
            <w:vAlign w:val="center"/>
          </w:tcPr>
          <w:p w14:paraId="61613214">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职务</w:t>
            </w:r>
          </w:p>
        </w:tc>
        <w:tc>
          <w:tcPr>
            <w:tcW w:w="1701" w:type="dxa"/>
            <w:vAlign w:val="center"/>
          </w:tcPr>
          <w:p w14:paraId="60E847D9">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专业技术资格（职称）或者职业资格或者执业资格证或者其他证书</w:t>
            </w:r>
          </w:p>
        </w:tc>
        <w:tc>
          <w:tcPr>
            <w:tcW w:w="1420" w:type="dxa"/>
            <w:vAlign w:val="center"/>
          </w:tcPr>
          <w:p w14:paraId="48C14522">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证书编号</w:t>
            </w:r>
          </w:p>
        </w:tc>
        <w:tc>
          <w:tcPr>
            <w:tcW w:w="1698" w:type="dxa"/>
            <w:vAlign w:val="center"/>
          </w:tcPr>
          <w:p w14:paraId="08F7C6EE">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参加本单位</w:t>
            </w:r>
          </w:p>
          <w:p w14:paraId="048F1CCF">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工作时间</w:t>
            </w:r>
          </w:p>
        </w:tc>
        <w:tc>
          <w:tcPr>
            <w:tcW w:w="1843" w:type="dxa"/>
            <w:vAlign w:val="center"/>
          </w:tcPr>
          <w:p w14:paraId="6D375D7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劳动合同编号</w:t>
            </w:r>
          </w:p>
        </w:tc>
      </w:tr>
      <w:tr w14:paraId="789E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841729">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10FF5501">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007EC75A">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5FEC6C9C">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4369C6BC">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128BB86E">
            <w:pPr>
              <w:snapToGrid w:val="0"/>
              <w:spacing w:before="50" w:after="120" w:afterLines="50"/>
              <w:jc w:val="center"/>
              <w:rPr>
                <w:rFonts w:asciiTheme="majorEastAsia" w:hAnsiTheme="majorEastAsia" w:eastAsiaTheme="majorEastAsia" w:cstheme="majorEastAsia"/>
                <w:sz w:val="24"/>
                <w:szCs w:val="20"/>
              </w:rPr>
            </w:pPr>
          </w:p>
        </w:tc>
      </w:tr>
      <w:tr w14:paraId="65FB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CC1A79">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35C11843">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79584745">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5388B527">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5C8C09B">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48016A5D">
            <w:pPr>
              <w:snapToGrid w:val="0"/>
              <w:spacing w:before="50" w:after="120" w:afterLines="50"/>
              <w:jc w:val="center"/>
              <w:rPr>
                <w:rFonts w:asciiTheme="majorEastAsia" w:hAnsiTheme="majorEastAsia" w:eastAsiaTheme="majorEastAsia" w:cstheme="majorEastAsia"/>
                <w:sz w:val="24"/>
                <w:szCs w:val="20"/>
              </w:rPr>
            </w:pPr>
          </w:p>
        </w:tc>
      </w:tr>
      <w:tr w14:paraId="1173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259FB8">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24E314A4">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486C698C">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3760E308">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8A47737">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39025225">
            <w:pPr>
              <w:snapToGrid w:val="0"/>
              <w:spacing w:before="50" w:after="120" w:afterLines="50"/>
              <w:jc w:val="center"/>
              <w:rPr>
                <w:rFonts w:asciiTheme="majorEastAsia" w:hAnsiTheme="majorEastAsia" w:eastAsiaTheme="majorEastAsia" w:cstheme="majorEastAsia"/>
                <w:sz w:val="24"/>
                <w:szCs w:val="20"/>
              </w:rPr>
            </w:pPr>
          </w:p>
        </w:tc>
      </w:tr>
    </w:tbl>
    <w:p w14:paraId="2F3298DA">
      <w:pPr>
        <w:snapToGrid w:val="0"/>
        <w:spacing w:before="50" w:after="120" w:afterLines="50"/>
        <w:jc w:val="left"/>
        <w:rPr>
          <w:rFonts w:asciiTheme="majorEastAsia" w:hAnsiTheme="majorEastAsia" w:eastAsiaTheme="majorEastAsia" w:cstheme="majorEastAsia"/>
          <w:sz w:val="24"/>
          <w:szCs w:val="20"/>
        </w:rPr>
      </w:pPr>
    </w:p>
    <w:p w14:paraId="51D494E9">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注：</w:t>
      </w:r>
    </w:p>
    <w:p w14:paraId="4402028E">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1.在填写时，如本表格不适合投标单位的实际情况，可根据本表格式自行制表填写。</w:t>
      </w:r>
    </w:p>
    <w:p w14:paraId="7F451986">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2.投标人应当附本表所列证书的复印件并加盖投标人电子签章。</w:t>
      </w:r>
    </w:p>
    <w:p w14:paraId="13481477">
      <w:pPr>
        <w:spacing w:line="360" w:lineRule="auto"/>
        <w:contextualSpacing/>
        <w:jc w:val="left"/>
        <w:rPr>
          <w:rFonts w:asciiTheme="majorEastAsia" w:hAnsiTheme="majorEastAsia" w:eastAsiaTheme="majorEastAsia" w:cstheme="majorEastAsia"/>
          <w:sz w:val="24"/>
          <w:szCs w:val="20"/>
        </w:rPr>
      </w:pPr>
    </w:p>
    <w:p w14:paraId="7AAA150C">
      <w:pPr>
        <w:spacing w:line="360" w:lineRule="auto"/>
        <w:contextualSpacing/>
        <w:jc w:val="left"/>
        <w:rPr>
          <w:rFonts w:asciiTheme="majorEastAsia" w:hAnsiTheme="majorEastAsia" w:eastAsiaTheme="majorEastAsia" w:cstheme="majorEastAsia"/>
          <w:sz w:val="24"/>
          <w:szCs w:val="20"/>
        </w:rPr>
      </w:pPr>
    </w:p>
    <w:p w14:paraId="31630BFC">
      <w:pPr>
        <w:spacing w:line="360" w:lineRule="auto"/>
        <w:contextualSpacing/>
        <w:rPr>
          <w:rFonts w:asciiTheme="majorEastAsia" w:hAnsiTheme="majorEastAsia" w:eastAsiaTheme="majorEastAsia" w:cstheme="majorEastAsia"/>
          <w:spacing w:val="20"/>
          <w:sz w:val="24"/>
          <w:szCs w:val="20"/>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66B29ADE">
      <w:pPr>
        <w:spacing w:line="360" w:lineRule="auto"/>
        <w:contextualSpacing/>
        <w:jc w:val="left"/>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68CA6F45">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5D80AAF4">
      <w:pPr>
        <w:snapToGrid w:val="0"/>
        <w:spacing w:before="50" w:after="120" w:afterLines="50"/>
        <w:jc w:val="left"/>
        <w:rPr>
          <w:rFonts w:asciiTheme="majorEastAsia" w:hAnsiTheme="majorEastAsia" w:eastAsiaTheme="majorEastAsia" w:cstheme="majorEastAsia"/>
          <w:sz w:val="24"/>
          <w:szCs w:val="20"/>
        </w:rPr>
      </w:pPr>
    </w:p>
    <w:p w14:paraId="1824D02E">
      <w:pPr>
        <w:spacing w:line="360" w:lineRule="auto"/>
        <w:contextualSpacing/>
        <w:jc w:val="lef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8"/>
          <w:szCs w:val="28"/>
        </w:rPr>
        <w:t>四、其他文书、文件格式</w:t>
      </w:r>
    </w:p>
    <w:p w14:paraId="72E13C5C">
      <w:pPr>
        <w:snapToGrid w:val="0"/>
        <w:spacing w:before="120" w:beforeLines="50" w:after="50"/>
        <w:jc w:val="left"/>
        <w:rPr>
          <w:rFonts w:asciiTheme="majorEastAsia" w:hAnsiTheme="majorEastAsia" w:eastAsiaTheme="majorEastAsia" w:cstheme="majorEastAsia"/>
        </w:rPr>
      </w:pPr>
      <w:r>
        <w:rPr>
          <w:rFonts w:hint="eastAsia" w:asciiTheme="majorEastAsia" w:hAnsiTheme="majorEastAsia" w:eastAsiaTheme="majorEastAsia" w:cstheme="majorEastAsia"/>
          <w:b/>
          <w:sz w:val="24"/>
        </w:rPr>
        <w:t>1.中小企业声明函格式</w:t>
      </w:r>
    </w:p>
    <w:p w14:paraId="1F7FE544">
      <w:pPr>
        <w:rPr>
          <w:rFonts w:asciiTheme="majorEastAsia" w:hAnsiTheme="majorEastAsia" w:eastAsiaTheme="majorEastAsia" w:cstheme="majorEastAsia"/>
        </w:rPr>
      </w:pPr>
    </w:p>
    <w:p w14:paraId="4680EE48">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中小企业声明函（货物）</w:t>
      </w:r>
    </w:p>
    <w:p w14:paraId="188C7950">
      <w:pPr>
        <w:spacing w:before="2" w:line="500" w:lineRule="exact"/>
        <w:rPr>
          <w:rFonts w:asciiTheme="majorEastAsia" w:hAnsiTheme="majorEastAsia" w:eastAsiaTheme="majorEastAsia" w:cstheme="majorEastAsia"/>
          <w:b/>
          <w:bCs/>
          <w:sz w:val="27"/>
          <w:szCs w:val="27"/>
        </w:rPr>
      </w:pPr>
    </w:p>
    <w:p w14:paraId="062189A4">
      <w:pPr>
        <w:pStyle w:val="19"/>
        <w:spacing w:line="360" w:lineRule="auto"/>
        <w:ind w:left="-426" w:leftChars="-203" w:right="142" w:firstLine="480" w:firstLineChars="200"/>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kern w:val="24"/>
          <w:u w:val="single"/>
        </w:rPr>
        <w:t>（单位名称）</w:t>
      </w:r>
      <w:r>
        <w:rPr>
          <w:rFonts w:hint="eastAsia" w:asciiTheme="majorEastAsia" w:hAnsiTheme="majorEastAsia" w:eastAsiaTheme="majorEastAsia" w:cstheme="majorEastAsia"/>
          <w:kern w:val="24"/>
        </w:rPr>
        <w:t>的</w:t>
      </w:r>
      <w:r>
        <w:rPr>
          <w:rFonts w:hint="eastAsia" w:asciiTheme="majorEastAsia" w:hAnsiTheme="majorEastAsia" w:eastAsiaTheme="majorEastAsia" w:cstheme="majorEastAsia"/>
          <w:kern w:val="24"/>
          <w:u w:val="single"/>
        </w:rPr>
        <w:t>（项目名称）</w:t>
      </w:r>
      <w:r>
        <w:rPr>
          <w:rFonts w:hint="eastAsia" w:asciiTheme="majorEastAsia" w:hAnsiTheme="majorEastAsia" w:eastAsiaTheme="majorEastAsia" w:cstheme="majorEastAsia"/>
          <w:kern w:val="24"/>
        </w:rPr>
        <w:t>采购活动，提供的货物全部由符合政策要求的中小企业制造。相关企业（含联合体中的中小企业、签订分包意向协议的中小企业）的具体情况如下：</w:t>
      </w:r>
    </w:p>
    <w:p w14:paraId="78A6B8A3">
      <w:pPr>
        <w:tabs>
          <w:tab w:val="left" w:pos="1384"/>
          <w:tab w:val="left" w:pos="4562"/>
          <w:tab w:val="left" w:pos="6803"/>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1.</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5226AC44">
      <w:pPr>
        <w:tabs>
          <w:tab w:val="left" w:pos="1065"/>
          <w:tab w:val="left" w:pos="6477"/>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2.</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7D6E79AF">
      <w:pPr>
        <w:pStyle w:val="19"/>
        <w:spacing w:line="360" w:lineRule="auto"/>
        <w:ind w:left="142" w:right="142"/>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 </w:t>
      </w:r>
    </w:p>
    <w:p w14:paraId="4EBCB261">
      <w:pPr>
        <w:pStyle w:val="19"/>
        <w:spacing w:line="360" w:lineRule="auto"/>
        <w:ind w:left="-405" w:leftChars="-193" w:right="142" w:firstLine="453" w:firstLineChars="189"/>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以上企业，不属于大企业的分支机构，不存在控股股东为大企业的情形，也不存在与大企业的负责人为同一人的情形。</w:t>
      </w:r>
    </w:p>
    <w:p w14:paraId="64B6280D">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本企业对上述声明内容的真实性负责。如有虚假，将依法承担相应责任。</w:t>
      </w:r>
    </w:p>
    <w:p w14:paraId="7A211F39">
      <w:pPr>
        <w:pStyle w:val="19"/>
        <w:spacing w:line="360" w:lineRule="auto"/>
        <w:ind w:left="3960" w:right="1808"/>
        <w:contextualSpacing/>
        <w:rPr>
          <w:rFonts w:asciiTheme="majorEastAsia" w:hAnsiTheme="majorEastAsia" w:eastAsiaTheme="majorEastAsia" w:cstheme="majorEastAsia"/>
          <w:kern w:val="24"/>
        </w:rPr>
      </w:pPr>
    </w:p>
    <w:p w14:paraId="39EFAEE7">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企业名称（电子签章）： </w:t>
      </w:r>
    </w:p>
    <w:p w14:paraId="1DE6226A">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日 期：</w:t>
      </w:r>
    </w:p>
    <w:p w14:paraId="5803CF64">
      <w:pPr>
        <w:pStyle w:val="19"/>
        <w:spacing w:line="360" w:lineRule="auto"/>
        <w:ind w:left="3960" w:right="1808"/>
        <w:contextualSpacing/>
        <w:rPr>
          <w:rFonts w:asciiTheme="majorEastAsia" w:hAnsiTheme="majorEastAsia" w:eastAsiaTheme="majorEastAsia" w:cstheme="majorEastAsia"/>
          <w:kern w:val="24"/>
        </w:rPr>
      </w:pPr>
    </w:p>
    <w:p w14:paraId="1DBE858F">
      <w:pPr>
        <w:pStyle w:val="19"/>
        <w:spacing w:line="360" w:lineRule="auto"/>
        <w:ind w:left="3960" w:right="1808"/>
        <w:contextualSpacing/>
        <w:rPr>
          <w:rFonts w:asciiTheme="majorEastAsia" w:hAnsiTheme="majorEastAsia" w:eastAsiaTheme="majorEastAsia" w:cstheme="majorEastAsia"/>
          <w:kern w:val="24"/>
        </w:rPr>
      </w:pPr>
    </w:p>
    <w:p w14:paraId="2C0A7728">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56E57EF">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2.残疾人福利性单位声明函格式</w:t>
      </w:r>
    </w:p>
    <w:p w14:paraId="59F6937C">
      <w:pPr>
        <w:spacing w:line="588" w:lineRule="exact"/>
        <w:jc w:val="center"/>
        <w:rPr>
          <w:rFonts w:asciiTheme="majorEastAsia" w:hAnsiTheme="majorEastAsia" w:eastAsiaTheme="majorEastAsia" w:cstheme="majorEastAsia"/>
          <w:b/>
          <w:spacing w:val="6"/>
          <w:sz w:val="32"/>
          <w:szCs w:val="32"/>
        </w:rPr>
      </w:pPr>
    </w:p>
    <w:p w14:paraId="04FED7F4">
      <w:pPr>
        <w:spacing w:line="588" w:lineRule="exact"/>
        <w:jc w:val="center"/>
        <w:rPr>
          <w:rFonts w:asciiTheme="majorEastAsia" w:hAnsiTheme="majorEastAsia" w:eastAsiaTheme="majorEastAsia" w:cstheme="majorEastAsia"/>
          <w:bCs/>
          <w:spacing w:val="6"/>
          <w:sz w:val="44"/>
          <w:szCs w:val="44"/>
        </w:rPr>
      </w:pPr>
      <w:r>
        <w:rPr>
          <w:rFonts w:hint="eastAsia" w:asciiTheme="majorEastAsia" w:hAnsiTheme="majorEastAsia" w:eastAsiaTheme="majorEastAsia" w:cstheme="majorEastAsia"/>
          <w:bCs/>
          <w:spacing w:val="6"/>
          <w:sz w:val="44"/>
          <w:szCs w:val="44"/>
        </w:rPr>
        <w:t>残疾人福利性单位声明函</w:t>
      </w:r>
    </w:p>
    <w:p w14:paraId="033789DE">
      <w:pPr>
        <w:spacing w:line="360" w:lineRule="auto"/>
        <w:contextualSpacing/>
        <w:rPr>
          <w:rFonts w:asciiTheme="majorEastAsia" w:hAnsiTheme="majorEastAsia" w:eastAsiaTheme="majorEastAsia" w:cstheme="majorEastAsia"/>
          <w:bCs/>
          <w:spacing w:val="6"/>
          <w:sz w:val="30"/>
          <w:szCs w:val="30"/>
        </w:rPr>
      </w:pPr>
    </w:p>
    <w:p w14:paraId="3F5BD61F">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本单位郑重声明，根据《财政部 民政部 中国残疾人联合会关于促进残疾人就业政府采购政策的通知》（财库</w:t>
      </w:r>
      <w:r>
        <w:rPr>
          <w:rFonts w:hint="eastAsia" w:asciiTheme="majorEastAsia" w:hAnsiTheme="majorEastAsia" w:eastAsiaTheme="majorEastAsia" w:cstheme="majorEastAsia"/>
          <w:sz w:val="24"/>
        </w:rPr>
        <w:t>〔2017〕 141</w:t>
      </w:r>
      <w:r>
        <w:rPr>
          <w:rFonts w:hint="eastAsia" w:asciiTheme="majorEastAsia" w:hAnsiTheme="majorEastAsia" w:eastAsiaTheme="majorEastAsia" w:cstheme="majorEastAsia"/>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Theme="majorEastAsia" w:hAnsiTheme="majorEastAsia" w:eastAsiaTheme="majorEastAsia" w:cstheme="majorEastAsia"/>
          <w:spacing w:val="-6"/>
          <w:sz w:val="24"/>
        </w:rPr>
        <w:t>疾人福利性单位制造的货物（不包括使用非残疾人福利性单位注册商标的货物）。</w:t>
      </w:r>
    </w:p>
    <w:p w14:paraId="3D5D4B5E">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本单位对上述声明的真实性负责。如有虚假，将依法承担相应责任。</w:t>
      </w:r>
    </w:p>
    <w:p w14:paraId="410FD1A8">
      <w:pPr>
        <w:spacing w:line="360" w:lineRule="auto"/>
        <w:ind w:firstLine="504" w:firstLineChars="200"/>
        <w:contextualSpacing/>
        <w:rPr>
          <w:rFonts w:asciiTheme="majorEastAsia" w:hAnsiTheme="majorEastAsia" w:eastAsiaTheme="majorEastAsia" w:cstheme="majorEastAsia"/>
          <w:spacing w:val="6"/>
          <w:sz w:val="24"/>
        </w:rPr>
      </w:pPr>
    </w:p>
    <w:p w14:paraId="1B68420B">
      <w:pPr>
        <w:spacing w:line="360" w:lineRule="auto"/>
        <w:ind w:firstLine="504" w:firstLineChars="200"/>
        <w:contextualSpacing/>
        <w:rPr>
          <w:rFonts w:asciiTheme="majorEastAsia" w:hAnsiTheme="majorEastAsia" w:eastAsiaTheme="majorEastAsia" w:cstheme="majorEastAsia"/>
          <w:spacing w:val="6"/>
          <w:sz w:val="24"/>
        </w:rPr>
      </w:pPr>
    </w:p>
    <w:p w14:paraId="63241782">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单位名称（电子签章）：</w:t>
      </w:r>
    </w:p>
    <w:p w14:paraId="07A4A0CF">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日  期：</w:t>
      </w:r>
    </w:p>
    <w:p w14:paraId="0354D8CB">
      <w:pPr>
        <w:spacing w:line="360" w:lineRule="auto"/>
        <w:contextualSpacing/>
        <w:rPr>
          <w:rFonts w:asciiTheme="majorEastAsia" w:hAnsiTheme="majorEastAsia" w:eastAsiaTheme="majorEastAsia" w:cstheme="majorEastAsia"/>
          <w:sz w:val="24"/>
        </w:rPr>
      </w:pPr>
    </w:p>
    <w:p w14:paraId="6D9B529D">
      <w:pPr>
        <w:spacing w:line="360" w:lineRule="auto"/>
        <w:contextualSpacing/>
        <w:rPr>
          <w:rFonts w:asciiTheme="majorEastAsia" w:hAnsiTheme="majorEastAsia" w:eastAsiaTheme="majorEastAsia" w:cstheme="majorEastAsia"/>
          <w:sz w:val="24"/>
        </w:rPr>
      </w:pPr>
    </w:p>
    <w:p w14:paraId="3F17276A">
      <w:pPr>
        <w:spacing w:line="360" w:lineRule="auto"/>
        <w:contextualSpacing/>
        <w:rPr>
          <w:rFonts w:asciiTheme="majorEastAsia" w:hAnsiTheme="majorEastAsia" w:eastAsiaTheme="majorEastAsia" w:cstheme="majorEastAsia"/>
          <w:sz w:val="24"/>
        </w:rPr>
      </w:pPr>
    </w:p>
    <w:p w14:paraId="186D3667">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3FE4931B">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sz w:val="24"/>
        </w:rPr>
        <w:t>3.质疑函（格式）</w:t>
      </w:r>
    </w:p>
    <w:p w14:paraId="3CC9671C">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23E601FE">
      <w:pPr>
        <w:pStyle w:val="2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59F714CC">
      <w:pPr>
        <w:pStyle w:val="2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820E299">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C51CEB8">
      <w:pPr>
        <w:pStyle w:val="2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A5C9BE1">
      <w:pPr>
        <w:pStyle w:val="2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18C1CFE">
      <w:pPr>
        <w:pStyle w:val="2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4EF31E7">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9DB8C3D">
      <w:pPr>
        <w:pStyle w:val="2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342655DD">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4E60D686">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3BB5455D">
      <w:pPr>
        <w:pStyle w:val="2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0E6B077E">
      <w:pPr>
        <w:pStyle w:val="25"/>
        <w:spacing w:line="360" w:lineRule="auto"/>
        <w:ind w:left="25" w:leftChars="12" w:firstLine="472" w:firstLineChars="197"/>
        <w:rPr>
          <w:rFonts w:hAnsi="宋体"/>
          <w:sz w:val="24"/>
          <w:szCs w:val="24"/>
        </w:rPr>
      </w:pPr>
      <w:r>
        <w:rPr>
          <w:rFonts w:hint="eastAsia" w:hAnsi="宋体"/>
          <w:sz w:val="24"/>
          <w:szCs w:val="24"/>
        </w:rPr>
        <w:t>质疑事项：</w:t>
      </w:r>
    </w:p>
    <w:p w14:paraId="003C7D22">
      <w:pPr>
        <w:pStyle w:val="25"/>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4996CA52">
      <w:pPr>
        <w:pStyle w:val="25"/>
        <w:spacing w:line="360" w:lineRule="auto"/>
        <w:ind w:left="25" w:leftChars="12" w:firstLine="352" w:firstLineChars="147"/>
        <w:rPr>
          <w:rFonts w:hAnsi="宋体"/>
          <w:sz w:val="24"/>
          <w:szCs w:val="24"/>
        </w:rPr>
      </w:pPr>
      <w:r>
        <w:rPr>
          <w:rFonts w:hint="eastAsia" w:hAnsi="宋体"/>
          <w:sz w:val="24"/>
          <w:szCs w:val="24"/>
        </w:rPr>
        <w:t xml:space="preserve">□招标过程   </w:t>
      </w:r>
    </w:p>
    <w:p w14:paraId="7B717408">
      <w:pPr>
        <w:pStyle w:val="25"/>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227B7D79">
      <w:pPr>
        <w:pStyle w:val="2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11327957">
      <w:pPr>
        <w:pStyle w:val="2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5FB1CC86">
      <w:pPr>
        <w:pStyle w:val="2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4D292D7A">
      <w:pPr>
        <w:pStyle w:val="2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24183513">
      <w:pPr>
        <w:pStyle w:val="25"/>
        <w:spacing w:line="360" w:lineRule="auto"/>
        <w:ind w:left="25" w:leftChars="12" w:firstLine="472" w:firstLineChars="197"/>
        <w:rPr>
          <w:rFonts w:hAnsi="宋体"/>
          <w:sz w:val="24"/>
          <w:szCs w:val="24"/>
        </w:rPr>
      </w:pPr>
      <w:r>
        <w:rPr>
          <w:rFonts w:hint="eastAsia" w:hAnsi="宋体"/>
          <w:sz w:val="24"/>
          <w:szCs w:val="24"/>
        </w:rPr>
        <w:t>质疑事项2</w:t>
      </w:r>
    </w:p>
    <w:p w14:paraId="1E28994E">
      <w:pPr>
        <w:pStyle w:val="25"/>
        <w:spacing w:line="360" w:lineRule="auto"/>
        <w:ind w:left="25" w:leftChars="12" w:firstLine="472" w:firstLineChars="197"/>
        <w:rPr>
          <w:rFonts w:hAnsi="宋体"/>
          <w:sz w:val="24"/>
          <w:szCs w:val="24"/>
        </w:rPr>
      </w:pPr>
      <w:r>
        <w:rPr>
          <w:rFonts w:hAnsi="宋体"/>
          <w:sz w:val="24"/>
          <w:szCs w:val="24"/>
        </w:rPr>
        <w:t>……</w:t>
      </w:r>
    </w:p>
    <w:p w14:paraId="20B658AC">
      <w:pPr>
        <w:pStyle w:val="2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0B302009">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D38391E">
      <w:pPr>
        <w:pStyle w:val="25"/>
        <w:spacing w:line="360" w:lineRule="auto"/>
        <w:ind w:left="25" w:leftChars="12" w:firstLine="352" w:firstLineChars="147"/>
        <w:rPr>
          <w:rFonts w:hAnsi="宋体"/>
          <w:sz w:val="24"/>
          <w:szCs w:val="24"/>
        </w:rPr>
      </w:pPr>
    </w:p>
    <w:p w14:paraId="3AF821B8">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2E4827F4">
      <w:pPr>
        <w:pStyle w:val="25"/>
        <w:spacing w:line="360" w:lineRule="auto"/>
        <w:ind w:left="25" w:leftChars="12" w:firstLine="352" w:firstLineChars="147"/>
        <w:rPr>
          <w:rFonts w:hAnsi="宋体"/>
          <w:sz w:val="24"/>
          <w:szCs w:val="24"/>
        </w:rPr>
      </w:pPr>
    </w:p>
    <w:p w14:paraId="376FE3B6">
      <w:pPr>
        <w:pStyle w:val="25"/>
        <w:spacing w:line="360" w:lineRule="auto"/>
        <w:ind w:left="25" w:leftChars="12" w:firstLine="472" w:firstLineChars="197"/>
        <w:rPr>
          <w:rFonts w:hAnsi="宋体"/>
          <w:sz w:val="24"/>
          <w:szCs w:val="24"/>
        </w:rPr>
      </w:pPr>
      <w:r>
        <w:rPr>
          <w:rFonts w:hint="eastAsia" w:hAnsi="宋体"/>
          <w:sz w:val="24"/>
          <w:szCs w:val="24"/>
        </w:rPr>
        <w:t>日期：</w:t>
      </w:r>
    </w:p>
    <w:p w14:paraId="7ABC1A72">
      <w:pPr>
        <w:pStyle w:val="25"/>
        <w:snapToGrid w:val="0"/>
        <w:spacing w:line="360" w:lineRule="auto"/>
        <w:rPr>
          <w:rFonts w:hAnsi="宋体"/>
          <w:b/>
          <w:sz w:val="24"/>
          <w:szCs w:val="24"/>
        </w:rPr>
      </w:pPr>
    </w:p>
    <w:p w14:paraId="44E2906A">
      <w:pPr>
        <w:pStyle w:val="25"/>
        <w:snapToGrid w:val="0"/>
        <w:spacing w:line="360" w:lineRule="auto"/>
        <w:rPr>
          <w:rFonts w:hAnsi="宋体"/>
          <w:b/>
          <w:sz w:val="24"/>
          <w:szCs w:val="24"/>
        </w:rPr>
      </w:pPr>
      <w:r>
        <w:rPr>
          <w:rFonts w:hint="eastAsia" w:hAnsi="宋体"/>
          <w:b/>
          <w:sz w:val="24"/>
          <w:szCs w:val="24"/>
        </w:rPr>
        <w:t>说明：</w:t>
      </w:r>
    </w:p>
    <w:p w14:paraId="5604B82C">
      <w:pPr>
        <w:pStyle w:val="2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784B2B77">
      <w:pPr>
        <w:pStyle w:val="2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728DEB">
      <w:pPr>
        <w:pStyle w:val="2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6C7BA43A">
      <w:pPr>
        <w:pStyle w:val="2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586E8621">
      <w:pPr>
        <w:pStyle w:val="2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3B138561">
      <w:pPr>
        <w:pStyle w:val="25"/>
        <w:snapToGrid w:val="0"/>
        <w:rPr>
          <w:b/>
          <w:sz w:val="24"/>
          <w:szCs w:val="24"/>
        </w:rPr>
      </w:pPr>
    </w:p>
    <w:p w14:paraId="5C85A942">
      <w:pPr>
        <w:spacing w:line="360" w:lineRule="auto"/>
        <w:jc w:val="left"/>
        <w:rPr>
          <w:rFonts w:ascii="宋体" w:hAnsi="宋体"/>
          <w:b/>
          <w:bCs/>
          <w:sz w:val="32"/>
          <w:szCs w:val="32"/>
        </w:rPr>
      </w:pPr>
      <w:r>
        <w:rPr>
          <w:rFonts w:eastAsia="隶书"/>
          <w:sz w:val="44"/>
        </w:rPr>
        <w:br w:type="page"/>
      </w:r>
      <w:r>
        <w:rPr>
          <w:rFonts w:hint="eastAsia" w:ascii="宋体" w:hAnsi="宋体" w:eastAsia="隶书"/>
          <w:b/>
          <w:sz w:val="24"/>
        </w:rPr>
        <w:t>4</w:t>
      </w:r>
      <w:r>
        <w:rPr>
          <w:rFonts w:hint="eastAsia" w:ascii="宋体" w:hAnsi="宋体"/>
          <w:b/>
          <w:sz w:val="24"/>
        </w:rPr>
        <w:t>.投诉书（格式）</w:t>
      </w:r>
    </w:p>
    <w:p w14:paraId="395031CD">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0B9DD9A0">
      <w:pPr>
        <w:pStyle w:val="2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6D60D74D">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153D53F2">
      <w:pPr>
        <w:pStyle w:val="2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44B2947">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CCA7F23">
      <w:pPr>
        <w:pStyle w:val="25"/>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08FAE92">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C5CEB4D">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2E449BE2">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DA6C556">
      <w:pPr>
        <w:pStyle w:val="25"/>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6CC61BDC">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9BD50C9">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5132FDD">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1FB283B">
      <w:pPr>
        <w:pStyle w:val="25"/>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67B2B590">
      <w:pPr>
        <w:pStyle w:val="25"/>
        <w:snapToGrid w:val="0"/>
        <w:spacing w:line="360" w:lineRule="auto"/>
        <w:ind w:firstLine="480" w:firstLineChars="200"/>
        <w:jc w:val="left"/>
        <w:rPr>
          <w:rFonts w:hAnsi="宋体"/>
          <w:bCs/>
          <w:sz w:val="24"/>
          <w:szCs w:val="24"/>
        </w:rPr>
      </w:pPr>
      <w:r>
        <w:rPr>
          <w:rFonts w:hAnsi="宋体"/>
          <w:bCs/>
          <w:sz w:val="24"/>
          <w:szCs w:val="24"/>
        </w:rPr>
        <w:t>……</w:t>
      </w:r>
    </w:p>
    <w:p w14:paraId="41879F40">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48ADFDE4">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28141762">
      <w:pPr>
        <w:pStyle w:val="25"/>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D904CF4">
      <w:pPr>
        <w:pStyle w:val="2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1D5CFBE">
      <w:pPr>
        <w:pStyle w:val="25"/>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5034B828">
      <w:pPr>
        <w:pStyle w:val="25"/>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0E8AF7E2">
      <w:pPr>
        <w:pStyle w:val="2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7F80FC1F">
      <w:pPr>
        <w:pStyle w:val="2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00AA215D">
      <w:pPr>
        <w:pStyle w:val="25"/>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A4B8F96">
      <w:pPr>
        <w:pStyle w:val="25"/>
        <w:spacing w:line="360" w:lineRule="auto"/>
        <w:ind w:left="25" w:leftChars="12" w:firstLine="472" w:firstLineChars="197"/>
        <w:rPr>
          <w:rFonts w:hAnsi="宋体"/>
          <w:b/>
          <w:sz w:val="24"/>
          <w:szCs w:val="24"/>
        </w:rPr>
      </w:pPr>
      <w:r>
        <w:rPr>
          <w:rFonts w:hint="eastAsia" w:hAnsi="宋体"/>
          <w:sz w:val="24"/>
          <w:szCs w:val="24"/>
        </w:rPr>
        <w:t>招标</w:t>
      </w:r>
      <w:r>
        <w:rPr>
          <w:rFonts w:hint="eastAsia" w:hAnsi="宋体"/>
          <w:bCs/>
          <w:sz w:val="24"/>
          <w:szCs w:val="24"/>
        </w:rPr>
        <w:t>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58581C2">
      <w:pPr>
        <w:pStyle w:val="25"/>
        <w:spacing w:line="360" w:lineRule="auto"/>
        <w:ind w:left="25" w:leftChars="12" w:firstLine="472" w:firstLineChars="196"/>
        <w:rPr>
          <w:rFonts w:hAnsi="宋体"/>
          <w:b/>
          <w:sz w:val="24"/>
          <w:szCs w:val="24"/>
        </w:rPr>
      </w:pPr>
      <w:r>
        <w:rPr>
          <w:rFonts w:hint="eastAsia" w:hAnsi="宋体"/>
          <w:b/>
          <w:sz w:val="24"/>
          <w:szCs w:val="24"/>
        </w:rPr>
        <w:t>三、质疑基本情况</w:t>
      </w:r>
    </w:p>
    <w:p w14:paraId="4650E090">
      <w:pPr>
        <w:pStyle w:val="25"/>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0EB899EB">
      <w:pPr>
        <w:pStyle w:val="2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F5AFFDC">
      <w:pPr>
        <w:pStyle w:val="2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91803A5">
      <w:pPr>
        <w:pStyle w:val="2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C23D3C6">
      <w:pPr>
        <w:pStyle w:val="2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05439DFB">
      <w:pPr>
        <w:pStyle w:val="2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E669D99">
      <w:pPr>
        <w:pStyle w:val="2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071DA61">
      <w:pPr>
        <w:pStyle w:val="2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02520172">
      <w:pPr>
        <w:pStyle w:val="2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6B11470">
      <w:pPr>
        <w:pStyle w:val="2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6A7AC05">
      <w:pPr>
        <w:pStyle w:val="2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B03ABFD">
      <w:pPr>
        <w:pStyle w:val="25"/>
        <w:spacing w:line="360" w:lineRule="auto"/>
        <w:ind w:left="25" w:leftChars="12" w:firstLine="472" w:firstLineChars="197"/>
        <w:rPr>
          <w:rFonts w:hAnsi="宋体"/>
          <w:bCs/>
          <w:sz w:val="24"/>
          <w:szCs w:val="24"/>
        </w:rPr>
      </w:pPr>
      <w:r>
        <w:rPr>
          <w:rFonts w:hAnsi="宋体"/>
          <w:bCs/>
          <w:sz w:val="24"/>
          <w:szCs w:val="24"/>
        </w:rPr>
        <w:t>……</w:t>
      </w:r>
    </w:p>
    <w:p w14:paraId="11D175F2">
      <w:pPr>
        <w:pStyle w:val="2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2AC61423">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3AC518F3">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5313E8B6">
      <w:pPr>
        <w:pStyle w:val="25"/>
        <w:spacing w:line="360" w:lineRule="auto"/>
        <w:ind w:left="25" w:leftChars="12" w:firstLine="472" w:firstLineChars="197"/>
        <w:rPr>
          <w:rFonts w:hAnsi="宋体"/>
          <w:sz w:val="24"/>
          <w:szCs w:val="24"/>
        </w:rPr>
      </w:pPr>
      <w:r>
        <w:rPr>
          <w:rFonts w:hint="eastAsia" w:hAnsi="宋体"/>
          <w:sz w:val="24"/>
          <w:szCs w:val="24"/>
        </w:rPr>
        <w:t>日期：</w:t>
      </w:r>
    </w:p>
    <w:p w14:paraId="7050E6BC">
      <w:pPr>
        <w:pStyle w:val="25"/>
        <w:spacing w:line="360" w:lineRule="auto"/>
        <w:ind w:left="25" w:leftChars="12" w:firstLine="475" w:firstLineChars="197"/>
        <w:rPr>
          <w:rFonts w:hAnsi="宋体"/>
          <w:b/>
          <w:sz w:val="24"/>
          <w:szCs w:val="24"/>
        </w:rPr>
      </w:pPr>
      <w:r>
        <w:rPr>
          <w:rFonts w:hint="eastAsia" w:hAnsi="宋体"/>
          <w:b/>
          <w:sz w:val="24"/>
          <w:szCs w:val="24"/>
        </w:rPr>
        <w:t>说明：</w:t>
      </w:r>
    </w:p>
    <w:p w14:paraId="0C0C8E91">
      <w:pPr>
        <w:pStyle w:val="2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02C78E6B">
      <w:pPr>
        <w:pStyle w:val="2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8DA3D09">
      <w:pPr>
        <w:pStyle w:val="2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65B05F82">
      <w:pPr>
        <w:pStyle w:val="2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6B315DA1">
      <w:pPr>
        <w:pStyle w:val="2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4A7A75D0">
      <w:pPr>
        <w:pStyle w:val="25"/>
        <w:spacing w:line="360" w:lineRule="auto"/>
        <w:ind w:left="25" w:leftChars="12" w:firstLine="354" w:firstLineChars="147"/>
        <w:rPr>
          <w:rFonts w:asciiTheme="majorEastAsia" w:hAnsiTheme="majorEastAsia" w:eastAsiaTheme="majorEastAsia" w:cstheme="majorEastAsia"/>
          <w:b/>
        </w:rPr>
      </w:pPr>
      <w:r>
        <w:rPr>
          <w:rFonts w:hint="eastAsia" w:hAnsi="宋体"/>
          <w:b/>
          <w:sz w:val="24"/>
          <w:szCs w:val="24"/>
        </w:rPr>
        <w:t>6.投诉人为法人或者其他组织的，投诉书应由法定代表人、主要负责人，或者其授权代表签字或者盖章，并加盖公章。</w:t>
      </w:r>
    </w:p>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4E98">
    <w:pPr>
      <w:pStyle w:val="32"/>
      <w:jc w:val="center"/>
    </w:pPr>
    <w:r>
      <w:fldChar w:fldCharType="begin"/>
    </w:r>
    <w:r>
      <w:instrText xml:space="preserve"> PAGE   \* MERGEFORMAT </w:instrText>
    </w:r>
    <w:r>
      <w:fldChar w:fldCharType="separate"/>
    </w:r>
    <w:r>
      <w:rPr>
        <w:lang w:val="zh-CN"/>
      </w:rPr>
      <w:t>84</w:t>
    </w:r>
    <w:r>
      <w:rPr>
        <w:lang w:val="zh-CN"/>
      </w:rPr>
      <w:fldChar w:fldCharType="end"/>
    </w:r>
  </w:p>
  <w:p w14:paraId="7B504699">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E9E">
    <w:pPr>
      <w:pStyle w:val="32"/>
      <w:jc w:val="center"/>
    </w:pPr>
    <w:r>
      <w:fldChar w:fldCharType="begin"/>
    </w:r>
    <w:r>
      <w:instrText xml:space="preserve">PAGE   \* MERGEFORMAT</w:instrText>
    </w:r>
    <w:r>
      <w:fldChar w:fldCharType="separate"/>
    </w:r>
    <w:r>
      <w:rPr>
        <w:lang w:val="zh-CN"/>
      </w:rPr>
      <w:t>1</w:t>
    </w:r>
    <w:r>
      <w:rPr>
        <w:lang w:val="zh-CN"/>
      </w:rPr>
      <w:fldChar w:fldCharType="end"/>
    </w:r>
  </w:p>
  <w:p w14:paraId="20B74889">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18B2">
    <w:pPr>
      <w:pStyle w:val="32"/>
      <w:jc w:val="center"/>
    </w:pPr>
    <w:r>
      <w:fldChar w:fldCharType="begin"/>
    </w:r>
    <w:r>
      <w:instrText xml:space="preserve"> PAGE   \* MERGEFORMAT </w:instrText>
    </w:r>
    <w:r>
      <w:fldChar w:fldCharType="separate"/>
    </w:r>
    <w:r>
      <w:rPr>
        <w:lang w:val="zh-CN"/>
      </w:rPr>
      <w:t>94</w:t>
    </w:r>
    <w:r>
      <w:rPr>
        <w:lang w:val="zh-CN"/>
      </w:rPr>
      <w:fldChar w:fldCharType="end"/>
    </w:r>
  </w:p>
  <w:p w14:paraId="50DEE4BB">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9A30A">
    <w:pPr>
      <w:pStyle w:val="32"/>
      <w:framePr w:wrap="around" w:vAnchor="text" w:hAnchor="margin" w:xAlign="center" w:y="1"/>
      <w:rPr>
        <w:rStyle w:val="50"/>
      </w:rPr>
    </w:pPr>
    <w:r>
      <w:fldChar w:fldCharType="begin"/>
    </w:r>
    <w:r>
      <w:rPr>
        <w:rStyle w:val="50"/>
      </w:rPr>
      <w:instrText xml:space="preserve">PAGE  </w:instrText>
    </w:r>
    <w:r>
      <w:fldChar w:fldCharType="end"/>
    </w:r>
  </w:p>
  <w:p w14:paraId="7E6E5EC6">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79AF">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EF44">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E0EE">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8CFA5"/>
    <w:multiLevelType w:val="singleLevel"/>
    <w:tmpl w:val="AF78CFA5"/>
    <w:lvl w:ilvl="0" w:tentative="0">
      <w:start w:val="1"/>
      <w:numFmt w:val="chineseCounting"/>
      <w:suff w:val="nothing"/>
      <w:lvlText w:val="%1、"/>
      <w:lvlJc w:val="left"/>
      <w:rPr>
        <w:rFonts w:hint="eastAsia"/>
      </w:rPr>
    </w:lvl>
  </w:abstractNum>
  <w:abstractNum w:abstractNumId="1">
    <w:nsid w:val="F4109120"/>
    <w:multiLevelType w:val="singleLevel"/>
    <w:tmpl w:val="F4109120"/>
    <w:lvl w:ilvl="0" w:tentative="0">
      <w:start w:val="1"/>
      <w:numFmt w:val="decimal"/>
      <w:suff w:val="space"/>
      <w:lvlText w:val="%1."/>
      <w:lvlJc w:val="left"/>
    </w:lvl>
  </w:abstractNum>
  <w:abstractNum w:abstractNumId="2">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FDF800F"/>
    <w:multiLevelType w:val="singleLevel"/>
    <w:tmpl w:val="6FDF800F"/>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4ZWRiZGZjOGQyMzkzN2NkOWJjZTQ5Mjc1ZDYyYT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0C54"/>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A0A"/>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C87"/>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21"/>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A0E"/>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0BA0"/>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42"/>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1FF"/>
    <w:rsid w:val="002F0F36"/>
    <w:rsid w:val="002F1276"/>
    <w:rsid w:val="002F175B"/>
    <w:rsid w:val="002F1986"/>
    <w:rsid w:val="002F1E5F"/>
    <w:rsid w:val="002F2A49"/>
    <w:rsid w:val="002F2C2F"/>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DF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595F"/>
    <w:rsid w:val="003A5EEC"/>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541"/>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57F7F"/>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BF"/>
    <w:rsid w:val="00603702"/>
    <w:rsid w:val="00603B4B"/>
    <w:rsid w:val="00603F20"/>
    <w:rsid w:val="00604F37"/>
    <w:rsid w:val="0060508A"/>
    <w:rsid w:val="006055AF"/>
    <w:rsid w:val="00605942"/>
    <w:rsid w:val="00605C9F"/>
    <w:rsid w:val="00605DE8"/>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537D"/>
    <w:rsid w:val="0061537F"/>
    <w:rsid w:val="006156D7"/>
    <w:rsid w:val="00615CF1"/>
    <w:rsid w:val="00615DEA"/>
    <w:rsid w:val="00616A60"/>
    <w:rsid w:val="00616D0C"/>
    <w:rsid w:val="00616EE6"/>
    <w:rsid w:val="006171FB"/>
    <w:rsid w:val="00617283"/>
    <w:rsid w:val="00617A2A"/>
    <w:rsid w:val="00617A94"/>
    <w:rsid w:val="006207F4"/>
    <w:rsid w:val="00620A8F"/>
    <w:rsid w:val="00620C67"/>
    <w:rsid w:val="00621479"/>
    <w:rsid w:val="00621646"/>
    <w:rsid w:val="00621803"/>
    <w:rsid w:val="00621A34"/>
    <w:rsid w:val="006220F1"/>
    <w:rsid w:val="00623E46"/>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0A6"/>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DF6"/>
    <w:rsid w:val="006B233F"/>
    <w:rsid w:val="006B275E"/>
    <w:rsid w:val="006B28EA"/>
    <w:rsid w:val="006B2DA3"/>
    <w:rsid w:val="006B2FBB"/>
    <w:rsid w:val="006B378A"/>
    <w:rsid w:val="006B3BD5"/>
    <w:rsid w:val="006B4185"/>
    <w:rsid w:val="006B4224"/>
    <w:rsid w:val="006B4493"/>
    <w:rsid w:val="006B453E"/>
    <w:rsid w:val="006B4B62"/>
    <w:rsid w:val="006B53DC"/>
    <w:rsid w:val="006B5423"/>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5DC6"/>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23F"/>
    <w:rsid w:val="007233C3"/>
    <w:rsid w:val="007238D7"/>
    <w:rsid w:val="00723C95"/>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253"/>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6E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4D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85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20E1"/>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10B1"/>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4C2B"/>
    <w:rsid w:val="00BF507A"/>
    <w:rsid w:val="00BF53F1"/>
    <w:rsid w:val="00BF5717"/>
    <w:rsid w:val="00BF585E"/>
    <w:rsid w:val="00BF5B9D"/>
    <w:rsid w:val="00BF5C45"/>
    <w:rsid w:val="00BF5FA3"/>
    <w:rsid w:val="00BF62F2"/>
    <w:rsid w:val="00BF63A5"/>
    <w:rsid w:val="00BF6493"/>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90165"/>
    <w:rsid w:val="00C902DA"/>
    <w:rsid w:val="00C90733"/>
    <w:rsid w:val="00C921C4"/>
    <w:rsid w:val="00C9235F"/>
    <w:rsid w:val="00C9257F"/>
    <w:rsid w:val="00C92BF4"/>
    <w:rsid w:val="00C9319C"/>
    <w:rsid w:val="00C934F6"/>
    <w:rsid w:val="00C93874"/>
    <w:rsid w:val="00C93A4C"/>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02C"/>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9C7"/>
    <w:rsid w:val="00D87F1E"/>
    <w:rsid w:val="00D90275"/>
    <w:rsid w:val="00D902F5"/>
    <w:rsid w:val="00D9075D"/>
    <w:rsid w:val="00D90959"/>
    <w:rsid w:val="00D91410"/>
    <w:rsid w:val="00D91438"/>
    <w:rsid w:val="00D91594"/>
    <w:rsid w:val="00D91ABE"/>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04D"/>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09EC"/>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1F34"/>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0FAC"/>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675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77F2C"/>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974"/>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40564D"/>
    <w:rsid w:val="017E3F71"/>
    <w:rsid w:val="01AA2C10"/>
    <w:rsid w:val="021D0D94"/>
    <w:rsid w:val="023A109F"/>
    <w:rsid w:val="02BE337B"/>
    <w:rsid w:val="02CB1CF7"/>
    <w:rsid w:val="030A0A72"/>
    <w:rsid w:val="031B78E2"/>
    <w:rsid w:val="037738D8"/>
    <w:rsid w:val="03CA2A2C"/>
    <w:rsid w:val="03D41080"/>
    <w:rsid w:val="046E4522"/>
    <w:rsid w:val="04BC3FEE"/>
    <w:rsid w:val="04EC4BF9"/>
    <w:rsid w:val="055A2489"/>
    <w:rsid w:val="058D6A20"/>
    <w:rsid w:val="05EC37DD"/>
    <w:rsid w:val="06062903"/>
    <w:rsid w:val="060E7748"/>
    <w:rsid w:val="065D579F"/>
    <w:rsid w:val="06865951"/>
    <w:rsid w:val="068955F4"/>
    <w:rsid w:val="06CA0A0A"/>
    <w:rsid w:val="075F0692"/>
    <w:rsid w:val="07BA1FDC"/>
    <w:rsid w:val="07BF1CE5"/>
    <w:rsid w:val="07DB054A"/>
    <w:rsid w:val="07E6534F"/>
    <w:rsid w:val="08167EED"/>
    <w:rsid w:val="083D2AF4"/>
    <w:rsid w:val="08C604B1"/>
    <w:rsid w:val="08F53B23"/>
    <w:rsid w:val="09220A50"/>
    <w:rsid w:val="0927116F"/>
    <w:rsid w:val="09E41D8F"/>
    <w:rsid w:val="0A053C89"/>
    <w:rsid w:val="0A070656"/>
    <w:rsid w:val="0A17534A"/>
    <w:rsid w:val="0A79499C"/>
    <w:rsid w:val="0A913ED8"/>
    <w:rsid w:val="0B030173"/>
    <w:rsid w:val="0B24171E"/>
    <w:rsid w:val="0B5C3243"/>
    <w:rsid w:val="0B665CE2"/>
    <w:rsid w:val="0B6B1748"/>
    <w:rsid w:val="0BA6321E"/>
    <w:rsid w:val="0BAD59A4"/>
    <w:rsid w:val="0BFC043E"/>
    <w:rsid w:val="0C0E7438"/>
    <w:rsid w:val="0C2F22AB"/>
    <w:rsid w:val="0C466B45"/>
    <w:rsid w:val="0C937C0E"/>
    <w:rsid w:val="0D584403"/>
    <w:rsid w:val="0D6B65B1"/>
    <w:rsid w:val="0D7766FF"/>
    <w:rsid w:val="0DEE7765"/>
    <w:rsid w:val="0E591A99"/>
    <w:rsid w:val="0F2B5D1F"/>
    <w:rsid w:val="101C0A97"/>
    <w:rsid w:val="101E59ED"/>
    <w:rsid w:val="10F67974"/>
    <w:rsid w:val="117228D1"/>
    <w:rsid w:val="12685FCD"/>
    <w:rsid w:val="12852A72"/>
    <w:rsid w:val="12C60637"/>
    <w:rsid w:val="12EA5041"/>
    <w:rsid w:val="13214E77"/>
    <w:rsid w:val="134D0507"/>
    <w:rsid w:val="13757C46"/>
    <w:rsid w:val="142851FC"/>
    <w:rsid w:val="14486842"/>
    <w:rsid w:val="144926AB"/>
    <w:rsid w:val="146F2C7A"/>
    <w:rsid w:val="147015A5"/>
    <w:rsid w:val="149E4992"/>
    <w:rsid w:val="15A90594"/>
    <w:rsid w:val="15D114D0"/>
    <w:rsid w:val="162E0AC3"/>
    <w:rsid w:val="170E5D26"/>
    <w:rsid w:val="174979EB"/>
    <w:rsid w:val="1760188C"/>
    <w:rsid w:val="17643FF9"/>
    <w:rsid w:val="17BE59A2"/>
    <w:rsid w:val="17D1324E"/>
    <w:rsid w:val="17EA7775"/>
    <w:rsid w:val="1802165D"/>
    <w:rsid w:val="18077515"/>
    <w:rsid w:val="18185849"/>
    <w:rsid w:val="18CA5D94"/>
    <w:rsid w:val="18D645D2"/>
    <w:rsid w:val="19194B41"/>
    <w:rsid w:val="195E104B"/>
    <w:rsid w:val="1A442DE9"/>
    <w:rsid w:val="1B1427D2"/>
    <w:rsid w:val="1B2A7AAB"/>
    <w:rsid w:val="1B2F36F2"/>
    <w:rsid w:val="1BA00FB7"/>
    <w:rsid w:val="1BC305D3"/>
    <w:rsid w:val="1BEC1AEC"/>
    <w:rsid w:val="1BF3473E"/>
    <w:rsid w:val="1C230AC0"/>
    <w:rsid w:val="1C903AF6"/>
    <w:rsid w:val="1C9F2115"/>
    <w:rsid w:val="1CB05F57"/>
    <w:rsid w:val="1CD55680"/>
    <w:rsid w:val="1D321E13"/>
    <w:rsid w:val="1DBC044E"/>
    <w:rsid w:val="1E390005"/>
    <w:rsid w:val="1E7F3055"/>
    <w:rsid w:val="1E87598B"/>
    <w:rsid w:val="1E8A1234"/>
    <w:rsid w:val="1F021EE1"/>
    <w:rsid w:val="1F040613"/>
    <w:rsid w:val="1F454D3A"/>
    <w:rsid w:val="1F4849CA"/>
    <w:rsid w:val="1F873477"/>
    <w:rsid w:val="1FDF421E"/>
    <w:rsid w:val="20EB2E46"/>
    <w:rsid w:val="20F53349"/>
    <w:rsid w:val="21455F84"/>
    <w:rsid w:val="22133924"/>
    <w:rsid w:val="232D755C"/>
    <w:rsid w:val="24575886"/>
    <w:rsid w:val="2493163B"/>
    <w:rsid w:val="24977600"/>
    <w:rsid w:val="24B831E2"/>
    <w:rsid w:val="24D11E27"/>
    <w:rsid w:val="250B120F"/>
    <w:rsid w:val="252C7220"/>
    <w:rsid w:val="258D5F08"/>
    <w:rsid w:val="26071ED5"/>
    <w:rsid w:val="26226B65"/>
    <w:rsid w:val="263749FA"/>
    <w:rsid w:val="268C02CD"/>
    <w:rsid w:val="26A50560"/>
    <w:rsid w:val="26E75939"/>
    <w:rsid w:val="270F55EE"/>
    <w:rsid w:val="272F1A96"/>
    <w:rsid w:val="27F52753"/>
    <w:rsid w:val="27FD1EFF"/>
    <w:rsid w:val="28650375"/>
    <w:rsid w:val="297B0CF7"/>
    <w:rsid w:val="29A916EC"/>
    <w:rsid w:val="29D46894"/>
    <w:rsid w:val="29D543B0"/>
    <w:rsid w:val="2A16744D"/>
    <w:rsid w:val="2A6C5518"/>
    <w:rsid w:val="2AD92315"/>
    <w:rsid w:val="2AFB54A9"/>
    <w:rsid w:val="2B1B11BE"/>
    <w:rsid w:val="2B654700"/>
    <w:rsid w:val="2B822DA1"/>
    <w:rsid w:val="2C036977"/>
    <w:rsid w:val="2C0A4A07"/>
    <w:rsid w:val="2C3541FE"/>
    <w:rsid w:val="2C541884"/>
    <w:rsid w:val="2CF96FB4"/>
    <w:rsid w:val="2D9D1DE2"/>
    <w:rsid w:val="2DCF682F"/>
    <w:rsid w:val="2DD724C3"/>
    <w:rsid w:val="2E0568C7"/>
    <w:rsid w:val="2E112BAE"/>
    <w:rsid w:val="2E343DB9"/>
    <w:rsid w:val="2E4210BF"/>
    <w:rsid w:val="2E457B9E"/>
    <w:rsid w:val="2E70537D"/>
    <w:rsid w:val="2EA133AF"/>
    <w:rsid w:val="2EDD2DD9"/>
    <w:rsid w:val="2EE1338C"/>
    <w:rsid w:val="2F723467"/>
    <w:rsid w:val="2FA94C44"/>
    <w:rsid w:val="301663F8"/>
    <w:rsid w:val="30197C97"/>
    <w:rsid w:val="306835D0"/>
    <w:rsid w:val="30872DEE"/>
    <w:rsid w:val="30B17ECF"/>
    <w:rsid w:val="30B91060"/>
    <w:rsid w:val="30F71D86"/>
    <w:rsid w:val="31684C94"/>
    <w:rsid w:val="31780008"/>
    <w:rsid w:val="31870883"/>
    <w:rsid w:val="31B72239"/>
    <w:rsid w:val="31BB1708"/>
    <w:rsid w:val="321E77E6"/>
    <w:rsid w:val="32A0292F"/>
    <w:rsid w:val="32A02B99"/>
    <w:rsid w:val="337D5F7B"/>
    <w:rsid w:val="33912639"/>
    <w:rsid w:val="33D414D0"/>
    <w:rsid w:val="341B2B8A"/>
    <w:rsid w:val="3439368F"/>
    <w:rsid w:val="34603E67"/>
    <w:rsid w:val="34A72BA0"/>
    <w:rsid w:val="3502693D"/>
    <w:rsid w:val="35545266"/>
    <w:rsid w:val="35625076"/>
    <w:rsid w:val="35683252"/>
    <w:rsid w:val="35690056"/>
    <w:rsid w:val="358D4674"/>
    <w:rsid w:val="35CD358A"/>
    <w:rsid w:val="35D21729"/>
    <w:rsid w:val="36232DB0"/>
    <w:rsid w:val="36CD370A"/>
    <w:rsid w:val="36DF5796"/>
    <w:rsid w:val="371F47CE"/>
    <w:rsid w:val="378425F3"/>
    <w:rsid w:val="37E17C57"/>
    <w:rsid w:val="385F359C"/>
    <w:rsid w:val="38F00F56"/>
    <w:rsid w:val="39230C69"/>
    <w:rsid w:val="392C517D"/>
    <w:rsid w:val="394D2FF3"/>
    <w:rsid w:val="39764653"/>
    <w:rsid w:val="39B30907"/>
    <w:rsid w:val="3A476502"/>
    <w:rsid w:val="3A514476"/>
    <w:rsid w:val="3AF70D7C"/>
    <w:rsid w:val="3B6049CB"/>
    <w:rsid w:val="3BA12515"/>
    <w:rsid w:val="3BA80B19"/>
    <w:rsid w:val="3BC74A4B"/>
    <w:rsid w:val="3C4240EC"/>
    <w:rsid w:val="3C467655"/>
    <w:rsid w:val="3C9B0CDC"/>
    <w:rsid w:val="3CB61A62"/>
    <w:rsid w:val="3CE75508"/>
    <w:rsid w:val="3D711B40"/>
    <w:rsid w:val="3D7C6034"/>
    <w:rsid w:val="3DF36B81"/>
    <w:rsid w:val="3E1579E5"/>
    <w:rsid w:val="3E800AA6"/>
    <w:rsid w:val="3F3A1FEB"/>
    <w:rsid w:val="3F8F7BFB"/>
    <w:rsid w:val="3FBB2FDA"/>
    <w:rsid w:val="40A67243"/>
    <w:rsid w:val="412070D7"/>
    <w:rsid w:val="415739F6"/>
    <w:rsid w:val="41A522F2"/>
    <w:rsid w:val="41CE268F"/>
    <w:rsid w:val="42253D73"/>
    <w:rsid w:val="42DE0FF8"/>
    <w:rsid w:val="430D71E7"/>
    <w:rsid w:val="43D84756"/>
    <w:rsid w:val="44592171"/>
    <w:rsid w:val="44676118"/>
    <w:rsid w:val="448C6505"/>
    <w:rsid w:val="44D77AAC"/>
    <w:rsid w:val="44E4602A"/>
    <w:rsid w:val="45537845"/>
    <w:rsid w:val="45B80788"/>
    <w:rsid w:val="46051E7A"/>
    <w:rsid w:val="46B654EF"/>
    <w:rsid w:val="46C77CC4"/>
    <w:rsid w:val="47CB7360"/>
    <w:rsid w:val="47E9061B"/>
    <w:rsid w:val="483B0352"/>
    <w:rsid w:val="484245C7"/>
    <w:rsid w:val="48595E5F"/>
    <w:rsid w:val="4884792F"/>
    <w:rsid w:val="488D7CFE"/>
    <w:rsid w:val="48CC3E16"/>
    <w:rsid w:val="49167552"/>
    <w:rsid w:val="49323FD7"/>
    <w:rsid w:val="494E6498"/>
    <w:rsid w:val="4A2D6DC7"/>
    <w:rsid w:val="4AB66B72"/>
    <w:rsid w:val="4ABC3EE6"/>
    <w:rsid w:val="4AD827D0"/>
    <w:rsid w:val="4BD75DE3"/>
    <w:rsid w:val="4BE95365"/>
    <w:rsid w:val="4C12409B"/>
    <w:rsid w:val="4C4243A5"/>
    <w:rsid w:val="4D985826"/>
    <w:rsid w:val="4D9B7742"/>
    <w:rsid w:val="4DB737CA"/>
    <w:rsid w:val="4DC3720E"/>
    <w:rsid w:val="4E0D09E3"/>
    <w:rsid w:val="4E0D6573"/>
    <w:rsid w:val="4E107CFD"/>
    <w:rsid w:val="4E913084"/>
    <w:rsid w:val="4E9B14FE"/>
    <w:rsid w:val="4EAC5711"/>
    <w:rsid w:val="4EB175C0"/>
    <w:rsid w:val="4EDB7DEA"/>
    <w:rsid w:val="4F1C1C89"/>
    <w:rsid w:val="500D0797"/>
    <w:rsid w:val="516B614C"/>
    <w:rsid w:val="51B2004B"/>
    <w:rsid w:val="52904232"/>
    <w:rsid w:val="52F73D3C"/>
    <w:rsid w:val="531D5224"/>
    <w:rsid w:val="53237088"/>
    <w:rsid w:val="53616BB9"/>
    <w:rsid w:val="536E3CD2"/>
    <w:rsid w:val="53D706B9"/>
    <w:rsid w:val="5426478F"/>
    <w:rsid w:val="54556AEA"/>
    <w:rsid w:val="55131A57"/>
    <w:rsid w:val="55622629"/>
    <w:rsid w:val="565417E9"/>
    <w:rsid w:val="57207216"/>
    <w:rsid w:val="577D71D5"/>
    <w:rsid w:val="582B3F35"/>
    <w:rsid w:val="5861178D"/>
    <w:rsid w:val="58890B30"/>
    <w:rsid w:val="589B369A"/>
    <w:rsid w:val="58C6432E"/>
    <w:rsid w:val="5908391E"/>
    <w:rsid w:val="59D46859"/>
    <w:rsid w:val="59D9433B"/>
    <w:rsid w:val="59DE6159"/>
    <w:rsid w:val="5A04583D"/>
    <w:rsid w:val="5A0817DD"/>
    <w:rsid w:val="5A3A2DDD"/>
    <w:rsid w:val="5A4B34F1"/>
    <w:rsid w:val="5B0B1E06"/>
    <w:rsid w:val="5B4C0C4A"/>
    <w:rsid w:val="5BF449CD"/>
    <w:rsid w:val="5BF918A2"/>
    <w:rsid w:val="5BFC45BA"/>
    <w:rsid w:val="5C237623"/>
    <w:rsid w:val="5C3805BF"/>
    <w:rsid w:val="5C4968E6"/>
    <w:rsid w:val="5CB55012"/>
    <w:rsid w:val="5ED76139"/>
    <w:rsid w:val="613B316F"/>
    <w:rsid w:val="616B1851"/>
    <w:rsid w:val="6185087E"/>
    <w:rsid w:val="61BF02E0"/>
    <w:rsid w:val="62093465"/>
    <w:rsid w:val="62B8336A"/>
    <w:rsid w:val="63157D64"/>
    <w:rsid w:val="63185A08"/>
    <w:rsid w:val="635F5CFB"/>
    <w:rsid w:val="63927568"/>
    <w:rsid w:val="63E340FD"/>
    <w:rsid w:val="64337579"/>
    <w:rsid w:val="64441196"/>
    <w:rsid w:val="648B53C8"/>
    <w:rsid w:val="65091B75"/>
    <w:rsid w:val="6568774A"/>
    <w:rsid w:val="65954A17"/>
    <w:rsid w:val="65B27F48"/>
    <w:rsid w:val="65BC6440"/>
    <w:rsid w:val="65C36E7F"/>
    <w:rsid w:val="65D21A26"/>
    <w:rsid w:val="663B7430"/>
    <w:rsid w:val="671E1CA4"/>
    <w:rsid w:val="672A0BC3"/>
    <w:rsid w:val="677E1BB2"/>
    <w:rsid w:val="67BC2E06"/>
    <w:rsid w:val="67D0240D"/>
    <w:rsid w:val="67F752AC"/>
    <w:rsid w:val="682B479F"/>
    <w:rsid w:val="687775B2"/>
    <w:rsid w:val="68CB13E7"/>
    <w:rsid w:val="69B24302"/>
    <w:rsid w:val="69E8472F"/>
    <w:rsid w:val="6A125484"/>
    <w:rsid w:val="6A1B14A7"/>
    <w:rsid w:val="6AC87D14"/>
    <w:rsid w:val="6B241A17"/>
    <w:rsid w:val="6BE24E05"/>
    <w:rsid w:val="6C5801EF"/>
    <w:rsid w:val="6DC34565"/>
    <w:rsid w:val="6DCA304C"/>
    <w:rsid w:val="6E110D76"/>
    <w:rsid w:val="6E1148C4"/>
    <w:rsid w:val="6E2E0238"/>
    <w:rsid w:val="6E687F4E"/>
    <w:rsid w:val="6E914282"/>
    <w:rsid w:val="6E9C0F6F"/>
    <w:rsid w:val="6EB47491"/>
    <w:rsid w:val="6EF2117C"/>
    <w:rsid w:val="6F0E4EC3"/>
    <w:rsid w:val="6F4705A6"/>
    <w:rsid w:val="6FAF14A2"/>
    <w:rsid w:val="70557737"/>
    <w:rsid w:val="706D27E8"/>
    <w:rsid w:val="712224EE"/>
    <w:rsid w:val="71597917"/>
    <w:rsid w:val="715D0EE2"/>
    <w:rsid w:val="718451D9"/>
    <w:rsid w:val="71AD7318"/>
    <w:rsid w:val="726D70E7"/>
    <w:rsid w:val="72A63D8F"/>
    <w:rsid w:val="73D2575F"/>
    <w:rsid w:val="747D74F0"/>
    <w:rsid w:val="74C31ECB"/>
    <w:rsid w:val="74DE1061"/>
    <w:rsid w:val="75942919"/>
    <w:rsid w:val="75F31ED6"/>
    <w:rsid w:val="760D34E9"/>
    <w:rsid w:val="76595CC4"/>
    <w:rsid w:val="76844DD8"/>
    <w:rsid w:val="7685544A"/>
    <w:rsid w:val="77240217"/>
    <w:rsid w:val="77277640"/>
    <w:rsid w:val="7837245C"/>
    <w:rsid w:val="79851D4D"/>
    <w:rsid w:val="7997550A"/>
    <w:rsid w:val="79C1276A"/>
    <w:rsid w:val="79E2501D"/>
    <w:rsid w:val="7AAA36FF"/>
    <w:rsid w:val="7B2D3A98"/>
    <w:rsid w:val="7B832A45"/>
    <w:rsid w:val="7B964AEB"/>
    <w:rsid w:val="7BB75966"/>
    <w:rsid w:val="7BB90B5C"/>
    <w:rsid w:val="7BBA6740"/>
    <w:rsid w:val="7BDB2257"/>
    <w:rsid w:val="7C9C4E59"/>
    <w:rsid w:val="7D2D2866"/>
    <w:rsid w:val="7D521C0D"/>
    <w:rsid w:val="7D94336A"/>
    <w:rsid w:val="7DE60785"/>
    <w:rsid w:val="7E092C14"/>
    <w:rsid w:val="7E2B43EA"/>
    <w:rsid w:val="7E2F1D63"/>
    <w:rsid w:val="7E762054"/>
    <w:rsid w:val="7EFC6788"/>
    <w:rsid w:val="7F482401"/>
    <w:rsid w:val="7FAA2F42"/>
    <w:rsid w:val="7FF91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1"/>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65"/>
    <w:unhideWhenUsed/>
    <w:qFormat/>
    <w:uiPriority w:val="0"/>
    <w:pPr>
      <w:jc w:val="left"/>
    </w:pPr>
  </w:style>
  <w:style w:type="paragraph" w:styleId="18">
    <w:name w:val="Body Text 3"/>
    <w:basedOn w:val="1"/>
    <w:link w:val="66"/>
    <w:qFormat/>
    <w:uiPriority w:val="0"/>
    <w:pPr>
      <w:spacing w:line="500" w:lineRule="exact"/>
    </w:pPr>
    <w:rPr>
      <w:b/>
      <w:bCs/>
      <w:kern w:val="0"/>
      <w:sz w:val="24"/>
    </w:rPr>
  </w:style>
  <w:style w:type="paragraph" w:styleId="19">
    <w:name w:val="Body Text"/>
    <w:basedOn w:val="1"/>
    <w:link w:val="67"/>
    <w:qFormat/>
    <w:uiPriority w:val="99"/>
    <w:pPr>
      <w:spacing w:line="380" w:lineRule="exact"/>
    </w:pPr>
    <w:rPr>
      <w:kern w:val="0"/>
      <w:sz w:val="24"/>
    </w:rPr>
  </w:style>
  <w:style w:type="paragraph" w:styleId="20">
    <w:name w:val="Body Text Indent"/>
    <w:basedOn w:val="1"/>
    <w:link w:val="6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26"/>
    <w:link w:val="69"/>
    <w:qFormat/>
    <w:uiPriority w:val="0"/>
    <w:rPr>
      <w:rFonts w:ascii="宋体" w:hAnsi="Courier New"/>
      <w:kern w:val="0"/>
      <w:sz w:val="20"/>
      <w:szCs w:val="21"/>
    </w:rPr>
  </w:style>
  <w:style w:type="paragraph" w:styleId="2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0"/>
    <w:qFormat/>
    <w:uiPriority w:val="0"/>
    <w:pPr>
      <w:ind w:left="100" w:leftChars="2500"/>
    </w:pPr>
    <w:rPr>
      <w:rFonts w:ascii="宋体" w:hAnsi="Courier New"/>
      <w:kern w:val="0"/>
      <w:sz w:val="20"/>
      <w:szCs w:val="21"/>
    </w:rPr>
  </w:style>
  <w:style w:type="paragraph" w:styleId="29">
    <w:name w:val="Body Text Indent 2"/>
    <w:basedOn w:val="1"/>
    <w:link w:val="71"/>
    <w:qFormat/>
    <w:uiPriority w:val="0"/>
    <w:pPr>
      <w:ind w:firstLine="630"/>
    </w:pPr>
    <w:rPr>
      <w:kern w:val="0"/>
      <w:sz w:val="32"/>
      <w:szCs w:val="20"/>
    </w:rPr>
  </w:style>
  <w:style w:type="paragraph" w:styleId="30">
    <w:name w:val="endnote text"/>
    <w:basedOn w:val="1"/>
    <w:link w:val="72"/>
    <w:unhideWhenUsed/>
    <w:qFormat/>
    <w:uiPriority w:val="99"/>
    <w:pPr>
      <w:snapToGrid w:val="0"/>
      <w:jc w:val="left"/>
    </w:pPr>
  </w:style>
  <w:style w:type="paragraph" w:styleId="31">
    <w:name w:val="Balloon Text"/>
    <w:basedOn w:val="1"/>
    <w:link w:val="73"/>
    <w:semiHidden/>
    <w:qFormat/>
    <w:uiPriority w:val="0"/>
    <w:rPr>
      <w:kern w:val="0"/>
      <w:sz w:val="18"/>
      <w:szCs w:val="18"/>
    </w:rPr>
  </w:style>
  <w:style w:type="paragraph" w:styleId="32">
    <w:name w:val="footer"/>
    <w:basedOn w:val="1"/>
    <w:next w:val="1"/>
    <w:link w:val="74"/>
    <w:unhideWhenUsed/>
    <w:qFormat/>
    <w:uiPriority w:val="99"/>
    <w:pPr>
      <w:tabs>
        <w:tab w:val="center" w:pos="4153"/>
        <w:tab w:val="right" w:pos="8306"/>
      </w:tabs>
      <w:snapToGrid w:val="0"/>
      <w:jc w:val="left"/>
    </w:pPr>
    <w:rPr>
      <w:kern w:val="0"/>
      <w:sz w:val="18"/>
      <w:szCs w:val="18"/>
    </w:rPr>
  </w:style>
  <w:style w:type="paragraph" w:styleId="33">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7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79"/>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0"/>
    <w:unhideWhenUsed/>
    <w:qFormat/>
    <w:uiPriority w:val="99"/>
    <w:rPr>
      <w:b/>
      <w:bCs/>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8"/>
    <w:qFormat/>
    <w:uiPriority w:val="20"/>
    <w:rPr>
      <w:i/>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character" w:customStyle="1" w:styleId="56">
    <w:name w:val="标题 2 字符"/>
    <w:link w:val="3"/>
    <w:qFormat/>
    <w:uiPriority w:val="0"/>
    <w:rPr>
      <w:rFonts w:ascii="Arial" w:hAnsi="Arial" w:eastAsia="黑体" w:cs="Times New Roman"/>
      <w:b/>
      <w:bCs/>
      <w:sz w:val="32"/>
      <w:szCs w:val="32"/>
    </w:rPr>
  </w:style>
  <w:style w:type="character" w:customStyle="1" w:styleId="57">
    <w:name w:val="标题 1 字符1"/>
    <w:link w:val="2"/>
    <w:qFormat/>
    <w:uiPriority w:val="0"/>
    <w:rPr>
      <w:rFonts w:ascii="Times New Roman" w:hAnsi="Times New Roman" w:eastAsia="宋体" w:cs="Times New Roman"/>
      <w:b/>
      <w:bCs/>
      <w:kern w:val="44"/>
      <w:sz w:val="44"/>
      <w:szCs w:val="44"/>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5 字符"/>
    <w:link w:val="6"/>
    <w:qFormat/>
    <w:uiPriority w:val="0"/>
    <w:rPr>
      <w:b/>
      <w:kern w:val="2"/>
      <w:sz w:val="28"/>
      <w:szCs w:val="24"/>
    </w:rPr>
  </w:style>
  <w:style w:type="character" w:customStyle="1" w:styleId="60">
    <w:name w:val="标题 6 字符"/>
    <w:link w:val="8"/>
    <w:qFormat/>
    <w:uiPriority w:val="0"/>
    <w:rPr>
      <w:rFonts w:ascii="Arial" w:hAnsi="Arial" w:eastAsia="黑体"/>
      <w:b/>
      <w:kern w:val="2"/>
      <w:sz w:val="24"/>
      <w:szCs w:val="24"/>
    </w:rPr>
  </w:style>
  <w:style w:type="character" w:customStyle="1" w:styleId="61">
    <w:name w:val="标题 7 字符"/>
    <w:link w:val="9"/>
    <w:qFormat/>
    <w:uiPriority w:val="0"/>
    <w:rPr>
      <w:rFonts w:ascii="Times New Roman" w:hAnsi="Times New Roman"/>
      <w:b/>
      <w:kern w:val="2"/>
      <w:sz w:val="24"/>
      <w:szCs w:val="24"/>
    </w:rPr>
  </w:style>
  <w:style w:type="character" w:customStyle="1" w:styleId="62">
    <w:name w:val="标题 8 字符"/>
    <w:link w:val="10"/>
    <w:qFormat/>
    <w:uiPriority w:val="0"/>
    <w:rPr>
      <w:rFonts w:ascii="Arial" w:hAnsi="Arial" w:eastAsia="黑体"/>
      <w:kern w:val="2"/>
      <w:sz w:val="24"/>
      <w:szCs w:val="24"/>
    </w:rPr>
  </w:style>
  <w:style w:type="character" w:customStyle="1" w:styleId="63">
    <w:name w:val="标题 9 字符"/>
    <w:link w:val="11"/>
    <w:qFormat/>
    <w:uiPriority w:val="0"/>
    <w:rPr>
      <w:rFonts w:ascii="Arial" w:hAnsi="Arial" w:eastAsia="黑体"/>
      <w:kern w:val="2"/>
      <w:sz w:val="21"/>
      <w:szCs w:val="24"/>
    </w:rPr>
  </w:style>
  <w:style w:type="character" w:customStyle="1" w:styleId="64">
    <w:name w:val="文档结构图 字符"/>
    <w:link w:val="15"/>
    <w:qFormat/>
    <w:uiPriority w:val="0"/>
    <w:rPr>
      <w:rFonts w:hint="eastAsia" w:ascii="宋体" w:hAnsi="宋体" w:eastAsia="宋体" w:cs="宋体"/>
    </w:rPr>
  </w:style>
  <w:style w:type="character" w:customStyle="1" w:styleId="65">
    <w:name w:val="批注文字 字符2"/>
    <w:link w:val="17"/>
    <w:qFormat/>
    <w:uiPriority w:val="0"/>
    <w:rPr>
      <w:rFonts w:ascii="Times New Roman" w:hAnsi="Times New Roman"/>
      <w:kern w:val="2"/>
      <w:sz w:val="21"/>
      <w:szCs w:val="24"/>
    </w:rPr>
  </w:style>
  <w:style w:type="character" w:customStyle="1" w:styleId="66">
    <w:name w:val="正文文本 3 字符"/>
    <w:link w:val="18"/>
    <w:qFormat/>
    <w:uiPriority w:val="0"/>
    <w:rPr>
      <w:rFonts w:ascii="Times New Roman" w:hAnsi="Times New Roman" w:eastAsia="宋体" w:cs="Times New Roman"/>
      <w:b/>
      <w:bCs/>
      <w:sz w:val="24"/>
      <w:szCs w:val="24"/>
    </w:rPr>
  </w:style>
  <w:style w:type="character" w:customStyle="1" w:styleId="67">
    <w:name w:val="正文文本 字符"/>
    <w:link w:val="19"/>
    <w:qFormat/>
    <w:uiPriority w:val="99"/>
    <w:rPr>
      <w:rFonts w:ascii="Times New Roman" w:hAnsi="Times New Roman" w:eastAsia="宋体" w:cs="Times New Roman"/>
      <w:sz w:val="24"/>
      <w:szCs w:val="24"/>
    </w:rPr>
  </w:style>
  <w:style w:type="character" w:customStyle="1" w:styleId="68">
    <w:name w:val="正文文本缩进 字符1"/>
    <w:link w:val="20"/>
    <w:qFormat/>
    <w:uiPriority w:val="0"/>
    <w:rPr>
      <w:rFonts w:ascii="仿宋_GB2312" w:hAnsi="Times New Roman" w:eastAsia="仿宋_GB2312" w:cs="Times New Roman"/>
      <w:sz w:val="32"/>
      <w:szCs w:val="20"/>
    </w:rPr>
  </w:style>
  <w:style w:type="character" w:customStyle="1" w:styleId="69">
    <w:name w:val="纯文本 字符2"/>
    <w:link w:val="25"/>
    <w:qFormat/>
    <w:uiPriority w:val="0"/>
    <w:rPr>
      <w:rFonts w:ascii="宋体" w:hAnsi="Courier New" w:eastAsia="宋体" w:cs="Courier New"/>
      <w:szCs w:val="21"/>
    </w:rPr>
  </w:style>
  <w:style w:type="character" w:customStyle="1" w:styleId="70">
    <w:name w:val="日期 字符"/>
    <w:link w:val="28"/>
    <w:qFormat/>
    <w:uiPriority w:val="0"/>
    <w:rPr>
      <w:rFonts w:ascii="宋体" w:hAnsi="Courier New" w:eastAsia="宋体" w:cs="Courier New"/>
      <w:szCs w:val="21"/>
    </w:rPr>
  </w:style>
  <w:style w:type="character" w:customStyle="1" w:styleId="71">
    <w:name w:val="正文文本缩进 2 字符"/>
    <w:link w:val="29"/>
    <w:qFormat/>
    <w:uiPriority w:val="0"/>
    <w:rPr>
      <w:rFonts w:ascii="Times New Roman" w:hAnsi="Times New Roman" w:eastAsia="宋体" w:cs="Times New Roman"/>
      <w:sz w:val="32"/>
      <w:szCs w:val="20"/>
    </w:rPr>
  </w:style>
  <w:style w:type="character" w:customStyle="1" w:styleId="72">
    <w:name w:val="尾注文本 字符"/>
    <w:link w:val="30"/>
    <w:semiHidden/>
    <w:qFormat/>
    <w:uiPriority w:val="99"/>
    <w:rPr>
      <w:rFonts w:ascii="Times New Roman" w:hAnsi="Times New Roman"/>
      <w:kern w:val="2"/>
      <w:sz w:val="21"/>
      <w:szCs w:val="24"/>
    </w:rPr>
  </w:style>
  <w:style w:type="character" w:customStyle="1" w:styleId="73">
    <w:name w:val="批注框文本 字符"/>
    <w:link w:val="31"/>
    <w:semiHidden/>
    <w:qFormat/>
    <w:uiPriority w:val="0"/>
    <w:rPr>
      <w:rFonts w:ascii="Times New Roman" w:hAnsi="Times New Roman" w:eastAsia="宋体" w:cs="Times New Roman"/>
      <w:sz w:val="18"/>
      <w:szCs w:val="18"/>
    </w:rPr>
  </w:style>
  <w:style w:type="character" w:customStyle="1" w:styleId="74">
    <w:name w:val="页脚 字符1"/>
    <w:link w:val="32"/>
    <w:qFormat/>
    <w:uiPriority w:val="99"/>
    <w:rPr>
      <w:sz w:val="18"/>
      <w:szCs w:val="18"/>
    </w:rPr>
  </w:style>
  <w:style w:type="character" w:customStyle="1" w:styleId="75">
    <w:name w:val="页眉 字符"/>
    <w:link w:val="33"/>
    <w:qFormat/>
    <w:uiPriority w:val="99"/>
    <w:rPr>
      <w:rFonts w:ascii="Times New Roman" w:hAnsi="Times New Roman"/>
      <w:kern w:val="2"/>
      <w:sz w:val="18"/>
      <w:szCs w:val="18"/>
    </w:rPr>
  </w:style>
  <w:style w:type="character" w:customStyle="1" w:styleId="76">
    <w:name w:val="脚注文本 字符"/>
    <w:link w:val="36"/>
    <w:semiHidden/>
    <w:qFormat/>
    <w:uiPriority w:val="99"/>
    <w:rPr>
      <w:rFonts w:ascii="Times New Roman" w:hAnsi="Times New Roman"/>
      <w:kern w:val="2"/>
      <w:sz w:val="18"/>
      <w:szCs w:val="18"/>
    </w:rPr>
  </w:style>
  <w:style w:type="character" w:customStyle="1" w:styleId="77">
    <w:name w:val="正文文本缩进 3 字符"/>
    <w:link w:val="38"/>
    <w:qFormat/>
    <w:uiPriority w:val="0"/>
    <w:rPr>
      <w:rFonts w:ascii="Times New Roman" w:hAnsi="Times New Roman" w:eastAsia="宋体" w:cs="Times New Roman"/>
      <w:sz w:val="16"/>
      <w:szCs w:val="16"/>
    </w:rPr>
  </w:style>
  <w:style w:type="character" w:customStyle="1" w:styleId="78">
    <w:name w:val="正文文本 2 字符"/>
    <w:link w:val="41"/>
    <w:qFormat/>
    <w:uiPriority w:val="0"/>
    <w:rPr>
      <w:rFonts w:ascii="Times New Roman" w:hAnsi="Times New Roman" w:eastAsia="宋体" w:cs="Times New Roman"/>
      <w:szCs w:val="24"/>
    </w:rPr>
  </w:style>
  <w:style w:type="character" w:customStyle="1" w:styleId="79">
    <w:name w:val="标题 字符"/>
    <w:link w:val="44"/>
    <w:qFormat/>
    <w:uiPriority w:val="10"/>
    <w:rPr>
      <w:rFonts w:ascii="Cambria" w:hAnsi="Cambria" w:cs="Times New Roman"/>
      <w:b/>
      <w:bCs/>
      <w:kern w:val="2"/>
      <w:sz w:val="32"/>
      <w:szCs w:val="32"/>
    </w:rPr>
  </w:style>
  <w:style w:type="character" w:customStyle="1" w:styleId="80">
    <w:name w:val="批注主题 字符"/>
    <w:link w:val="45"/>
    <w:semiHidden/>
    <w:qFormat/>
    <w:uiPriority w:val="99"/>
    <w:rPr>
      <w:rFonts w:ascii="Times New Roman" w:hAnsi="Times New Roman"/>
      <w:b/>
      <w:bCs/>
      <w:kern w:val="2"/>
      <w:sz w:val="21"/>
      <w:szCs w:val="24"/>
    </w:rPr>
  </w:style>
  <w:style w:type="character" w:customStyle="1" w:styleId="81">
    <w:name w:val="批注文字 Char1"/>
    <w:semiHidden/>
    <w:qFormat/>
    <w:locked/>
    <w:uiPriority w:val="0"/>
    <w:rPr>
      <w:rFonts w:ascii="Times New Roman" w:hAnsi="Times New Roman"/>
      <w:kern w:val="2"/>
      <w:sz w:val="21"/>
      <w:szCs w:val="24"/>
    </w:rPr>
  </w:style>
  <w:style w:type="character" w:customStyle="1" w:styleId="82">
    <w:name w:val="case31"/>
    <w:qFormat/>
    <w:uiPriority w:val="0"/>
    <w:rPr>
      <w:rFonts w:hint="default" w:ascii="_x000B__x000C_" w:hAnsi="_x000B__x000C_"/>
      <w:sz w:val="21"/>
      <w:szCs w:val="21"/>
    </w:rPr>
  </w:style>
  <w:style w:type="character" w:customStyle="1" w:styleId="83">
    <w:name w:val="批注文字 Char"/>
    <w:qFormat/>
    <w:uiPriority w:val="99"/>
    <w:rPr>
      <w:rFonts w:ascii="Times New Roman" w:hAnsi="Times New Roman"/>
      <w:kern w:val="2"/>
      <w:sz w:val="21"/>
      <w:szCs w:val="24"/>
    </w:rPr>
  </w:style>
  <w:style w:type="character" w:customStyle="1" w:styleId="84">
    <w:name w:val="纯文本 Char"/>
    <w:qFormat/>
    <w:uiPriority w:val="0"/>
    <w:rPr>
      <w:rFonts w:ascii="宋体" w:hAnsi="Courier New" w:eastAsia="宋体"/>
      <w:kern w:val="2"/>
      <w:sz w:val="21"/>
      <w:lang w:val="en-US" w:eastAsia="zh-CN" w:bidi="ar-SA"/>
    </w:rPr>
  </w:style>
  <w:style w:type="character" w:customStyle="1" w:styleId="85">
    <w:name w:val="纯文本 字符1"/>
    <w:qFormat/>
    <w:uiPriority w:val="0"/>
    <w:rPr>
      <w:rFonts w:ascii="宋体" w:hAnsi="Courier New"/>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Char1"/>
    <w:semiHidden/>
    <w:qFormat/>
    <w:locked/>
    <w:uiPriority w:val="99"/>
    <w:rPr>
      <w:sz w:val="24"/>
      <w:szCs w:val="24"/>
    </w:rPr>
  </w:style>
  <w:style w:type="character" w:customStyle="1" w:styleId="88">
    <w:name w:val="apple-style-span"/>
    <w:qFormat/>
    <w:uiPriority w:val="0"/>
  </w:style>
  <w:style w:type="character" w:customStyle="1" w:styleId="89">
    <w:name w:val="textcontents"/>
    <w:qFormat/>
    <w:uiPriority w:val="0"/>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标题 5 Char"/>
    <w:qFormat/>
    <w:uiPriority w:val="0"/>
    <w:rPr>
      <w:b/>
      <w:kern w:val="2"/>
      <w:sz w:val="28"/>
      <w:szCs w:val="24"/>
    </w:rPr>
  </w:style>
  <w:style w:type="character" w:customStyle="1" w:styleId="92">
    <w:name w:val="批注文字 字符"/>
    <w:qFormat/>
    <w:uiPriority w:val="0"/>
    <w:rPr>
      <w:rFonts w:ascii="Times New Roman" w:hAnsi="Times New Roman"/>
      <w:kern w:val="2"/>
      <w:sz w:val="21"/>
      <w:szCs w:val="24"/>
    </w:rPr>
  </w:style>
  <w:style w:type="character" w:customStyle="1" w:styleId="93">
    <w:name w:val="标题 1 字符"/>
    <w:qFormat/>
    <w:uiPriority w:val="9"/>
    <w:rPr>
      <w:rFonts w:ascii="Times New Roman" w:hAnsi="Times New Roman" w:eastAsia="宋体" w:cs="Times New Roman"/>
      <w:b/>
      <w:bCs/>
      <w:kern w:val="44"/>
      <w:sz w:val="44"/>
      <w:szCs w:val="44"/>
    </w:rPr>
  </w:style>
  <w:style w:type="character" w:customStyle="1" w:styleId="94">
    <w:name w:val="纯文本 字符"/>
    <w:qFormat/>
    <w:uiPriority w:val="0"/>
    <w:rPr>
      <w:rFonts w:ascii="宋体" w:hAnsi="Courier New" w:eastAsia="宋体" w:cs="Courier New"/>
      <w:szCs w:val="21"/>
    </w:rPr>
  </w:style>
  <w:style w:type="character" w:customStyle="1" w:styleId="95">
    <w:name w:val="headline-content4"/>
    <w:qFormat/>
    <w:uiPriority w:val="0"/>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正文文本缩进 字符"/>
    <w:qFormat/>
    <w:uiPriority w:val="0"/>
    <w:rPr>
      <w:rFonts w:ascii="仿宋_GB2312" w:hAnsi="Times New Roman" w:eastAsia="仿宋_GB2312" w:cs="Times New Roman"/>
      <w:sz w:val="32"/>
      <w:szCs w:val="20"/>
    </w:rPr>
  </w:style>
  <w:style w:type="paragraph" w:customStyle="1" w:styleId="98">
    <w:name w:val="Char1"/>
    <w:basedOn w:val="1"/>
    <w:qFormat/>
    <w:uiPriority w:val="0"/>
    <w:rPr>
      <w:szCs w:val="21"/>
    </w:rPr>
  </w:style>
  <w:style w:type="paragraph" w:styleId="99">
    <w:name w:val="List Paragraph"/>
    <w:basedOn w:val="1"/>
    <w:qFormat/>
    <w:uiPriority w:val="34"/>
    <w:pPr>
      <w:ind w:firstLine="420" w:firstLineChars="200"/>
    </w:p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纯文本1"/>
    <w:basedOn w:val="1"/>
    <w:qFormat/>
    <w:uiPriority w:val="0"/>
    <w:rPr>
      <w:rFonts w:ascii="宋体" w:hAnsi="Courier New" w:cs="Century"/>
      <w:szCs w:val="21"/>
    </w:rPr>
  </w:style>
  <w:style w:type="paragraph" w:customStyle="1" w:styleId="104">
    <w:name w:val="Table Paragraph"/>
    <w:basedOn w:val="1"/>
    <w:qFormat/>
    <w:uiPriority w:val="1"/>
    <w:pPr>
      <w:jc w:val="left"/>
    </w:pPr>
    <w:rPr>
      <w:rFonts w:ascii="Calibri" w:hAnsi="Calibri"/>
      <w:kern w:val="0"/>
      <w:sz w:val="22"/>
      <w:szCs w:val="22"/>
      <w:lang w:eastAsia="en-US"/>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表格"/>
    <w:basedOn w:val="1"/>
    <w:qFormat/>
    <w:uiPriority w:val="0"/>
    <w:pPr>
      <w:spacing w:line="400" w:lineRule="exact"/>
    </w:pPr>
    <w:rPr>
      <w:sz w:val="24"/>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正文段"/>
    <w:basedOn w:val="1"/>
    <w:qFormat/>
    <w:uiPriority w:val="0"/>
    <w:pPr>
      <w:widowControl/>
      <w:snapToGrid w:val="0"/>
      <w:spacing w:afterLines="50"/>
      <w:ind w:firstLine="200" w:firstLineChars="200"/>
    </w:pPr>
    <w:rPr>
      <w:kern w:val="0"/>
      <w:sz w:val="24"/>
      <w:szCs w:val="20"/>
    </w:rPr>
  </w:style>
  <w:style w:type="table" w:customStyle="1" w:styleId="11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3">
    <w:name w:val="页脚 字符"/>
    <w:qFormat/>
    <w:uiPriority w:val="99"/>
  </w:style>
  <w:style w:type="character" w:customStyle="1" w:styleId="114">
    <w:name w:val="正文2 Char Char"/>
    <w:link w:val="115"/>
    <w:qFormat/>
    <w:uiPriority w:val="0"/>
    <w:rPr>
      <w:kern w:val="2"/>
      <w:sz w:val="24"/>
    </w:rPr>
  </w:style>
  <w:style w:type="paragraph" w:customStyle="1" w:styleId="115">
    <w:name w:val="正文2"/>
    <w:basedOn w:val="1"/>
    <w:link w:val="114"/>
    <w:qFormat/>
    <w:uiPriority w:val="0"/>
    <w:pPr>
      <w:adjustRightInd w:val="0"/>
      <w:spacing w:before="156" w:line="360" w:lineRule="auto"/>
      <w:ind w:firstLine="510" w:firstLineChars="200"/>
    </w:pPr>
    <w:rPr>
      <w:sz w:val="24"/>
      <w:szCs w:val="20"/>
    </w:rPr>
  </w:style>
  <w:style w:type="paragraph" w:customStyle="1" w:styleId="116">
    <w:name w:val="_Style 113"/>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表格文字 Char1"/>
    <w:link w:val="118"/>
    <w:qFormat/>
    <w:locked/>
    <w:uiPriority w:val="0"/>
    <w:rPr>
      <w:bCs/>
      <w:spacing w:val="10"/>
      <w:sz w:val="24"/>
    </w:rPr>
  </w:style>
  <w:style w:type="paragraph" w:customStyle="1" w:styleId="118">
    <w:name w:val="表格文字"/>
    <w:basedOn w:val="119"/>
    <w:link w:val="117"/>
    <w:qFormat/>
    <w:uiPriority w:val="0"/>
    <w:pPr>
      <w:spacing w:before="25" w:after="25"/>
      <w:jc w:val="left"/>
    </w:pPr>
    <w:rPr>
      <w:bCs/>
      <w:spacing w:val="10"/>
      <w:sz w:val="24"/>
      <w:szCs w:val="20"/>
    </w:rPr>
  </w:style>
  <w:style w:type="paragraph" w:customStyle="1" w:styleId="119">
    <w:name w:val="表格文字（两侧对齐）"/>
    <w:basedOn w:val="1"/>
    <w:qFormat/>
    <w:uiPriority w:val="0"/>
    <w:pPr>
      <w:snapToGrid w:val="0"/>
    </w:pPr>
    <w:rPr>
      <w:rFonts w:ascii="Calibri" w:hAnsi="Calibri"/>
      <w:kern w:val="0"/>
      <w:sz w:val="20"/>
    </w:rPr>
  </w:style>
  <w:style w:type="paragraph" w:customStyle="1" w:styleId="120">
    <w:name w:val="表格文字115"/>
    <w:basedOn w:val="1"/>
    <w:qFormat/>
    <w:uiPriority w:val="0"/>
    <w:pPr>
      <w:jc w:val="left"/>
    </w:pPr>
    <w:rPr>
      <w:bCs/>
      <w:spacing w:val="10"/>
      <w:kern w:val="0"/>
      <w:sz w:val="24"/>
    </w:rPr>
  </w:style>
  <w:style w:type="character" w:customStyle="1" w:styleId="121">
    <w:name w:val="font21"/>
    <w:basedOn w:val="48"/>
    <w:qFormat/>
    <w:uiPriority w:val="0"/>
    <w:rPr>
      <w:rFonts w:hint="default" w:ascii="Calibri" w:hAnsi="Calibri"/>
      <w:color w:val="000000"/>
      <w:sz w:val="21"/>
      <w:szCs w:val="21"/>
      <w:u w:val="none"/>
    </w:rPr>
  </w:style>
  <w:style w:type="paragraph" w:customStyle="1" w:styleId="122">
    <w:name w:val="Default"/>
    <w:next w:val="12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24">
    <w:name w:val="列表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93</Pages>
  <Words>7620</Words>
  <Characters>8878</Characters>
  <Lines>443</Lines>
  <Paragraphs>124</Paragraphs>
  <TotalTime>33</TotalTime>
  <ScaleCrop>false</ScaleCrop>
  <LinksUpToDate>false</LinksUpToDate>
  <CharactersWithSpaces>10992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2024-06-20T10:09:00Z</dcterms:created>
  <dc:creator>番茄花园</dc:creator>
  <cp:lastModifiedBy>Ms. 卢 </cp:lastModifiedBy>
  <cp:lastPrinted>2025-12-23T04:06:22Z</cp:lastPrinted>
  <dcterms:modified xsi:type="dcterms:W3CDTF">2025-12-23T06:01:32Z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8574243F0C98447D8062ECA9481B96CE_13</vt:lpwstr>
  </property>
  <property fmtid="{D5CDD505-2E9C-101B-9397-08002B2CF9AE}" pid="4" name="KSOTemplateDocerSaveRecord">
    <vt:lpwstr>eyJoZGlkIjoiNWYyMjc1ZDVhM2U0NWU0ZWI4YjdlMjRmYjEwZDNiOTAiLCJ1c2VySWQiOiIzNzMzMzMwOTcifQ==</vt:lpwstr>
  </property>
</Properties>
</file>