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81294">
      <w:pPr>
        <w:spacing w:line="360" w:lineRule="auto"/>
        <w:rPr>
          <w:rFonts w:eastAsia="仿宋_GB2312" w:asciiTheme="minorHAnsi" w:hAnsiTheme="minorHAnsi"/>
          <w:sz w:val="44"/>
          <w:szCs w:val="44"/>
          <w:lang w:val="en-GB"/>
        </w:rPr>
      </w:pPr>
    </w:p>
    <w:p w14:paraId="682D7D39">
      <w:pPr>
        <w:spacing w:line="360" w:lineRule="auto"/>
        <w:jc w:val="center"/>
        <w:rPr>
          <w:rFonts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3429DC28">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44EFCC50">
      <w:pPr>
        <w:spacing w:line="800" w:lineRule="exact"/>
        <w:jc w:val="center"/>
        <w:rPr>
          <w:rFonts w:ascii="华文中宋" w:hAnsi="华文中宋" w:eastAsia="华文中宋"/>
          <w:b/>
          <w:spacing w:val="200"/>
          <w:sz w:val="84"/>
          <w:szCs w:val="84"/>
        </w:rPr>
      </w:pPr>
    </w:p>
    <w:p w14:paraId="3E7DF47A">
      <w:pPr>
        <w:jc w:val="center"/>
        <w:rPr>
          <w:rFonts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55744489">
      <w:pPr>
        <w:spacing w:line="600" w:lineRule="exact"/>
        <w:jc w:val="center"/>
        <w:rPr>
          <w:b/>
          <w:sz w:val="44"/>
          <w:szCs w:val="44"/>
        </w:rPr>
      </w:pPr>
    </w:p>
    <w:p w14:paraId="68763201">
      <w:pPr>
        <w:spacing w:line="600" w:lineRule="exact"/>
        <w:rPr>
          <w:b/>
          <w:sz w:val="44"/>
          <w:szCs w:val="44"/>
        </w:rPr>
      </w:pPr>
    </w:p>
    <w:p w14:paraId="19694255">
      <w:pPr>
        <w:spacing w:line="800" w:lineRule="exact"/>
        <w:ind w:firstLine="442" w:firstLineChars="100"/>
        <w:rPr>
          <w:rFonts w:ascii="楷体" w:hAnsi="楷体" w:eastAsia="楷体"/>
          <w:b/>
          <w:color w:val="000000"/>
          <w:sz w:val="44"/>
          <w:szCs w:val="44"/>
          <w:lang w:val="en-GB"/>
        </w:rPr>
      </w:pPr>
      <w:r>
        <w:rPr>
          <w:rFonts w:hint="eastAsia" w:ascii="楷体" w:hAnsi="楷体" w:eastAsia="楷体"/>
          <w:b/>
          <w:sz w:val="44"/>
          <w:szCs w:val="44"/>
        </w:rPr>
        <w:t>项目名称：</w:t>
      </w:r>
      <w:r>
        <w:rPr>
          <w:rFonts w:hint="eastAsia" w:ascii="楷体" w:hAnsi="楷体" w:eastAsia="楷体"/>
          <w:b/>
          <w:color w:val="000000"/>
          <w:sz w:val="44"/>
          <w:szCs w:val="44"/>
        </w:rPr>
        <w:t>柳州市公安局视频专网设备采购</w:t>
      </w:r>
    </w:p>
    <w:p w14:paraId="762274EB">
      <w:pPr>
        <w:spacing w:line="800" w:lineRule="exact"/>
        <w:ind w:firstLine="442" w:firstLineChars="100"/>
        <w:rPr>
          <w:rFonts w:ascii="楷体" w:hAnsi="楷体" w:eastAsia="楷体"/>
          <w:b/>
          <w:sz w:val="44"/>
          <w:szCs w:val="44"/>
          <w:lang w:val="en-GB"/>
        </w:rPr>
      </w:pPr>
      <w:r>
        <w:rPr>
          <w:rFonts w:hint="eastAsia" w:ascii="楷体" w:hAnsi="楷体" w:eastAsia="楷体"/>
          <w:b/>
          <w:sz w:val="44"/>
          <w:szCs w:val="44"/>
        </w:rPr>
        <w:t>项目编号：</w:t>
      </w:r>
      <w:r>
        <w:rPr>
          <w:rFonts w:hint="eastAsia" w:ascii="楷体" w:hAnsi="楷体" w:eastAsia="楷体"/>
          <w:b/>
          <w:color w:val="000000"/>
          <w:sz w:val="44"/>
          <w:szCs w:val="44"/>
        </w:rPr>
        <w:t>LZZC2025-G1-990970-LZSZ</w:t>
      </w:r>
    </w:p>
    <w:p w14:paraId="22EC447F">
      <w:pPr>
        <w:spacing w:line="800" w:lineRule="exact"/>
        <w:rPr>
          <w:rFonts w:ascii="楷体" w:hAnsi="楷体" w:eastAsia="楷体"/>
          <w:b/>
          <w:sz w:val="44"/>
          <w:szCs w:val="44"/>
        </w:rPr>
      </w:pPr>
    </w:p>
    <w:p w14:paraId="5D0C8FFB">
      <w:pPr>
        <w:spacing w:line="800" w:lineRule="exact"/>
        <w:ind w:firstLine="663" w:firstLineChars="150"/>
        <w:jc w:val="center"/>
        <w:rPr>
          <w:rFonts w:ascii="楷体" w:hAnsi="楷体" w:eastAsia="楷体"/>
          <w:b/>
          <w:sz w:val="44"/>
          <w:szCs w:val="44"/>
          <w:lang w:val="en-GB"/>
        </w:rPr>
      </w:pPr>
      <w:r>
        <w:rPr>
          <w:rFonts w:hint="eastAsia" w:ascii="楷体" w:hAnsi="楷体" w:eastAsia="楷体"/>
          <w:b/>
          <w:sz w:val="44"/>
          <w:szCs w:val="44"/>
        </w:rPr>
        <w:t>采购人：柳州市公安局</w:t>
      </w:r>
    </w:p>
    <w:p w14:paraId="45FC73D7">
      <w:pPr>
        <w:spacing w:line="800" w:lineRule="exact"/>
        <w:ind w:firstLine="658" w:firstLineChars="149"/>
        <w:rPr>
          <w:rFonts w:ascii="楷体" w:hAnsi="楷体" w:eastAsia="楷体"/>
          <w:b/>
          <w:sz w:val="44"/>
          <w:szCs w:val="44"/>
        </w:rPr>
      </w:pPr>
      <w:r>
        <w:rPr>
          <w:rFonts w:hint="eastAsia" w:ascii="楷体" w:hAnsi="楷体" w:eastAsia="楷体"/>
          <w:b/>
          <w:sz w:val="44"/>
          <w:szCs w:val="44"/>
        </w:rPr>
        <w:t>采购代理机构：柳州市政府集中采购中心</w:t>
      </w:r>
    </w:p>
    <w:p w14:paraId="00F4C8EA">
      <w:pPr>
        <w:spacing w:line="600" w:lineRule="exact"/>
        <w:jc w:val="center"/>
        <w:rPr>
          <w:rFonts w:ascii="楷体" w:hAnsi="楷体" w:eastAsia="楷体"/>
          <w:b/>
          <w:sz w:val="44"/>
          <w:szCs w:val="44"/>
        </w:rPr>
      </w:pPr>
    </w:p>
    <w:p w14:paraId="49CC6943">
      <w:pPr>
        <w:spacing w:line="600" w:lineRule="exact"/>
        <w:jc w:val="center"/>
        <w:rPr>
          <w:rFonts w:ascii="楷体" w:hAnsi="楷体" w:eastAsia="楷体"/>
          <w:b/>
          <w:sz w:val="44"/>
          <w:szCs w:val="44"/>
        </w:rPr>
      </w:pPr>
      <w:r>
        <w:rPr>
          <w:rFonts w:hint="eastAsia" w:ascii="楷体" w:hAnsi="楷体" w:eastAsia="楷体"/>
          <w:b/>
          <w:sz w:val="44"/>
          <w:szCs w:val="44"/>
          <w:lang w:val="en-US" w:eastAsia="zh-CN"/>
        </w:rPr>
        <w:t>XXXX</w:t>
      </w:r>
      <w:r>
        <w:rPr>
          <w:rFonts w:ascii="楷体" w:hAnsi="楷体" w:eastAsia="楷体"/>
          <w:b/>
          <w:sz w:val="44"/>
          <w:szCs w:val="44"/>
        </w:rPr>
        <w:t>年XX月XX日</w:t>
      </w:r>
    </w:p>
    <w:p w14:paraId="41EF0848">
      <w:pPr>
        <w:spacing w:line="360" w:lineRule="auto"/>
        <w:jc w:val="center"/>
        <w:rPr>
          <w:b/>
          <w:sz w:val="52"/>
          <w:szCs w:val="52"/>
        </w:rPr>
      </w:pPr>
    </w:p>
    <w:p w14:paraId="2431FF79">
      <w:pPr>
        <w:spacing w:line="360" w:lineRule="auto"/>
        <w:jc w:val="center"/>
        <w:rPr>
          <w:b/>
          <w:sz w:val="52"/>
          <w:szCs w:val="52"/>
        </w:rPr>
        <w:sectPr>
          <w:headerReference r:id="rId6" w:type="first"/>
          <w:headerReference r:id="rId4" w:type="default"/>
          <w:footerReference r:id="rId7" w:type="default"/>
          <w:headerReference r:id="rId5" w:type="even"/>
          <w:footerReference r:id="rId8" w:type="even"/>
          <w:pgSz w:w="11906" w:h="16838"/>
          <w:pgMar w:top="1440" w:right="991" w:bottom="1440" w:left="1440" w:header="851" w:footer="992" w:gutter="0"/>
          <w:pgNumType w:start="1"/>
          <w:cols w:space="720" w:num="1"/>
          <w:titlePg/>
          <w:docGrid w:linePitch="312" w:charSpace="0"/>
        </w:sectPr>
      </w:pPr>
    </w:p>
    <w:p w14:paraId="6C6B1BA1">
      <w:pPr>
        <w:spacing w:line="360" w:lineRule="auto"/>
        <w:jc w:val="center"/>
        <w:rPr>
          <w:b/>
          <w:sz w:val="52"/>
          <w:szCs w:val="52"/>
        </w:rPr>
      </w:pPr>
      <w:r>
        <w:rPr>
          <w:rFonts w:hint="eastAsia"/>
          <w:b/>
          <w:sz w:val="52"/>
          <w:szCs w:val="52"/>
        </w:rPr>
        <w:t>目  录</w:t>
      </w:r>
    </w:p>
    <w:p w14:paraId="4ECD94B1">
      <w:pPr>
        <w:spacing w:line="360" w:lineRule="auto"/>
        <w:jc w:val="center"/>
        <w:rPr>
          <w:b/>
          <w:sz w:val="52"/>
          <w:szCs w:val="52"/>
        </w:rPr>
      </w:pPr>
    </w:p>
    <w:p w14:paraId="3FCE1AED">
      <w:pPr>
        <w:pStyle w:val="33"/>
        <w:tabs>
          <w:tab w:val="right" w:leader="dot" w:pos="9746"/>
        </w:tabs>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rPr>
          <w:rFonts w:hint="eastAsia"/>
        </w:rPr>
        <w:fldChar w:fldCharType="begin"/>
      </w:r>
      <w:r>
        <w:instrText xml:space="preserve"> HYPERLINK \l "_Toc29306" </w:instrText>
      </w:r>
      <w:r>
        <w:rPr>
          <w:rFonts w:hint="eastAsia"/>
        </w:rP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1</w:t>
      </w:r>
    </w:p>
    <w:p w14:paraId="60EBBAA8">
      <w:pPr>
        <w:pStyle w:val="33"/>
        <w:tabs>
          <w:tab w:val="right" w:leader="dot" w:pos="9746"/>
        </w:tabs>
        <w:spacing w:line="360" w:lineRule="auto"/>
        <w:rPr>
          <w:rFonts w:ascii="仿宋_GB2312" w:hAnsi="仿宋_GB2312" w:eastAsia="仿宋_GB2312" w:cs="仿宋_GB2312"/>
          <w:sz w:val="32"/>
          <w:szCs w:val="32"/>
        </w:rPr>
      </w:pPr>
      <w:r>
        <w:rPr>
          <w:rFonts w:hint="eastAsia"/>
        </w:rPr>
        <w:fldChar w:fldCharType="begin"/>
      </w:r>
      <w:r>
        <w:instrText xml:space="preserve"> HYPERLINK \l "_Toc13541" </w:instrText>
      </w:r>
      <w:r>
        <w:rPr>
          <w:rFonts w:hint="eastAsia"/>
        </w:rP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5</w:t>
      </w:r>
    </w:p>
    <w:p w14:paraId="4E64A096">
      <w:pPr>
        <w:pStyle w:val="33"/>
        <w:tabs>
          <w:tab w:val="right" w:leader="dot" w:pos="9746"/>
        </w:tabs>
        <w:spacing w:line="360" w:lineRule="auto"/>
        <w:rPr>
          <w:rFonts w:ascii="仿宋_GB2312" w:hAnsi="仿宋_GB2312" w:eastAsia="仿宋_GB2312" w:cs="仿宋_GB2312"/>
          <w:sz w:val="32"/>
          <w:szCs w:val="32"/>
        </w:rPr>
      </w:pPr>
      <w:r>
        <w:rPr>
          <w:rFonts w:hint="eastAsia"/>
        </w:rPr>
        <w:fldChar w:fldCharType="begin"/>
      </w:r>
      <w:r>
        <w:instrText xml:space="preserve"> HYPERLINK \l "_Toc29711" </w:instrText>
      </w:r>
      <w:r>
        <w:rPr>
          <w:rFonts w:hint="eastAsia"/>
        </w:rP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571875E">
      <w:pPr>
        <w:pStyle w:val="33"/>
        <w:tabs>
          <w:tab w:val="right" w:leader="dot" w:pos="9746"/>
        </w:tabs>
        <w:spacing w:line="360" w:lineRule="auto"/>
        <w:rPr>
          <w:rFonts w:ascii="仿宋_GB2312" w:hAnsi="仿宋_GB2312" w:eastAsia="仿宋_GB2312" w:cs="仿宋_GB2312"/>
          <w:sz w:val="32"/>
          <w:szCs w:val="32"/>
        </w:rPr>
      </w:pPr>
      <w:r>
        <w:rPr>
          <w:rFonts w:hint="eastAsia"/>
        </w:rPr>
        <w:fldChar w:fldCharType="begin"/>
      </w:r>
      <w:r>
        <w:instrText xml:space="preserve"> HYPERLINK \l "_Toc27328" </w:instrText>
      </w:r>
      <w:r>
        <w:rPr>
          <w:rFonts w:hint="eastAsia"/>
        </w:rP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68</w:t>
      </w:r>
    </w:p>
    <w:p w14:paraId="380D7CD7">
      <w:pPr>
        <w:pStyle w:val="33"/>
        <w:tabs>
          <w:tab w:val="right" w:leader="dot" w:pos="9746"/>
        </w:tabs>
        <w:spacing w:line="360" w:lineRule="auto"/>
        <w:rPr>
          <w:rFonts w:ascii="仿宋_GB2312" w:hAnsi="宋体" w:eastAsia="仿宋_GB2312"/>
          <w:b w:val="0"/>
          <w:bCs w:val="0"/>
          <w:caps w:val="0"/>
          <w:sz w:val="32"/>
          <w:szCs w:val="32"/>
        </w:rPr>
      </w:pPr>
      <w:r>
        <w:rPr>
          <w:rFonts w:hint="eastAsia"/>
        </w:rPr>
        <w:fldChar w:fldCharType="begin"/>
      </w:r>
      <w:r>
        <w:instrText xml:space="preserve"> HYPERLINK \l "_Toc21458" </w:instrText>
      </w:r>
      <w:r>
        <w:rPr>
          <w:rFonts w:hint="eastAsia"/>
        </w:rP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787B0AAF"/>
    <w:p w14:paraId="2355DFD3"/>
    <w:p w14:paraId="30786C0F"/>
    <w:p w14:paraId="16D63D17"/>
    <w:p w14:paraId="33F25354"/>
    <w:p w14:paraId="72738B4A"/>
    <w:p w14:paraId="55B3848D"/>
    <w:p w14:paraId="62F0FA00"/>
    <w:p w14:paraId="51B3B79A"/>
    <w:p w14:paraId="76977478"/>
    <w:p w14:paraId="2B5C2485"/>
    <w:p w14:paraId="08F1BECA">
      <w:pPr>
        <w:pStyle w:val="48"/>
      </w:pPr>
    </w:p>
    <w:p w14:paraId="3D30EEE6">
      <w:pPr>
        <w:pStyle w:val="48"/>
      </w:pPr>
    </w:p>
    <w:p w14:paraId="1949CB25">
      <w:pPr>
        <w:pStyle w:val="48"/>
      </w:pPr>
    </w:p>
    <w:p w14:paraId="3F02F8E6">
      <w:pPr>
        <w:pStyle w:val="48"/>
      </w:pPr>
    </w:p>
    <w:p w14:paraId="70135AB5">
      <w:pPr>
        <w:pStyle w:val="48"/>
      </w:pPr>
    </w:p>
    <w:p w14:paraId="318BB2B6">
      <w:pPr>
        <w:pStyle w:val="48"/>
      </w:pPr>
    </w:p>
    <w:p w14:paraId="5753CBC1">
      <w:pPr>
        <w:pStyle w:val="48"/>
      </w:pPr>
    </w:p>
    <w:p w14:paraId="44BC8A92">
      <w:pPr>
        <w:pStyle w:val="48"/>
      </w:pPr>
    </w:p>
    <w:p w14:paraId="101CEC9E">
      <w:pPr>
        <w:pStyle w:val="48"/>
      </w:pPr>
    </w:p>
    <w:p w14:paraId="0CDF13BC">
      <w:pPr>
        <w:pStyle w:val="3"/>
        <w:spacing w:line="276" w:lineRule="auto"/>
        <w:jc w:val="center"/>
        <w:rPr>
          <w:sz w:val="32"/>
          <w:szCs w:val="32"/>
        </w:rPr>
        <w:sectPr>
          <w:footerReference r:id="rId10" w:type="first"/>
          <w:footerReference r:id="rId9" w:type="default"/>
          <w:pgSz w:w="11906" w:h="16838"/>
          <w:pgMar w:top="1440" w:right="991" w:bottom="1440" w:left="1440" w:header="851" w:footer="992" w:gutter="0"/>
          <w:pgNumType w:start="1"/>
          <w:cols w:space="720" w:num="1"/>
          <w:titlePg/>
          <w:docGrid w:linePitch="312" w:charSpace="0"/>
        </w:sectPr>
      </w:pPr>
      <w:bookmarkStart w:id="0" w:name="_Toc29306"/>
    </w:p>
    <w:p w14:paraId="539A695F">
      <w:pPr>
        <w:pStyle w:val="3"/>
        <w:spacing w:line="276" w:lineRule="auto"/>
        <w:jc w:val="center"/>
        <w:rPr>
          <w:sz w:val="32"/>
          <w:szCs w:val="32"/>
        </w:rPr>
      </w:pPr>
      <w:r>
        <w:rPr>
          <w:rFonts w:hint="eastAsia"/>
          <w:sz w:val="32"/>
          <w:szCs w:val="32"/>
        </w:rPr>
        <w:t>第一章 公开招标公告</w:t>
      </w:r>
      <w:bookmarkEnd w:id="0"/>
    </w:p>
    <w:p w14:paraId="65C9476A">
      <w:pPr>
        <w:pStyle w:val="4"/>
        <w:spacing w:line="240" w:lineRule="auto"/>
        <w:ind w:right="-21" w:rightChars="-10" w:firstLine="711" w:firstLineChars="253"/>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75C5888B">
      <w:pPr>
        <w:spacing w:line="400" w:lineRule="exact"/>
        <w:ind w:right="-21" w:rightChars="-10" w:firstLine="555"/>
        <w:rPr>
          <w:rFonts w:ascii="仿宋_GB2312" w:eastAsia="仿宋_GB2312"/>
          <w:sz w:val="28"/>
          <w:szCs w:val="28"/>
          <w:u w:val="single"/>
        </w:rPr>
      </w:pPr>
      <w:bookmarkStart w:id="1" w:name="_Hlk50568865"/>
      <w:r>
        <w:rPr>
          <w:rFonts w:hint="eastAsia" w:ascii="仿宋_GB2312" w:eastAsia="仿宋_GB2312"/>
          <w:sz w:val="28"/>
          <w:szCs w:val="28"/>
        </w:rPr>
        <w:t>柳州市公安局视频专网设备采购项目的潜在投标人应在广西政府采购云平台（https://www.gcy.zfcg.gxzf.gov.cn/）获取招标文件，并于</w:t>
      </w:r>
      <w:r>
        <w:rPr>
          <w:rFonts w:hint="eastAsia" w:ascii="仿宋_GB2312" w:eastAsia="仿宋_GB2312"/>
          <w:bCs/>
          <w:sz w:val="28"/>
          <w:szCs w:val="28"/>
          <w:lang w:val="en-US" w:eastAsia="zh-CN"/>
        </w:rPr>
        <w:t>XX</w:t>
      </w:r>
      <w:r>
        <w:rPr>
          <w:rFonts w:ascii="仿宋_GB2312" w:eastAsia="仿宋_GB2312"/>
          <w:sz w:val="28"/>
          <w:szCs w:val="28"/>
        </w:rPr>
        <w:t>年XX月XX日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61430F0">
      <w:pPr>
        <w:spacing w:line="400" w:lineRule="exact"/>
        <w:ind w:right="-21" w:rightChars="-10" w:firstLine="562" w:firstLineChars="200"/>
        <w:rPr>
          <w:rFonts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3FA62527">
      <w:pPr>
        <w:pStyle w:val="75"/>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项目编号：LZZC2025-G1-990970-LZSZ</w:t>
      </w:r>
    </w:p>
    <w:p w14:paraId="63EC2B52">
      <w:pPr>
        <w:pStyle w:val="75"/>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项目名称：柳州市公安局视频专网设备采购</w:t>
      </w:r>
    </w:p>
    <w:p w14:paraId="7646E70A">
      <w:pPr>
        <w:pStyle w:val="75"/>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：812560</w:t>
      </w:r>
    </w:p>
    <w:p w14:paraId="191A6D4F">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25E04126">
      <w:pPr>
        <w:spacing w:line="400" w:lineRule="exact"/>
        <w:ind w:right="-21" w:rightChars="-10"/>
        <w:rPr>
          <w:rFonts w:ascii="仿宋" w:hAnsi="仿宋" w:eastAsia="仿宋"/>
          <w:bCs/>
          <w:sz w:val="24"/>
        </w:rPr>
      </w:pPr>
      <w:r>
        <w:rPr>
          <w:rFonts w:ascii="仿宋" w:hAnsi="仿宋" w:eastAsia="仿宋"/>
          <w:bCs/>
          <w:sz w:val="24"/>
        </w:rPr>
        <w:t>标项名称：</w:t>
      </w:r>
      <w:r>
        <w:rPr>
          <w:rFonts w:hint="eastAsia" w:ascii="仿宋" w:hAnsi="仿宋" w:eastAsia="仿宋"/>
          <w:bCs/>
          <w:sz w:val="24"/>
        </w:rPr>
        <w:t>柳州市公安局视频专网设备采购</w:t>
      </w:r>
      <w:r>
        <w:rPr>
          <w:rFonts w:ascii="仿宋" w:hAnsi="仿宋" w:eastAsia="仿宋"/>
          <w:bCs/>
          <w:sz w:val="24"/>
        </w:rPr>
        <w:cr/>
      </w:r>
      <w:r>
        <w:rPr>
          <w:rFonts w:ascii="仿宋" w:hAnsi="仿宋" w:eastAsia="仿宋"/>
          <w:bCs/>
          <w:sz w:val="24"/>
        </w:rPr>
        <w:t>数量：1</w:t>
      </w:r>
      <w:r>
        <w:rPr>
          <w:rFonts w:ascii="仿宋" w:hAnsi="仿宋" w:eastAsia="仿宋"/>
          <w:bCs/>
          <w:sz w:val="24"/>
        </w:rPr>
        <w:cr/>
      </w:r>
      <w:r>
        <w:rPr>
          <w:rFonts w:ascii="仿宋" w:hAnsi="仿宋" w:eastAsia="仿宋"/>
          <w:bCs/>
          <w:sz w:val="24"/>
        </w:rPr>
        <w:t>预算金额（元）：</w:t>
      </w:r>
      <w:r>
        <w:rPr>
          <w:rFonts w:hint="eastAsia" w:ascii="仿宋" w:hAnsi="仿宋" w:eastAsia="仿宋"/>
          <w:bCs/>
          <w:sz w:val="24"/>
        </w:rPr>
        <w:t>812560</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rPr>
        <w:t>柳州市公安局视频专网设备采购</w:t>
      </w:r>
      <w:r>
        <w:rPr>
          <w:rFonts w:ascii="仿宋" w:hAnsi="仿宋" w:eastAsia="仿宋"/>
          <w:bCs/>
          <w:sz w:val="24"/>
        </w:rPr>
        <w:t>（具体内容详见招标文件第二章《采购需求》）</w:t>
      </w:r>
    </w:p>
    <w:p w14:paraId="22728E62">
      <w:pPr>
        <w:spacing w:line="400" w:lineRule="exact"/>
        <w:ind w:right="-21" w:rightChars="-10" w:firstLine="0" w:firstLineChars="0"/>
        <w:rPr>
          <w:rFonts w:ascii="黑体" w:hAnsi="黑体" w:eastAsia="黑体" w:cs="黑体"/>
          <w:b/>
          <w:bCs/>
          <w:sz w:val="28"/>
          <w:szCs w:val="28"/>
        </w:rPr>
      </w:pPr>
      <w:r>
        <w:rPr>
          <w:rFonts w:ascii="仿宋" w:hAnsi="仿宋" w:eastAsia="仿宋"/>
          <w:bCs/>
          <w:sz w:val="24"/>
        </w:rPr>
        <w:t>最高限价（如有）：</w:t>
      </w:r>
      <w:r>
        <w:rPr>
          <w:rFonts w:hint="eastAsia" w:ascii="仿宋" w:hAnsi="仿宋" w:eastAsia="仿宋"/>
          <w:bCs/>
          <w:sz w:val="24"/>
        </w:rPr>
        <w:t>812560</w:t>
      </w:r>
      <w:r>
        <w:rPr>
          <w:rFonts w:ascii="仿宋" w:hAnsi="仿宋" w:eastAsia="仿宋"/>
          <w:bCs/>
          <w:sz w:val="24"/>
        </w:rPr>
        <w:cr/>
      </w:r>
      <w:r>
        <w:rPr>
          <w:rFonts w:ascii="仿宋" w:hAnsi="仿宋" w:eastAsia="仿宋"/>
          <w:bCs/>
          <w:sz w:val="24"/>
        </w:rPr>
        <w:t>合同履约期限：自签订合同之日起30日内安装调试完毕，验收合格并交付使用。</w:t>
      </w:r>
      <w:r>
        <w:rPr>
          <w:rFonts w:ascii="仿宋" w:hAnsi="仿宋" w:eastAsia="仿宋"/>
          <w:bCs/>
          <w:sz w:val="24"/>
        </w:rPr>
        <w:cr/>
      </w:r>
      <w:r>
        <w:rPr>
          <w:rFonts w:ascii="仿宋" w:hAnsi="仿宋" w:eastAsia="仿宋"/>
          <w:bCs/>
          <w:sz w:val="24"/>
        </w:rPr>
        <w:t>本标项（否）接受联合体投标</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sz w:val="24"/>
        </w:rPr>
        <w:t>采用远程异地评标</w:t>
      </w:r>
      <w:r>
        <w:rPr>
          <w:rFonts w:ascii="仿宋" w:hAnsi="仿宋" w:eastAsia="仿宋"/>
          <w:bCs/>
          <w:sz w:val="24"/>
        </w:rPr>
        <w:t>，有意向参与本项目的供应商应当做好参与全流程电子招投标交易的充分准备。</w:t>
      </w:r>
      <w:r>
        <w:rPr>
          <w:rFonts w:ascii="仿宋" w:hAnsi="仿宋" w:eastAsia="仿宋"/>
          <w:bCs/>
          <w:sz w:val="24"/>
        </w:rPr>
        <w:cr/>
      </w:r>
      <w:r>
        <w:rPr>
          <w:rFonts w:hint="eastAsia" w:ascii="仿宋" w:hAnsi="仿宋" w:eastAsia="仿宋"/>
          <w:bCs/>
          <w:sz w:val="24"/>
        </w:rPr>
        <w:t xml:space="preserve">  </w:t>
      </w:r>
      <w:bookmarkStart w:id="4" w:name="_Hlk53504529"/>
      <w:r>
        <w:rPr>
          <w:rFonts w:hint="eastAsia" w:ascii="黑体" w:hAnsi="黑体" w:eastAsia="黑体" w:cs="黑体"/>
          <w:b/>
          <w:bCs/>
          <w:sz w:val="28"/>
          <w:szCs w:val="28"/>
        </w:rPr>
        <w:t>二、申请人的资格要求</w:t>
      </w:r>
    </w:p>
    <w:bookmarkEnd w:id="4"/>
    <w:p w14:paraId="1FCCFAE1">
      <w:pPr>
        <w:pStyle w:val="75"/>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15C142D6">
      <w:pPr>
        <w:pStyle w:val="75"/>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322DCEF4">
      <w:pPr>
        <w:pStyle w:val="75"/>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22693DDC">
      <w:pPr>
        <w:pStyle w:val="4"/>
        <w:spacing w:line="400" w:lineRule="exact"/>
        <w:ind w:right="-21" w:rightChars="-10" w:firstLine="562" w:firstLineChars="200"/>
        <w:jc w:val="both"/>
        <w:rPr>
          <w:rFonts w:ascii="黑体" w:hAnsi="黑体" w:eastAsia="黑体" w:cs="黑体"/>
          <w:bCs/>
          <w:sz w:val="28"/>
          <w:szCs w:val="28"/>
        </w:rPr>
      </w:pPr>
      <w:bookmarkStart w:id="5" w:name="_Toc35393623"/>
      <w:bookmarkStart w:id="6" w:name="_Toc35393792"/>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获取招标文件</w:t>
      </w:r>
    </w:p>
    <w:p w14:paraId="3A76E4E2">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rPr>
        <w:t>XX年XX月XX日</w:t>
      </w:r>
      <w:r>
        <w:rPr>
          <w:rFonts w:hint="eastAsia" w:ascii="仿宋_GB2312" w:eastAsia="仿宋_GB2312"/>
          <w:sz w:val="28"/>
          <w:szCs w:val="28"/>
        </w:rPr>
        <w:t>至</w:t>
      </w:r>
      <w:r>
        <w:rPr>
          <w:rFonts w:ascii="仿宋_GB2312" w:hAnsi="Calibri" w:eastAsia="仿宋_GB2312"/>
          <w:sz w:val="28"/>
          <w:szCs w:val="28"/>
        </w:rPr>
        <w:t>XX年XX月XX日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7E378245">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328D9EE8">
      <w:pPr>
        <w:spacing w:line="480" w:lineRule="exact"/>
        <w:ind w:right="-21" w:rightChars="-10" w:firstLine="560" w:firstLineChars="200"/>
        <w:rPr>
          <w:rFonts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7E15FE46">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2CC8B506">
      <w:pPr>
        <w:pStyle w:val="4"/>
        <w:spacing w:line="400" w:lineRule="exact"/>
        <w:ind w:right="-21" w:rightChars="-10" w:firstLine="562" w:firstLineChars="200"/>
        <w:jc w:val="both"/>
        <w:rPr>
          <w:rFonts w:ascii="黑体" w:hAnsi="黑体" w:eastAsia="黑体" w:cs="黑体"/>
          <w:bCs/>
          <w:sz w:val="28"/>
          <w:szCs w:val="28"/>
        </w:rPr>
      </w:pPr>
      <w:bookmarkStart w:id="7" w:name="_Toc35393793"/>
      <w:bookmarkStart w:id="8" w:name="_Toc35393624"/>
      <w:bookmarkStart w:id="9" w:name="_Toc28359082"/>
      <w:bookmarkStart w:id="10" w:name="_Toc28359005"/>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提交投标文件截止时间、开标时间和地点</w:t>
      </w:r>
    </w:p>
    <w:p w14:paraId="2AD568BE">
      <w:pPr>
        <w:spacing w:line="400" w:lineRule="exact"/>
        <w:ind w:right="-21" w:rightChars="-10" w:firstLine="560" w:firstLineChars="200"/>
        <w:rPr>
          <w:rFonts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hint="eastAsia" w:ascii="仿宋_GB2312" w:eastAsia="仿宋_GB2312"/>
          <w:bCs/>
          <w:sz w:val="28"/>
          <w:szCs w:val="28"/>
          <w:lang w:val="en-US" w:eastAsia="zh-CN"/>
        </w:rPr>
        <w:t>XX</w:t>
      </w:r>
      <w:r>
        <w:rPr>
          <w:rFonts w:ascii="仿宋_GB2312" w:hAnsi="仿宋_GB2312" w:eastAsia="仿宋_GB2312" w:cs="仿宋_GB2312"/>
          <w:bCs/>
          <w:sz w:val="28"/>
          <w:szCs w:val="28"/>
        </w:rPr>
        <w:t>年XX月XX日 09:20</w:t>
      </w:r>
      <w:r>
        <w:rPr>
          <w:rFonts w:hint="eastAsia" w:ascii="仿宋_GB2312" w:eastAsia="仿宋_GB2312"/>
          <w:sz w:val="28"/>
          <w:szCs w:val="28"/>
        </w:rPr>
        <w:t>（北京时间）</w:t>
      </w:r>
    </w:p>
    <w:p w14:paraId="58201864">
      <w:pPr>
        <w:spacing w:line="480" w:lineRule="exact"/>
        <w:ind w:right="-21" w:rightChars="-10" w:firstLine="560" w:firstLineChars="200"/>
        <w:rPr>
          <w:rFonts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62548639">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hint="eastAsia" w:ascii="仿宋_GB2312" w:eastAsia="仿宋_GB2312"/>
          <w:bCs/>
          <w:sz w:val="28"/>
          <w:szCs w:val="28"/>
          <w:lang w:val="en-US" w:eastAsia="zh-CN"/>
        </w:rPr>
        <w:t>XX</w:t>
      </w:r>
      <w:r>
        <w:rPr>
          <w:rFonts w:ascii="仿宋_GB2312" w:eastAsia="仿宋_GB2312"/>
          <w:bCs/>
          <w:sz w:val="28"/>
          <w:szCs w:val="28"/>
        </w:rPr>
        <w:t>年XX月XX日 09:20</w:t>
      </w:r>
    </w:p>
    <w:p w14:paraId="5FAE2700">
      <w:pPr>
        <w:spacing w:line="480" w:lineRule="exact"/>
        <w:ind w:right="-21" w:rightChars="-10" w:firstLine="560" w:firstLineChars="200"/>
        <w:rPr>
          <w:rFonts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371B133A">
      <w:pPr>
        <w:pStyle w:val="4"/>
        <w:spacing w:line="400" w:lineRule="exact"/>
        <w:ind w:right="-21" w:rightChars="-10" w:firstLine="562" w:firstLineChars="200"/>
        <w:jc w:val="both"/>
        <w:rPr>
          <w:rFonts w:ascii="黑体" w:hAnsi="黑体" w:eastAsia="黑体" w:cs="黑体"/>
          <w:bCs/>
          <w:sz w:val="28"/>
          <w:szCs w:val="28"/>
        </w:rPr>
      </w:pPr>
      <w:bookmarkStart w:id="11" w:name="_Toc28359007"/>
      <w:bookmarkStart w:id="12" w:name="_Toc28359084"/>
      <w:bookmarkStart w:id="13" w:name="_Toc35393625"/>
      <w:bookmarkStart w:id="14" w:name="_Toc35393794"/>
      <w:r>
        <w:rPr>
          <w:rFonts w:hint="eastAsia" w:ascii="黑体" w:hAnsi="黑体" w:eastAsia="黑体" w:cs="黑体"/>
          <w:bCs/>
          <w:sz w:val="28"/>
          <w:szCs w:val="28"/>
        </w:rPr>
        <w:t>五、公告期限</w:t>
      </w:r>
      <w:bookmarkEnd w:id="11"/>
      <w:bookmarkEnd w:id="12"/>
      <w:bookmarkEnd w:id="13"/>
      <w:bookmarkEnd w:id="14"/>
    </w:p>
    <w:p w14:paraId="24BD64F3">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10D67FB1">
      <w:pPr>
        <w:pStyle w:val="4"/>
        <w:spacing w:line="400" w:lineRule="exact"/>
        <w:ind w:right="-21" w:rightChars="-10" w:firstLine="562" w:firstLineChars="200"/>
        <w:jc w:val="both"/>
        <w:rPr>
          <w:rFonts w:ascii="仿宋_GB2312" w:hAnsi="仿宋_GB2312" w:eastAsia="仿宋_GB2312" w:cs="仿宋_GB2312"/>
          <w:bCs/>
          <w:sz w:val="28"/>
          <w:szCs w:val="28"/>
        </w:rPr>
      </w:pPr>
      <w:bookmarkStart w:id="15" w:name="_Toc35393795"/>
      <w:bookmarkStart w:id="16" w:name="_Toc35393626"/>
      <w:r>
        <w:rPr>
          <w:rFonts w:hint="eastAsia" w:ascii="黑体" w:hAnsi="黑体" w:eastAsia="黑体" w:cs="黑体"/>
          <w:bCs/>
          <w:sz w:val="28"/>
          <w:szCs w:val="28"/>
        </w:rPr>
        <w:t>六、其他补充事宜</w:t>
      </w:r>
      <w:bookmarkEnd w:id="15"/>
      <w:bookmarkEnd w:id="16"/>
    </w:p>
    <w:p w14:paraId="0FED72BC">
      <w:pPr>
        <w:pStyle w:val="75"/>
        <w:spacing w:line="400" w:lineRule="exact"/>
        <w:ind w:right="-21" w:rightChars="-10" w:firstLine="561"/>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（二）投标保证金：</w:t>
      </w:r>
      <w:r>
        <w:rPr>
          <w:rFonts w:hint="eastAsia" w:ascii="仿宋_GB2312" w:hAnsi="仿宋_GB2312" w:eastAsia="仿宋_GB2312" w:cs="仿宋_GB2312"/>
          <w:sz w:val="28"/>
          <w:szCs w:val="28"/>
        </w:rPr>
        <w:t>本项目无需提交投标保证金。</w:t>
      </w:r>
    </w:p>
    <w:p w14:paraId="23574A13">
      <w:pPr>
        <w:pStyle w:val="75"/>
        <w:spacing w:line="420" w:lineRule="exact"/>
        <w:ind w:firstLine="561"/>
        <w:rPr>
          <w:rFonts w:ascii="仿宋_GB2312" w:hAnsi="仿宋_GB2312" w:eastAsia="仿宋_GB2312" w:cs="仿宋_GB2312"/>
          <w:sz w:val="28"/>
          <w:szCs w:val="28"/>
        </w:rPr>
      </w:pPr>
      <w:r>
        <w:rPr>
          <w:rFonts w:hint="eastAsia" w:ascii="仿宋_GB2312" w:hAnsi="仿宋_GB2312" w:eastAsia="仿宋_GB2312" w:cs="仿宋_GB2312"/>
          <w:b/>
          <w:bCs/>
          <w:sz w:val="28"/>
          <w:szCs w:val="28"/>
        </w:rPr>
        <w:t>（三）发布媒体：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66C18215">
      <w:pPr>
        <w:pStyle w:val="75"/>
        <w:spacing w:line="420" w:lineRule="exact"/>
        <w:ind w:firstLine="560"/>
        <w:rPr>
          <w:rFonts w:ascii="仿宋_GB2312" w:hAnsi="仿宋_GB2312" w:eastAsia="仿宋_GB2312" w:cs="仿宋_GB2312"/>
          <w:sz w:val="28"/>
          <w:szCs w:val="28"/>
        </w:rPr>
      </w:pPr>
      <w:bookmarkStart w:id="17" w:name="_Hlk93681467"/>
      <w:r>
        <w:rPr>
          <w:rFonts w:hint="eastAsia" w:ascii="仿宋_GB2312" w:hAnsi="仿宋_GB2312" w:eastAsia="仿宋_GB2312" w:cs="仿宋_GB2312"/>
          <w:sz w:val="28"/>
          <w:szCs w:val="28"/>
        </w:rPr>
        <w:t>（四）</w:t>
      </w:r>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17"/>
    <w:p w14:paraId="28A84EE6">
      <w:pPr>
        <w:spacing w:line="4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（五）对在“信用中国”网站(www.creditchina.gov.cn)、中国政府采购网(www.ccgp.gov.cn)等渠道列入失信被执行人、重大税收违法案件当事人名单、政府采购严重违法失信行为记录名单的投标人，不得参与政府采购活动。</w:t>
      </w:r>
    </w:p>
    <w:p w14:paraId="5BE79D47">
      <w:pPr>
        <w:spacing w:line="42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5F8990D2">
      <w:pPr>
        <w:spacing w:line="4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14:paraId="3B85B4F0">
      <w:pPr>
        <w:pStyle w:val="75"/>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137B1D34">
      <w:pPr>
        <w:pStyle w:val="75"/>
        <w:wordWrap w:val="0"/>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751C0856">
      <w:pPr>
        <w:pStyle w:val="75"/>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4F78D123">
      <w:pPr>
        <w:pStyle w:val="75"/>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68FC1C54">
      <w:pPr>
        <w:pStyle w:val="75"/>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2AD7C2F2">
      <w:pPr>
        <w:pStyle w:val="75"/>
        <w:wordWrap w:val="0"/>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325E7E21">
      <w:pPr>
        <w:pStyle w:val="75"/>
        <w:wordWrap w:val="0"/>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6E198503">
      <w:pPr>
        <w:spacing w:line="4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6410B9CD">
      <w:pPr>
        <w:pStyle w:val="75"/>
        <w:spacing w:line="420" w:lineRule="exact"/>
        <w:ind w:firstLine="561"/>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70B4D519">
      <w:pPr>
        <w:pStyle w:val="75"/>
        <w:spacing w:line="420" w:lineRule="exact"/>
        <w:ind w:firstLine="561"/>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646001F0">
      <w:pPr>
        <w:pStyle w:val="4"/>
        <w:spacing w:line="400" w:lineRule="exact"/>
        <w:ind w:right="-21" w:rightChars="-10" w:firstLine="562" w:firstLineChars="200"/>
        <w:jc w:val="both"/>
        <w:rPr>
          <w:rFonts w:ascii="黑体" w:hAnsi="黑体" w:eastAsia="黑体" w:cs="黑体"/>
          <w:b w:val="0"/>
          <w:sz w:val="28"/>
          <w:szCs w:val="28"/>
        </w:rPr>
      </w:pPr>
      <w:bookmarkStart w:id="18" w:name="_Toc35393796"/>
      <w:bookmarkStart w:id="19" w:name="_Toc28359085"/>
      <w:bookmarkStart w:id="20" w:name="_Toc35393627"/>
      <w:bookmarkStart w:id="21" w:name="_Toc28359008"/>
      <w:bookmarkStart w:id="22" w:name="_Hlk50569036"/>
      <w:r>
        <w:rPr>
          <w:rFonts w:hint="eastAsia" w:ascii="黑体" w:hAnsi="黑体" w:eastAsia="黑体" w:cs="黑体"/>
          <w:bCs/>
          <w:sz w:val="28"/>
          <w:szCs w:val="28"/>
        </w:rPr>
        <w:t>七、对本次招标提出询问，请按以下方式联系</w:t>
      </w:r>
      <w:bookmarkEnd w:id="18"/>
      <w:bookmarkEnd w:id="19"/>
      <w:bookmarkEnd w:id="20"/>
      <w:bookmarkEnd w:id="21"/>
    </w:p>
    <w:p w14:paraId="523736B8">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4F8FF142">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称：柳州市公安局</w:t>
      </w:r>
    </w:p>
    <w:p w14:paraId="60274A37">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址：柳州市学院路6号</w:t>
      </w:r>
    </w:p>
    <w:p w14:paraId="5E5706A1">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项目联系人：郑强</w:t>
      </w:r>
    </w:p>
    <w:p w14:paraId="4BA648D9">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项目联系方式：0772-3892204</w:t>
      </w:r>
    </w:p>
    <w:p w14:paraId="4545780F">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151BBF61">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64899D3D">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0E62256C">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潘俐君</w:t>
      </w:r>
    </w:p>
    <w:p w14:paraId="6642682A">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2"/>
    </w:p>
    <w:p w14:paraId="4EFB3412">
      <w:pPr>
        <w:spacing w:line="400" w:lineRule="exact"/>
        <w:ind w:right="560"/>
        <w:rPr>
          <w:rFonts w:ascii="仿宋_GB2312" w:eastAsia="仿宋_GB2312"/>
          <w:sz w:val="28"/>
          <w:szCs w:val="28"/>
        </w:rPr>
        <w:sectPr>
          <w:footerReference r:id="rId12" w:type="first"/>
          <w:footerReference r:id="rId11" w:type="default"/>
          <w:pgSz w:w="11906" w:h="16838"/>
          <w:pgMar w:top="1440" w:right="991" w:bottom="1440" w:left="1440" w:header="851" w:footer="992" w:gutter="0"/>
          <w:pgNumType w:start="1"/>
          <w:cols w:space="720" w:num="1"/>
          <w:docGrid w:linePitch="312" w:charSpace="0"/>
        </w:sectPr>
      </w:pPr>
    </w:p>
    <w:p w14:paraId="53BA08B1">
      <w:pPr>
        <w:pStyle w:val="3"/>
        <w:spacing w:line="276" w:lineRule="auto"/>
        <w:jc w:val="center"/>
        <w:rPr>
          <w:rFonts w:ascii="宋体" w:hAnsi="宋体"/>
          <w:sz w:val="32"/>
          <w:szCs w:val="32"/>
        </w:rPr>
      </w:pPr>
      <w:bookmarkStart w:id="23" w:name="_Toc13541"/>
      <w:r>
        <w:rPr>
          <w:rFonts w:hint="eastAsia" w:ascii="宋体" w:hAnsi="宋体"/>
          <w:sz w:val="32"/>
          <w:szCs w:val="32"/>
        </w:rPr>
        <w:t>第二章 采购需求</w:t>
      </w:r>
      <w:bookmarkEnd w:id="23"/>
    </w:p>
    <w:p w14:paraId="22EC5255">
      <w:pPr>
        <w:spacing w:line="276" w:lineRule="auto"/>
        <w:ind w:right="-330" w:rightChars="-157"/>
        <w:rPr>
          <w:rFonts w:ascii="仿宋_GB2312" w:eastAsia="仿宋_GB2312"/>
          <w:b/>
          <w:bCs/>
          <w:sz w:val="24"/>
        </w:rPr>
      </w:pPr>
      <w:r>
        <w:rPr>
          <w:rFonts w:hint="eastAsia" w:ascii="仿宋_GB2312" w:eastAsia="仿宋_GB2312"/>
          <w:b/>
          <w:bCs/>
          <w:sz w:val="24"/>
        </w:rPr>
        <w:t>说明：</w:t>
      </w:r>
    </w:p>
    <w:p w14:paraId="5F1F4D29">
      <w:pPr>
        <w:spacing w:line="380" w:lineRule="exact"/>
        <w:ind w:right="-330" w:rightChars="-157" w:firstLine="482" w:firstLineChars="200"/>
        <w:rPr>
          <w:rFonts w:ascii="仿宋_GB2312" w:eastAsia="仿宋_GB2312"/>
          <w:b/>
          <w:bCs/>
          <w:color w:val="000000"/>
          <w:sz w:val="24"/>
        </w:rPr>
      </w:pPr>
      <w:bookmarkStart w:id="24"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4EE00645">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035D5FE2">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w:t>
      </w:r>
      <w:r>
        <w:rPr>
          <w:rFonts w:hint="eastAsia" w:ascii="仿宋_GB2312" w:eastAsia="仿宋_GB2312"/>
          <w:b/>
          <w:bCs/>
          <w:color w:val="000000"/>
          <w:sz w:val="24"/>
        </w:rPr>
        <w:t>没有</w:t>
      </w:r>
      <w:r>
        <w:rPr>
          <w:rFonts w:ascii="仿宋_GB2312" w:eastAsia="仿宋_GB2312"/>
          <w:b/>
          <w:bCs/>
          <w:color w:val="000000"/>
          <w:sz w:val="24"/>
        </w:rPr>
        <w:t>标记“★”符号的技术参数要求，评审时投标人的响应内容发生负偏离</w:t>
      </w:r>
      <w:r>
        <w:rPr>
          <w:rFonts w:hint="eastAsia" w:ascii="仿宋_GB2312" w:eastAsia="仿宋_GB2312"/>
          <w:b/>
          <w:bCs/>
          <w:color w:val="000000"/>
          <w:sz w:val="24"/>
        </w:rPr>
        <w:t>四</w:t>
      </w:r>
      <w:r>
        <w:rPr>
          <w:rFonts w:ascii="仿宋_GB2312" w:eastAsia="仿宋_GB2312"/>
          <w:b/>
          <w:bCs/>
          <w:color w:val="000000"/>
          <w:sz w:val="24"/>
        </w:rPr>
        <w:t>项以上的，视为投标无效。关于“项数”的规定，凡标有最低一级序号的指标项即为一项技术条款，无论是否隶属于上一级编号</w:t>
      </w:r>
      <w:r>
        <w:rPr>
          <w:rFonts w:hint="eastAsia" w:ascii="仿宋_GB2312" w:eastAsia="仿宋_GB2312"/>
          <w:b/>
          <w:bCs/>
          <w:color w:val="000000"/>
          <w:sz w:val="24"/>
        </w:rPr>
        <w:t>（有特别说明的除外）</w:t>
      </w:r>
      <w:r>
        <w:rPr>
          <w:rFonts w:ascii="仿宋_GB2312" w:eastAsia="仿宋_GB2312"/>
          <w:b/>
          <w:bCs/>
          <w:color w:val="000000"/>
          <w:sz w:val="24"/>
        </w:rPr>
        <w:t>。</w:t>
      </w:r>
    </w:p>
    <w:p w14:paraId="1D3D68C5">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57E911E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360979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4BA38EE9">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5CAE5670">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2736DFB4">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 HYPERLINK "http://gks.mof.gov.cn/zhengfucaigouguanli/201904/P020190402638613799126.pdf" </w:instrText>
      </w:r>
      <w:r>
        <w:fldChar w:fldCharType="separate"/>
      </w:r>
      <w:r>
        <w:rPr>
          <w:rFonts w:hint="eastAsia" w:ascii="仿宋_GB2312" w:eastAsia="仿宋_GB2312"/>
          <w:b/>
          <w:bCs/>
          <w:color w:val="000000"/>
          <w:sz w:val="24"/>
        </w:rPr>
        <w:t>节能产品政府采购品目清单</w:t>
      </w:r>
      <w:r>
        <w:rPr>
          <w:rFonts w:hint="eastAsia"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7F30CE2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p w14:paraId="0E60F513">
      <w:pPr>
        <w:spacing w:line="380" w:lineRule="exact"/>
        <w:ind w:right="-330" w:rightChars="-157"/>
        <w:jc w:val="left"/>
        <w:rPr>
          <w:rFonts w:ascii="仿宋_GB2312" w:eastAsia="仿宋_GB2312"/>
          <w:b/>
          <w:bCs/>
          <w:sz w:val="24"/>
        </w:rPr>
      </w:pPr>
    </w:p>
    <w:p w14:paraId="38A6A428">
      <w:pPr>
        <w:spacing w:line="380" w:lineRule="exact"/>
        <w:ind w:right="-330" w:rightChars="-157"/>
        <w:rPr>
          <w:rFonts w:ascii="仿宋_GB2312" w:eastAsia="仿宋_GB2312"/>
          <w:b/>
          <w:bCs/>
          <w:color w:val="000000"/>
          <w:sz w:val="24"/>
        </w:rPr>
      </w:pPr>
    </w:p>
    <w:tbl>
      <w:tblPr>
        <w:tblStyle w:val="49"/>
        <w:tblW w:w="9641" w:type="dxa"/>
        <w:tblInd w:w="-45" w:type="dxa"/>
        <w:tblLayout w:type="fixed"/>
        <w:tblCellMar>
          <w:top w:w="0" w:type="dxa"/>
          <w:left w:w="108" w:type="dxa"/>
          <w:bottom w:w="0" w:type="dxa"/>
          <w:right w:w="108" w:type="dxa"/>
        </w:tblCellMar>
      </w:tblPr>
      <w:tblGrid>
        <w:gridCol w:w="416"/>
        <w:gridCol w:w="1245"/>
        <w:gridCol w:w="6990"/>
        <w:gridCol w:w="990"/>
      </w:tblGrid>
      <w:tr w14:paraId="1AF6E9CC">
        <w:tblPrEx>
          <w:tblCellMar>
            <w:top w:w="0" w:type="dxa"/>
            <w:left w:w="108" w:type="dxa"/>
            <w:bottom w:w="0" w:type="dxa"/>
            <w:right w:w="108" w:type="dxa"/>
          </w:tblCellMar>
        </w:tblPrEx>
        <w:tc>
          <w:tcPr>
            <w:tcW w:w="9641" w:type="dxa"/>
            <w:gridSpan w:val="4"/>
            <w:tcBorders>
              <w:top w:val="single" w:color="000000" w:sz="4" w:space="0"/>
              <w:left w:val="single" w:color="000000" w:sz="4" w:space="0"/>
              <w:bottom w:val="single" w:color="000000" w:sz="4" w:space="0"/>
              <w:right w:val="single" w:color="000000" w:sz="4" w:space="0"/>
            </w:tcBorders>
            <w:vAlign w:val="center"/>
          </w:tcPr>
          <w:p w14:paraId="6BF46C98">
            <w:pPr>
              <w:keepNext w:val="0"/>
              <w:keepLines w:val="0"/>
              <w:pageBreakBefore w:val="0"/>
              <w:widowControl/>
              <w:kinsoku/>
              <w:wordWrap/>
              <w:overflowPunct/>
              <w:topLinePunct w:val="0"/>
              <w:bidi w:val="0"/>
              <w:snapToGrid/>
              <w:spacing w:line="400" w:lineRule="exact"/>
              <w:jc w:val="left"/>
              <w:textAlignment w:val="center"/>
              <w:rPr>
                <w:rFonts w:ascii="仿宋_GB2312" w:hAnsi="仿宋_GB2312" w:eastAsia="仿宋_GB2312" w:cs="仿宋_GB2312"/>
                <w:b/>
                <w:bCs/>
                <w:color w:val="000000"/>
                <w:kern w:val="0"/>
                <w:sz w:val="24"/>
              </w:rPr>
            </w:pPr>
            <w:r>
              <w:rPr>
                <w:rFonts w:hint="eastAsia" w:ascii="仿宋_GB2312" w:hAnsi="仿宋_GB2312" w:eastAsia="仿宋_GB2312" w:cs="仿宋_GB2312"/>
                <w:b/>
                <w:color w:val="000000"/>
                <w:kern w:val="0"/>
                <w:sz w:val="24"/>
              </w:rPr>
              <w:t>一、</w:t>
            </w:r>
            <w:r>
              <w:rPr>
                <w:rFonts w:hint="eastAsia" w:ascii="仿宋_GB2312" w:hAnsi="仿宋_GB2312" w:eastAsia="仿宋_GB2312" w:cs="仿宋_GB2312"/>
                <w:b/>
                <w:kern w:val="0"/>
                <w:sz w:val="24"/>
              </w:rPr>
              <w:t>项目技术规格参数及要求</w:t>
            </w:r>
          </w:p>
        </w:tc>
      </w:tr>
      <w:tr w14:paraId="796D2BD2">
        <w:tblPrEx>
          <w:tblCellMar>
            <w:top w:w="0" w:type="dxa"/>
            <w:left w:w="108" w:type="dxa"/>
            <w:bottom w:w="0" w:type="dxa"/>
            <w:right w:w="108" w:type="dxa"/>
          </w:tblCellMar>
        </w:tblPrEx>
        <w:tc>
          <w:tcPr>
            <w:tcW w:w="416" w:type="dxa"/>
            <w:tcBorders>
              <w:top w:val="single" w:color="000000" w:sz="4" w:space="0"/>
              <w:left w:val="single" w:color="000000" w:sz="4" w:space="0"/>
              <w:bottom w:val="single" w:color="000000" w:sz="4" w:space="0"/>
              <w:right w:val="single" w:color="000000" w:sz="4" w:space="0"/>
            </w:tcBorders>
            <w:vAlign w:val="center"/>
          </w:tcPr>
          <w:p w14:paraId="0D740437">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序号</w:t>
            </w:r>
          </w:p>
        </w:tc>
        <w:tc>
          <w:tcPr>
            <w:tcW w:w="1245" w:type="dxa"/>
            <w:tcBorders>
              <w:top w:val="single" w:color="000000" w:sz="4" w:space="0"/>
              <w:left w:val="single" w:color="000000" w:sz="4" w:space="0"/>
              <w:bottom w:val="single" w:color="000000" w:sz="4" w:space="0"/>
              <w:right w:val="single" w:color="000000" w:sz="4" w:space="0"/>
            </w:tcBorders>
            <w:vAlign w:val="center"/>
          </w:tcPr>
          <w:p w14:paraId="36D261EF">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标的名称</w:t>
            </w:r>
          </w:p>
        </w:tc>
        <w:tc>
          <w:tcPr>
            <w:tcW w:w="6990" w:type="dxa"/>
            <w:tcBorders>
              <w:top w:val="single" w:color="000000" w:sz="4" w:space="0"/>
              <w:left w:val="single" w:color="000000" w:sz="4" w:space="0"/>
              <w:bottom w:val="single" w:color="000000" w:sz="4" w:space="0"/>
              <w:right w:val="single" w:color="000000" w:sz="4" w:space="0"/>
            </w:tcBorders>
            <w:vAlign w:val="center"/>
          </w:tcPr>
          <w:p w14:paraId="00686598">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技术参数</w:t>
            </w:r>
          </w:p>
        </w:tc>
        <w:tc>
          <w:tcPr>
            <w:tcW w:w="990" w:type="dxa"/>
            <w:tcBorders>
              <w:top w:val="single" w:color="000000" w:sz="4" w:space="0"/>
              <w:left w:val="single" w:color="000000" w:sz="4" w:space="0"/>
              <w:bottom w:val="single" w:color="000000" w:sz="4" w:space="0"/>
              <w:right w:val="single" w:color="000000" w:sz="4" w:space="0"/>
            </w:tcBorders>
            <w:vAlign w:val="center"/>
          </w:tcPr>
          <w:p w14:paraId="400E234E">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数量及单位</w:t>
            </w:r>
          </w:p>
        </w:tc>
      </w:tr>
      <w:tr w14:paraId="14752987">
        <w:tblPrEx>
          <w:tblCellMar>
            <w:top w:w="0" w:type="dxa"/>
            <w:left w:w="108" w:type="dxa"/>
            <w:bottom w:w="0" w:type="dxa"/>
            <w:right w:w="108" w:type="dxa"/>
          </w:tblCellMar>
        </w:tblPrEx>
        <w:tc>
          <w:tcPr>
            <w:tcW w:w="416" w:type="dxa"/>
            <w:tcBorders>
              <w:top w:val="single" w:color="000000" w:sz="4" w:space="0"/>
              <w:left w:val="single" w:color="000000" w:sz="4" w:space="0"/>
              <w:bottom w:val="single" w:color="000000" w:sz="4" w:space="0"/>
              <w:right w:val="single" w:color="000000" w:sz="4" w:space="0"/>
            </w:tcBorders>
            <w:vAlign w:val="center"/>
          </w:tcPr>
          <w:p w14:paraId="6C370043">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p>
        </w:tc>
        <w:tc>
          <w:tcPr>
            <w:tcW w:w="1245" w:type="dxa"/>
            <w:tcBorders>
              <w:top w:val="single" w:color="000000" w:sz="4" w:space="0"/>
              <w:left w:val="single" w:color="000000" w:sz="4" w:space="0"/>
              <w:bottom w:val="single" w:color="000000" w:sz="4" w:space="0"/>
              <w:right w:val="single" w:color="000000" w:sz="4" w:space="0"/>
            </w:tcBorders>
            <w:vAlign w:val="center"/>
          </w:tcPr>
          <w:p w14:paraId="1511F69D">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▲国产化聚档节点</w:t>
            </w:r>
          </w:p>
        </w:tc>
        <w:tc>
          <w:tcPr>
            <w:tcW w:w="6990" w:type="dxa"/>
            <w:tcBorders>
              <w:top w:val="single" w:color="000000" w:sz="4" w:space="0"/>
              <w:left w:val="single" w:color="000000" w:sz="4" w:space="0"/>
              <w:bottom w:val="single" w:color="000000" w:sz="4" w:space="0"/>
              <w:right w:val="single" w:color="000000" w:sz="4" w:space="0"/>
            </w:tcBorders>
            <w:vAlign w:val="center"/>
          </w:tcPr>
          <w:p w14:paraId="55595F3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★一、2U机架式服务器</w:t>
            </w:r>
          </w:p>
          <w:p w14:paraId="60A71DF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★二、处理器CPU规格</w:t>
            </w:r>
          </w:p>
          <w:p w14:paraId="063499A5">
            <w:pPr>
              <w:pStyle w:val="17"/>
              <w:keepNext w:val="0"/>
              <w:keepLines w:val="0"/>
              <w:pageBreakBefore w:val="0"/>
              <w:kinsoku/>
              <w:wordWrap/>
              <w:overflowPunct/>
              <w:topLinePunct w:val="0"/>
              <w:bidi w:val="0"/>
              <w:snapToGrid/>
              <w:ind w:firstLine="240" w:firstLineChars="100"/>
              <w:rPr>
                <w:rFonts w:ascii="仿宋_GB2312" w:hAnsi="仿宋_GB2312" w:eastAsia="仿宋_GB2312" w:cs="仿宋_GB2312"/>
              </w:rPr>
            </w:pPr>
            <w:r>
              <w:rPr>
                <w:rFonts w:hint="eastAsia" w:ascii="仿宋_GB2312" w:hAnsi="仿宋_GB2312" w:eastAsia="仿宋_GB2312" w:cs="仿宋_GB2312"/>
                <w:sz w:val="24"/>
              </w:rPr>
              <w:t>1.配置国产CPU≥2颗；单颗CPU核数不低于</w:t>
            </w:r>
            <w:r>
              <w:rPr>
                <w:rFonts w:ascii="仿宋_GB2312" w:hAnsi="仿宋_GB2312" w:eastAsia="仿宋_GB2312" w:cs="仿宋_GB2312"/>
                <w:sz w:val="24"/>
              </w:rPr>
              <w:t>48</w:t>
            </w:r>
            <w:r>
              <w:rPr>
                <w:rFonts w:hint="eastAsia" w:ascii="仿宋_GB2312" w:hAnsi="仿宋_GB2312" w:eastAsia="仿宋_GB2312" w:cs="仿宋_GB2312"/>
                <w:sz w:val="24"/>
              </w:rPr>
              <w:t>核，主频≥2.6GHz主频，末级缓存容量≥</w:t>
            </w:r>
            <w:r>
              <w:rPr>
                <w:rFonts w:ascii="仿宋_GB2312" w:hAnsi="仿宋_GB2312" w:eastAsia="仿宋_GB2312" w:cs="仿宋_GB2312"/>
                <w:sz w:val="24"/>
              </w:rPr>
              <w:t>48</w:t>
            </w:r>
            <w:r>
              <w:rPr>
                <w:rFonts w:hint="eastAsia" w:ascii="仿宋_GB2312" w:hAnsi="仿宋_GB2312" w:eastAsia="仿宋_GB2312" w:cs="仿宋_GB2312"/>
                <w:sz w:val="24"/>
              </w:rPr>
              <w:t>MB，功耗≤</w:t>
            </w:r>
            <w:r>
              <w:rPr>
                <w:rFonts w:ascii="仿宋_GB2312" w:hAnsi="仿宋_GB2312" w:eastAsia="仿宋_GB2312" w:cs="仿宋_GB2312"/>
                <w:sz w:val="24"/>
              </w:rPr>
              <w:t>150</w:t>
            </w:r>
            <w:r>
              <w:rPr>
                <w:rFonts w:hint="eastAsia" w:ascii="仿宋_GB2312" w:hAnsi="仿宋_GB2312" w:eastAsia="仿宋_GB2312" w:cs="仿宋_GB2312"/>
                <w:sz w:val="24"/>
              </w:rPr>
              <w:t>W，内存速率≥2666MT/s；支持≥</w:t>
            </w:r>
            <w:r>
              <w:rPr>
                <w:rFonts w:ascii="仿宋_GB2312" w:hAnsi="仿宋_GB2312" w:eastAsia="仿宋_GB2312" w:cs="仿宋_GB2312"/>
                <w:sz w:val="24"/>
              </w:rPr>
              <w:t>8</w:t>
            </w:r>
            <w:r>
              <w:rPr>
                <w:rFonts w:hint="eastAsia" w:ascii="仿宋_GB2312" w:hAnsi="仿宋_GB2312" w:eastAsia="仿宋_GB2312" w:cs="仿宋_GB2312"/>
                <w:sz w:val="24"/>
              </w:rPr>
              <w:t>通道内存，支持≥64位处理器，线程数≥</w:t>
            </w:r>
            <w:r>
              <w:rPr>
                <w:rFonts w:ascii="仿宋_GB2312" w:hAnsi="仿宋_GB2312" w:eastAsia="仿宋_GB2312" w:cs="仿宋_GB2312"/>
                <w:sz w:val="24"/>
              </w:rPr>
              <w:t>48</w:t>
            </w:r>
            <w:r>
              <w:rPr>
                <w:rFonts w:hint="eastAsia" w:ascii="仿宋_GB2312" w:hAnsi="仿宋_GB2312" w:eastAsia="仿宋_GB2312" w:cs="仿宋_GB2312"/>
                <w:sz w:val="24"/>
              </w:rPr>
              <w:t>，位宽≥64bit</w:t>
            </w:r>
            <w:r>
              <w:rPr>
                <w:rFonts w:hint="eastAsia" w:ascii="仿宋_GB2312" w:hAnsi="仿宋_GB2312" w:eastAsia="仿宋_GB2312" w:cs="仿宋_GB2312"/>
              </w:rPr>
              <w:t>；</w:t>
            </w:r>
          </w:p>
          <w:p w14:paraId="2AF7026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★三、主板规格</w:t>
            </w:r>
          </w:p>
          <w:p w14:paraId="6124948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1.主板支持的CPU和内存情况：≥2颗；支持内存≥DDR4，支持内存数量：≥16个；</w:t>
            </w:r>
          </w:p>
          <w:p w14:paraId="536371E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2.主板内存槽数量：非板载内存的可扩展插槽数量应≥4个；</w:t>
            </w:r>
          </w:p>
          <w:p w14:paraId="2914DFB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3.主板存储接口：支持 SATA、SAS、M.2、U.2等存储接口中数≥1种； </w:t>
            </w:r>
          </w:p>
          <w:p w14:paraId="20D6550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4.PCIe插槽接口：符合PCIe3.0或以上的高速串行计算机扩展总线标准，PCIe的接口速率与位宽需保证向下兼容；</w:t>
            </w:r>
          </w:p>
          <w:p w14:paraId="5989C61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5.主板PCIe插槽数量及规格：a)高度大于44.45mm双路或以上服务器 PCIe插槽或接口≥5个，可通过扩展卡进行插槽扩展；PCIE：可拓展支持≥8个PCIe 4.0 x8，或者≥3个PCIe 4.0 x16+2个PCIe 4.0 x8标准插槽</w:t>
            </w:r>
            <w:r>
              <w:rPr>
                <w:rFonts w:hint="eastAsia"/>
              </w:rPr>
              <w:t>。</w:t>
            </w:r>
            <w:r>
              <w:rPr>
                <w:rFonts w:hint="eastAsia" w:ascii="仿宋_GB2312" w:hAnsi="仿宋_GB2312" w:eastAsia="仿宋_GB2312" w:cs="仿宋_GB2312"/>
              </w:rPr>
              <w:t xml:space="preserve"> </w:t>
            </w:r>
          </w:p>
          <w:p w14:paraId="7272652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★四、内存规格</w:t>
            </w:r>
          </w:p>
          <w:p w14:paraId="29A091B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1.内存数量：≥16；本次配置总容量≥512GB内存；</w:t>
            </w:r>
          </w:p>
          <w:p w14:paraId="10030B0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2.内存规格：≥DDR4；</w:t>
            </w:r>
          </w:p>
          <w:p w14:paraId="5FC9B99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3.内存通道：支持多个内存接口通道，每个通道可支持1DPC或2DPC，当支持2DPC时，印制电路板上应具备插槽的序号标识，支持≥4通道内存；</w:t>
            </w:r>
          </w:p>
          <w:p w14:paraId="58E1D7B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4.内存插槽：≥</w:t>
            </w:r>
            <w:r>
              <w:rPr>
                <w:rFonts w:ascii="仿宋_GB2312" w:hAnsi="仿宋_GB2312" w:eastAsia="仿宋_GB2312" w:cs="仿宋_GB2312"/>
              </w:rPr>
              <w:t>16</w:t>
            </w:r>
            <w:r>
              <w:rPr>
                <w:rFonts w:hint="eastAsia" w:ascii="仿宋_GB2312" w:hAnsi="仿宋_GB2312" w:eastAsia="仿宋_GB2312" w:cs="仿宋_GB2312"/>
              </w:rPr>
              <w:t>个，可拓展支持总容量≥2TB；</w:t>
            </w:r>
          </w:p>
          <w:p w14:paraId="6B1D0C4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★五、存储规格</w:t>
            </w:r>
          </w:p>
          <w:p w14:paraId="546CCB3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◆1.硬磁盘实配容量：a)单盘≥</w:t>
            </w:r>
            <w:r>
              <w:rPr>
                <w:rFonts w:ascii="仿宋_GB2312" w:hAnsi="仿宋_GB2312" w:eastAsia="仿宋_GB2312" w:cs="仿宋_GB2312"/>
              </w:rPr>
              <w:t>1</w:t>
            </w:r>
            <w:r>
              <w:rPr>
                <w:rFonts w:hint="eastAsia" w:ascii="仿宋_GB2312" w:hAnsi="仿宋_GB2312" w:eastAsia="仿宋_GB2312" w:cs="仿宋_GB2312"/>
              </w:rPr>
              <w:t>TB SAS 硬盘；b)单盘≥</w:t>
            </w:r>
            <w:r>
              <w:rPr>
                <w:rFonts w:ascii="仿宋_GB2312" w:hAnsi="仿宋_GB2312" w:eastAsia="仿宋_GB2312" w:cs="仿宋_GB2312"/>
              </w:rPr>
              <w:t>480</w:t>
            </w:r>
            <w:r>
              <w:rPr>
                <w:rFonts w:hint="eastAsia" w:ascii="仿宋_GB2312" w:hAnsi="仿宋_GB2312" w:eastAsia="仿宋_GB2312" w:cs="仿宋_GB2312"/>
              </w:rPr>
              <w:t>G SATA SSD硬盘；c）单盘≥1</w:t>
            </w:r>
            <w:r>
              <w:rPr>
                <w:rFonts w:ascii="仿宋_GB2312" w:hAnsi="仿宋_GB2312" w:eastAsia="仿宋_GB2312" w:cs="仿宋_GB2312"/>
              </w:rPr>
              <w:t>TB SSD</w:t>
            </w:r>
            <w:r>
              <w:rPr>
                <w:rFonts w:hint="eastAsia" w:ascii="仿宋_GB2312" w:hAnsi="仿宋_GB2312" w:eastAsia="仿宋_GB2312" w:cs="仿宋_GB2312"/>
              </w:rPr>
              <w:t>硬盘</w:t>
            </w:r>
            <w:r>
              <w:rPr>
                <w:rFonts w:ascii="仿宋_GB2312" w:hAnsi="仿宋_GB2312" w:eastAsia="仿宋_GB2312" w:cs="仿宋_GB2312"/>
              </w:rPr>
              <w:t>;</w:t>
            </w:r>
            <w:r>
              <w:rPr>
                <w:rFonts w:hint="eastAsia" w:ascii="仿宋_GB2312" w:hAnsi="仿宋_GB2312" w:eastAsia="仿宋_GB2312" w:cs="仿宋_GB2312"/>
              </w:rPr>
              <w:t>d）单盘≥8</w:t>
            </w:r>
            <w:r>
              <w:rPr>
                <w:rFonts w:ascii="仿宋_GB2312" w:hAnsi="仿宋_GB2312" w:eastAsia="仿宋_GB2312" w:cs="仿宋_GB2312"/>
              </w:rPr>
              <w:t>TB SATA</w:t>
            </w:r>
            <w:r>
              <w:rPr>
                <w:rFonts w:hint="eastAsia" w:ascii="仿宋_GB2312" w:hAnsi="仿宋_GB2312" w:eastAsia="仿宋_GB2312" w:cs="仿宋_GB2312"/>
              </w:rPr>
              <w:t>硬盘</w:t>
            </w:r>
          </w:p>
          <w:p w14:paraId="6CBE066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2.硬盘实配数量：a)≥2块</w:t>
            </w:r>
            <w:r>
              <w:rPr>
                <w:rFonts w:ascii="仿宋_GB2312" w:hAnsi="仿宋_GB2312" w:eastAsia="仿宋_GB2312" w:cs="仿宋_GB2312"/>
              </w:rPr>
              <w:t>1</w:t>
            </w:r>
            <w:r>
              <w:rPr>
                <w:rFonts w:hint="eastAsia" w:ascii="仿宋_GB2312" w:hAnsi="仿宋_GB2312" w:eastAsia="仿宋_GB2312" w:cs="仿宋_GB2312"/>
              </w:rPr>
              <w:t>TB SAS 硬盘；b)≥1块</w:t>
            </w:r>
            <w:r>
              <w:rPr>
                <w:rFonts w:ascii="仿宋_GB2312" w:hAnsi="仿宋_GB2312" w:eastAsia="仿宋_GB2312" w:cs="仿宋_GB2312"/>
              </w:rPr>
              <w:t>480</w:t>
            </w:r>
            <w:r>
              <w:rPr>
                <w:rFonts w:hint="eastAsia" w:ascii="仿宋_GB2312" w:hAnsi="仿宋_GB2312" w:eastAsia="仿宋_GB2312" w:cs="仿宋_GB2312"/>
              </w:rPr>
              <w:t>G SATA SSD硬盘；c）≥1块1</w:t>
            </w:r>
            <w:r>
              <w:rPr>
                <w:rFonts w:ascii="仿宋_GB2312" w:hAnsi="仿宋_GB2312" w:eastAsia="仿宋_GB2312" w:cs="仿宋_GB2312"/>
              </w:rPr>
              <w:t>TB SSD</w:t>
            </w:r>
            <w:r>
              <w:rPr>
                <w:rFonts w:hint="eastAsia" w:ascii="仿宋_GB2312" w:hAnsi="仿宋_GB2312" w:eastAsia="仿宋_GB2312" w:cs="仿宋_GB2312"/>
              </w:rPr>
              <w:t>硬盘</w:t>
            </w:r>
            <w:r>
              <w:rPr>
                <w:rFonts w:ascii="仿宋_GB2312" w:hAnsi="仿宋_GB2312" w:eastAsia="仿宋_GB2312" w:cs="仿宋_GB2312"/>
              </w:rPr>
              <w:t>;</w:t>
            </w:r>
            <w:r>
              <w:rPr>
                <w:rFonts w:hint="eastAsia" w:ascii="仿宋_GB2312" w:hAnsi="仿宋_GB2312" w:eastAsia="仿宋_GB2312" w:cs="仿宋_GB2312"/>
              </w:rPr>
              <w:t>d）≥1块8</w:t>
            </w:r>
            <w:r>
              <w:rPr>
                <w:rFonts w:ascii="仿宋_GB2312" w:hAnsi="仿宋_GB2312" w:eastAsia="仿宋_GB2312" w:cs="仿宋_GB2312"/>
              </w:rPr>
              <w:t>TB SATA</w:t>
            </w:r>
            <w:r>
              <w:rPr>
                <w:rFonts w:hint="eastAsia" w:ascii="仿宋_GB2312" w:hAnsi="仿宋_GB2312" w:eastAsia="仿宋_GB2312" w:cs="仿宋_GB2312"/>
              </w:rPr>
              <w:t>硬盘</w:t>
            </w:r>
          </w:p>
          <w:p w14:paraId="51097BE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3.硬盘插槽数量及规格：≥12个硬盘位，整机最大可拓展支持16个3.5英寸/2.5英寸SAS/SATA/SSD硬盘位，可拓展支持4个后置2.5英寸NVME盘；</w:t>
            </w:r>
          </w:p>
          <w:p w14:paraId="73E44ED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六、RAID阵列</w:t>
            </w:r>
          </w:p>
          <w:p w14:paraId="18B2B30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1.配置1张独立RAID卡，缓存≥2G,支持RAID 0/1/5/6/10/50/60，可拓展支持超级电容掉电保护，配置一个RAID超级电容;</w:t>
            </w:r>
          </w:p>
          <w:p w14:paraId="1A8BE53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★七、网络规格</w:t>
            </w:r>
          </w:p>
          <w:p w14:paraId="03E66E7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1.网口速率和数量：配备网口数量不少于6个，且网口速率不少于1GE，其中1GE网口数量≥</w:t>
            </w:r>
            <w:r>
              <w:rPr>
                <w:rFonts w:ascii="仿宋_GB2312" w:hAnsi="仿宋_GB2312" w:eastAsia="仿宋_GB2312" w:cs="仿宋_GB2312"/>
              </w:rPr>
              <w:t>2</w:t>
            </w:r>
            <w:r>
              <w:rPr>
                <w:rFonts w:hint="eastAsia" w:ascii="仿宋_GB2312" w:hAnsi="仿宋_GB2312" w:eastAsia="仿宋_GB2312" w:cs="仿宋_GB2312"/>
              </w:rPr>
              <w:t>个、10GE网口数量≥</w:t>
            </w:r>
            <w:r>
              <w:rPr>
                <w:rFonts w:ascii="仿宋_GB2312" w:hAnsi="仿宋_GB2312" w:eastAsia="仿宋_GB2312" w:cs="仿宋_GB2312"/>
              </w:rPr>
              <w:t>4</w:t>
            </w:r>
            <w:r>
              <w:rPr>
                <w:rFonts w:hint="eastAsia" w:ascii="仿宋_GB2312" w:hAnsi="仿宋_GB2312" w:eastAsia="仿宋_GB2312" w:cs="仿宋_GB2312"/>
              </w:rPr>
              <w:t>个；</w:t>
            </w:r>
          </w:p>
          <w:p w14:paraId="3A28972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★八、外部接口规格</w:t>
            </w:r>
          </w:p>
          <w:p w14:paraId="423ACD4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1.显示接口：显示接口类型支持≥</w:t>
            </w:r>
            <w:r>
              <w:rPr>
                <w:rFonts w:ascii="仿宋_GB2312" w:hAnsi="仿宋_GB2312" w:eastAsia="仿宋_GB2312" w:cs="仿宋_GB2312"/>
              </w:rPr>
              <w:t>2</w:t>
            </w:r>
            <w:r>
              <w:rPr>
                <w:rFonts w:hint="eastAsia" w:ascii="仿宋_GB2312" w:hAnsi="仿宋_GB2312" w:eastAsia="仿宋_GB2312" w:cs="仿宋_GB2312"/>
              </w:rPr>
              <w:t>个VGA接口；</w:t>
            </w:r>
          </w:p>
          <w:p w14:paraId="64E1825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2.USB接口：配备USB接口，配备≥4个USB 3.0接口；</w:t>
            </w:r>
          </w:p>
          <w:p w14:paraId="3A523F3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★九、电源规格</w:t>
            </w:r>
          </w:p>
          <w:p w14:paraId="0050D5C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1.电源模块数量：≥2；</w:t>
            </w:r>
          </w:p>
          <w:p w14:paraId="3825621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2.电源功率：单电源功率≥900W，支持1+1冗余功能；</w:t>
            </w:r>
          </w:p>
          <w:p w14:paraId="2CCCB58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★十、整机规格</w:t>
            </w:r>
          </w:p>
          <w:p w14:paraId="445C790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1.外观和结构：</w:t>
            </w:r>
          </w:p>
          <w:p w14:paraId="2A9C910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a)服务器的零部件应紧固无松动，可插拔部件应可靠连接，开关、按钮和其它控制部件应灵活可靠，布局应方便使用；</w:t>
            </w:r>
          </w:p>
          <w:p w14:paraId="5373D6C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b)产品表面不应有明显的凹痕、划伤、裂缝、变形和污染等。表面涂层均匀，不应起泡、龟裂、脱落和磨损，金属零部件无锈蚀及其它机械损伤；</w:t>
            </w:r>
          </w:p>
          <w:p w14:paraId="1E03CDC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c)产品表面说明功能的文字、符号和标志应清晰、端正且牢固；</w:t>
            </w:r>
          </w:p>
          <w:p w14:paraId="12FA800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d)应在服务器的显著位置提供运行状态的指示功能，并在随机文件中明确具体含义；</w:t>
            </w:r>
          </w:p>
          <w:p w14:paraId="2F0E1E2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e)机架、机箱的尺寸应符合通用机柜的安装要求，插入总线插座的电路板接口外形尺寸应符合有关总线标准的规定，将机箱固定在机柜上， 机箱底面最大下垂变形不得干涉相邻机体；</w:t>
            </w:r>
          </w:p>
          <w:p w14:paraId="4BA78BF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f)高密度服务器应给出CPU个数与机柜高度；</w:t>
            </w:r>
          </w:p>
          <w:p w14:paraId="75B08B3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g)服务器尺寸具体要求在随机文件中明确；</w:t>
            </w:r>
          </w:p>
          <w:p w14:paraId="10D9C80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2.尺寸：服务器机箱尺寸≤2U，高</w:t>
            </w:r>
            <w:r>
              <w:rPr>
                <w:rFonts w:ascii="仿宋_GB2312" w:hAnsi="仿宋_GB2312" w:eastAsia="仿宋_GB2312" w:cs="仿宋_GB2312"/>
              </w:rPr>
              <w:t>86.1</w:t>
            </w:r>
            <w:r>
              <w:rPr>
                <w:rFonts w:hint="eastAsia" w:ascii="仿宋_GB2312" w:hAnsi="仿宋_GB2312" w:eastAsia="仿宋_GB2312" w:cs="仿宋_GB2312"/>
              </w:rPr>
              <w:t>mm* 宽</w:t>
            </w:r>
            <w:r>
              <w:rPr>
                <w:rFonts w:ascii="仿宋_GB2312" w:hAnsi="仿宋_GB2312" w:eastAsia="仿宋_GB2312" w:cs="仿宋_GB2312"/>
              </w:rPr>
              <w:t>447</w:t>
            </w:r>
            <w:r>
              <w:rPr>
                <w:rFonts w:hint="eastAsia" w:ascii="仿宋_GB2312" w:hAnsi="仿宋_GB2312" w:eastAsia="仿宋_GB2312" w:cs="仿宋_GB2312"/>
              </w:rPr>
              <w:t>mm*深790mm（高、宽、深可偏离值±5mm）：设计应遵循标准化、系列化的要求；机箱的内部结构符合通用部件的安装需要；</w:t>
            </w:r>
          </w:p>
          <w:p w14:paraId="463112E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3.环境适应性：气候环境适应性应符合GB/T 9813.3的有关规定，工作温度 10～35℃，贮存运输温度-40～55℃；工作相对湿度 35%～80%，贮存运输相对湿度 20％～93%（40℃）；大气压86～106kPa；</w:t>
            </w:r>
          </w:p>
          <w:p w14:paraId="63AFA7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4.机械环境适应性：机械环境适应性应符合GB/T 9813.3的有关规定；</w:t>
            </w:r>
          </w:p>
          <w:p w14:paraId="64BC82F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5.噪声：符合GB/T 9813.3的有关规定，在产品说明中给出具体测试值塔式服务器噪声在空闲状态下不大于50dB；</w:t>
            </w:r>
          </w:p>
          <w:p w14:paraId="2EF8883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rPr>
            </w:pPr>
            <w:r>
              <w:rPr>
                <w:rFonts w:hint="eastAsia" w:ascii="仿宋_GB2312" w:hAnsi="仿宋_GB2312" w:eastAsia="仿宋_GB2312" w:cs="仿宋_GB2312"/>
                <w:b/>
                <w:bCs/>
              </w:rPr>
              <w:t>★</w:t>
            </w:r>
            <w:r>
              <w:rPr>
                <w:rFonts w:hint="eastAsia" w:ascii="仿宋_GB2312" w:hAnsi="仿宋_GB2312" w:eastAsia="仿宋_GB2312" w:cs="仿宋_GB2312"/>
                <w:b/>
              </w:rPr>
              <w:t>十一、A</w:t>
            </w:r>
            <w:r>
              <w:rPr>
                <w:rFonts w:ascii="仿宋_GB2312" w:hAnsi="仿宋_GB2312" w:eastAsia="仿宋_GB2312" w:cs="仿宋_GB2312"/>
                <w:b/>
              </w:rPr>
              <w:t>I</w:t>
            </w:r>
            <w:r>
              <w:rPr>
                <w:rFonts w:hint="eastAsia" w:ascii="仿宋_GB2312" w:hAnsi="仿宋_GB2312" w:eastAsia="仿宋_GB2312" w:cs="仿宋_GB2312"/>
                <w:b/>
              </w:rPr>
              <w:t>计算单元规格</w:t>
            </w:r>
          </w:p>
          <w:p w14:paraId="7B876D8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1．可配备不少于4块A</w:t>
            </w:r>
            <w:r>
              <w:rPr>
                <w:rFonts w:ascii="仿宋_GB2312" w:hAnsi="仿宋_GB2312" w:eastAsia="仿宋_GB2312" w:cs="仿宋_GB2312"/>
              </w:rPr>
              <w:t>I</w:t>
            </w:r>
            <w:r>
              <w:rPr>
                <w:rFonts w:hint="eastAsia" w:ascii="仿宋_GB2312" w:hAnsi="仿宋_GB2312" w:eastAsia="仿宋_GB2312" w:cs="仿宋_GB2312"/>
              </w:rPr>
              <w:t>计算单元，A</w:t>
            </w:r>
            <w:r>
              <w:rPr>
                <w:rFonts w:ascii="仿宋_GB2312" w:hAnsi="仿宋_GB2312" w:eastAsia="仿宋_GB2312" w:cs="仿宋_GB2312"/>
              </w:rPr>
              <w:t>I</w:t>
            </w:r>
            <w:r>
              <w:rPr>
                <w:rFonts w:hint="eastAsia" w:ascii="仿宋_GB2312" w:hAnsi="仿宋_GB2312" w:eastAsia="仿宋_GB2312" w:cs="仿宋_GB2312"/>
              </w:rPr>
              <w:t>计算单元应符合如下要求：</w:t>
            </w:r>
          </w:p>
          <w:p w14:paraId="1582EA0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a）可配备人工智能加速处理器，计算精度至少支持</w:t>
            </w:r>
            <w:r>
              <w:rPr>
                <w:rFonts w:ascii="仿宋_GB2312" w:hAnsi="仿宋_GB2312" w:eastAsia="仿宋_GB2312" w:cs="仿宋_GB2312"/>
              </w:rPr>
              <w:t>FP16</w:t>
            </w:r>
            <w:r>
              <w:rPr>
                <w:rFonts w:hint="eastAsia" w:ascii="仿宋_GB2312" w:hAnsi="仿宋_GB2312" w:eastAsia="仿宋_GB2312" w:cs="仿宋_GB2312"/>
              </w:rPr>
              <w:t>、</w:t>
            </w:r>
            <w:r>
              <w:rPr>
                <w:rFonts w:ascii="仿宋_GB2312" w:hAnsi="仿宋_GB2312" w:eastAsia="仿宋_GB2312" w:cs="仿宋_GB2312"/>
              </w:rPr>
              <w:t>BF16</w:t>
            </w:r>
            <w:r>
              <w:rPr>
                <w:rFonts w:hint="eastAsia" w:ascii="仿宋_GB2312" w:hAnsi="仿宋_GB2312" w:eastAsia="仿宋_GB2312" w:cs="仿宋_GB2312"/>
              </w:rPr>
              <w:t>、</w:t>
            </w:r>
            <w:r>
              <w:rPr>
                <w:rFonts w:ascii="仿宋_GB2312" w:hAnsi="仿宋_GB2312" w:eastAsia="仿宋_GB2312" w:cs="仿宋_GB2312"/>
              </w:rPr>
              <w:t>FP32</w:t>
            </w:r>
            <w:r>
              <w:rPr>
                <w:rFonts w:hint="eastAsia" w:ascii="仿宋_GB2312" w:hAnsi="仿宋_GB2312" w:eastAsia="仿宋_GB2312" w:cs="仿宋_GB2312"/>
              </w:rPr>
              <w:t>、</w:t>
            </w:r>
            <w:r>
              <w:rPr>
                <w:rFonts w:ascii="仿宋_GB2312" w:hAnsi="仿宋_GB2312" w:eastAsia="仿宋_GB2312" w:cs="仿宋_GB2312"/>
              </w:rPr>
              <w:t>FP64</w:t>
            </w:r>
            <w:r>
              <w:rPr>
                <w:rFonts w:hint="eastAsia" w:ascii="仿宋_GB2312" w:hAnsi="仿宋_GB2312" w:eastAsia="仿宋_GB2312" w:cs="仿宋_GB2312"/>
              </w:rPr>
              <w:t>、</w:t>
            </w:r>
            <w:r>
              <w:rPr>
                <w:rFonts w:ascii="仿宋_GB2312" w:hAnsi="仿宋_GB2312" w:eastAsia="仿宋_GB2312" w:cs="仿宋_GB2312"/>
              </w:rPr>
              <w:t xml:space="preserve">INT8 </w:t>
            </w:r>
            <w:r>
              <w:rPr>
                <w:rFonts w:hint="eastAsia" w:ascii="仿宋_GB2312" w:hAnsi="仿宋_GB2312" w:eastAsia="仿宋_GB2312" w:cs="仿宋_GB2312"/>
              </w:rPr>
              <w:t>和</w:t>
            </w:r>
            <w:r>
              <w:rPr>
                <w:rFonts w:ascii="仿宋_GB2312" w:hAnsi="仿宋_GB2312" w:eastAsia="仿宋_GB2312" w:cs="仿宋_GB2312"/>
              </w:rPr>
              <w:t xml:space="preserve">INT16 </w:t>
            </w:r>
            <w:r>
              <w:rPr>
                <w:rFonts w:hint="eastAsia" w:ascii="仿宋_GB2312" w:hAnsi="仿宋_GB2312" w:eastAsia="仿宋_GB2312" w:cs="仿宋_GB2312"/>
              </w:rPr>
              <w:t>等中的</w:t>
            </w:r>
            <w:r>
              <w:rPr>
                <w:rFonts w:ascii="仿宋_GB2312" w:hAnsi="仿宋_GB2312" w:eastAsia="仿宋_GB2312" w:cs="仿宋_GB2312"/>
              </w:rPr>
              <w:t>1</w:t>
            </w:r>
            <w:r>
              <w:rPr>
                <w:rFonts w:hint="eastAsia" w:ascii="仿宋_GB2312" w:hAnsi="仿宋_GB2312" w:eastAsia="仿宋_GB2312" w:cs="仿宋_GB2312"/>
              </w:rPr>
              <w:t>种；</w:t>
            </w:r>
          </w:p>
          <w:p w14:paraId="5A5812A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b）单推理卡或模块，具备视频解析、文本识别、语音分析等推理能力；在视觉场景下配备可直接调用的接口实现视觉计算加速，路数不小于</w:t>
            </w:r>
            <w:r>
              <w:rPr>
                <w:rFonts w:ascii="仿宋_GB2312" w:hAnsi="仿宋_GB2312" w:eastAsia="仿宋_GB2312" w:cs="仿宋_GB2312"/>
              </w:rPr>
              <w:t>64</w:t>
            </w:r>
            <w:r>
              <w:rPr>
                <w:rFonts w:hint="eastAsia" w:ascii="仿宋_GB2312" w:hAnsi="仿宋_GB2312" w:eastAsia="仿宋_GB2312" w:cs="仿宋_GB2312"/>
              </w:rPr>
              <w:t>（</w:t>
            </w:r>
            <w:r>
              <w:rPr>
                <w:rFonts w:ascii="仿宋_GB2312" w:hAnsi="仿宋_GB2312" w:eastAsia="仿宋_GB2312" w:cs="仿宋_GB2312"/>
              </w:rPr>
              <w:t>1080P 30FPS</w:t>
            </w:r>
            <w:r>
              <w:rPr>
                <w:rFonts w:hint="eastAsia" w:ascii="仿宋_GB2312" w:hAnsi="仿宋_GB2312" w:eastAsia="仿宋_GB2312" w:cs="仿宋_GB2312"/>
              </w:rPr>
              <w:t>）</w:t>
            </w:r>
          </w:p>
          <w:p w14:paraId="7FD1BA1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w:t>
            </w:r>
            <w:r>
              <w:rPr>
                <w:rFonts w:ascii="仿宋_GB2312" w:hAnsi="仿宋_GB2312" w:eastAsia="仿宋_GB2312" w:cs="仿宋_GB2312"/>
              </w:rPr>
              <w:t>.</w:t>
            </w:r>
            <w:r>
              <w:rPr>
                <w:rFonts w:hint="eastAsia" w:ascii="仿宋_GB2312" w:hAnsi="仿宋_GB2312" w:eastAsia="仿宋_GB2312" w:cs="仿宋_GB2312"/>
              </w:rPr>
              <w:t>一键式迁移：若服务器配备</w:t>
            </w:r>
            <w:r>
              <w:rPr>
                <w:rFonts w:ascii="仿宋_GB2312" w:hAnsi="仿宋_GB2312" w:eastAsia="仿宋_GB2312" w:cs="仿宋_GB2312"/>
              </w:rPr>
              <w:t>AI</w:t>
            </w:r>
            <w:r>
              <w:rPr>
                <w:rFonts w:hint="eastAsia" w:ascii="仿宋_GB2312" w:hAnsi="仿宋_GB2312" w:eastAsia="仿宋_GB2312" w:cs="仿宋_GB2312"/>
              </w:rPr>
              <w:t>计算单元，</w:t>
            </w:r>
            <w:bookmarkStart w:id="72" w:name="_GoBack"/>
            <w:bookmarkEnd w:id="72"/>
            <w:r>
              <w:rPr>
                <w:rFonts w:hint="eastAsia" w:ascii="仿宋_GB2312" w:hAnsi="仿宋_GB2312" w:eastAsia="仿宋_GB2312" w:cs="仿宋_GB2312"/>
              </w:rPr>
              <w:t>提供训练脚本迁移工具；</w:t>
            </w:r>
          </w:p>
          <w:p w14:paraId="2BDDABA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★十二、机柜规格</w:t>
            </w:r>
          </w:p>
          <w:p w14:paraId="5E5AF18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Helvetica" w:hAnsi="Helvetica"/>
                <w:color w:val="666666"/>
                <w:sz w:val="21"/>
                <w:szCs w:val="21"/>
              </w:rPr>
              <w:t xml:space="preserve"> </w:t>
            </w:r>
            <w:r>
              <w:rPr>
                <w:rFonts w:ascii="仿宋_GB2312" w:hAnsi="仿宋_GB2312" w:eastAsia="仿宋_GB2312" w:cs="仿宋_GB2312"/>
              </w:rPr>
              <w:t>2055mm×600mm×800mm（高×宽×深）</w:t>
            </w:r>
            <w:r>
              <w:rPr>
                <w:rFonts w:hint="eastAsia" w:ascii="仿宋_GB2312" w:hAnsi="仿宋_GB2312" w:eastAsia="仿宋_GB2312" w:cs="仿宋_GB2312"/>
              </w:rPr>
              <w:t>（高、宽、深可偏离值±5mm）：设计应遵循标准化、系列化的要求；机箱的内部结构符合通用部件的安装需要；</w:t>
            </w:r>
          </w:p>
          <w:p w14:paraId="61EFDA4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★十三、主板功能</w:t>
            </w:r>
          </w:p>
          <w:p w14:paraId="4995854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1.主板外部接口种类：支持USB3.0、VGA显示、BMC 管理端口；</w:t>
            </w:r>
          </w:p>
          <w:p w14:paraId="0827949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★十四、网络功能</w:t>
            </w:r>
          </w:p>
          <w:p w14:paraId="717C58D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1.网络功能：支持网络连接、网络访问、数据交换和网络管控功能；</w:t>
            </w:r>
          </w:p>
          <w:p w14:paraId="4A69373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★十五、CPU功能</w:t>
            </w:r>
          </w:p>
          <w:p w14:paraId="41778C8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计算处理：支持通用计算及虚拟化功能。处理器需集成整型计算单元、浮点计算单元、内存控制器、I/O模块等，处理器与存储部件、网络部件、I/O部件等组成计算系统，提供数据处理、网络接入等计算相关功能；</w:t>
            </w:r>
          </w:p>
          <w:p w14:paraId="2257BBB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2.密码算法实现：CPU芯片应符合GM/T 0008的相关规定，或芯片密码模块应符合GB/T 37092或GM/T 0028的相关规定；（通过商用密码检测机构检测并经商用密码认证机构认证合格）</w:t>
            </w:r>
          </w:p>
          <w:p w14:paraId="1AC921B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★十六、电源功能</w:t>
            </w:r>
          </w:p>
          <w:p w14:paraId="311E3E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1.电源热插拔：整机电源模块应具备热插拔功能；</w:t>
            </w:r>
          </w:p>
          <w:p w14:paraId="704A94E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2.电源过流保护：支持过流及短路保护的功能；</w:t>
            </w:r>
          </w:p>
          <w:p w14:paraId="783F411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★十七、整机功能</w:t>
            </w:r>
          </w:p>
          <w:p w14:paraId="2DB06A1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1.散热方式：支持风冷散热方式；</w:t>
            </w:r>
          </w:p>
          <w:p w14:paraId="63E3D03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★十八、管理系统功能</w:t>
            </w:r>
          </w:p>
          <w:p w14:paraId="35B8E87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管理系统支持国产自研管理芯片；支持带外故障检测功能，不依赖于OS，对硬件故障如CPU故障、I2C和IPMI总线故障、内存故障、PCIe设备故障、硬盘故障进行检测和预告；</w:t>
            </w:r>
          </w:p>
          <w:p w14:paraId="11B9EB9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1.BMC固件基础功能：</w:t>
            </w:r>
          </w:p>
          <w:p w14:paraId="248F4CE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1)支持DHCP设置网络功能；</w:t>
            </w:r>
          </w:p>
          <w:p w14:paraId="2886265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2)支持静态IP设置网络功能；</w:t>
            </w:r>
          </w:p>
          <w:p w14:paraId="3D79AB1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3)支持设备日志记录，包括但不限于登录日志、操作日志和报警日志等功能；</w:t>
            </w:r>
          </w:p>
          <w:p w14:paraId="7FA4DF1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4)支持日志信息导出和记录删除功能；</w:t>
            </w:r>
          </w:p>
          <w:p w14:paraId="730EE0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5)支持通过管理接口向外输出准确的报警信息功能；</w:t>
            </w:r>
          </w:p>
          <w:p w14:paraId="1CCE219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6)设备的BMC管理软件应能够按报警的严重程度进行区分；</w:t>
            </w:r>
          </w:p>
          <w:p w14:paraId="2AEB887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7)支持IPMI2.0、SNMP 或Redfish 等接口功能；</w:t>
            </w:r>
          </w:p>
          <w:p w14:paraId="28DF9C5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8)支持键盘、鼠标和视频的重定向、文本控制台的重定向、远程虚拟媒体、高可靠的硬件监控和管理功能；</w:t>
            </w:r>
          </w:p>
          <w:p w14:paraId="257E992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9)支持基于网络开启、关闭和重启设备的功能，并查询当前设备开机运行状态；</w:t>
            </w:r>
          </w:p>
          <w:p w14:paraId="04C5CF8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10)支持故障提示功能，并可通过接口读取服务器故障信息；</w:t>
            </w:r>
          </w:p>
          <w:p w14:paraId="33B617A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11)支持基于网络的固件更新功能， 包括BMC 和BIOS 等；</w:t>
            </w:r>
          </w:p>
          <w:p w14:paraId="6BB707D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12)支持基于网络安装操作系统的功能，并可通过网络控制台访问设备；</w:t>
            </w:r>
          </w:p>
          <w:p w14:paraId="67B47B3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13)支持通过本地的硬盘或光驱等存储设备，基于网络完成设备的操作系统安装功能；</w:t>
            </w:r>
          </w:p>
          <w:p w14:paraId="11E83BD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14)支持通过浏览器打开管理界面并登录功能；</w:t>
            </w:r>
          </w:p>
          <w:p w14:paraId="154D2D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15)支持设置口令策略功能；</w:t>
            </w:r>
          </w:p>
          <w:p w14:paraId="4CE8CAF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16)支持访问权限设置功能，并通过日志记录访问事件；</w:t>
            </w:r>
          </w:p>
          <w:p w14:paraId="19BF8A6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17)支持对出厂默认的用户名及口令进行安全保护功能，并提供默认口令修改提示；</w:t>
            </w:r>
          </w:p>
          <w:p w14:paraId="642E348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18)支持读取设备主板的工作环境温度功能；</w:t>
            </w:r>
          </w:p>
          <w:p w14:paraId="5BA1794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19)支持读取服务器CPU 等核心器件的温度功能；</w:t>
            </w:r>
          </w:p>
          <w:p w14:paraId="5CB6840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20)支持通过外部管理工具进行BMC参数设置的功能，并可基于网络通过外部管理工具对BMC进行管理；</w:t>
            </w:r>
          </w:p>
          <w:p w14:paraId="60F3648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21)应支持固件版本查询、固件升级；</w:t>
            </w:r>
          </w:p>
          <w:p w14:paraId="74641EB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22)支持基于网络实现开关机和复位控制的功能；</w:t>
            </w:r>
          </w:p>
          <w:p w14:paraId="3FFAB7C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23)BMC 启动时间应不超过 180s， 实现功能包括网络、 IPMI、散热、传感器服务可用；</w:t>
            </w:r>
          </w:p>
          <w:p w14:paraId="106A409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24)支持 BMC 固件设置的恢复出厂功能；</w:t>
            </w:r>
          </w:p>
          <w:p w14:paraId="573BAF4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2.BIOS固件基础功能：</w:t>
            </w:r>
          </w:p>
          <w:p w14:paraId="27BFFDE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a）支持查看固件版本、内存信息、主板信息、处理器信息和系统时间信息功能；</w:t>
            </w:r>
          </w:p>
          <w:p w14:paraId="0B7C48D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b）支持上电初始化界面显示 CPU 信息、内存信息、固件版本和部分快捷键信息功能；</w:t>
            </w:r>
          </w:p>
          <w:p w14:paraId="3A03CD6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c）支持设置界面中英文显示切换功能；</w:t>
            </w:r>
          </w:p>
          <w:p w14:paraId="3EEBCC1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d）支持查看 PCIe 设备信息，SATA 设备信息功能；</w:t>
            </w:r>
          </w:p>
          <w:p w14:paraId="7700BEB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e）支持操作系统安装和引导功能， 应并向操作系统提供计算机主板信息和服务接口；</w:t>
            </w:r>
          </w:p>
          <w:p w14:paraId="72A0FC5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f）支持设置启动顺序，并按照设置的启动顺序启动功能；</w:t>
            </w:r>
          </w:p>
          <w:p w14:paraId="24FEA17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g）支持安全启动功能；</w:t>
            </w:r>
          </w:p>
          <w:p w14:paraId="5784A9F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h）支持设置口令、修改口令、验证口令功能；</w:t>
            </w:r>
          </w:p>
          <w:p w14:paraId="177A60B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i）支持板载显示控制或独立显卡的显示控制功能；</w:t>
            </w:r>
          </w:p>
          <w:p w14:paraId="4CDD5ED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j）支持 RAID 识别和启动功能；</w:t>
            </w:r>
          </w:p>
          <w:p w14:paraId="638B47F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k）支持串口重定向功能；</w:t>
            </w:r>
          </w:p>
          <w:p w14:paraId="71540ED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l）支持固件更新功能；</w:t>
            </w:r>
          </w:p>
          <w:p w14:paraId="40C9441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m）支持 BIOS 固件设置的恢复出厂功能；</w:t>
            </w:r>
          </w:p>
          <w:p w14:paraId="0445EA0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n）支持网络引导启用和关闭功能；</w:t>
            </w:r>
          </w:p>
          <w:p w14:paraId="092F761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3.远程控制：支持远程关机和重新启动功能；</w:t>
            </w:r>
          </w:p>
          <w:p w14:paraId="7CD32E7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★十九、操作系统及驱动功能</w:t>
            </w:r>
          </w:p>
          <w:p w14:paraId="4CAB908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1.操作系统及驱动的升级：支持通过网络、闪存盘对操作系统、驱动进行升级；</w:t>
            </w:r>
          </w:p>
          <w:p w14:paraId="6CD590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2.操作系统功能：</w:t>
            </w:r>
          </w:p>
          <w:p w14:paraId="580D7E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a)支持访问控制、安全审计、网络接入鉴别等功能；</w:t>
            </w:r>
          </w:p>
          <w:p w14:paraId="18CD7F9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b)操作系统其他功能应满足操作系统政府采购需求标准中加*的指标要求；</w:t>
            </w:r>
          </w:p>
          <w:p w14:paraId="1EA36E0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★二十、中文信息处理功能</w:t>
            </w:r>
          </w:p>
          <w:p w14:paraId="7EC0337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1.中文信息处理：符合GB18030的有关规定；</w:t>
            </w:r>
          </w:p>
          <w:p w14:paraId="2E8450C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★二十一、关键部件安全要求</w:t>
            </w:r>
          </w:p>
          <w:p w14:paraId="251B9A4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1.关键部件安全要求：CPU和操作系统等关键部件应当符合安全可靠测评要求；通过政府有关部门指定的中国信息安全测评中心和国家保密科技测评中心网站查看安全可靠测评结果。</w:t>
            </w:r>
          </w:p>
          <w:p w14:paraId="2EF9F07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rPr>
              <w:t>注：投标人在填写《技术响应表》时，在“投标文件响应技术参数”明确给出所投国产化聚档节点“CPU型号”及“操作系统”名称，否则视为投标无效。</w:t>
            </w:r>
          </w:p>
          <w:p w14:paraId="0FFADC9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★二十二、固件安全要求</w:t>
            </w:r>
          </w:p>
          <w:p w14:paraId="25EE51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1.故障检测：支持故障检测功能，可以检测到具体的FRU（内存、硬盘等）的故障并发出告警；</w:t>
            </w:r>
          </w:p>
          <w:p w14:paraId="42BFF6C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★二十三、系统安全要求</w:t>
            </w:r>
          </w:p>
          <w:p w14:paraId="596AC1C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1.弱口令字典检查：支持弱口令字典检查功能，出现在弱口令字典中的字符串不能被设置为用户口令；</w:t>
            </w:r>
          </w:p>
          <w:p w14:paraId="6F97C8F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2.白名单访问控制：支持基于时间、IP 或 MAC 白名单访问控制；</w:t>
            </w:r>
          </w:p>
          <w:p w14:paraId="2D05093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3.二次鉴别：支持二次鉴别功能。对于用户配置、权限配置、公钥导入等重要的管理操作，已登录用户应通过二次鉴别后，才能执行操作；</w:t>
            </w:r>
          </w:p>
          <w:p w14:paraId="353E5A7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4.密码证书安全加密存储：支持对带外管理系统中的用户口令和证书等敏感信息进行加密存储， 禁止使用私有的和业界已知不安全的密码算法；</w:t>
            </w:r>
          </w:p>
          <w:p w14:paraId="342173E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5.敏感信息安全加密传输：支持使用安全的传输加密协议（如SSH或HTTPS等）传输用户的敏感信息；</w:t>
            </w:r>
          </w:p>
          <w:p w14:paraId="026740C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★二十四、信息安全要求</w:t>
            </w:r>
          </w:p>
          <w:p w14:paraId="4E2BE09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研发过程安全：供应商承诺生产商已建立从需求、设计、开发、测试、维护端到端的开发流程管理机制，输出和保存开发流程中每个阶段的产品需求清单、设计文档、开发文档、测试记录等材料，保证各个流程可追溯；</w:t>
            </w:r>
          </w:p>
          <w:p w14:paraId="0452D3D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★二十五、物理安全</w:t>
            </w:r>
          </w:p>
          <w:p w14:paraId="78960D0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1.物理安全：安全要求应符合GB4943.1的规定；</w:t>
            </w:r>
          </w:p>
          <w:p w14:paraId="2F7E1C7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★二十六、限用物质的限量要求</w:t>
            </w:r>
          </w:p>
          <w:p w14:paraId="1417863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1.限用物质的限量要求：限用物质的限量应符合GB/T26572的要求；</w:t>
            </w:r>
          </w:p>
          <w:p w14:paraId="65846BD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★二十七、CPU性能</w:t>
            </w:r>
          </w:p>
          <w:p w14:paraId="2429964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1.CPU主频：≥2.6GHz；</w:t>
            </w:r>
          </w:p>
          <w:p w14:paraId="6A77221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2.单CPU 核数：≥</w:t>
            </w:r>
            <w:r>
              <w:rPr>
                <w:rFonts w:ascii="仿宋_GB2312" w:hAnsi="仿宋_GB2312" w:eastAsia="仿宋_GB2312" w:cs="仿宋_GB2312"/>
                <w:color w:val="000000" w:themeColor="text1"/>
                <w14:textFill>
                  <w14:solidFill>
                    <w14:schemeClr w14:val="tx1"/>
                  </w14:solidFill>
                </w14:textFill>
              </w:rPr>
              <w:t>48</w:t>
            </w:r>
            <w:r>
              <w:rPr>
                <w:rFonts w:hint="eastAsia" w:ascii="仿宋_GB2312" w:hAnsi="仿宋_GB2312" w:eastAsia="仿宋_GB2312" w:cs="仿宋_GB2312"/>
                <w:color w:val="000000" w:themeColor="text1"/>
                <w14:textFill>
                  <w14:solidFill>
                    <w14:schemeClr w14:val="tx1"/>
                  </w14:solidFill>
                </w14:textFill>
              </w:rPr>
              <w:t>；</w:t>
            </w:r>
          </w:p>
          <w:p w14:paraId="7762E52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3.单CPU 末级缓存容量：≥</w:t>
            </w:r>
            <w:r>
              <w:rPr>
                <w:rFonts w:ascii="仿宋_GB2312" w:hAnsi="仿宋_GB2312" w:eastAsia="仿宋_GB2312" w:cs="仿宋_GB2312"/>
                <w:color w:val="000000" w:themeColor="text1"/>
                <w14:textFill>
                  <w14:solidFill>
                    <w14:schemeClr w14:val="tx1"/>
                  </w14:solidFill>
                </w14:textFill>
              </w:rPr>
              <w:t>48</w:t>
            </w:r>
            <w:r>
              <w:rPr>
                <w:rFonts w:hint="eastAsia" w:ascii="仿宋_GB2312" w:hAnsi="仿宋_GB2312" w:eastAsia="仿宋_GB2312" w:cs="仿宋_GB2312"/>
                <w:color w:val="000000" w:themeColor="text1"/>
                <w14:textFill>
                  <w14:solidFill>
                    <w14:schemeClr w14:val="tx1"/>
                  </w14:solidFill>
                </w14:textFill>
              </w:rPr>
              <w:t>MB；</w:t>
            </w:r>
          </w:p>
          <w:p w14:paraId="27FEEAF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★二十八、内存性能</w:t>
            </w:r>
          </w:p>
          <w:p w14:paraId="79896DE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1.内存速率：≥2666MT/s；</w:t>
            </w:r>
          </w:p>
          <w:p w14:paraId="284B3FF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★二十九、电源能耗</w:t>
            </w:r>
          </w:p>
          <w:p w14:paraId="69E2C8E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1.电源能耗：符合GB/T9813.3的有关规定；</w:t>
            </w:r>
          </w:p>
          <w:p w14:paraId="3C42AA7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★三十、部件兼容性要求</w:t>
            </w:r>
          </w:p>
          <w:p w14:paraId="6491D7C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1.内存兼容性：适配3种及以上厂商的内存产品，且均不低于产品支持的内存规格；</w:t>
            </w:r>
          </w:p>
          <w:p w14:paraId="4A0F59D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2.固态存储兼容性：适配3种或以上厂商的固态存储产品，且均不低于产品支持的固态存储设备规格；</w:t>
            </w:r>
          </w:p>
          <w:p w14:paraId="49F551B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3.网卡兼容性：网卡应适配两种或以上厂商产品；</w:t>
            </w:r>
          </w:p>
          <w:p w14:paraId="634C82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4.功能卡兼容性：内置或适配符合PCIe 的功能卡，如： 网络功能卡、存储功能卡及图形显示功能卡；</w:t>
            </w:r>
          </w:p>
          <w:p w14:paraId="0927976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★三十一、外设兼容性</w:t>
            </w:r>
          </w:p>
          <w:p w14:paraId="4EE920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1.外设兼容性：兼容多种主流生产商的外部设备， 包括显示器、键盘、鼠标、闪存盘、移动硬盘、USB 光驱及KVM等，要求使用不同厂商的外部设备时，系统均能正常识别和安装驱动；</w:t>
            </w:r>
          </w:p>
          <w:p w14:paraId="04587A6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★三十二、软件兼容性</w:t>
            </w:r>
          </w:p>
          <w:p w14:paraId="515C05C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1.数据库兼容：兼容3个及以上厂商的国产数据库产品；</w:t>
            </w:r>
          </w:p>
          <w:p w14:paraId="525666A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2.中间件兼容：兼容3个及以上厂商的国产中间件产品；</w:t>
            </w:r>
          </w:p>
          <w:p w14:paraId="57ACF9D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3.平台软件兼容：兼容3个及以上厂商的大数据平台；</w:t>
            </w:r>
          </w:p>
          <w:p w14:paraId="21F8CF5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★三十三、整机可靠性要求</w:t>
            </w:r>
          </w:p>
          <w:p w14:paraId="6138406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1.整机可靠性：m1值（MTBF的不可接受值）不得低于30000h；</w:t>
            </w:r>
          </w:p>
          <w:p w14:paraId="460CC2C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2.风扇可靠性：风扇寿命应不低于40000h；</w:t>
            </w:r>
          </w:p>
          <w:p w14:paraId="72985D8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3.部件可靠性：支持硬盘、电源、风扇热插拔(内置风扇除外)；</w:t>
            </w:r>
          </w:p>
          <w:p w14:paraId="5A49B23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★三十四、包装及运输要求</w:t>
            </w:r>
          </w:p>
          <w:p w14:paraId="58474A5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标志、包装、运输和贮存：符合GB/T9813.3和商品包装政府采购需求标准的相关规定；</w:t>
            </w:r>
          </w:p>
          <w:p w14:paraId="41FBBB5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★三十五、服务响应</w:t>
            </w:r>
          </w:p>
          <w:p w14:paraId="714E698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1.服务响应：</w:t>
            </w:r>
          </w:p>
          <w:p w14:paraId="6833E62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a)提供电话、电子邮件、远程连接等多种形式服务；</w:t>
            </w:r>
          </w:p>
          <w:p w14:paraId="2A10DB9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b)提供同城 4h、异地12h技术响应服务，2个工作日解决问题，对于未能解决的问题和故障应提供可行的升级方案，并提供周转设备；</w:t>
            </w:r>
          </w:p>
          <w:p w14:paraId="63C58BB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c)建立全国技术服务体系和服务团体，符合专业服务体系标准要求，提供原厂中文服务；</w:t>
            </w:r>
          </w:p>
          <w:p w14:paraId="2C8D02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d)服务周期内提供产品的维修、换件和升级服务；</w:t>
            </w:r>
          </w:p>
          <w:p w14:paraId="38B73BE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2.培训服务：提供培训材料、产品手册、培训视频等培训相关内容； </w:t>
            </w:r>
          </w:p>
          <w:p w14:paraId="68830BE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★三十六、服务周期</w:t>
            </w:r>
          </w:p>
          <w:p w14:paraId="066B783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1.服务周期：</w:t>
            </w:r>
          </w:p>
          <w:p w14:paraId="63F0197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a)产品免费服务周期（含换件和维修）应不小于3年；</w:t>
            </w:r>
          </w:p>
          <w:p w14:paraId="0D0DE69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b)设备停产后继续提供质量保障服务（含备品备件），服务终止时间与最后一批设备交付时间间隔不低于6年；</w:t>
            </w:r>
          </w:p>
          <w:p w14:paraId="6954DC9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c)产品停止服务时间应提前1年告知客户；</w:t>
            </w:r>
          </w:p>
          <w:p w14:paraId="779F789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d)产品发布日期需在随机文件中明确；</w:t>
            </w:r>
          </w:p>
          <w:p w14:paraId="3BE28D6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★三十七、服务工具要求</w:t>
            </w:r>
          </w:p>
          <w:p w14:paraId="7D5874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1.工具要求：提供设置服务器硬件、辅助操作系统安装等功能的辅助工具和管理软件。且随附软件应具有合法授权或版权；</w:t>
            </w:r>
          </w:p>
          <w:p w14:paraId="457D0D6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2.驱动安装升级指引：提供出厂安装的配件所需的驱动程序，形式包括但不限于驱动光盘、驱动下载链接等。其他配件应提供指引；</w:t>
            </w:r>
          </w:p>
          <w:p w14:paraId="69783F1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p>
          <w:p w14:paraId="451986A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★三十八、增值服务</w:t>
            </w:r>
          </w:p>
          <w:p w14:paraId="7F4EEBE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1.厂家升级产品软件与扩容服务：提供原厂级的部件/软件产品升级和扩容能力；</w:t>
            </w:r>
          </w:p>
          <w:p w14:paraId="11BD3B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2.提供上门服务：提供上门服务的能力(可收费)；</w:t>
            </w:r>
          </w:p>
          <w:p w14:paraId="23A1D43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★三十九、供应链质量</w:t>
            </w:r>
          </w:p>
          <w:p w14:paraId="1256BC2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1.抗干扰性：当产品部件出现供应风险时，应通知客户并提供风险应对方案确保产品的服务保障，必要时应停止相关受影响产品的销售；</w:t>
            </w:r>
          </w:p>
          <w:p w14:paraId="247C5E1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2.供应能力证明：</w:t>
            </w:r>
            <w:r>
              <w:rPr>
                <w:rFonts w:hint="eastAsia" w:ascii="仿宋_GB2312" w:hAnsi="仿宋_GB2312" w:eastAsia="仿宋_GB2312" w:cs="仿宋_GB2312"/>
                <w:lang w:bidi="ar"/>
              </w:rPr>
              <w:t>供应商承诺提供供应链稳定</w:t>
            </w:r>
            <w:r>
              <w:rPr>
                <w:rFonts w:hint="eastAsia" w:ascii="仿宋_GB2312" w:hAnsi="仿宋_GB2312" w:eastAsia="仿宋_GB2312" w:cs="仿宋_GB2312"/>
              </w:rPr>
              <w:t>，确保产品的部件在产品服务周期内稳定供货。</w:t>
            </w:r>
          </w:p>
          <w:p w14:paraId="5233386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★四十、操作系统要求</w:t>
            </w:r>
          </w:p>
          <w:p w14:paraId="650F2EE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1.支持AMD、ARM64、MIPS64、SW64、LoongArch等CPU架构，支持鲲鹏、飞腾、海光、兆芯、龙芯、申威等CPU芯片</w:t>
            </w:r>
          </w:p>
          <w:p w14:paraId="1286DA8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2.兼容国内主流数据库，如：海量、达梦、人大金仓、GaussDB、OceanBase等，兼容国内主流中间件，如：东方通、金蝶、宝兰德等公参项</w:t>
            </w:r>
          </w:p>
          <w:p w14:paraId="5A79ACD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3.支持虚拟化解决方案，如OpenStack、KVM、Docker、Hyper-V等</w:t>
            </w:r>
          </w:p>
          <w:p w14:paraId="08E827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4.兼容操作系统智能调优工具A-Tune和Keentune</w:t>
            </w:r>
          </w:p>
          <w:p w14:paraId="4D469F1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提供完全自主可控的自研系统安全加固工具，提供对已加载内核模块的防卸载和度量能力，须支持选择低、普通、严格三种安全等级，支持选择标准、严格两种加固方案，支持对可执行文件、脚本、共享库文件的防篡改，且支持三权分立</w:t>
            </w:r>
          </w:p>
          <w:p w14:paraId="29530D2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6.仓库提供开源主流高可用集群组件，提供完全自主可控的自研高可用集群管理工具</w:t>
            </w:r>
          </w:p>
          <w:p w14:paraId="722B6C8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7.系统内置国密算法，支持基于国密算法的加解密应用，支持国密SM2/3/4；须提供国密版内核模块签名机制，支持国密算法，以保证内核模块的可信性，禁止未签名模块加载至</w:t>
            </w:r>
            <w:r>
              <w:rPr>
                <w:rFonts w:ascii="仿宋_GB2312" w:hAnsi="仿宋_GB2312" w:eastAsia="仿宋_GB2312" w:cs="仿宋_GB2312"/>
                <w:color w:val="000000" w:themeColor="text1"/>
                <w14:textFill>
                  <w14:solidFill>
                    <w14:schemeClr w14:val="tx1"/>
                  </w14:solidFill>
                </w14:textFill>
              </w:rPr>
              <w:t>内核；须提供OpenSSL、Libgcrypt、Gnulib、Nettle、Hashes、libkcapi等常见算法库的国密版本，OpenSSL须支持X509、PKCS#7证书</w:t>
            </w:r>
          </w:p>
          <w:p w14:paraId="06F0349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8.提供完全自主可控的自研中文图形化桌面环境，桌面环境等核心组件开源率不得高于1%</w:t>
            </w:r>
          </w:p>
          <w:p w14:paraId="481E56E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9.提供完全自主可控的自研安全运行环境软件，可允许开发者在操作系统上直接运行一个Linux环境，包括运行命令行工具、组件和应用等</w:t>
            </w:r>
          </w:p>
          <w:p w14:paraId="4EF8B1C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ascii="仿宋_GB2312" w:hAnsi="仿宋_GB2312" w:eastAsia="仿宋_GB2312" w:cs="仿宋_GB2312"/>
                <w:color w:val="000000" w:themeColor="text1"/>
                <w14:textFill>
                  <w14:solidFill>
                    <w14:schemeClr w14:val="tx1"/>
                  </w14:solidFill>
                </w14:textFill>
              </w:rPr>
              <w:t>10.</w:t>
            </w:r>
            <w:r>
              <w:rPr>
                <w:rFonts w:hint="eastAsia" w:ascii="仿宋_GB2312" w:hAnsi="仿宋_GB2312" w:eastAsia="仿宋_GB2312" w:cs="仿宋_GB2312"/>
                <w:color w:val="000000" w:themeColor="text1"/>
                <w14:textFill>
                  <w14:solidFill>
                    <w14:schemeClr w14:val="tx1"/>
                  </w14:solidFill>
                </w14:textFill>
              </w:rPr>
              <w:t>提供人脸人体融合聚类能力 ，支持前端卡口关联的人脸人体数据统一归档；支持使用人脸人体抓拍数据进行人员聚类；</w:t>
            </w:r>
          </w:p>
          <w:p w14:paraId="35C94C0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w:t>
            </w:r>
            <w:r>
              <w:rPr>
                <w:rFonts w:ascii="仿宋_GB2312" w:hAnsi="仿宋_GB2312" w:eastAsia="仿宋_GB2312" w:cs="仿宋_GB2312"/>
                <w:color w:val="000000" w:themeColor="text1"/>
                <w14:textFill>
                  <w14:solidFill>
                    <w14:schemeClr w14:val="tx1"/>
                  </w14:solidFill>
                </w14:textFill>
              </w:rPr>
              <w:t>1.</w:t>
            </w:r>
            <w:r>
              <w:rPr>
                <w:rFonts w:hint="eastAsia" w:ascii="仿宋_GB2312" w:hAnsi="仿宋_GB2312" w:eastAsia="仿宋_GB2312" w:cs="仿宋_GB2312"/>
                <w:color w:val="000000" w:themeColor="text1"/>
                <w14:textFill>
                  <w14:solidFill>
                    <w14:schemeClr w14:val="tx1"/>
                  </w14:solidFill>
                </w14:textFill>
              </w:rPr>
              <w:t>在人体聚类过程中，可根据评分质量和角度挑选底图数据作为底图，可处理正面、背影、侧面人体数据；支持高频召回，针对近期活跃档案，分析经常出现的时空范围，使用已有的轨迹对时空范围内的抓拍图片进行召回；</w:t>
            </w:r>
          </w:p>
          <w:p w14:paraId="06758FF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sz w:val="24"/>
              </w:rPr>
            </w:pPr>
            <w:r>
              <w:rPr>
                <w:rFonts w:hint="eastAsia" w:ascii="仿宋_GB2312" w:hAnsi="仿宋_GB2312" w:eastAsia="仿宋_GB2312" w:cs="仿宋_GB2312"/>
                <w:color w:val="000000" w:themeColor="text1"/>
                <w14:textFill>
                  <w14:solidFill>
                    <w14:schemeClr w14:val="tx1"/>
                  </w14:solidFill>
                </w14:textFill>
              </w:rPr>
              <w:t>12.提供同行召回能力，针对伴行的档案，分析出档案之间的同行关系程度，使用已有的轨迹在互相经过的点位时空范围内进行召回；支持车牌召回，针对具有驾乘抓拍的档案，使用车牌号、主副驾信息、相似度等规律，对同车人员的抓拍进行聚类召回；支持属性召回，针对近期活跃的档案，分析档案具有的属性特点，对相同属性的抓拍图片进行召回。</w:t>
            </w:r>
          </w:p>
        </w:tc>
        <w:tc>
          <w:tcPr>
            <w:tcW w:w="990" w:type="dxa"/>
            <w:tcBorders>
              <w:top w:val="single" w:color="000000" w:sz="4" w:space="0"/>
              <w:left w:val="single" w:color="000000" w:sz="4" w:space="0"/>
              <w:bottom w:val="single" w:color="000000" w:sz="4" w:space="0"/>
              <w:right w:val="single" w:color="000000" w:sz="4" w:space="0"/>
            </w:tcBorders>
            <w:vAlign w:val="center"/>
          </w:tcPr>
          <w:p w14:paraId="6721BDA4">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2套</w:t>
            </w:r>
          </w:p>
        </w:tc>
      </w:tr>
      <w:tr w14:paraId="76EFA561">
        <w:tblPrEx>
          <w:tblCellMar>
            <w:top w:w="0" w:type="dxa"/>
            <w:left w:w="108" w:type="dxa"/>
            <w:bottom w:w="0" w:type="dxa"/>
            <w:right w:w="108" w:type="dxa"/>
          </w:tblCellMar>
        </w:tblPrEx>
        <w:tc>
          <w:tcPr>
            <w:tcW w:w="416" w:type="dxa"/>
            <w:tcBorders>
              <w:top w:val="single" w:color="000000" w:sz="4" w:space="0"/>
              <w:left w:val="single" w:color="000000" w:sz="4" w:space="0"/>
              <w:bottom w:val="single" w:color="000000" w:sz="4" w:space="0"/>
              <w:right w:val="single" w:color="000000" w:sz="4" w:space="0"/>
            </w:tcBorders>
            <w:vAlign w:val="center"/>
          </w:tcPr>
          <w:p w14:paraId="6DC6D790">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w:t>
            </w:r>
          </w:p>
        </w:tc>
        <w:tc>
          <w:tcPr>
            <w:tcW w:w="1245" w:type="dxa"/>
            <w:tcBorders>
              <w:top w:val="single" w:color="000000" w:sz="4" w:space="0"/>
              <w:left w:val="single" w:color="000000" w:sz="4" w:space="0"/>
              <w:bottom w:val="single" w:color="000000" w:sz="4" w:space="0"/>
              <w:right w:val="single" w:color="000000" w:sz="4" w:space="0"/>
            </w:tcBorders>
            <w:vAlign w:val="center"/>
          </w:tcPr>
          <w:p w14:paraId="0048A002">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国产化图片检索扩容</w:t>
            </w:r>
          </w:p>
        </w:tc>
        <w:tc>
          <w:tcPr>
            <w:tcW w:w="6990" w:type="dxa"/>
            <w:tcBorders>
              <w:top w:val="single" w:color="000000" w:sz="4" w:space="0"/>
              <w:left w:val="single" w:color="000000" w:sz="4" w:space="0"/>
              <w:bottom w:val="single" w:color="000000" w:sz="4" w:space="0"/>
              <w:right w:val="single" w:color="000000" w:sz="4" w:space="0"/>
            </w:tcBorders>
          </w:tcPr>
          <w:p w14:paraId="1507302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★一、2U机架式服务器</w:t>
            </w:r>
          </w:p>
          <w:p w14:paraId="4FCEFD9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★二、处理器CPU规格</w:t>
            </w:r>
          </w:p>
          <w:p w14:paraId="52E37740">
            <w:pPr>
              <w:pStyle w:val="17"/>
              <w:keepNext w:val="0"/>
              <w:keepLines w:val="0"/>
              <w:pageBreakBefore w:val="0"/>
              <w:kinsoku/>
              <w:wordWrap/>
              <w:overflowPunct/>
              <w:topLinePunct w:val="0"/>
              <w:bidi w:val="0"/>
              <w:snapToGrid/>
              <w:ind w:firstLine="240" w:firstLineChars="100"/>
              <w:rPr>
                <w:rFonts w:ascii="仿宋_GB2312" w:hAnsi="仿宋_GB2312" w:eastAsia="仿宋_GB2312" w:cs="仿宋_GB2312"/>
              </w:rPr>
            </w:pPr>
            <w:r>
              <w:rPr>
                <w:rFonts w:hint="eastAsia" w:ascii="仿宋_GB2312" w:hAnsi="仿宋_GB2312" w:eastAsia="仿宋_GB2312" w:cs="仿宋_GB2312"/>
                <w:sz w:val="24"/>
              </w:rPr>
              <w:t>1.配置国产CPU≥2颗；单颗CPU核数不低于</w:t>
            </w:r>
            <w:r>
              <w:rPr>
                <w:rFonts w:ascii="仿宋_GB2312" w:hAnsi="仿宋_GB2312" w:eastAsia="仿宋_GB2312" w:cs="仿宋_GB2312"/>
                <w:sz w:val="24"/>
              </w:rPr>
              <w:t>24</w:t>
            </w:r>
            <w:r>
              <w:rPr>
                <w:rFonts w:hint="eastAsia" w:ascii="仿宋_GB2312" w:hAnsi="仿宋_GB2312" w:eastAsia="仿宋_GB2312" w:cs="仿宋_GB2312"/>
                <w:sz w:val="24"/>
              </w:rPr>
              <w:t>核，主频≥2.6GHz主频，末级缓存容量≥</w:t>
            </w:r>
            <w:r>
              <w:rPr>
                <w:rFonts w:ascii="仿宋_GB2312" w:hAnsi="仿宋_GB2312" w:eastAsia="仿宋_GB2312" w:cs="仿宋_GB2312"/>
                <w:sz w:val="24"/>
              </w:rPr>
              <w:t>24</w:t>
            </w:r>
            <w:r>
              <w:rPr>
                <w:rFonts w:hint="eastAsia" w:ascii="仿宋_GB2312" w:hAnsi="仿宋_GB2312" w:eastAsia="仿宋_GB2312" w:cs="仿宋_GB2312"/>
                <w:sz w:val="24"/>
              </w:rPr>
              <w:t>MB，功耗≤</w:t>
            </w:r>
            <w:r>
              <w:rPr>
                <w:rFonts w:ascii="仿宋_GB2312" w:hAnsi="仿宋_GB2312" w:eastAsia="仿宋_GB2312" w:cs="仿宋_GB2312"/>
                <w:sz w:val="24"/>
              </w:rPr>
              <w:t>95</w:t>
            </w:r>
            <w:r>
              <w:rPr>
                <w:rFonts w:hint="eastAsia" w:ascii="仿宋_GB2312" w:hAnsi="仿宋_GB2312" w:eastAsia="仿宋_GB2312" w:cs="仿宋_GB2312"/>
                <w:sz w:val="24"/>
              </w:rPr>
              <w:t>W，内存速率≥2666MT/s；支持≥4通道内存，支持≥64位处理器，线程数≥</w:t>
            </w:r>
            <w:r>
              <w:rPr>
                <w:rFonts w:ascii="仿宋_GB2312" w:hAnsi="仿宋_GB2312" w:eastAsia="仿宋_GB2312" w:cs="仿宋_GB2312"/>
                <w:sz w:val="24"/>
              </w:rPr>
              <w:t>24</w:t>
            </w:r>
            <w:r>
              <w:rPr>
                <w:rFonts w:hint="eastAsia" w:ascii="仿宋_GB2312" w:hAnsi="仿宋_GB2312" w:eastAsia="仿宋_GB2312" w:cs="仿宋_GB2312"/>
                <w:sz w:val="24"/>
              </w:rPr>
              <w:t>，位宽≥64bit</w:t>
            </w:r>
            <w:r>
              <w:rPr>
                <w:rFonts w:hint="eastAsia" w:ascii="仿宋_GB2312" w:hAnsi="仿宋_GB2312" w:eastAsia="仿宋_GB2312" w:cs="仿宋_GB2312"/>
              </w:rPr>
              <w:t>；</w:t>
            </w:r>
          </w:p>
          <w:p w14:paraId="7B62B39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★三、主板规格</w:t>
            </w:r>
          </w:p>
          <w:p w14:paraId="1490331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1.主板支持的CPU和内存情况：≥2颗；支持内存≥DDR4，支持内存数量：≥16个；</w:t>
            </w:r>
          </w:p>
          <w:p w14:paraId="7B05032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2.主板内存槽数量：非板载内存的可扩展插槽数量应≥4个；</w:t>
            </w:r>
          </w:p>
          <w:p w14:paraId="0A56A41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3.主板存储接口：支持 SATA、SAS、M.2、U.2等存储接口中数≥1种； </w:t>
            </w:r>
          </w:p>
          <w:p w14:paraId="38E1034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4.PCIe插槽接口：符合PCIe3.0或以上的高速串行计算机扩展总线标准，PCIe的接口速率与位宽需保证向下兼容；</w:t>
            </w:r>
          </w:p>
          <w:p w14:paraId="2B48AD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5.主板PCIe插槽数量及规格：a)高度大于44.45mm双路或以上服务器 PCIe插槽或接口≥5个，可通过扩展卡进行插槽扩展；可拓展支持≥8个PCIe 4.0 x8，或者≥3个PCIe 4.0 x16 + 2个 PCIe 4.0 x8标准插槽</w:t>
            </w:r>
            <w:r>
              <w:rPr>
                <w:rFonts w:hint="eastAsia"/>
              </w:rPr>
              <w:t>；</w:t>
            </w:r>
          </w:p>
          <w:p w14:paraId="1E25187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★四、内存规格</w:t>
            </w:r>
          </w:p>
          <w:p w14:paraId="102816D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1.内存数量：≥16；本次配置总容量≥</w:t>
            </w:r>
            <w:r>
              <w:rPr>
                <w:rFonts w:ascii="仿宋_GB2312" w:hAnsi="仿宋_GB2312" w:eastAsia="仿宋_GB2312" w:cs="仿宋_GB2312"/>
              </w:rPr>
              <w:t>128</w:t>
            </w:r>
            <w:r>
              <w:rPr>
                <w:rFonts w:hint="eastAsia" w:ascii="仿宋_GB2312" w:hAnsi="仿宋_GB2312" w:eastAsia="仿宋_GB2312" w:cs="仿宋_GB2312"/>
              </w:rPr>
              <w:t>GB内存；</w:t>
            </w:r>
          </w:p>
          <w:p w14:paraId="6D0059B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2.内存规格：≥DDR4；</w:t>
            </w:r>
          </w:p>
          <w:p w14:paraId="417EC31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3.内存通道：支持多个内存接口通道，每个通道可支持1DPC或2DPC，当支持2DPC时，印制电路板上应具备插槽的序号标识，支持≥4通道内存；</w:t>
            </w:r>
          </w:p>
          <w:p w14:paraId="370FC5F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4.内存插槽：≥</w:t>
            </w:r>
            <w:r>
              <w:rPr>
                <w:rFonts w:ascii="仿宋_GB2312" w:hAnsi="仿宋_GB2312" w:eastAsia="仿宋_GB2312" w:cs="仿宋_GB2312"/>
              </w:rPr>
              <w:t>16</w:t>
            </w:r>
            <w:r>
              <w:rPr>
                <w:rFonts w:hint="eastAsia" w:ascii="仿宋_GB2312" w:hAnsi="仿宋_GB2312" w:eastAsia="仿宋_GB2312" w:cs="仿宋_GB2312"/>
              </w:rPr>
              <w:t>个，可拓展支持总容量≥2TB；</w:t>
            </w:r>
          </w:p>
          <w:p w14:paraId="73296DF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★五、存储规格</w:t>
            </w:r>
          </w:p>
          <w:p w14:paraId="176B83A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◆1.硬磁盘实配容量：a)单盘≥</w:t>
            </w:r>
            <w:r>
              <w:rPr>
                <w:rFonts w:ascii="仿宋_GB2312" w:hAnsi="仿宋_GB2312" w:eastAsia="仿宋_GB2312" w:cs="仿宋_GB2312"/>
              </w:rPr>
              <w:t>240GB</w:t>
            </w:r>
            <w:r>
              <w:rPr>
                <w:rFonts w:hint="eastAsia" w:ascii="仿宋_GB2312" w:hAnsi="仿宋_GB2312" w:eastAsia="仿宋_GB2312" w:cs="仿宋_GB2312"/>
              </w:rPr>
              <w:t xml:space="preserve"> </w:t>
            </w:r>
            <w:r>
              <w:rPr>
                <w:rFonts w:ascii="仿宋_GB2312" w:hAnsi="仿宋_GB2312" w:eastAsia="仿宋_GB2312" w:cs="仿宋_GB2312"/>
              </w:rPr>
              <w:t>SSD</w:t>
            </w:r>
            <w:r>
              <w:rPr>
                <w:rFonts w:hint="eastAsia" w:ascii="仿宋_GB2312" w:hAnsi="仿宋_GB2312" w:eastAsia="仿宋_GB2312" w:cs="仿宋_GB2312"/>
              </w:rPr>
              <w:t xml:space="preserve"> 硬盘；b)单盘≥</w:t>
            </w:r>
            <w:r>
              <w:rPr>
                <w:rFonts w:ascii="仿宋_GB2312" w:hAnsi="仿宋_GB2312" w:eastAsia="仿宋_GB2312" w:cs="仿宋_GB2312"/>
              </w:rPr>
              <w:t>2TB</w:t>
            </w:r>
            <w:r>
              <w:rPr>
                <w:rFonts w:hint="eastAsia" w:ascii="仿宋_GB2312" w:hAnsi="仿宋_GB2312" w:eastAsia="仿宋_GB2312" w:cs="仿宋_GB2312"/>
              </w:rPr>
              <w:t xml:space="preserve"> SATA 硬盘；</w:t>
            </w:r>
          </w:p>
          <w:p w14:paraId="12A6741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2.硬盘实配数量：a)≥</w:t>
            </w:r>
            <w:r>
              <w:rPr>
                <w:rFonts w:ascii="仿宋_GB2312" w:hAnsi="仿宋_GB2312" w:eastAsia="仿宋_GB2312" w:cs="仿宋_GB2312"/>
              </w:rPr>
              <w:t>2</w:t>
            </w:r>
            <w:r>
              <w:rPr>
                <w:rFonts w:hint="eastAsia" w:ascii="仿宋_GB2312" w:hAnsi="仿宋_GB2312" w:eastAsia="仿宋_GB2312" w:cs="仿宋_GB2312"/>
              </w:rPr>
              <w:t>块</w:t>
            </w:r>
            <w:r>
              <w:rPr>
                <w:rFonts w:ascii="仿宋_GB2312" w:hAnsi="仿宋_GB2312" w:eastAsia="仿宋_GB2312" w:cs="仿宋_GB2312"/>
              </w:rPr>
              <w:t>240GB</w:t>
            </w:r>
            <w:r>
              <w:rPr>
                <w:rFonts w:hint="eastAsia" w:ascii="仿宋_GB2312" w:hAnsi="仿宋_GB2312" w:eastAsia="仿宋_GB2312" w:cs="仿宋_GB2312"/>
              </w:rPr>
              <w:t xml:space="preserve"> </w:t>
            </w:r>
            <w:r>
              <w:rPr>
                <w:rFonts w:ascii="仿宋_GB2312" w:hAnsi="仿宋_GB2312" w:eastAsia="仿宋_GB2312" w:cs="仿宋_GB2312"/>
              </w:rPr>
              <w:t>SSD</w:t>
            </w:r>
            <w:r>
              <w:rPr>
                <w:rFonts w:hint="eastAsia" w:ascii="仿宋_GB2312" w:hAnsi="仿宋_GB2312" w:eastAsia="仿宋_GB2312" w:cs="仿宋_GB2312"/>
              </w:rPr>
              <w:t xml:space="preserve"> 硬盘；b)≥</w:t>
            </w:r>
            <w:r>
              <w:rPr>
                <w:rFonts w:ascii="仿宋_GB2312" w:hAnsi="仿宋_GB2312" w:eastAsia="仿宋_GB2312" w:cs="仿宋_GB2312"/>
              </w:rPr>
              <w:t>4</w:t>
            </w:r>
            <w:r>
              <w:rPr>
                <w:rFonts w:hint="eastAsia" w:ascii="仿宋_GB2312" w:hAnsi="仿宋_GB2312" w:eastAsia="仿宋_GB2312" w:cs="仿宋_GB2312"/>
              </w:rPr>
              <w:t>块</w:t>
            </w:r>
            <w:r>
              <w:rPr>
                <w:rFonts w:ascii="仿宋_GB2312" w:hAnsi="仿宋_GB2312" w:eastAsia="仿宋_GB2312" w:cs="仿宋_GB2312"/>
              </w:rPr>
              <w:t>2TB</w:t>
            </w:r>
            <w:r>
              <w:rPr>
                <w:rFonts w:hint="eastAsia" w:ascii="仿宋_GB2312" w:hAnsi="仿宋_GB2312" w:eastAsia="仿宋_GB2312" w:cs="仿宋_GB2312"/>
              </w:rPr>
              <w:t xml:space="preserve"> SATA 硬盘；</w:t>
            </w:r>
          </w:p>
          <w:p w14:paraId="16BF4DD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3.硬盘插槽数量及规格：≥12个硬盘位，整机最大可拓展支持16个3.5英寸/2.5英寸SAS/SATA/SSD硬盘位，可拓展支持4个后置2.5英寸NVME盘；</w:t>
            </w:r>
          </w:p>
          <w:p w14:paraId="441A54F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六、RAID阵列</w:t>
            </w:r>
          </w:p>
          <w:p w14:paraId="04AA7AD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1.配置1张独立RAID卡，缓存≥2G,支持RAID 0/1/5/6/10/50/60，可拓展支持超级电容掉电保护，配置一个RAID超级电容;</w:t>
            </w:r>
          </w:p>
          <w:p w14:paraId="1B380AA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★七、网络规格</w:t>
            </w:r>
          </w:p>
          <w:p w14:paraId="4FFDCCD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1.网口速率和数量：配备网口数量不少于6个，且网口速率不少于1GE，其中1GE网口数量≥4个；</w:t>
            </w:r>
          </w:p>
          <w:p w14:paraId="56A8069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★八、外部接口规格</w:t>
            </w:r>
          </w:p>
          <w:p w14:paraId="0712527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1.显示接口：显示接口类型支持≥</w:t>
            </w:r>
            <w:r>
              <w:rPr>
                <w:rFonts w:ascii="仿宋_GB2312" w:hAnsi="仿宋_GB2312" w:eastAsia="仿宋_GB2312" w:cs="仿宋_GB2312"/>
              </w:rPr>
              <w:t>2</w:t>
            </w:r>
            <w:r>
              <w:rPr>
                <w:rFonts w:hint="eastAsia" w:ascii="仿宋_GB2312" w:hAnsi="仿宋_GB2312" w:eastAsia="仿宋_GB2312" w:cs="仿宋_GB2312"/>
              </w:rPr>
              <w:t>个VGA接口；</w:t>
            </w:r>
          </w:p>
          <w:p w14:paraId="64F3214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2.USB接口：配备USB接口，配备≥4个USB 3.0接口；</w:t>
            </w:r>
          </w:p>
          <w:p w14:paraId="5E50B6D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★九、电源规格</w:t>
            </w:r>
          </w:p>
          <w:p w14:paraId="5984828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1.电源模块数量：≥2；</w:t>
            </w:r>
          </w:p>
          <w:p w14:paraId="4B91002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2.电源功率：单电源功率≥900W，支持1+1冗余功能；</w:t>
            </w:r>
          </w:p>
          <w:p w14:paraId="253295C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★十、整机规格</w:t>
            </w:r>
          </w:p>
          <w:p w14:paraId="20A81E4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1.外观和结构：</w:t>
            </w:r>
          </w:p>
          <w:p w14:paraId="6C9D50D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a)服务器的零部件应紧固无松动，可插拔部件应可靠连接，开关、按钮和其它控制部件应灵活可靠，布局应方便使用；</w:t>
            </w:r>
          </w:p>
          <w:p w14:paraId="6A3449C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b)产品表面不应有明显的凹痕、划伤、裂缝、变形和污染等。表面涂层均匀，不应起泡、龟裂、脱落和磨损，金属零部件无锈蚀及其它机械损伤；</w:t>
            </w:r>
          </w:p>
          <w:p w14:paraId="72FE9414">
            <w:pPr>
              <w:pStyle w:val="752"/>
              <w:keepNext w:val="0"/>
              <w:keepLines w:val="0"/>
              <w:pageBreakBefore w:val="0"/>
              <w:widowControl w:val="0"/>
              <w:kinsoku/>
              <w:wordWrap/>
              <w:overflowPunct/>
              <w:topLinePunct w:val="0"/>
              <w:autoSpaceDE w:val="0"/>
              <w:autoSpaceDN w:val="0"/>
              <w:bidi w:val="0"/>
              <w:adjustRightInd w:val="0"/>
              <w:snapToGrid/>
              <w:spacing w:before="1"/>
              <w:ind w:firstLine="240" w:firstLineChars="100"/>
              <w:textAlignment w:val="auto"/>
              <w:rPr>
                <w:rFonts w:ascii="仿宋_GB2312" w:hAnsi="仿宋_GB2312" w:eastAsia="仿宋_GB2312" w:cs="仿宋_GB2312"/>
              </w:rPr>
            </w:pPr>
            <w:r>
              <w:rPr>
                <w:rFonts w:hint="eastAsia" w:ascii="仿宋_GB2312" w:hAnsi="仿宋_GB2312" w:eastAsia="仿宋_GB2312" w:cs="仿宋_GB2312"/>
              </w:rPr>
              <w:t>c)产品表面说明功能的文字、符号和标志应清晰、端正且牢固；</w:t>
            </w:r>
          </w:p>
          <w:p w14:paraId="2B83C61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d)应在服务器的显著位置提供运行状态的指示功能，并在随机文件中明确具体含义；</w:t>
            </w:r>
          </w:p>
          <w:p w14:paraId="79533FE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e)机架、机箱的尺寸应符合通用机柜的安装要求，插入总线插座的电路板接口外形尺寸应符合有关总线标准的规定，将机箱固定在机柜上， 机箱底面最大下垂变形不得干涉相邻机体；</w:t>
            </w:r>
          </w:p>
          <w:p w14:paraId="09C6D80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f)高密度服务器应给出CPU个数与机柜高度；</w:t>
            </w:r>
          </w:p>
          <w:p w14:paraId="2C5997F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g)服务器尺寸具体要求在随机文件中明确；</w:t>
            </w:r>
          </w:p>
          <w:p w14:paraId="0427FDB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2.尺寸：服务器机箱尺寸≤2U，高8</w:t>
            </w:r>
            <w:r>
              <w:rPr>
                <w:rFonts w:ascii="仿宋_GB2312" w:hAnsi="仿宋_GB2312" w:eastAsia="仿宋_GB2312" w:cs="仿宋_GB2312"/>
              </w:rPr>
              <w:t>7</w:t>
            </w:r>
            <w:r>
              <w:rPr>
                <w:rFonts w:hint="eastAsia" w:ascii="仿宋_GB2312" w:hAnsi="仿宋_GB2312" w:eastAsia="仿宋_GB2312" w:cs="仿宋_GB2312"/>
              </w:rPr>
              <w:t>mm* 宽4</w:t>
            </w:r>
            <w:r>
              <w:rPr>
                <w:rFonts w:ascii="仿宋_GB2312" w:hAnsi="仿宋_GB2312" w:eastAsia="仿宋_GB2312" w:cs="仿宋_GB2312"/>
              </w:rPr>
              <w:t>83</w:t>
            </w:r>
            <w:r>
              <w:rPr>
                <w:rFonts w:hint="eastAsia" w:ascii="仿宋_GB2312" w:hAnsi="仿宋_GB2312" w:eastAsia="仿宋_GB2312" w:cs="仿宋_GB2312"/>
              </w:rPr>
              <w:t>mm*深</w:t>
            </w:r>
            <w:r>
              <w:rPr>
                <w:rFonts w:ascii="仿宋_GB2312" w:hAnsi="仿宋_GB2312" w:eastAsia="仿宋_GB2312" w:cs="仿宋_GB2312"/>
              </w:rPr>
              <w:t>839.3</w:t>
            </w:r>
            <w:r>
              <w:rPr>
                <w:rFonts w:hint="eastAsia" w:ascii="仿宋_GB2312" w:hAnsi="仿宋_GB2312" w:eastAsia="仿宋_GB2312" w:cs="仿宋_GB2312"/>
              </w:rPr>
              <w:t>mm（高、宽、深可偏离值±5mm）：设计应遵循标准化、系列化的要求；机箱的内部结构符合通用部件的安装需要；</w:t>
            </w:r>
          </w:p>
          <w:p w14:paraId="712D3D7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3.环境适应性：气候环境适应性应符合GB/T 9813.3的有关规定，工作温度 10～35℃，贮存运输温度-40～55℃；工作相对湿度 35%～80%，贮存运输相对湿度 20％～93%（40℃）；大气压86～106kPa；</w:t>
            </w:r>
          </w:p>
          <w:p w14:paraId="6F9C46D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4.机械环境适应性：机械环境适应性应符合GB/T 9813.3的有关规定；</w:t>
            </w:r>
          </w:p>
          <w:p w14:paraId="59557D2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5.噪声：符合GB/T 9813.3的有关规定，在产品说明中给出具体测试值塔式服务器噪声在空闲状态下不大于50dB；</w:t>
            </w:r>
          </w:p>
          <w:p w14:paraId="3FAEB75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rPr>
            </w:pPr>
            <w:r>
              <w:rPr>
                <w:rFonts w:hint="eastAsia" w:ascii="仿宋_GB2312" w:hAnsi="仿宋_GB2312" w:eastAsia="仿宋_GB2312" w:cs="仿宋_GB2312"/>
                <w:b/>
                <w:bCs/>
              </w:rPr>
              <w:t>★</w:t>
            </w:r>
            <w:r>
              <w:rPr>
                <w:rFonts w:hint="eastAsia" w:ascii="仿宋_GB2312" w:hAnsi="仿宋_GB2312" w:eastAsia="仿宋_GB2312" w:cs="仿宋_GB2312"/>
                <w:b/>
              </w:rPr>
              <w:t>十一、A</w:t>
            </w:r>
            <w:r>
              <w:rPr>
                <w:rFonts w:ascii="仿宋_GB2312" w:hAnsi="仿宋_GB2312" w:eastAsia="仿宋_GB2312" w:cs="仿宋_GB2312"/>
                <w:b/>
              </w:rPr>
              <w:t>I</w:t>
            </w:r>
            <w:r>
              <w:rPr>
                <w:rFonts w:hint="eastAsia" w:ascii="仿宋_GB2312" w:hAnsi="仿宋_GB2312" w:eastAsia="仿宋_GB2312" w:cs="仿宋_GB2312"/>
                <w:b/>
              </w:rPr>
              <w:t>计算单元规格</w:t>
            </w:r>
          </w:p>
          <w:p w14:paraId="19DFA4F6">
            <w:pPr>
              <w:pStyle w:val="752"/>
              <w:keepNext w:val="0"/>
              <w:keepLines w:val="0"/>
              <w:pageBreakBefore w:val="0"/>
              <w:widowControl w:val="0"/>
              <w:kinsoku/>
              <w:wordWrap/>
              <w:overflowPunct/>
              <w:topLinePunct w:val="0"/>
              <w:autoSpaceDE w:val="0"/>
              <w:autoSpaceDN w:val="0"/>
              <w:bidi w:val="0"/>
              <w:adjustRightInd w:val="0"/>
              <w:snapToGrid/>
              <w:spacing w:before="1"/>
              <w:ind w:firstLine="240" w:firstLineChars="100"/>
              <w:textAlignment w:val="auto"/>
              <w:rPr>
                <w:rFonts w:ascii="仿宋_GB2312" w:hAnsi="仿宋_GB2312" w:eastAsia="仿宋_GB2312" w:cs="仿宋_GB2312"/>
              </w:rPr>
            </w:pPr>
            <w:r>
              <w:rPr>
                <w:rFonts w:hint="eastAsia" w:ascii="仿宋_GB2312" w:hAnsi="仿宋_GB2312" w:eastAsia="仿宋_GB2312" w:cs="仿宋_GB2312"/>
              </w:rPr>
              <w:t>1．可配备不少于</w:t>
            </w:r>
            <w:r>
              <w:rPr>
                <w:rFonts w:ascii="仿宋_GB2312" w:hAnsi="仿宋_GB2312" w:eastAsia="仿宋_GB2312" w:cs="仿宋_GB2312"/>
              </w:rPr>
              <w:t>6</w:t>
            </w:r>
            <w:r>
              <w:rPr>
                <w:rFonts w:hint="eastAsia" w:ascii="仿宋_GB2312" w:hAnsi="仿宋_GB2312" w:eastAsia="仿宋_GB2312" w:cs="仿宋_GB2312"/>
              </w:rPr>
              <w:t>块A</w:t>
            </w:r>
            <w:r>
              <w:rPr>
                <w:rFonts w:ascii="仿宋_GB2312" w:hAnsi="仿宋_GB2312" w:eastAsia="仿宋_GB2312" w:cs="仿宋_GB2312"/>
              </w:rPr>
              <w:t>I</w:t>
            </w:r>
            <w:r>
              <w:rPr>
                <w:rFonts w:hint="eastAsia" w:ascii="仿宋_GB2312" w:hAnsi="仿宋_GB2312" w:eastAsia="仿宋_GB2312" w:cs="仿宋_GB2312"/>
              </w:rPr>
              <w:t>计算单元，A</w:t>
            </w:r>
            <w:r>
              <w:rPr>
                <w:rFonts w:ascii="仿宋_GB2312" w:hAnsi="仿宋_GB2312" w:eastAsia="仿宋_GB2312" w:cs="仿宋_GB2312"/>
              </w:rPr>
              <w:t>I</w:t>
            </w:r>
            <w:r>
              <w:rPr>
                <w:rFonts w:hint="eastAsia" w:ascii="仿宋_GB2312" w:hAnsi="仿宋_GB2312" w:eastAsia="仿宋_GB2312" w:cs="仿宋_GB2312"/>
              </w:rPr>
              <w:t>计算单元应符合如下要求：</w:t>
            </w:r>
          </w:p>
          <w:p w14:paraId="33C8409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a）可配备人工智能加速处理器，计算精度至少支持</w:t>
            </w:r>
            <w:r>
              <w:rPr>
                <w:rFonts w:ascii="仿宋_GB2312" w:hAnsi="仿宋_GB2312" w:eastAsia="仿宋_GB2312" w:cs="仿宋_GB2312"/>
              </w:rPr>
              <w:t>FP16</w:t>
            </w:r>
            <w:r>
              <w:rPr>
                <w:rFonts w:hint="eastAsia" w:ascii="仿宋_GB2312" w:hAnsi="仿宋_GB2312" w:eastAsia="仿宋_GB2312" w:cs="仿宋_GB2312"/>
              </w:rPr>
              <w:t>、</w:t>
            </w:r>
            <w:r>
              <w:rPr>
                <w:rFonts w:ascii="仿宋_GB2312" w:hAnsi="仿宋_GB2312" w:eastAsia="仿宋_GB2312" w:cs="仿宋_GB2312"/>
              </w:rPr>
              <w:t>BF16</w:t>
            </w:r>
            <w:r>
              <w:rPr>
                <w:rFonts w:hint="eastAsia" w:ascii="仿宋_GB2312" w:hAnsi="仿宋_GB2312" w:eastAsia="仿宋_GB2312" w:cs="仿宋_GB2312"/>
              </w:rPr>
              <w:t>、</w:t>
            </w:r>
            <w:r>
              <w:rPr>
                <w:rFonts w:ascii="仿宋_GB2312" w:hAnsi="仿宋_GB2312" w:eastAsia="仿宋_GB2312" w:cs="仿宋_GB2312"/>
              </w:rPr>
              <w:t>FP32</w:t>
            </w:r>
            <w:r>
              <w:rPr>
                <w:rFonts w:hint="eastAsia" w:ascii="仿宋_GB2312" w:hAnsi="仿宋_GB2312" w:eastAsia="仿宋_GB2312" w:cs="仿宋_GB2312"/>
              </w:rPr>
              <w:t>、</w:t>
            </w:r>
            <w:r>
              <w:rPr>
                <w:rFonts w:ascii="仿宋_GB2312" w:hAnsi="仿宋_GB2312" w:eastAsia="仿宋_GB2312" w:cs="仿宋_GB2312"/>
              </w:rPr>
              <w:t>FP64</w:t>
            </w:r>
            <w:r>
              <w:rPr>
                <w:rFonts w:hint="eastAsia" w:ascii="仿宋_GB2312" w:hAnsi="仿宋_GB2312" w:eastAsia="仿宋_GB2312" w:cs="仿宋_GB2312"/>
              </w:rPr>
              <w:t>、</w:t>
            </w:r>
            <w:r>
              <w:rPr>
                <w:rFonts w:ascii="仿宋_GB2312" w:hAnsi="仿宋_GB2312" w:eastAsia="仿宋_GB2312" w:cs="仿宋_GB2312"/>
              </w:rPr>
              <w:t xml:space="preserve">INT8 </w:t>
            </w:r>
            <w:r>
              <w:rPr>
                <w:rFonts w:hint="eastAsia" w:ascii="仿宋_GB2312" w:hAnsi="仿宋_GB2312" w:eastAsia="仿宋_GB2312" w:cs="仿宋_GB2312"/>
              </w:rPr>
              <w:t>和</w:t>
            </w:r>
            <w:r>
              <w:rPr>
                <w:rFonts w:ascii="仿宋_GB2312" w:hAnsi="仿宋_GB2312" w:eastAsia="仿宋_GB2312" w:cs="仿宋_GB2312"/>
              </w:rPr>
              <w:t xml:space="preserve">INT16 </w:t>
            </w:r>
            <w:r>
              <w:rPr>
                <w:rFonts w:hint="eastAsia" w:ascii="仿宋_GB2312" w:hAnsi="仿宋_GB2312" w:eastAsia="仿宋_GB2312" w:cs="仿宋_GB2312"/>
              </w:rPr>
              <w:t>等中的</w:t>
            </w:r>
            <w:r>
              <w:rPr>
                <w:rFonts w:ascii="仿宋_GB2312" w:hAnsi="仿宋_GB2312" w:eastAsia="仿宋_GB2312" w:cs="仿宋_GB2312"/>
              </w:rPr>
              <w:t xml:space="preserve">1 </w:t>
            </w:r>
            <w:r>
              <w:rPr>
                <w:rFonts w:hint="eastAsia" w:ascii="仿宋_GB2312" w:hAnsi="仿宋_GB2312" w:eastAsia="仿宋_GB2312" w:cs="仿宋_GB2312"/>
              </w:rPr>
              <w:t>种；</w:t>
            </w:r>
          </w:p>
          <w:p w14:paraId="2461D4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b）单推理卡或模块，具备视频解析、文本识别、语音分析等推理能力；在视觉场景下配备可直接调用的接口实现视觉计算加速，路数不小于</w:t>
            </w:r>
            <w:r>
              <w:rPr>
                <w:rFonts w:ascii="仿宋_GB2312" w:hAnsi="仿宋_GB2312" w:eastAsia="仿宋_GB2312" w:cs="仿宋_GB2312"/>
              </w:rPr>
              <w:t>64</w:t>
            </w:r>
            <w:r>
              <w:rPr>
                <w:rFonts w:hint="eastAsia" w:ascii="仿宋_GB2312" w:hAnsi="仿宋_GB2312" w:eastAsia="仿宋_GB2312" w:cs="仿宋_GB2312"/>
              </w:rPr>
              <w:t>（</w:t>
            </w:r>
            <w:r>
              <w:rPr>
                <w:rFonts w:ascii="仿宋_GB2312" w:hAnsi="仿宋_GB2312" w:eastAsia="仿宋_GB2312" w:cs="仿宋_GB2312"/>
              </w:rPr>
              <w:t>1080P 30FPS</w:t>
            </w:r>
            <w:r>
              <w:rPr>
                <w:rFonts w:hint="eastAsia" w:ascii="仿宋_GB2312" w:hAnsi="仿宋_GB2312" w:eastAsia="仿宋_GB2312" w:cs="仿宋_GB2312"/>
              </w:rPr>
              <w:t>）</w:t>
            </w:r>
          </w:p>
          <w:p w14:paraId="5819FE0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w:t>
            </w:r>
            <w:r>
              <w:rPr>
                <w:rFonts w:ascii="仿宋_GB2312" w:hAnsi="仿宋_GB2312" w:eastAsia="仿宋_GB2312" w:cs="仿宋_GB2312"/>
              </w:rPr>
              <w:t>.</w:t>
            </w:r>
            <w:r>
              <w:rPr>
                <w:rFonts w:hint="eastAsia" w:ascii="仿宋_GB2312" w:hAnsi="仿宋_GB2312" w:eastAsia="仿宋_GB2312" w:cs="仿宋_GB2312"/>
              </w:rPr>
              <w:t>一键式迁移：若服务器配备</w:t>
            </w:r>
            <w:r>
              <w:rPr>
                <w:rFonts w:ascii="仿宋_GB2312" w:hAnsi="仿宋_GB2312" w:eastAsia="仿宋_GB2312" w:cs="仿宋_GB2312"/>
              </w:rPr>
              <w:t xml:space="preserve">AI </w:t>
            </w:r>
            <w:r>
              <w:rPr>
                <w:rFonts w:hint="eastAsia" w:ascii="仿宋_GB2312" w:hAnsi="仿宋_GB2312" w:eastAsia="仿宋_GB2312" w:cs="仿宋_GB2312"/>
              </w:rPr>
              <w:t>计算单元，提供训练脚本迁移工具；</w:t>
            </w:r>
          </w:p>
          <w:p w14:paraId="78329ED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★十二、机柜规格</w:t>
            </w:r>
          </w:p>
          <w:p w14:paraId="490491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2055mm×600mm×800mm</w:t>
            </w:r>
            <w:r>
              <w:rPr>
                <w:rStyle w:val="58"/>
                <w:rFonts w:ascii="仿宋_GB2312" w:hAnsi="仿宋_GB2312" w:eastAsia="仿宋_GB2312" w:cs="仿宋_GB2312"/>
              </w:rPr>
              <w:footnoteReference w:id="0"/>
            </w:r>
            <w:r>
              <w:rPr>
                <w:rFonts w:ascii="仿宋_GB2312" w:hAnsi="仿宋_GB2312" w:eastAsia="仿宋_GB2312" w:cs="仿宋_GB2312"/>
              </w:rPr>
              <w:t>（高×宽×深）</w:t>
            </w:r>
            <w:r>
              <w:rPr>
                <w:rFonts w:hint="eastAsia" w:ascii="仿宋_GB2312" w:hAnsi="仿宋_GB2312" w:eastAsia="仿宋_GB2312" w:cs="仿宋_GB2312"/>
              </w:rPr>
              <w:t>（高、宽、深可偏离值±5mm）：设计应遵循标准化、系列化的要求；机箱的内部结构符合通用部件的安装需要；</w:t>
            </w:r>
          </w:p>
          <w:p w14:paraId="4F4822D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★十三、主板功能</w:t>
            </w:r>
          </w:p>
          <w:p w14:paraId="1D6CBF7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1.主板外部接口种类：支持USB3.0、VGA显示、BMC 管理端口；</w:t>
            </w:r>
          </w:p>
          <w:p w14:paraId="6FF9DE4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★十四、网络功能</w:t>
            </w:r>
          </w:p>
          <w:p w14:paraId="5FD1C79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1.网络功能：支持网络连接、网络访问、数据交换和网络管控功能；</w:t>
            </w:r>
          </w:p>
          <w:p w14:paraId="0DE234A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★十五、CPU功能</w:t>
            </w:r>
          </w:p>
          <w:p w14:paraId="3A0A09B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计算处理：支持通用计算及虚拟化功能。处理器需集成整型计算单元、浮点计算单元、内存控制器、I/O模块等，处理器与存储部件、网络部件、I/O部件等组成计算系统，提供数据处理、网络接入等计算相关功能；</w:t>
            </w:r>
          </w:p>
          <w:p w14:paraId="2E23634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2.密码算法实现：CPU芯片应符合GM/T 0008的相关规定，或芯片密码模块应符合GB/T 37092或GM/T 0028的相关规定；（通过商用密码检测机构检测并经商用密码认证机构认证合格）</w:t>
            </w:r>
          </w:p>
          <w:p w14:paraId="1EA59F8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★十六、电源功能</w:t>
            </w:r>
          </w:p>
          <w:p w14:paraId="52E598A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1.电源热插拔：整机电源模块应具备热插拔功能；</w:t>
            </w:r>
          </w:p>
          <w:p w14:paraId="4D1DB7E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2.电源过流保护：支持过流及短路保护的功能；</w:t>
            </w:r>
          </w:p>
          <w:p w14:paraId="0825CB9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★十七、整机功能</w:t>
            </w:r>
          </w:p>
          <w:p w14:paraId="2D0097E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1.散热方式：支持风冷散热方式；</w:t>
            </w:r>
          </w:p>
          <w:p w14:paraId="0ACF70C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★十八、管理系统功能</w:t>
            </w:r>
          </w:p>
          <w:p w14:paraId="5326343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管理系统支持国产自研管理芯片；支持带外故障检测功能，不依赖于OS，对硬件故障如CPU故障、I2C和IPMI总线故障、内存故障、PCIe设备故障、硬盘故障进行检测和预告；</w:t>
            </w:r>
          </w:p>
          <w:p w14:paraId="7BAD3AF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1.BMC固件基础功能：</w:t>
            </w:r>
          </w:p>
          <w:p w14:paraId="3FBB85D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1)支持DHCP设置网络功能；</w:t>
            </w:r>
          </w:p>
          <w:p w14:paraId="180A9C3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2)支持静态IP 设置网络功能；</w:t>
            </w:r>
          </w:p>
          <w:p w14:paraId="6A16CCC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3)支持设备日志记录，包括但不限于登录日志、操作日志和报警日志等功能；</w:t>
            </w:r>
          </w:p>
          <w:p w14:paraId="07BAEB5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4)支持日志信息导出和记录删除功能；</w:t>
            </w:r>
          </w:p>
          <w:p w14:paraId="28E3953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5)支持通过管理接口向外输出准确的报警信息功能；</w:t>
            </w:r>
          </w:p>
          <w:p w14:paraId="3DE1322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6)设备的BMC管理软件应能够按报警的严重程度进行区分；</w:t>
            </w:r>
          </w:p>
          <w:p w14:paraId="034EF3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7)支持IPMI2.0、SNMP 或Redfish 等接口功能；</w:t>
            </w:r>
          </w:p>
          <w:p w14:paraId="06E2C7E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8)支持键盘、鼠标和视频的重定向、文本控制台的重定向、远程虚拟媒体、高可靠的硬件监控和管理功能；</w:t>
            </w:r>
          </w:p>
          <w:p w14:paraId="451B0A8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9)支持基于网络开启、关闭和重启设备的功能，并查询当前设备开机运行状态；</w:t>
            </w:r>
          </w:p>
          <w:p w14:paraId="396F132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10)支持故障提示功能，并可通过接口读取服务器故障信息；11)支持基于网络的固件更新功能， 包括BMC 和BIOS 等；</w:t>
            </w:r>
          </w:p>
          <w:p w14:paraId="753EAC5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12)支持基于网络安装操作系统的功能，并可通过网络控制台访问设备；</w:t>
            </w:r>
          </w:p>
          <w:p w14:paraId="0066520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13)支持通过本地的硬盘或光驱等存储设备，基于网络完成设备的操作系统安装功能；</w:t>
            </w:r>
          </w:p>
          <w:p w14:paraId="7065E13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14)支持通过浏览器打开管理界面并登录功能；</w:t>
            </w:r>
          </w:p>
          <w:p w14:paraId="0F7E9C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15)支持设置口令策略功能；</w:t>
            </w:r>
          </w:p>
          <w:p w14:paraId="075822E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16)支持访问权限设置功能，并通过日志记录访问事件；</w:t>
            </w:r>
          </w:p>
          <w:p w14:paraId="5B4068E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17)支持对出厂默认的用户名及口令进行安全保护功能，并提供默认口令修改提示；</w:t>
            </w:r>
          </w:p>
          <w:p w14:paraId="5104AC4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18)支持读取设备主板的工作环境温度功能；</w:t>
            </w:r>
          </w:p>
          <w:p w14:paraId="3B52C5A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19)支持读取服务器CPU 等核心器件的温度功能；</w:t>
            </w:r>
          </w:p>
          <w:p w14:paraId="7175CD5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20)支持通过外部管理工具进行BMC参数设置的功能，并可基于网络通过外部管理工具对BMC进行管理；</w:t>
            </w:r>
          </w:p>
          <w:p w14:paraId="4F547B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21)应支持固件版本查询、 固件升级；</w:t>
            </w:r>
          </w:p>
          <w:p w14:paraId="770CC3E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22)支持基于网络实现开关机和复位控制的功能；</w:t>
            </w:r>
          </w:p>
          <w:p w14:paraId="3FC41BB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23)BMC 启动时间应不超过 180s，实现功能包括网络、IPMI、散热、传感器服务可用；</w:t>
            </w:r>
          </w:p>
          <w:p w14:paraId="6168B25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24)支持 BMC 固件设置的恢复出厂功能；</w:t>
            </w:r>
          </w:p>
          <w:p w14:paraId="088FAD6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2.BIOS固件基础功能：</w:t>
            </w:r>
          </w:p>
          <w:p w14:paraId="0AFBCF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a）支持查看固件版本、内存信息、主板信息、处理器信息和系统时间信息功能；</w:t>
            </w:r>
          </w:p>
          <w:p w14:paraId="79445F3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b）支持上电初始化界面显示 CPU 信息、内存信息、固件版本和部分快捷键信息功能；</w:t>
            </w:r>
          </w:p>
          <w:p w14:paraId="4F050A0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c）支持设置界面中英文显示切换功能；</w:t>
            </w:r>
          </w:p>
          <w:p w14:paraId="0F5FB5E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d）支持查看 PCIe 设备信息，SATA 设备信息功能；</w:t>
            </w:r>
          </w:p>
          <w:p w14:paraId="65D1E0D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e）支持操作系统安装和引导功能，应并向操作系统提供计算机主板信息和服务接口；</w:t>
            </w:r>
          </w:p>
          <w:p w14:paraId="3FAC73D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f）支持设置启动顺序，并按照设置的启动顺序启动功能；</w:t>
            </w:r>
          </w:p>
          <w:p w14:paraId="55E5257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g）支持安全启动功能；</w:t>
            </w:r>
          </w:p>
          <w:p w14:paraId="52DA698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h）支持设置口令、修改口令、验证口令功能；</w:t>
            </w:r>
          </w:p>
          <w:p w14:paraId="200FDF4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i）支持板载显示控制或独立显卡的显示控制功能；</w:t>
            </w:r>
          </w:p>
          <w:p w14:paraId="1BF4675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j）支持 RAID 识别和启动功能；</w:t>
            </w:r>
          </w:p>
          <w:p w14:paraId="0A2DBE0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k）支持串口重定向功能；</w:t>
            </w:r>
          </w:p>
          <w:p w14:paraId="17DF5C8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l）支持固件更新功能；</w:t>
            </w:r>
          </w:p>
          <w:p w14:paraId="6EED359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m）支持 BIOS 固件设置的恢复出厂功能；</w:t>
            </w:r>
          </w:p>
          <w:p w14:paraId="1D2D51C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n）支持网络引导启用和关闭功能；</w:t>
            </w:r>
          </w:p>
          <w:p w14:paraId="6EA5E44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3.远程控制：支持远程关机和重新启动功能；</w:t>
            </w:r>
          </w:p>
          <w:p w14:paraId="6D33541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★十九、操作系统及驱动功能</w:t>
            </w:r>
          </w:p>
          <w:p w14:paraId="652E614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1.操作系统及驱动的升级：支持通过网络、闪存盘对操作系统、驱动进行升级；</w:t>
            </w:r>
          </w:p>
          <w:p w14:paraId="3F55E58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2.操作系统功能：</w:t>
            </w:r>
          </w:p>
          <w:p w14:paraId="5D539A5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a)支持访问控制、安全审计、网络接入鉴别等功能；</w:t>
            </w:r>
          </w:p>
          <w:p w14:paraId="6B544F0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b)操作系统其他功能应满足操作系统政府采购需求标准中加*的指标要求；</w:t>
            </w:r>
          </w:p>
          <w:p w14:paraId="1C68701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★二十、中文信息处理功能</w:t>
            </w:r>
          </w:p>
          <w:p w14:paraId="6DA13D8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1.中文信息处理：符合GB18030的有关规定；</w:t>
            </w:r>
          </w:p>
          <w:p w14:paraId="5DC26B1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★二十一、关键部件安全要求</w:t>
            </w:r>
          </w:p>
          <w:p w14:paraId="06922AF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1.关键部件安全要求：CPU和操作系统等关键部件应当符合安全可靠测评要求；通过政府有关部门指定的中国信息安全测评中心和国家保密科技测评中心网站查看安全可靠测评结果。</w:t>
            </w:r>
          </w:p>
          <w:p w14:paraId="3086292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rPr>
              <w:t>注：投标人在填写《技术响应表》时，在“投标文件响应技术参数”明确给出所投国产化图片检索扩容“CPU型号”及“操作系统”名称，否则视为投标无效。</w:t>
            </w:r>
          </w:p>
          <w:p w14:paraId="25E4BF1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★二十二、固件安全要求</w:t>
            </w:r>
          </w:p>
          <w:p w14:paraId="5382AE1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1.故障检测：支持故障检测功能，可以检测到具体的FRU（内存、硬盘等）的故障并发出告警；</w:t>
            </w:r>
          </w:p>
          <w:p w14:paraId="575E7E8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★二十三、系统安全要求</w:t>
            </w:r>
          </w:p>
          <w:p w14:paraId="5F29D64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1.弱口令字典检查：支持弱口令字典检查功能，出现在弱口令字典中的字符串不能被设置为用户口令；</w:t>
            </w:r>
          </w:p>
          <w:p w14:paraId="630DCFE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2.白名单访问控制：支持基于时间、IP 或 MAC 白名单访问控制；</w:t>
            </w:r>
          </w:p>
          <w:p w14:paraId="23ED017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3.二次鉴别：支持二次鉴别功能。对于用户配置、权限配置、公钥导入等重要的管理操作，已登录用户应通过二次鉴别后，才能执行操作；</w:t>
            </w:r>
          </w:p>
          <w:p w14:paraId="565F2A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4.密码证书安全加密存储：支持对带外管理系统中的用户口令和证书等敏感信息进行加密存储， 禁止使用私有的和业界已知不安全的密码算法；</w:t>
            </w:r>
          </w:p>
          <w:p w14:paraId="1BE6723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5.敏感信息安全加密传输：支持使用安全的传输加密协议（如SSH或HTTPS等）传输用户的敏感信息；</w:t>
            </w:r>
          </w:p>
          <w:p w14:paraId="72B7675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★二十四、信息安全要求</w:t>
            </w:r>
          </w:p>
          <w:p w14:paraId="01044E8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研发过程安全：供应商承诺生产商已建立从需求、设计、开发、测试、维护端到端的开发流程管理机制，输出和保存开发流程中每个阶段的产品需求清单、设计文档、开发文档、测试记录等材料，保证各个流程可追溯；</w:t>
            </w:r>
          </w:p>
          <w:p w14:paraId="1D451CF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★二十五、物理安全</w:t>
            </w:r>
          </w:p>
          <w:p w14:paraId="7F74B84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1.物理安全：安全要求应符合GB4943.1的规定；</w:t>
            </w:r>
          </w:p>
          <w:p w14:paraId="3BCE2F8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★二十六、限用物质的限量要求</w:t>
            </w:r>
          </w:p>
          <w:p w14:paraId="70024B6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1.限用物质的限量要求：限用物质的限量应符合GB/T26572的要求；</w:t>
            </w:r>
          </w:p>
          <w:p w14:paraId="23135D7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★二十七、CPU性能</w:t>
            </w:r>
          </w:p>
          <w:p w14:paraId="38F5C77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1.CPU主频：≥2.6GHz；</w:t>
            </w:r>
          </w:p>
          <w:p w14:paraId="47F3132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2.单CPU 核数：≥</w:t>
            </w:r>
            <w:r>
              <w:rPr>
                <w:rFonts w:ascii="仿宋_GB2312" w:hAnsi="仿宋_GB2312" w:eastAsia="仿宋_GB2312" w:cs="仿宋_GB2312"/>
                <w:color w:val="000000" w:themeColor="text1"/>
                <w14:textFill>
                  <w14:solidFill>
                    <w14:schemeClr w14:val="tx1"/>
                  </w14:solidFill>
                </w14:textFill>
              </w:rPr>
              <w:t>24</w:t>
            </w:r>
            <w:r>
              <w:rPr>
                <w:rFonts w:hint="eastAsia" w:ascii="仿宋_GB2312" w:hAnsi="仿宋_GB2312" w:eastAsia="仿宋_GB2312" w:cs="仿宋_GB2312"/>
                <w:color w:val="000000" w:themeColor="text1"/>
                <w14:textFill>
                  <w14:solidFill>
                    <w14:schemeClr w14:val="tx1"/>
                  </w14:solidFill>
                </w14:textFill>
              </w:rPr>
              <w:t>；</w:t>
            </w:r>
          </w:p>
          <w:p w14:paraId="5331911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3.单CPU 末级缓存容量：≥</w:t>
            </w:r>
            <w:r>
              <w:rPr>
                <w:rFonts w:ascii="仿宋_GB2312" w:hAnsi="仿宋_GB2312" w:eastAsia="仿宋_GB2312" w:cs="仿宋_GB2312"/>
                <w:color w:val="000000" w:themeColor="text1"/>
                <w14:textFill>
                  <w14:solidFill>
                    <w14:schemeClr w14:val="tx1"/>
                  </w14:solidFill>
                </w14:textFill>
              </w:rPr>
              <w:t>24</w:t>
            </w:r>
            <w:r>
              <w:rPr>
                <w:rFonts w:hint="eastAsia" w:ascii="仿宋_GB2312" w:hAnsi="仿宋_GB2312" w:eastAsia="仿宋_GB2312" w:cs="仿宋_GB2312"/>
                <w:color w:val="000000" w:themeColor="text1"/>
                <w14:textFill>
                  <w14:solidFill>
                    <w14:schemeClr w14:val="tx1"/>
                  </w14:solidFill>
                </w14:textFill>
              </w:rPr>
              <w:t>MB；</w:t>
            </w:r>
          </w:p>
          <w:p w14:paraId="2F98BAE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★二十八、内存性能</w:t>
            </w:r>
          </w:p>
          <w:p w14:paraId="1146568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1.内存速率：≥2666MT/s；</w:t>
            </w:r>
          </w:p>
          <w:p w14:paraId="52725E7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★二十九、电源能耗</w:t>
            </w:r>
          </w:p>
          <w:p w14:paraId="08A005B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1.电源能耗：符合GB/T9813.3的有关规定；</w:t>
            </w:r>
          </w:p>
          <w:p w14:paraId="7E08975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★三十、部件兼容性要求</w:t>
            </w:r>
          </w:p>
          <w:p w14:paraId="2AA3F97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1.内存兼容性：适配3种及以上厂商的内存产品，且均不低于产品支持的内存规格；</w:t>
            </w:r>
          </w:p>
          <w:p w14:paraId="6FA54D7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2.固态存储兼容性：适配3种或以上厂商的固态存储产品，且均不低于产品支持的固态存储设备规格；</w:t>
            </w:r>
          </w:p>
          <w:p w14:paraId="339A0A9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3.网卡兼容性：网卡应适配两种或以上厂商产品；</w:t>
            </w:r>
          </w:p>
          <w:p w14:paraId="3795824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4.功能卡兼容性：内置或适配符合PCIe 的功能卡，如：网络功能卡、存储功能卡及图形显示功能卡；</w:t>
            </w:r>
          </w:p>
          <w:p w14:paraId="7DB47AF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★三十一、外设兼容性</w:t>
            </w:r>
          </w:p>
          <w:p w14:paraId="0FDE626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1.外设兼容性：兼容多种主流生产商的外部设备，包括显示器、键盘、鼠标、闪存盘、移动硬盘、USB光驱及KVM等，要求使用不同厂商的外部设备时，系统均能正常识别和安装驱动；</w:t>
            </w:r>
          </w:p>
          <w:p w14:paraId="72670CD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★三十二、软件兼容性</w:t>
            </w:r>
          </w:p>
          <w:p w14:paraId="7663974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1.数据库兼容：兼容3个及以上厂商的国产数据库产品；</w:t>
            </w:r>
          </w:p>
          <w:p w14:paraId="65AF414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2.中间件兼容：兼容3个及以上厂商的国产中间件产品；</w:t>
            </w:r>
          </w:p>
          <w:p w14:paraId="0F6738F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3.平台软件兼容：兼容3个及以上厂商的大数据平台；</w:t>
            </w:r>
          </w:p>
          <w:p w14:paraId="0600900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★三十三、整机可靠性要求</w:t>
            </w:r>
          </w:p>
          <w:p w14:paraId="5EA3316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1.整机可靠性：m1值（MTBF的不可接受值）不得低于30000h；</w:t>
            </w:r>
          </w:p>
          <w:p w14:paraId="35AAAE0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2.风扇可靠性：风扇寿命应不低于40000h；</w:t>
            </w:r>
          </w:p>
          <w:p w14:paraId="6FE347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3.部件可靠性：支持硬盘、电源、风扇热插拔(内置风扇除外)；</w:t>
            </w:r>
          </w:p>
          <w:p w14:paraId="7D3C62C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★三十四、包装及运输要求</w:t>
            </w:r>
          </w:p>
          <w:p w14:paraId="10A670F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标志、包装、运输和贮存：符合GB/T9813.3和商品包装政府采购需求标准的相关规定；</w:t>
            </w:r>
          </w:p>
          <w:p w14:paraId="5C498E1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★三十五、服务响应</w:t>
            </w:r>
          </w:p>
          <w:p w14:paraId="0CDE30E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1.服务响应：</w:t>
            </w:r>
          </w:p>
          <w:p w14:paraId="4306C82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a)提供电话、电子邮件、远程连接等多种形式服务；</w:t>
            </w:r>
          </w:p>
          <w:p w14:paraId="7638C5B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b)提供同城 4h、异地12h技术响应服务，2个工作日解决问题，对于未能解决的问题和故障应提供可行的升级方案，并提供周转设备；</w:t>
            </w:r>
          </w:p>
          <w:p w14:paraId="7B06305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c)建立全国技术服务体系和服务团体，符合专业服务体系标准要求，提供原厂中文服务；</w:t>
            </w:r>
          </w:p>
          <w:p w14:paraId="37791CE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d)服务周期内提供产品的维修、换件和升级服务；</w:t>
            </w:r>
          </w:p>
          <w:p w14:paraId="3C566C5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2.培训服务：提供培训材料、产品手册、培训视频等培训相关内容； </w:t>
            </w:r>
          </w:p>
          <w:p w14:paraId="5A85FAD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★三十六、服务周期</w:t>
            </w:r>
          </w:p>
          <w:p w14:paraId="60F5431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1.服务周期：</w:t>
            </w:r>
          </w:p>
          <w:p w14:paraId="3C1C28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a)产品免费服务周期（含换件和维修）应不小于3年；</w:t>
            </w:r>
          </w:p>
          <w:p w14:paraId="1F44810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b)设备停产后继续提供质量保障服务（含备品备件），服务终止时间与最后一批设备交付时间间隔不低于6年；</w:t>
            </w:r>
          </w:p>
          <w:p w14:paraId="2216A0D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c)产品停止服务时间应提前1年告知客户；</w:t>
            </w:r>
          </w:p>
          <w:p w14:paraId="592533E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d)产品发布日期需在随机文件中明确；</w:t>
            </w:r>
          </w:p>
          <w:p w14:paraId="03449F3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★三十七、服务工具要求</w:t>
            </w:r>
          </w:p>
          <w:p w14:paraId="7A9D2F0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1.工具要求：提供设置服务器硬件、辅助操作系统安装等功能的辅助工具和管理软件。且随附软件应具有合法授权或版权；</w:t>
            </w:r>
          </w:p>
          <w:p w14:paraId="7B226A9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2.驱动安装升级指引：提供出厂安装的配件所需的驱动程序，形式包括但不限于驱动光盘、驱动下载链接等。其他配件应提供指引；</w:t>
            </w:r>
          </w:p>
          <w:p w14:paraId="726069F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p>
          <w:p w14:paraId="77CD0DD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★三十八、增值服务</w:t>
            </w:r>
          </w:p>
          <w:p w14:paraId="1099532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1.厂家升级产品软件与扩容服务：提供原厂级的部件/软件产品升级和扩容能力；</w:t>
            </w:r>
          </w:p>
          <w:p w14:paraId="65184C8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2.提供上门服务：提供上门服务的能力(可收费)；</w:t>
            </w:r>
          </w:p>
          <w:p w14:paraId="703D6BF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★三十九、供应链质量</w:t>
            </w:r>
          </w:p>
          <w:p w14:paraId="7F643CD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1.抗干扰性：当产品部件出现供应风险时，应通知客户并提供风险应对方案确保产品的服务保障，必要时应停止相关受影响产品的销售；</w:t>
            </w:r>
          </w:p>
          <w:p w14:paraId="437F216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2.供应能力证明：</w:t>
            </w:r>
            <w:r>
              <w:rPr>
                <w:rFonts w:hint="eastAsia" w:ascii="仿宋_GB2312" w:hAnsi="仿宋_GB2312" w:eastAsia="仿宋_GB2312" w:cs="仿宋_GB2312"/>
                <w:lang w:bidi="ar"/>
              </w:rPr>
              <w:t>供应商承诺提供供应链稳定</w:t>
            </w:r>
            <w:r>
              <w:rPr>
                <w:rFonts w:hint="eastAsia" w:ascii="仿宋_GB2312" w:hAnsi="仿宋_GB2312" w:eastAsia="仿宋_GB2312" w:cs="仿宋_GB2312"/>
              </w:rPr>
              <w:t>，确保产品的部件在产品服务周期内稳定供货。</w:t>
            </w:r>
          </w:p>
          <w:p w14:paraId="7F306A4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★四十、操作系统要求</w:t>
            </w:r>
          </w:p>
          <w:p w14:paraId="7E3B176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1.支持AMD、ARM64、MIPS64、SW64、LoongArch等CPU架构，支持鲲鹏、飞腾、海光、兆芯、龙芯、申威等CPU芯片；</w:t>
            </w:r>
          </w:p>
          <w:p w14:paraId="3BFCE8D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2.兼容国内主流数据库，如：海量、达梦、人大金仓、GaussDB、OceanBase等，兼容国内主流中间件，如：东方通、金蝶、宝兰德等公参项；</w:t>
            </w:r>
          </w:p>
          <w:p w14:paraId="707E2D3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3.支持虚拟化解决方案，如OpenStack、KVM、Docker、Hyper-V等；</w:t>
            </w:r>
          </w:p>
          <w:p w14:paraId="339A7DE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4.兼容操作系统智能调优工具A-Tune和Keentune；</w:t>
            </w:r>
          </w:p>
          <w:p w14:paraId="48DC49B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提供完全自主可控的自研系统安全加固工具，提供对已加载内核模块的防卸载和度量能力，须支持选择低、普通、严格三种安全等级，支持选择标准、严格两种加固方案，支持对可执行文件、脚本、共享库文件的防篡改，且支持三权分立；</w:t>
            </w:r>
          </w:p>
          <w:p w14:paraId="460448D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6.仓库提供开源主流高可用集群组件，提供完全自主可控的自研高可用集群管理工具；</w:t>
            </w:r>
          </w:p>
          <w:p w14:paraId="2D6C5B9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7.系统内置国密算法，支持基于国密算法的加解密应用，支持国密SM2/3/4；须提供国密版内核模块签名机制，支持国密算法，以保证内核模块的可信性，禁止未签名模块加载至</w:t>
            </w:r>
            <w:r>
              <w:rPr>
                <w:rFonts w:ascii="仿宋_GB2312" w:hAnsi="仿宋_GB2312" w:eastAsia="仿宋_GB2312" w:cs="仿宋_GB2312"/>
                <w:color w:val="000000" w:themeColor="text1"/>
                <w14:textFill>
                  <w14:solidFill>
                    <w14:schemeClr w14:val="tx1"/>
                  </w14:solidFill>
                </w14:textFill>
              </w:rPr>
              <w:t>内核；须提供OpenSSL、Libgcrypt、Gnulib、Nettle、Hashes、libkcapi等常见算法库的国密版本，OpenSSL须支持X509、PKCS#7证书</w:t>
            </w:r>
            <w:r>
              <w:rPr>
                <w:rFonts w:hint="eastAsia" w:ascii="仿宋_GB2312" w:hAnsi="仿宋_GB2312" w:eastAsia="仿宋_GB2312" w:cs="仿宋_GB2312"/>
                <w:color w:val="000000" w:themeColor="text1"/>
                <w14:textFill>
                  <w14:solidFill>
                    <w14:schemeClr w14:val="tx1"/>
                  </w14:solidFill>
                </w14:textFill>
              </w:rPr>
              <w:t>；</w:t>
            </w:r>
          </w:p>
          <w:p w14:paraId="3103969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8.提供完全自主可控的自研中文图形化桌面环境，桌面环境等核心组件开源率不得高于1%；</w:t>
            </w:r>
          </w:p>
          <w:p w14:paraId="71B5D32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9.提供完全自主可控的自研安全运行环境软件，可允许开发者在操作系统上直接运行一个Linux环境，包括运行命令行工具、组件和应用等；</w:t>
            </w:r>
          </w:p>
          <w:p w14:paraId="67739D3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0.</w:t>
            </w:r>
            <w:r>
              <w:rPr>
                <w:rFonts w:hint="eastAsia" w:ascii="仿宋_GB2312" w:hAnsi="仿宋_GB2312" w:eastAsia="仿宋_GB2312" w:cs="仿宋_GB2312"/>
              </w:rPr>
              <w:t>提供人脸/车辆/结构化全业务智能分析；</w:t>
            </w:r>
          </w:p>
          <w:p w14:paraId="596363F4">
            <w:pPr>
              <w:keepNext w:val="0"/>
              <w:keepLines w:val="0"/>
              <w:pageBreakBefore w:val="0"/>
              <w:widowControl/>
              <w:kinsoku/>
              <w:wordWrap/>
              <w:overflowPunct/>
              <w:topLinePunct w:val="0"/>
              <w:bidi w:val="0"/>
              <w:snapToGrid/>
              <w:spacing w:line="400" w:lineRule="exact"/>
              <w:ind w:firstLine="240" w:firstLineChars="100"/>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11.提供人脸/车辆/结构化全业务数据比对；</w:t>
            </w:r>
          </w:p>
          <w:p w14:paraId="54FE7615">
            <w:pPr>
              <w:keepNext w:val="0"/>
              <w:keepLines w:val="0"/>
              <w:pageBreakBefore w:val="0"/>
              <w:widowControl/>
              <w:kinsoku/>
              <w:wordWrap/>
              <w:overflowPunct/>
              <w:topLinePunct w:val="0"/>
              <w:bidi w:val="0"/>
              <w:snapToGrid/>
              <w:spacing w:line="400" w:lineRule="exact"/>
              <w:ind w:firstLine="240" w:firstLineChars="100"/>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12.提供人脸图片特征提取能力，可实现人脸图片流检测分析，支持性别、年龄段、表情、眼镜、胡子、口罩、眼睛开闭、嘴巴状态等属性。</w:t>
            </w:r>
          </w:p>
        </w:tc>
        <w:tc>
          <w:tcPr>
            <w:tcW w:w="990" w:type="dxa"/>
            <w:tcBorders>
              <w:top w:val="single" w:color="000000" w:sz="4" w:space="0"/>
              <w:left w:val="single" w:color="000000" w:sz="4" w:space="0"/>
              <w:bottom w:val="single" w:color="000000" w:sz="4" w:space="0"/>
              <w:right w:val="single" w:color="000000" w:sz="4" w:space="0"/>
            </w:tcBorders>
            <w:vAlign w:val="center"/>
          </w:tcPr>
          <w:p w14:paraId="4104F9CB">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4BF28230">
        <w:tblPrEx>
          <w:tblCellMar>
            <w:top w:w="0" w:type="dxa"/>
            <w:left w:w="108" w:type="dxa"/>
            <w:bottom w:w="0" w:type="dxa"/>
            <w:right w:w="108" w:type="dxa"/>
          </w:tblCellMar>
        </w:tblPrEx>
        <w:tc>
          <w:tcPr>
            <w:tcW w:w="416" w:type="dxa"/>
            <w:tcBorders>
              <w:top w:val="single" w:color="000000" w:sz="4" w:space="0"/>
              <w:left w:val="single" w:color="000000" w:sz="4" w:space="0"/>
              <w:bottom w:val="single" w:color="000000" w:sz="4" w:space="0"/>
              <w:right w:val="single" w:color="000000" w:sz="4" w:space="0"/>
            </w:tcBorders>
            <w:vAlign w:val="center"/>
          </w:tcPr>
          <w:p w14:paraId="62A862C3">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w:t>
            </w:r>
          </w:p>
        </w:tc>
        <w:tc>
          <w:tcPr>
            <w:tcW w:w="1245" w:type="dxa"/>
            <w:tcBorders>
              <w:top w:val="single" w:color="000000" w:sz="4" w:space="0"/>
              <w:left w:val="single" w:color="000000" w:sz="4" w:space="0"/>
              <w:bottom w:val="single" w:color="000000" w:sz="4" w:space="0"/>
              <w:right w:val="single" w:color="000000" w:sz="4" w:space="0"/>
            </w:tcBorders>
            <w:vAlign w:val="center"/>
          </w:tcPr>
          <w:p w14:paraId="70E1BBA9">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国产化计算节点</w:t>
            </w:r>
          </w:p>
        </w:tc>
        <w:tc>
          <w:tcPr>
            <w:tcW w:w="6990" w:type="dxa"/>
            <w:tcBorders>
              <w:top w:val="single" w:color="000000" w:sz="4" w:space="0"/>
              <w:left w:val="single" w:color="000000" w:sz="4" w:space="0"/>
              <w:bottom w:val="single" w:color="000000" w:sz="4" w:space="0"/>
              <w:right w:val="single" w:color="000000" w:sz="4" w:space="0"/>
            </w:tcBorders>
          </w:tcPr>
          <w:p w14:paraId="765651C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★一、2U机架式服务器</w:t>
            </w:r>
          </w:p>
          <w:p w14:paraId="688BF34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★二、处理器CPU规格</w:t>
            </w:r>
          </w:p>
          <w:p w14:paraId="5C01607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1.配置国产CPU≥2颗；单颗CPU核数不低于</w:t>
            </w:r>
            <w:r>
              <w:rPr>
                <w:rFonts w:ascii="仿宋_GB2312" w:hAnsi="仿宋_GB2312" w:eastAsia="仿宋_GB2312" w:cs="仿宋_GB2312"/>
                <w:color w:val="000000"/>
                <w:sz w:val="24"/>
              </w:rPr>
              <w:t>48</w:t>
            </w:r>
            <w:r>
              <w:rPr>
                <w:rFonts w:hint="eastAsia" w:ascii="仿宋_GB2312" w:hAnsi="仿宋_GB2312" w:eastAsia="仿宋_GB2312" w:cs="仿宋_GB2312"/>
                <w:color w:val="000000"/>
                <w:sz w:val="24"/>
              </w:rPr>
              <w:t>核，主频≥2.6GHz主频，末级缓存容量≥</w:t>
            </w:r>
            <w:r>
              <w:rPr>
                <w:rFonts w:ascii="仿宋_GB2312" w:hAnsi="仿宋_GB2312" w:eastAsia="仿宋_GB2312" w:cs="仿宋_GB2312"/>
                <w:color w:val="000000"/>
                <w:sz w:val="24"/>
              </w:rPr>
              <w:t>48</w:t>
            </w:r>
            <w:r>
              <w:rPr>
                <w:rFonts w:hint="eastAsia" w:ascii="仿宋_GB2312" w:hAnsi="仿宋_GB2312" w:eastAsia="仿宋_GB2312" w:cs="仿宋_GB2312"/>
                <w:color w:val="000000"/>
                <w:sz w:val="24"/>
              </w:rPr>
              <w:t>MB，功耗≤</w:t>
            </w:r>
            <w:r>
              <w:rPr>
                <w:rFonts w:ascii="仿宋_GB2312" w:hAnsi="仿宋_GB2312" w:eastAsia="仿宋_GB2312" w:cs="仿宋_GB2312"/>
                <w:color w:val="000000"/>
                <w:sz w:val="24"/>
              </w:rPr>
              <w:t>150</w:t>
            </w:r>
            <w:r>
              <w:rPr>
                <w:rFonts w:hint="eastAsia" w:ascii="仿宋_GB2312" w:hAnsi="仿宋_GB2312" w:eastAsia="仿宋_GB2312" w:cs="仿宋_GB2312"/>
                <w:color w:val="000000"/>
                <w:sz w:val="24"/>
              </w:rPr>
              <w:t>W，内存速率≥2666MT/s；支持≥</w:t>
            </w:r>
            <w:r>
              <w:rPr>
                <w:rFonts w:ascii="仿宋_GB2312" w:hAnsi="仿宋_GB2312" w:eastAsia="仿宋_GB2312" w:cs="仿宋_GB2312"/>
                <w:color w:val="000000"/>
                <w:sz w:val="24"/>
              </w:rPr>
              <w:t>8</w:t>
            </w:r>
            <w:r>
              <w:rPr>
                <w:rFonts w:hint="eastAsia" w:ascii="仿宋_GB2312" w:hAnsi="仿宋_GB2312" w:eastAsia="仿宋_GB2312" w:cs="仿宋_GB2312"/>
                <w:color w:val="000000"/>
                <w:sz w:val="24"/>
              </w:rPr>
              <w:t>通道内存，支持≥64位处理器，线程数≥</w:t>
            </w:r>
            <w:r>
              <w:rPr>
                <w:rFonts w:ascii="仿宋_GB2312" w:hAnsi="仿宋_GB2312" w:eastAsia="仿宋_GB2312" w:cs="仿宋_GB2312"/>
                <w:color w:val="000000"/>
                <w:sz w:val="24"/>
              </w:rPr>
              <w:t>48</w:t>
            </w:r>
            <w:r>
              <w:rPr>
                <w:rFonts w:hint="eastAsia" w:ascii="仿宋_GB2312" w:hAnsi="仿宋_GB2312" w:eastAsia="仿宋_GB2312" w:cs="仿宋_GB2312"/>
                <w:color w:val="000000"/>
                <w:sz w:val="24"/>
              </w:rPr>
              <w:t>，位宽≥64bit；</w:t>
            </w:r>
          </w:p>
          <w:p w14:paraId="3BDF3F8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★三、主板规格</w:t>
            </w:r>
          </w:p>
          <w:p w14:paraId="7E94E6A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1.主板支持的CPU和内存情况：≥2颗；支持内存≥DDR4，支持内存数量：≥16个；</w:t>
            </w:r>
          </w:p>
          <w:p w14:paraId="3161488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2.主板内存槽数量：非板载内存的可扩展插槽数量应≥4个；</w:t>
            </w:r>
          </w:p>
          <w:p w14:paraId="7C27E47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3.主板存储接口：支持 SATA、SAS、M.2、U.2等存储接口中数≥1种； </w:t>
            </w:r>
          </w:p>
          <w:p w14:paraId="2174946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4.PCIe插槽接口：符合PCIe3.0或以上的高速串行计算机扩展总线标准，PCIe的接口速率与位宽需保证向下兼容；</w:t>
            </w:r>
          </w:p>
          <w:p w14:paraId="106D1D7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5.主板PCIe插槽数量及规格：a)高度大于44.45mm双路或以上服务器 PCIe插槽或接口≥5个，可通过扩展卡进行插槽扩展；可拓展支持≥8个PCIe 4.0 x8，或者≥3个PCIe 4.0 x16 + 2个 PCIe 4.0 x8标准插槽； </w:t>
            </w:r>
          </w:p>
          <w:p w14:paraId="45110C7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★四、内存规格</w:t>
            </w:r>
          </w:p>
          <w:p w14:paraId="3A190D9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1.内存数量：≥16；本次配置总容量≥512GB内存；</w:t>
            </w:r>
          </w:p>
          <w:p w14:paraId="6E2A850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2.内存规格：≥DDR4；</w:t>
            </w:r>
          </w:p>
          <w:p w14:paraId="703E92C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3.内存通道：支持多个内存接口通道，每个通道可支持1DPC或2DPC，当支持2DPC时，印制电路板上应具备插槽的序号标识，支持≥4通道内存；</w:t>
            </w:r>
          </w:p>
          <w:p w14:paraId="2B925E9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4.内存插槽：≥</w:t>
            </w:r>
            <w:r>
              <w:rPr>
                <w:rFonts w:ascii="仿宋_GB2312" w:hAnsi="仿宋_GB2312" w:eastAsia="仿宋_GB2312" w:cs="仿宋_GB2312"/>
                <w:color w:val="000000"/>
                <w:sz w:val="24"/>
              </w:rPr>
              <w:t>16</w:t>
            </w:r>
            <w:r>
              <w:rPr>
                <w:rFonts w:hint="eastAsia" w:ascii="仿宋_GB2312" w:hAnsi="仿宋_GB2312" w:eastAsia="仿宋_GB2312" w:cs="仿宋_GB2312"/>
                <w:color w:val="000000"/>
                <w:sz w:val="24"/>
              </w:rPr>
              <w:t>个，可拓展支持总容量≥2TB；</w:t>
            </w:r>
          </w:p>
          <w:p w14:paraId="2942E56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★五、存储规格</w:t>
            </w:r>
          </w:p>
          <w:p w14:paraId="066661A8">
            <w:pPr>
              <w:keepNext w:val="0"/>
              <w:keepLines w:val="0"/>
              <w:pageBreakBefore w:val="0"/>
              <w:widowControl/>
              <w:kinsoku/>
              <w:wordWrap/>
              <w:overflowPunct/>
              <w:topLinePunct w:val="0"/>
              <w:bidi w:val="0"/>
              <w:snapToGrid/>
              <w:spacing w:line="400" w:lineRule="exact"/>
              <w:jc w:val="left"/>
              <w:textAlignment w:val="top"/>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rPr>
              <w:t>◆1.硬磁盘实配容量：a)单盘≥</w:t>
            </w:r>
            <w:r>
              <w:rPr>
                <w:rFonts w:ascii="仿宋_GB2312" w:hAnsi="仿宋_GB2312" w:eastAsia="仿宋_GB2312" w:cs="仿宋_GB2312"/>
                <w:color w:val="000000"/>
                <w:sz w:val="24"/>
              </w:rPr>
              <w:t>1</w:t>
            </w:r>
            <w:r>
              <w:rPr>
                <w:rFonts w:hint="eastAsia" w:ascii="仿宋_GB2312" w:hAnsi="仿宋_GB2312" w:eastAsia="仿宋_GB2312" w:cs="仿宋_GB2312"/>
                <w:color w:val="000000"/>
                <w:sz w:val="24"/>
              </w:rPr>
              <w:t>TB SAS 硬盘；b)单盘≥</w:t>
            </w:r>
            <w:r>
              <w:rPr>
                <w:rFonts w:ascii="仿宋_GB2312" w:hAnsi="仿宋_GB2312" w:eastAsia="仿宋_GB2312" w:cs="仿宋_GB2312"/>
                <w:color w:val="000000"/>
                <w:sz w:val="24"/>
              </w:rPr>
              <w:t>480</w:t>
            </w:r>
            <w:r>
              <w:rPr>
                <w:rFonts w:hint="eastAsia" w:ascii="仿宋_GB2312" w:hAnsi="仿宋_GB2312" w:eastAsia="仿宋_GB2312" w:cs="仿宋_GB2312"/>
                <w:color w:val="000000"/>
                <w:sz w:val="24"/>
              </w:rPr>
              <w:t>G SATA SSD硬盘；c）单盘≥1</w:t>
            </w:r>
            <w:r>
              <w:rPr>
                <w:rFonts w:ascii="仿宋_GB2312" w:hAnsi="仿宋_GB2312" w:eastAsia="仿宋_GB2312" w:cs="仿宋_GB2312"/>
                <w:color w:val="000000"/>
                <w:sz w:val="24"/>
              </w:rPr>
              <w:t>TB SSD</w:t>
            </w:r>
            <w:r>
              <w:rPr>
                <w:rFonts w:hint="eastAsia" w:ascii="仿宋_GB2312" w:hAnsi="仿宋_GB2312" w:eastAsia="仿宋_GB2312" w:cs="仿宋_GB2312"/>
                <w:color w:val="000000"/>
                <w:sz w:val="24"/>
              </w:rPr>
              <w:t>硬盘</w:t>
            </w:r>
            <w:r>
              <w:rPr>
                <w:rFonts w:ascii="仿宋_GB2312" w:hAnsi="仿宋_GB2312" w:eastAsia="仿宋_GB2312" w:cs="仿宋_GB2312"/>
                <w:color w:val="000000"/>
                <w:sz w:val="24"/>
              </w:rPr>
              <w:t>;</w:t>
            </w:r>
            <w:r>
              <w:rPr>
                <w:rFonts w:hint="eastAsia" w:ascii="仿宋_GB2312" w:hAnsi="仿宋_GB2312" w:eastAsia="仿宋_GB2312" w:cs="仿宋_GB2312"/>
                <w:color w:val="000000"/>
                <w:sz w:val="24"/>
              </w:rPr>
              <w:t>d）单盘≥8</w:t>
            </w:r>
            <w:r>
              <w:rPr>
                <w:rFonts w:ascii="仿宋_GB2312" w:hAnsi="仿宋_GB2312" w:eastAsia="仿宋_GB2312" w:cs="仿宋_GB2312"/>
                <w:color w:val="000000"/>
                <w:sz w:val="24"/>
              </w:rPr>
              <w:t>TB SATA</w:t>
            </w:r>
            <w:r>
              <w:rPr>
                <w:rFonts w:hint="eastAsia" w:ascii="仿宋_GB2312" w:hAnsi="仿宋_GB2312" w:eastAsia="仿宋_GB2312" w:cs="仿宋_GB2312"/>
                <w:color w:val="000000"/>
                <w:sz w:val="24"/>
              </w:rPr>
              <w:t>硬盘</w:t>
            </w:r>
            <w:r>
              <w:rPr>
                <w:rFonts w:hint="eastAsia" w:ascii="仿宋_GB2312" w:hAnsi="仿宋_GB2312" w:eastAsia="仿宋_GB2312" w:cs="仿宋_GB2312"/>
                <w:color w:val="000000"/>
                <w:sz w:val="24"/>
                <w:lang w:eastAsia="zh-CN"/>
              </w:rPr>
              <w:t>；</w:t>
            </w:r>
          </w:p>
          <w:p w14:paraId="20BD0BFA">
            <w:pPr>
              <w:keepNext w:val="0"/>
              <w:keepLines w:val="0"/>
              <w:pageBreakBefore w:val="0"/>
              <w:widowControl/>
              <w:kinsoku/>
              <w:wordWrap/>
              <w:overflowPunct/>
              <w:topLinePunct w:val="0"/>
              <w:bidi w:val="0"/>
              <w:snapToGrid/>
              <w:spacing w:line="400" w:lineRule="exact"/>
              <w:jc w:val="left"/>
              <w:textAlignment w:val="top"/>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rPr>
              <w:t>2.硬盘实配数量：a)≥2块</w:t>
            </w:r>
            <w:r>
              <w:rPr>
                <w:rFonts w:ascii="仿宋_GB2312" w:hAnsi="仿宋_GB2312" w:eastAsia="仿宋_GB2312" w:cs="仿宋_GB2312"/>
                <w:color w:val="000000"/>
                <w:sz w:val="24"/>
              </w:rPr>
              <w:t>1</w:t>
            </w:r>
            <w:r>
              <w:rPr>
                <w:rFonts w:hint="eastAsia" w:ascii="仿宋_GB2312" w:hAnsi="仿宋_GB2312" w:eastAsia="仿宋_GB2312" w:cs="仿宋_GB2312"/>
                <w:color w:val="000000"/>
                <w:sz w:val="24"/>
              </w:rPr>
              <w:t>TB SAS 硬盘；b)≥1块</w:t>
            </w:r>
            <w:r>
              <w:rPr>
                <w:rFonts w:ascii="仿宋_GB2312" w:hAnsi="仿宋_GB2312" w:eastAsia="仿宋_GB2312" w:cs="仿宋_GB2312"/>
                <w:color w:val="000000"/>
                <w:sz w:val="24"/>
              </w:rPr>
              <w:t>480</w:t>
            </w:r>
            <w:r>
              <w:rPr>
                <w:rFonts w:hint="eastAsia" w:ascii="仿宋_GB2312" w:hAnsi="仿宋_GB2312" w:eastAsia="仿宋_GB2312" w:cs="仿宋_GB2312"/>
                <w:color w:val="000000"/>
                <w:sz w:val="24"/>
              </w:rPr>
              <w:t>G SATA SSD硬盘；c）≥1块1</w:t>
            </w:r>
            <w:r>
              <w:rPr>
                <w:rFonts w:ascii="仿宋_GB2312" w:hAnsi="仿宋_GB2312" w:eastAsia="仿宋_GB2312" w:cs="仿宋_GB2312"/>
                <w:color w:val="000000"/>
                <w:sz w:val="24"/>
              </w:rPr>
              <w:t>TB SSD</w:t>
            </w:r>
            <w:r>
              <w:rPr>
                <w:rFonts w:hint="eastAsia" w:ascii="仿宋_GB2312" w:hAnsi="仿宋_GB2312" w:eastAsia="仿宋_GB2312" w:cs="仿宋_GB2312"/>
                <w:color w:val="000000"/>
                <w:sz w:val="24"/>
              </w:rPr>
              <w:t>硬盘</w:t>
            </w:r>
            <w:r>
              <w:rPr>
                <w:rFonts w:ascii="仿宋_GB2312" w:hAnsi="仿宋_GB2312" w:eastAsia="仿宋_GB2312" w:cs="仿宋_GB2312"/>
                <w:color w:val="000000"/>
                <w:sz w:val="24"/>
              </w:rPr>
              <w:t>;</w:t>
            </w:r>
            <w:r>
              <w:rPr>
                <w:rFonts w:hint="eastAsia" w:ascii="仿宋_GB2312" w:hAnsi="仿宋_GB2312" w:eastAsia="仿宋_GB2312" w:cs="仿宋_GB2312"/>
                <w:color w:val="000000"/>
                <w:sz w:val="24"/>
              </w:rPr>
              <w:t>d）≥1块8</w:t>
            </w:r>
            <w:r>
              <w:rPr>
                <w:rFonts w:ascii="仿宋_GB2312" w:hAnsi="仿宋_GB2312" w:eastAsia="仿宋_GB2312" w:cs="仿宋_GB2312"/>
                <w:color w:val="000000"/>
                <w:sz w:val="24"/>
              </w:rPr>
              <w:t>TB SATA</w:t>
            </w:r>
            <w:r>
              <w:rPr>
                <w:rFonts w:hint="eastAsia" w:ascii="仿宋_GB2312" w:hAnsi="仿宋_GB2312" w:eastAsia="仿宋_GB2312" w:cs="仿宋_GB2312"/>
                <w:color w:val="000000"/>
                <w:sz w:val="24"/>
              </w:rPr>
              <w:t>硬盘</w:t>
            </w:r>
            <w:r>
              <w:rPr>
                <w:rFonts w:hint="eastAsia" w:ascii="仿宋_GB2312" w:hAnsi="仿宋_GB2312" w:eastAsia="仿宋_GB2312" w:cs="仿宋_GB2312"/>
                <w:color w:val="000000"/>
                <w:sz w:val="24"/>
                <w:lang w:eastAsia="zh-CN"/>
              </w:rPr>
              <w:t>；</w:t>
            </w:r>
          </w:p>
          <w:p w14:paraId="0F81342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3.硬盘插槽数量及规格：≥12个硬盘位，整机最大可拓展支持16个3.5英寸/2.5英寸SAS/SATA/SSD硬盘位，可拓展支持4个后置2.5英寸NVME盘；</w:t>
            </w:r>
          </w:p>
          <w:p w14:paraId="6ABAE78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六、RAID阵列</w:t>
            </w:r>
          </w:p>
          <w:p w14:paraId="364D7CD0">
            <w:pPr>
              <w:keepNext w:val="0"/>
              <w:keepLines w:val="0"/>
              <w:pageBreakBefore w:val="0"/>
              <w:widowControl/>
              <w:kinsoku/>
              <w:wordWrap/>
              <w:overflowPunct/>
              <w:topLinePunct w:val="0"/>
              <w:bidi w:val="0"/>
              <w:snapToGrid/>
              <w:spacing w:line="400" w:lineRule="exact"/>
              <w:jc w:val="left"/>
              <w:textAlignment w:val="top"/>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rPr>
              <w:t xml:space="preserve">1.配置1张独立RAID卡，缓存≥2G,支持RAID </w:t>
            </w:r>
            <w:r>
              <w:rPr>
                <w:rFonts w:hint="eastAsia" w:ascii="仿宋_GB2312" w:hAnsi="仿宋_GB2312" w:eastAsia="仿宋_GB2312" w:cs="仿宋_GB2312"/>
                <w:color w:val="000000"/>
                <w:sz w:val="24"/>
                <w:lang w:eastAsia="zh-CN"/>
              </w:rPr>
              <w:t>；</w:t>
            </w:r>
          </w:p>
          <w:p w14:paraId="03D3D77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0/1/5/6/10/50/60，可拓展支持超级电容掉电保护，配置一个RAID超级电容;</w:t>
            </w:r>
          </w:p>
          <w:p w14:paraId="70FE963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★七、网络规格</w:t>
            </w:r>
          </w:p>
          <w:p w14:paraId="71D6E5C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1.网口速率和数量：配备网口数量不少于6个，且网口速率不少于1GE，其中1GE网口数量≥</w:t>
            </w:r>
            <w:r>
              <w:rPr>
                <w:rFonts w:ascii="仿宋_GB2312" w:hAnsi="仿宋_GB2312" w:eastAsia="仿宋_GB2312" w:cs="仿宋_GB2312"/>
                <w:color w:val="000000"/>
                <w:sz w:val="24"/>
              </w:rPr>
              <w:t>2</w:t>
            </w:r>
            <w:r>
              <w:rPr>
                <w:rFonts w:hint="eastAsia" w:ascii="仿宋_GB2312" w:hAnsi="仿宋_GB2312" w:eastAsia="仿宋_GB2312" w:cs="仿宋_GB2312"/>
                <w:color w:val="000000"/>
                <w:sz w:val="24"/>
              </w:rPr>
              <w:t>个、10GE网口数量≥</w:t>
            </w:r>
            <w:r>
              <w:rPr>
                <w:rFonts w:ascii="仿宋_GB2312" w:hAnsi="仿宋_GB2312" w:eastAsia="仿宋_GB2312" w:cs="仿宋_GB2312"/>
                <w:color w:val="000000"/>
                <w:sz w:val="24"/>
              </w:rPr>
              <w:t>4</w:t>
            </w:r>
            <w:r>
              <w:rPr>
                <w:rFonts w:hint="eastAsia" w:ascii="仿宋_GB2312" w:hAnsi="仿宋_GB2312" w:eastAsia="仿宋_GB2312" w:cs="仿宋_GB2312"/>
                <w:color w:val="000000"/>
                <w:sz w:val="24"/>
              </w:rPr>
              <w:t>个；</w:t>
            </w:r>
          </w:p>
          <w:p w14:paraId="5C3AA72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★八、外部接口规格</w:t>
            </w:r>
          </w:p>
          <w:p w14:paraId="512AD66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1.显示接口：显示接口类型支持≥</w:t>
            </w:r>
            <w:r>
              <w:rPr>
                <w:rFonts w:ascii="仿宋_GB2312" w:hAnsi="仿宋_GB2312" w:eastAsia="仿宋_GB2312" w:cs="仿宋_GB2312"/>
                <w:color w:val="000000"/>
                <w:sz w:val="24"/>
              </w:rPr>
              <w:t>2</w:t>
            </w:r>
            <w:r>
              <w:rPr>
                <w:rFonts w:hint="eastAsia" w:ascii="仿宋_GB2312" w:hAnsi="仿宋_GB2312" w:eastAsia="仿宋_GB2312" w:cs="仿宋_GB2312"/>
                <w:color w:val="000000"/>
                <w:sz w:val="24"/>
              </w:rPr>
              <w:t>个VGA接口；</w:t>
            </w:r>
          </w:p>
          <w:p w14:paraId="73714FA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2.USB接口：配备USB接口，配备≥4个USB 3.0接口；</w:t>
            </w:r>
          </w:p>
          <w:p w14:paraId="5D0A29D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★九、电源规格</w:t>
            </w:r>
          </w:p>
          <w:p w14:paraId="69F2F08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1.电源模块数量：≥2；</w:t>
            </w:r>
          </w:p>
          <w:p w14:paraId="2802F87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2.电源功率：单电源功率≥900W，支持1+1冗余功能；</w:t>
            </w:r>
          </w:p>
          <w:p w14:paraId="23DA1A0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★十、整机规格</w:t>
            </w:r>
          </w:p>
          <w:p w14:paraId="012608B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1.外观和结构：</w:t>
            </w:r>
          </w:p>
          <w:p w14:paraId="2B2828F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a)服务器的零部件应紧固无松动，可插拔部件应可靠连接，开关、按钮和其它控制部件应灵活可靠，布局应方便使用；</w:t>
            </w:r>
          </w:p>
          <w:p w14:paraId="3EB8948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b)产品表面不应有明显的凹痕、划伤、裂缝、变形和污染等。表面涂层均匀，不应起泡、龟裂、脱落和磨损，金属零部件无锈蚀及其它机械损伤；</w:t>
            </w:r>
          </w:p>
          <w:p w14:paraId="4A27BE2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c)产品表面说明功能的文字、符号和标志应清晰、端正且牢固；</w:t>
            </w:r>
          </w:p>
          <w:p w14:paraId="71B5AC2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d)应在服务器的显著位置提供运行状态的指示功能，并在随机文件中明确具体含义；</w:t>
            </w:r>
          </w:p>
          <w:p w14:paraId="6199A4B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e)机架、机箱的尺寸应符合通用机柜的安装要求，插入总线插座的电路板接口外形尺寸应符合有关总线标准的规定，将机箱固定在机柜上， 机箱底面最大下垂变形不得干涉相邻机体；</w:t>
            </w:r>
          </w:p>
          <w:p w14:paraId="5E51C16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f)高密度服务器应给出CPU个数与机柜高度；</w:t>
            </w:r>
          </w:p>
          <w:p w14:paraId="01753EA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g)服务器尺寸具体要求在随机文件中明确；</w:t>
            </w:r>
          </w:p>
          <w:p w14:paraId="09F0281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2.尺寸：服务器机箱尺寸≤2U，高88mm* 宽450mm*深790mm（高、宽、深可偏离值±5mm）：设计应遵循标准化、系列化的要求；机箱的内部结构符合通用部件的安装需要；</w:t>
            </w:r>
          </w:p>
          <w:p w14:paraId="75ED8A9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3.环境适应性：气候环境适应性应符合GB/T 9813.3的有关规定，工作温度 10～35℃，贮存运输温度-40～55℃；工作相对湿度 35%～80%，贮存运输相对湿度 20％～93%（40℃）；大气压86～106kPa；</w:t>
            </w:r>
          </w:p>
          <w:p w14:paraId="34E9C4C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4.机械环境适应性：机械环境适应性应符合GB/T 9813.3的有关规定；</w:t>
            </w:r>
          </w:p>
          <w:p w14:paraId="072DDF22">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5.噪声：符合GB/T 9813.3的有关规定，在产品说明中给出具体测试值塔式服务器噪声在空闲状态下不大于50dB；</w:t>
            </w:r>
          </w:p>
          <w:p w14:paraId="05D5C59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★十一、A</w:t>
            </w:r>
            <w:r>
              <w:rPr>
                <w:rFonts w:ascii="仿宋_GB2312" w:hAnsi="仿宋_GB2312" w:eastAsia="仿宋_GB2312" w:cs="仿宋_GB2312"/>
                <w:b/>
                <w:bCs/>
                <w:color w:val="000000"/>
                <w:sz w:val="24"/>
              </w:rPr>
              <w:t>I</w:t>
            </w:r>
            <w:r>
              <w:rPr>
                <w:rFonts w:hint="eastAsia" w:ascii="仿宋_GB2312" w:hAnsi="仿宋_GB2312" w:eastAsia="仿宋_GB2312" w:cs="仿宋_GB2312"/>
                <w:b/>
                <w:bCs/>
                <w:color w:val="000000"/>
                <w:sz w:val="24"/>
              </w:rPr>
              <w:t>计算单元规格</w:t>
            </w:r>
          </w:p>
          <w:p w14:paraId="50015CF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1．可配备不少于4块A</w:t>
            </w:r>
            <w:r>
              <w:rPr>
                <w:rFonts w:ascii="仿宋_GB2312" w:hAnsi="仿宋_GB2312" w:eastAsia="仿宋_GB2312" w:cs="仿宋_GB2312"/>
                <w:color w:val="000000"/>
                <w:sz w:val="24"/>
              </w:rPr>
              <w:t>I</w:t>
            </w:r>
            <w:r>
              <w:rPr>
                <w:rFonts w:hint="eastAsia" w:ascii="仿宋_GB2312" w:hAnsi="仿宋_GB2312" w:eastAsia="仿宋_GB2312" w:cs="仿宋_GB2312"/>
                <w:color w:val="000000"/>
                <w:sz w:val="24"/>
              </w:rPr>
              <w:t>计算单元，A</w:t>
            </w:r>
            <w:r>
              <w:rPr>
                <w:rFonts w:ascii="仿宋_GB2312" w:hAnsi="仿宋_GB2312" w:eastAsia="仿宋_GB2312" w:cs="仿宋_GB2312"/>
                <w:color w:val="000000"/>
                <w:sz w:val="24"/>
              </w:rPr>
              <w:t>I</w:t>
            </w:r>
            <w:r>
              <w:rPr>
                <w:rFonts w:hint="eastAsia" w:ascii="仿宋_GB2312" w:hAnsi="仿宋_GB2312" w:eastAsia="仿宋_GB2312" w:cs="仿宋_GB2312"/>
                <w:color w:val="000000"/>
                <w:sz w:val="24"/>
              </w:rPr>
              <w:t>计算单元应符合如下要求：</w:t>
            </w:r>
          </w:p>
          <w:p w14:paraId="5F57BB2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a）可配备人工智能加速处理器，计算精度至少支持</w:t>
            </w:r>
            <w:r>
              <w:rPr>
                <w:rFonts w:ascii="仿宋_GB2312" w:hAnsi="仿宋_GB2312" w:eastAsia="仿宋_GB2312" w:cs="仿宋_GB2312"/>
                <w:color w:val="000000"/>
                <w:sz w:val="24"/>
              </w:rPr>
              <w:t>FP16</w:t>
            </w: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BF16</w:t>
            </w: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FP32</w:t>
            </w: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FP64</w:t>
            </w: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 xml:space="preserve">INT8 </w:t>
            </w:r>
            <w:r>
              <w:rPr>
                <w:rFonts w:hint="eastAsia" w:ascii="仿宋_GB2312" w:hAnsi="仿宋_GB2312" w:eastAsia="仿宋_GB2312" w:cs="仿宋_GB2312"/>
                <w:color w:val="000000"/>
                <w:sz w:val="24"/>
              </w:rPr>
              <w:t>和</w:t>
            </w:r>
            <w:r>
              <w:rPr>
                <w:rFonts w:ascii="仿宋_GB2312" w:hAnsi="仿宋_GB2312" w:eastAsia="仿宋_GB2312" w:cs="仿宋_GB2312"/>
                <w:color w:val="000000"/>
                <w:sz w:val="24"/>
              </w:rPr>
              <w:t xml:space="preserve">INT16 </w:t>
            </w:r>
            <w:r>
              <w:rPr>
                <w:rFonts w:hint="eastAsia" w:ascii="仿宋_GB2312" w:hAnsi="仿宋_GB2312" w:eastAsia="仿宋_GB2312" w:cs="仿宋_GB2312"/>
                <w:color w:val="000000"/>
                <w:sz w:val="24"/>
              </w:rPr>
              <w:t>等中的</w:t>
            </w:r>
            <w:r>
              <w:rPr>
                <w:rFonts w:ascii="仿宋_GB2312" w:hAnsi="仿宋_GB2312" w:eastAsia="仿宋_GB2312" w:cs="仿宋_GB2312"/>
                <w:color w:val="000000"/>
                <w:sz w:val="24"/>
              </w:rPr>
              <w:t>1</w:t>
            </w:r>
            <w:r>
              <w:rPr>
                <w:rFonts w:hint="eastAsia" w:ascii="仿宋_GB2312" w:hAnsi="仿宋_GB2312" w:eastAsia="仿宋_GB2312" w:cs="仿宋_GB2312"/>
                <w:color w:val="000000"/>
                <w:sz w:val="24"/>
              </w:rPr>
              <w:t>种；</w:t>
            </w:r>
          </w:p>
          <w:p w14:paraId="43B2CD8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b）单推理卡或模块，具备视频解析、文本识别、语音分析等推理能力；在视觉场景下配备可直接调用的接口实现视觉计算加速，路数不小于</w:t>
            </w:r>
            <w:r>
              <w:rPr>
                <w:rFonts w:ascii="仿宋_GB2312" w:hAnsi="仿宋_GB2312" w:eastAsia="仿宋_GB2312" w:cs="仿宋_GB2312"/>
                <w:color w:val="000000"/>
                <w:sz w:val="24"/>
              </w:rPr>
              <w:t>64</w:t>
            </w: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1080P 30FPS</w:t>
            </w:r>
            <w:r>
              <w:rPr>
                <w:rFonts w:hint="eastAsia" w:ascii="仿宋_GB2312" w:hAnsi="仿宋_GB2312" w:eastAsia="仿宋_GB2312" w:cs="仿宋_GB2312"/>
                <w:color w:val="000000"/>
                <w:sz w:val="24"/>
              </w:rPr>
              <w:t>）</w:t>
            </w:r>
          </w:p>
          <w:p w14:paraId="3D84C85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w:t>
            </w:r>
            <w:r>
              <w:rPr>
                <w:rFonts w:ascii="仿宋_GB2312" w:hAnsi="仿宋_GB2312" w:eastAsia="仿宋_GB2312" w:cs="仿宋_GB2312"/>
                <w:color w:val="000000"/>
                <w:sz w:val="24"/>
              </w:rPr>
              <w:t>.</w:t>
            </w:r>
            <w:r>
              <w:rPr>
                <w:rFonts w:hint="eastAsia" w:ascii="仿宋_GB2312" w:hAnsi="仿宋_GB2312" w:eastAsia="仿宋_GB2312" w:cs="仿宋_GB2312"/>
                <w:color w:val="000000"/>
                <w:sz w:val="24"/>
              </w:rPr>
              <w:t>一键式迁移：若服务器配备</w:t>
            </w:r>
            <w:r>
              <w:rPr>
                <w:rFonts w:ascii="仿宋_GB2312" w:hAnsi="仿宋_GB2312" w:eastAsia="仿宋_GB2312" w:cs="仿宋_GB2312"/>
                <w:color w:val="000000"/>
                <w:sz w:val="24"/>
              </w:rPr>
              <w:t>AI</w:t>
            </w:r>
            <w:r>
              <w:rPr>
                <w:rFonts w:hint="eastAsia" w:ascii="仿宋_GB2312" w:hAnsi="仿宋_GB2312" w:eastAsia="仿宋_GB2312" w:cs="仿宋_GB2312"/>
                <w:color w:val="000000"/>
                <w:sz w:val="24"/>
              </w:rPr>
              <w:t>计算单元，提供训练脚本迁移工具；</w:t>
            </w:r>
          </w:p>
          <w:p w14:paraId="2A0729F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★十二、机柜规格</w:t>
            </w:r>
          </w:p>
          <w:p w14:paraId="6FE2D46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r>
              <w:rPr>
                <w:rFonts w:ascii="仿宋_GB2312" w:hAnsi="仿宋_GB2312" w:eastAsia="仿宋_GB2312" w:cs="仿宋_GB2312"/>
                <w:color w:val="000000"/>
                <w:sz w:val="24"/>
              </w:rPr>
              <w:t xml:space="preserve"> 2055mm×600mm×800mm（高×宽×深）</w:t>
            </w:r>
            <w:r>
              <w:rPr>
                <w:rFonts w:hint="eastAsia" w:ascii="仿宋_GB2312" w:hAnsi="仿宋_GB2312" w:eastAsia="仿宋_GB2312" w:cs="仿宋_GB2312"/>
                <w:color w:val="000000"/>
                <w:sz w:val="24"/>
              </w:rPr>
              <w:t>（高、宽、深可偏离值±5mm）：设计应遵循标准化、系列化的要求；机箱的内部结构符合通用部件的安装需要；</w:t>
            </w:r>
          </w:p>
          <w:p w14:paraId="327E0D82">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★十三、主板功能</w:t>
            </w:r>
          </w:p>
          <w:p w14:paraId="28D9155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1.主板外部接口种类：支持USB3.0、VGA显示、BMC 管理端口；</w:t>
            </w:r>
          </w:p>
          <w:p w14:paraId="2B14474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★十四、网络功能</w:t>
            </w:r>
          </w:p>
          <w:p w14:paraId="4400449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1.网络功能：支持网络连接、网络访问、数据交换和网络管控功能；</w:t>
            </w:r>
          </w:p>
          <w:p w14:paraId="59552D9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★十五、CPU功能</w:t>
            </w:r>
          </w:p>
          <w:p w14:paraId="33C33C5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计算处理：支持通用计算及虚拟化功能。处理器需集成整型计算单元、浮点计算单元、内存控制器、I/O模块等，处理器与存储部件、网络部件、I/O部件等组成计算系统，提供数据处理、网络接入等计算相关功能；</w:t>
            </w:r>
          </w:p>
          <w:p w14:paraId="63EFD0A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2.密码算法实现：CPU芯片应符合GM/T 0008的相关规定，或芯片密码模块应符合GB/T 37092或GM/T 0028的相关规定；（通过商用密码检测机构检测并经商用密码认证机构认证合格）</w:t>
            </w:r>
          </w:p>
          <w:p w14:paraId="022506E4">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★十六、电源功能</w:t>
            </w:r>
          </w:p>
          <w:p w14:paraId="6186195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1.电源热插拔：整机电源模块应具备热插拔功能；</w:t>
            </w:r>
          </w:p>
          <w:p w14:paraId="7087078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2.电源过流保护：支持过流及短路保护的功能；</w:t>
            </w:r>
          </w:p>
          <w:p w14:paraId="0737DC1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★十七、整机功能</w:t>
            </w:r>
          </w:p>
          <w:p w14:paraId="050364D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1.散热方式：支持风冷散热方式；</w:t>
            </w:r>
          </w:p>
          <w:p w14:paraId="6E40DAC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★十八、管理系统功能</w:t>
            </w:r>
          </w:p>
          <w:p w14:paraId="49151CF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管理系统支持国产自研管理芯片；支持带外故障检测功能，不依赖于OS，对硬件故障如CPU故障、I2C和IPMI总线故障、内存故障、PCIe设备故障、硬盘故障进行检测和预告；</w:t>
            </w:r>
          </w:p>
          <w:p w14:paraId="4A051D8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1.BMC固件基础功能：</w:t>
            </w:r>
          </w:p>
          <w:p w14:paraId="4149954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1)支持DHCP设置网络功能；</w:t>
            </w:r>
          </w:p>
          <w:p w14:paraId="3EF1E16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2)支持静态IP 设置网络功能；</w:t>
            </w:r>
          </w:p>
          <w:p w14:paraId="6061D16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3)支持设备日志记录，包括但不限于登录日志、操作日志和报警日志等功能；</w:t>
            </w:r>
          </w:p>
          <w:p w14:paraId="23AAA50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4)支持日志信息导出和记录删除功能；</w:t>
            </w:r>
          </w:p>
          <w:p w14:paraId="648A8E4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5)支持通过管理接口向外输出准确的报警信息功能；</w:t>
            </w:r>
          </w:p>
          <w:p w14:paraId="3281409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6)设备的BMC管理软件应能够按报警的严重程度进行区分；</w:t>
            </w:r>
          </w:p>
          <w:p w14:paraId="2397B1E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7)支持IPMI2.0、SNMP 或Redfish 等接口功能；</w:t>
            </w:r>
          </w:p>
          <w:p w14:paraId="0D91BF7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8)支持键盘、鼠标和视频的重定向、文本控制台的重定向、远程虚拟媒体、高可靠的硬件监控和管理功能；</w:t>
            </w:r>
          </w:p>
          <w:p w14:paraId="2B6B276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9)支持基于网络开启、关闭和重启设备的功能，并查询当前设备开机运行状态；</w:t>
            </w:r>
          </w:p>
          <w:p w14:paraId="48D4495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10)支持故障提示功能，并可通过接口读取服务器故障信息；11)支持基于网络的固件更新功能， 包括BMC 和BIOS 等；</w:t>
            </w:r>
          </w:p>
          <w:p w14:paraId="130EE9D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12)支持基于网络安装操作系统的功能，并可通过网络控制台访问设备；</w:t>
            </w:r>
          </w:p>
          <w:p w14:paraId="3E2DEFB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13)支持通过本地的硬盘或光驱等存储设备，基于网络完成设备的操作系统安装功能；</w:t>
            </w:r>
          </w:p>
          <w:p w14:paraId="0353119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14)支持通过浏览器打开管理界面并登录功能；</w:t>
            </w:r>
          </w:p>
          <w:p w14:paraId="24D56402">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15)支持设置口令策略功能；</w:t>
            </w:r>
          </w:p>
          <w:p w14:paraId="296A580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16)支持访问权限设置功能，并通过日志记录访问事件；</w:t>
            </w:r>
          </w:p>
          <w:p w14:paraId="6FBFD0F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17)支持对出厂默认的用户名及口令进行安全保护功能，并提供默认口令修改提示；</w:t>
            </w:r>
          </w:p>
          <w:p w14:paraId="2CC09E6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18)支持读取设备主板的工作环境温度功能；</w:t>
            </w:r>
          </w:p>
          <w:p w14:paraId="748A777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19)支持读取服务器CPU 等核心器件的温度功能；</w:t>
            </w:r>
          </w:p>
          <w:p w14:paraId="7F15EF1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20)支持通过外部管理工具进行BMC参数设置的功能，并可基于网络通过外部管理工具对BMC进行管理；</w:t>
            </w:r>
          </w:p>
          <w:p w14:paraId="07821DB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21)应支持固件版本查询、固件升级；</w:t>
            </w:r>
          </w:p>
          <w:p w14:paraId="25BA158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22)支持基于网络实现开关机和复位控制的功能；</w:t>
            </w:r>
          </w:p>
          <w:p w14:paraId="6ED78F3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23)BMC 启动时间应不超过 180s，实现功能包括网络、IPMI、散热、传感器服务可用；</w:t>
            </w:r>
          </w:p>
          <w:p w14:paraId="5E9D0D6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24)支持 BMC 固件设置的恢复出厂功能；</w:t>
            </w:r>
          </w:p>
          <w:p w14:paraId="4A18616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2.BIOS固件基础功能：</w:t>
            </w:r>
          </w:p>
          <w:p w14:paraId="245E0B6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a）支持查看固件版本、内存信息、主板信息、处理器信息和系统时间信息功能；</w:t>
            </w:r>
          </w:p>
          <w:p w14:paraId="46E85DD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b）支持上电初始化界面显示 CPU 信息、内存信息、固件版本和部分快捷键信息功能；</w:t>
            </w:r>
          </w:p>
          <w:p w14:paraId="5B64B86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c）支持设置界面中英文显示切换功能；</w:t>
            </w:r>
          </w:p>
          <w:p w14:paraId="4203233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d）支持查看 PCIe 设备信息，SATA 设备信息功能；</w:t>
            </w:r>
          </w:p>
          <w:p w14:paraId="0D6A6F4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e）支持操作系统安装和引导功能， 应并向操作系统提供计算机主板信息和服务接口；</w:t>
            </w:r>
          </w:p>
          <w:p w14:paraId="473C24D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f）支持设置启动顺序，并按照设置的启动顺序启动功能；</w:t>
            </w:r>
          </w:p>
          <w:p w14:paraId="695E972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g）支持安全启动功能；</w:t>
            </w:r>
          </w:p>
          <w:p w14:paraId="6CD9E32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h）支持设置口令、修改口令、验证口令功能；</w:t>
            </w:r>
          </w:p>
          <w:p w14:paraId="7DED02A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i）支持板载显示控制或独立显卡的显示控制功能；</w:t>
            </w:r>
          </w:p>
          <w:p w14:paraId="088C6BB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j）支持 RAID 识别和启动功能；</w:t>
            </w:r>
          </w:p>
          <w:p w14:paraId="0E0CD5E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k）支持串口重定向功能；</w:t>
            </w:r>
          </w:p>
          <w:p w14:paraId="1D76958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l）支持固件更新功能；</w:t>
            </w:r>
          </w:p>
          <w:p w14:paraId="6953F02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m）支持 BIOS 固件设置的恢复出厂功能；</w:t>
            </w:r>
          </w:p>
          <w:p w14:paraId="5430EF4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n）支持网络引导启用和关闭功能；</w:t>
            </w:r>
          </w:p>
          <w:p w14:paraId="7458018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3.远程控制：支持远程关机和重新启动功能；</w:t>
            </w:r>
          </w:p>
          <w:p w14:paraId="6F3EB11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★十九、操作系统及驱动功能</w:t>
            </w:r>
          </w:p>
          <w:p w14:paraId="531CA9A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1.操作系统及驱动的升级：支持通过网络、闪存盘对操作系统、驱动进行升级；</w:t>
            </w:r>
          </w:p>
          <w:p w14:paraId="0DA6487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2.操作系统功能：</w:t>
            </w:r>
          </w:p>
          <w:p w14:paraId="3F369EF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a)支持访问控制、安全审计、网络接入鉴别等功能；</w:t>
            </w:r>
          </w:p>
          <w:p w14:paraId="2D7CA014">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b)操作系统其他功能应满足操作系统政府采购需求标准中加*的指标要求；</w:t>
            </w:r>
          </w:p>
          <w:p w14:paraId="2115E3E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★二十、中文信息处理功能</w:t>
            </w:r>
          </w:p>
          <w:p w14:paraId="5FD4D714">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1.中文信息处理：符合GB18030的有关规定；</w:t>
            </w:r>
          </w:p>
          <w:p w14:paraId="034C030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★二十一、关键部件安全要求</w:t>
            </w:r>
          </w:p>
          <w:p w14:paraId="161C87B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1.关键部件安全要求：CPU和操作系统等关键部件应当符合安全可靠测评要求；通过政府有关部门指定的中国信息安全测评中心和国家保密科技测评中心网站查看安全可靠测评结果。</w:t>
            </w:r>
          </w:p>
          <w:p w14:paraId="5F90755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注：投标人在填写《技术响应表》时，在“投标文件响应技术参数”明确给出所投国产化计算节点“CPU型号”及“操作系统”名称，否则视为投标无效。</w:t>
            </w:r>
          </w:p>
          <w:p w14:paraId="43F1877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★二十二、固件安全要求</w:t>
            </w:r>
          </w:p>
          <w:p w14:paraId="23E7587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1.故障检测：支持故障检测功能，可以检测到具体的FRU（内存、硬盘等）的故障并发出告警；</w:t>
            </w:r>
          </w:p>
          <w:p w14:paraId="7D39C4D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★二十三、系统安全要求</w:t>
            </w:r>
          </w:p>
          <w:p w14:paraId="2C405BD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1.弱口令字典检查：支持弱口令字典检查功能，出现在弱口令字典中的字符串不能被设置为用户口令；</w:t>
            </w:r>
          </w:p>
          <w:p w14:paraId="3C113AA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2.白名单访问控制：支持基于时间、IP 或 MAC 白名单访问控制；</w:t>
            </w:r>
          </w:p>
          <w:p w14:paraId="7C04CF5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3.二次鉴别：支持二次鉴别功能。对于用户配置、权限配置、公钥导入等重要的管理操作，已登录用户应通过二次鉴别后，才能执行操作；</w:t>
            </w:r>
          </w:p>
          <w:p w14:paraId="5F9259C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4.密码证书安全加密存储：支持对带外管理系统中的用户口令和证书等敏感信息进行加密存储， 禁止使用私有的和业界已知不安全的密码算法；</w:t>
            </w:r>
          </w:p>
          <w:p w14:paraId="0C8AEAC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5.敏感信息安全加密传输：支持使用安全的传输加密协议（如SSH或HTTPS等）传输用户的敏感信息；</w:t>
            </w:r>
          </w:p>
          <w:p w14:paraId="485EAD9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★二十四、信息安全要求</w:t>
            </w:r>
          </w:p>
          <w:p w14:paraId="7335472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研发过程安全：供应商承诺生产商已建立从需求、设计、开发、测试、维护端到端的开发流程管理机制，输出和保存开发流程中每个阶段的产品需求清单、设计文档、开发文档、测试记录等材料，保证各个流程可追溯；</w:t>
            </w:r>
          </w:p>
          <w:p w14:paraId="5DF774D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★二十五、物理安全</w:t>
            </w:r>
          </w:p>
          <w:p w14:paraId="794A35A4">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1.物理安全：安全要求应符合GB4943.1的规定；</w:t>
            </w:r>
          </w:p>
          <w:p w14:paraId="2EF8D71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★二十六、限用物质的限量要求</w:t>
            </w:r>
          </w:p>
          <w:p w14:paraId="1B60EA7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1.限用物质的限量要求：限用物质的限量应符合GB/T26572的要求；</w:t>
            </w:r>
          </w:p>
          <w:p w14:paraId="700FD84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★二十七、CPU性能</w:t>
            </w:r>
          </w:p>
          <w:p w14:paraId="2AE82D9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1.CPU主频：≥2.6GHz；</w:t>
            </w:r>
          </w:p>
          <w:p w14:paraId="282932E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2.单CPU 核数：≥</w:t>
            </w:r>
            <w:r>
              <w:rPr>
                <w:rFonts w:ascii="仿宋_GB2312" w:hAnsi="仿宋_GB2312" w:eastAsia="仿宋_GB2312" w:cs="仿宋_GB2312"/>
                <w:color w:val="000000"/>
                <w:sz w:val="24"/>
              </w:rPr>
              <w:t>48</w:t>
            </w:r>
            <w:r>
              <w:rPr>
                <w:rFonts w:hint="eastAsia" w:ascii="仿宋_GB2312" w:hAnsi="仿宋_GB2312" w:eastAsia="仿宋_GB2312" w:cs="仿宋_GB2312"/>
                <w:color w:val="000000"/>
                <w:sz w:val="24"/>
              </w:rPr>
              <w:t>；</w:t>
            </w:r>
          </w:p>
          <w:p w14:paraId="4F927AD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3.单CPU 末级缓存容量：≥</w:t>
            </w:r>
            <w:r>
              <w:rPr>
                <w:rFonts w:ascii="仿宋_GB2312" w:hAnsi="仿宋_GB2312" w:eastAsia="仿宋_GB2312" w:cs="仿宋_GB2312"/>
                <w:color w:val="000000"/>
                <w:sz w:val="24"/>
              </w:rPr>
              <w:t>48</w:t>
            </w:r>
            <w:r>
              <w:rPr>
                <w:rFonts w:hint="eastAsia" w:ascii="仿宋_GB2312" w:hAnsi="仿宋_GB2312" w:eastAsia="仿宋_GB2312" w:cs="仿宋_GB2312"/>
                <w:color w:val="000000"/>
                <w:sz w:val="24"/>
              </w:rPr>
              <w:t>MB；</w:t>
            </w:r>
          </w:p>
          <w:p w14:paraId="4180844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★二十八、内存性能</w:t>
            </w:r>
          </w:p>
          <w:p w14:paraId="7A5F1AF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1.内存速率：≥2666MT/s；</w:t>
            </w:r>
          </w:p>
          <w:p w14:paraId="2D995B2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★二十九、电源能耗</w:t>
            </w:r>
          </w:p>
          <w:p w14:paraId="6F4ACBA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1.电源能耗：符合GB/T9813.3的有关规定；</w:t>
            </w:r>
          </w:p>
          <w:p w14:paraId="2373690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★三十、部件兼容性要求</w:t>
            </w:r>
          </w:p>
          <w:p w14:paraId="1D914DE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1.内存兼容性：适配3种及以上厂商的内存产品，且均不低于产品支持的内存规格；</w:t>
            </w:r>
          </w:p>
          <w:p w14:paraId="6A670D6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2.固态存储兼容性：适配3种或以上厂商的固态存储产品，且均不低于产品支持的固态存储设备规格；</w:t>
            </w:r>
          </w:p>
          <w:p w14:paraId="0E7B25B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3.网卡兼容性：网卡应适配两种或以上厂商产品；</w:t>
            </w:r>
          </w:p>
          <w:p w14:paraId="2563389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4.功能卡兼容性：内置或适配符合PCIe 的功能卡，如： 网络功能卡、存储功能卡及图形显示功能卡；</w:t>
            </w:r>
          </w:p>
          <w:p w14:paraId="6A7E175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★三十一、外设兼容性</w:t>
            </w:r>
          </w:p>
          <w:p w14:paraId="02538BA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1.外设兼容性：兼容多种主流生产商的外部设备， 包括显示器、键盘、鼠标、闪存盘、移动硬盘、USB 光驱及KVM等，要求使用不同厂商的外部设备时，系统均能正常识别和安装驱动；</w:t>
            </w:r>
          </w:p>
          <w:p w14:paraId="3D2CD08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★三十二、软件兼容性</w:t>
            </w:r>
          </w:p>
          <w:p w14:paraId="7B48D1F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1.数据库兼容：兼容3个及以上厂商的国产数据库产品；</w:t>
            </w:r>
          </w:p>
          <w:p w14:paraId="33ACB5E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2.中间件兼容：兼容3个及以上厂商的国产中间件产品；</w:t>
            </w:r>
          </w:p>
          <w:p w14:paraId="03CBDE8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3.平台软件兼容：兼容3个及以上厂商的大数据平台；</w:t>
            </w:r>
          </w:p>
          <w:p w14:paraId="3F239E14">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★三十三、整机可靠性要求</w:t>
            </w:r>
          </w:p>
          <w:p w14:paraId="54744D5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1.整机可靠性：m1值（MTBF的不可接受值）不得低于30000h；</w:t>
            </w:r>
          </w:p>
          <w:p w14:paraId="0CC7E7E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2.风扇可靠性：风扇寿命应不低于40000h；</w:t>
            </w:r>
          </w:p>
          <w:p w14:paraId="6C189F4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3.部件可靠性：支持硬盘、电源、风扇热插拔(内置风扇除外)；</w:t>
            </w:r>
          </w:p>
          <w:p w14:paraId="07A415A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★三十四、包装及运输要求</w:t>
            </w:r>
          </w:p>
          <w:p w14:paraId="3CDF890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标志、包装、运输和贮存：符合GB/T9813.3和商品包装政府采购需求标准的相关规定；</w:t>
            </w:r>
          </w:p>
          <w:p w14:paraId="66979CF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★三十五、服务响应</w:t>
            </w:r>
          </w:p>
          <w:p w14:paraId="616D9302">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1.服务响应：</w:t>
            </w:r>
          </w:p>
          <w:p w14:paraId="43ADA76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a)提供电话、电子邮件、远程连接等多种形式服务；</w:t>
            </w:r>
          </w:p>
          <w:p w14:paraId="77FC78B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b)提供同城 4h、异地12h技术响应服务，2个工作日解决问题，对于未能解决的问题和故障应提供可行的升级方案，并提供周转设备；</w:t>
            </w:r>
          </w:p>
          <w:p w14:paraId="2BB0750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c)建立全国技术服务体系和服务团体，符合专业服务体系标准要求，提供原厂中文服务；</w:t>
            </w:r>
          </w:p>
          <w:p w14:paraId="2B855D8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d)服务周期内提供产品的维修、换件和升级服务；</w:t>
            </w:r>
          </w:p>
          <w:p w14:paraId="3662371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2.培训服务：提供培训材料、产品手册、培训视频等培训相关内容； </w:t>
            </w:r>
          </w:p>
          <w:p w14:paraId="70E97EB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★三十六、服务周期</w:t>
            </w:r>
          </w:p>
          <w:p w14:paraId="48B0411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1.服务周期：</w:t>
            </w:r>
          </w:p>
          <w:p w14:paraId="2CBE428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a)产品免费服务周期（含换件和维修）应不小于3年；</w:t>
            </w:r>
          </w:p>
          <w:p w14:paraId="1A0A5AA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b)设备停产后继续提供质量保障服务（含备品备件），服务终止时间与最后一批设备交付时间间隔不低于6年；</w:t>
            </w:r>
          </w:p>
          <w:p w14:paraId="1A459CC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c)产品停止服务时间应提前1年告知客户；</w:t>
            </w:r>
          </w:p>
          <w:p w14:paraId="7B9D4B4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d)产品发布日期需在随机文件中明确；</w:t>
            </w:r>
          </w:p>
          <w:p w14:paraId="5C5D9E5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★三十七、服务工具要求</w:t>
            </w:r>
          </w:p>
          <w:p w14:paraId="0E9118D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1.工具要求：提供设置服务器硬件、辅助操作系统安装等功能的辅助工具和管理软件。且随附软件应具有合法授权或版权；</w:t>
            </w:r>
          </w:p>
          <w:p w14:paraId="6F73061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2.驱动安装升级指引：提供出厂安装的配件所需的驱动程序，形式包括但不限于驱动光盘、驱动下载链接等。其他配件应提供指引；</w:t>
            </w:r>
          </w:p>
          <w:p w14:paraId="2ABE52B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p>
          <w:p w14:paraId="6278EC2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★三十八、增值服务</w:t>
            </w:r>
          </w:p>
          <w:p w14:paraId="5408B00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1.厂家升级产品软件与扩容服务：提供原厂级的部件/软件产品升级和扩容能力；</w:t>
            </w:r>
          </w:p>
          <w:p w14:paraId="6C55827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2.提供上门服务：提供上门服务的能力(可收费)；</w:t>
            </w:r>
          </w:p>
          <w:p w14:paraId="277AD01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★三十九、供应链质量</w:t>
            </w:r>
          </w:p>
          <w:p w14:paraId="2D8EF46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1.抗干扰性：当产品部件出现供应风险时，应通知客户并提供风险应对方案确保产品的服务保障，必要时应停止相关受影响产品的销售；</w:t>
            </w:r>
          </w:p>
          <w:p w14:paraId="6043D82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2.供应能力证明：供应商承诺提供供应链稳定，确保产品的部件在产品服务周期内稳定供货。</w:t>
            </w:r>
          </w:p>
          <w:p w14:paraId="25C8593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★四十、操作系统要求</w:t>
            </w:r>
          </w:p>
          <w:p w14:paraId="495AFD62">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1.支持AMD、ARM64、MIPS64、SW64、LoongArch等CPU架构，支持鲲鹏、飞腾、海光、兆芯、龙芯、申威等CPU芯片；</w:t>
            </w:r>
          </w:p>
          <w:p w14:paraId="42B76AC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2.兼容国内主流数据库，如：海量、达梦、人大金仓、GaussDB、OceanBase等，兼容国内主流中间件，如：东方通、金蝶、宝兰德等公参项；</w:t>
            </w:r>
          </w:p>
          <w:p w14:paraId="1188F7E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3.支持虚拟化解决方案，如OpenStack、KVM、Docker、Hyper-V等；</w:t>
            </w:r>
          </w:p>
          <w:p w14:paraId="4E9BA3C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4.兼容操作系统智能调优工具A-Tune和Keentune；</w:t>
            </w:r>
          </w:p>
          <w:p w14:paraId="43E5CB2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提供完全自主可控的自研系统安全加固工具，提供对已加载内核模块的防卸载和度量能力，须支持选择低、普通、严格三种安全等级，支持选择标准、严格两种加固方案，支持对可执行文件、脚本、共享库文件的防篡改，且支持三权分立；</w:t>
            </w:r>
          </w:p>
          <w:p w14:paraId="61AE645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6.仓库提供开源主流高可用集群组件，提供完全自主可控的自研高可用集群管理工具；</w:t>
            </w:r>
          </w:p>
          <w:p w14:paraId="7A4B3B2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7.系统内置国密算法，支持基于国密算法的加解密应用，支持国密SM2/3/4；须提供国密版内核模块签名机制，支持国密算法，以保证内核模块的可信性，禁止未签名模块加载至</w:t>
            </w:r>
            <w:r>
              <w:rPr>
                <w:rFonts w:ascii="仿宋_GB2312" w:hAnsi="仿宋_GB2312" w:eastAsia="仿宋_GB2312" w:cs="仿宋_GB2312"/>
                <w:color w:val="000000"/>
                <w:sz w:val="24"/>
              </w:rPr>
              <w:t>内核；须提供OpenSSL、Libgcrypt、Gnulib、Nettle、Hashes、libkcapi等常见算法库的国密版本，OpenSSL须支持X509、PKCS#7证书</w:t>
            </w:r>
            <w:r>
              <w:rPr>
                <w:rFonts w:hint="eastAsia" w:ascii="仿宋_GB2312" w:hAnsi="仿宋_GB2312" w:eastAsia="仿宋_GB2312" w:cs="仿宋_GB2312"/>
                <w:color w:val="000000"/>
                <w:sz w:val="24"/>
              </w:rPr>
              <w:t>；</w:t>
            </w:r>
          </w:p>
          <w:p w14:paraId="3329758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8.提供完全自主可控的自研中文图形化桌面环境，桌面环境等核心组件开源率不得高于1%；</w:t>
            </w:r>
          </w:p>
          <w:p w14:paraId="588E899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9.提供完全自主可控的自研安全运行环境软件，可允许开发者在操作系统上直接运行一个Linux环境，包括运行命令行工具、组件和应用等；</w:t>
            </w:r>
          </w:p>
          <w:p w14:paraId="6F4165F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ascii="仿宋_GB2312" w:hAnsi="仿宋_GB2312" w:eastAsia="仿宋_GB2312" w:cs="仿宋_GB2312"/>
                <w:color w:val="000000"/>
                <w:sz w:val="24"/>
              </w:rPr>
              <w:t>10.</w:t>
            </w:r>
            <w:r>
              <w:rPr>
                <w:rFonts w:hint="eastAsia" w:ascii="仿宋_GB2312" w:hAnsi="仿宋_GB2312" w:eastAsia="仿宋_GB2312" w:cs="仿宋_GB2312"/>
                <w:color w:val="000000"/>
                <w:sz w:val="24"/>
              </w:rPr>
              <w:t xml:space="preserve"> 提供人脸人体融合聚类能力 ，支持前端卡口关联的人脸人体数据统一归档；支持使用人脸人体抓拍数据进行人员聚类；</w:t>
            </w:r>
          </w:p>
          <w:p w14:paraId="3AF23F4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r>
              <w:rPr>
                <w:rFonts w:ascii="仿宋_GB2312" w:hAnsi="仿宋_GB2312" w:eastAsia="仿宋_GB2312" w:cs="仿宋_GB2312"/>
                <w:color w:val="000000"/>
                <w:sz w:val="24"/>
              </w:rPr>
              <w:t>1.</w:t>
            </w:r>
            <w:r>
              <w:rPr>
                <w:rFonts w:hint="eastAsia" w:ascii="仿宋_GB2312" w:hAnsi="仿宋_GB2312" w:eastAsia="仿宋_GB2312" w:cs="仿宋_GB2312"/>
                <w:color w:val="000000"/>
                <w:sz w:val="24"/>
              </w:rPr>
              <w:t xml:space="preserve"> 提供数据计算服务，通过汇聚、清洗、整合等工序对感知数据进行加工处理；并利用轨迹、关系，标签挖掘算法对感知数据进行深度挖掘分析，形成实体档案，轨迹探索，关系挖掘，标签市场等功能模块；</w:t>
            </w:r>
          </w:p>
          <w:p w14:paraId="7A7157D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r>
              <w:rPr>
                <w:rFonts w:ascii="仿宋_GB2312" w:hAnsi="仿宋_GB2312" w:eastAsia="仿宋_GB2312" w:cs="仿宋_GB2312"/>
                <w:color w:val="000000"/>
                <w:sz w:val="24"/>
              </w:rPr>
              <w:t>2.</w:t>
            </w:r>
            <w:r>
              <w:rPr>
                <w:rFonts w:hint="eastAsia" w:ascii="仿宋_GB2312" w:hAnsi="仿宋_GB2312" w:eastAsia="仿宋_GB2312" w:cs="仿宋_GB2312"/>
                <w:color w:val="000000"/>
                <w:sz w:val="24"/>
              </w:rPr>
              <w:t xml:space="preserve"> 支持关系挖掘，基于纯感知数据（视频+图像），挖掘人员、车辆、地点之间的关系，形成三大类实体之间的关系网络，支持以可视化形式展现关系证据链；</w:t>
            </w:r>
          </w:p>
          <w:p w14:paraId="6943818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r>
              <w:rPr>
                <w:rFonts w:ascii="仿宋_GB2312" w:hAnsi="仿宋_GB2312" w:eastAsia="仿宋_GB2312" w:cs="仿宋_GB2312"/>
                <w:color w:val="000000"/>
                <w:sz w:val="24"/>
              </w:rPr>
              <w:t>3.</w:t>
            </w:r>
            <w:r>
              <w:rPr>
                <w:rFonts w:hint="eastAsia" w:ascii="仿宋_GB2312" w:hAnsi="仿宋_GB2312" w:eastAsia="仿宋_GB2312" w:cs="仿宋_GB2312"/>
                <w:color w:val="000000"/>
                <w:sz w:val="24"/>
              </w:rPr>
              <w:t xml:space="preserve"> 基于纯感知数据，对人员、车辆实体进行标签刻画。支持标签参数修改、标签检索、多标签组合查询。</w:t>
            </w:r>
          </w:p>
        </w:tc>
        <w:tc>
          <w:tcPr>
            <w:tcW w:w="990" w:type="dxa"/>
            <w:tcBorders>
              <w:top w:val="single" w:color="000000" w:sz="4" w:space="0"/>
              <w:left w:val="single" w:color="000000" w:sz="4" w:space="0"/>
              <w:bottom w:val="single" w:color="000000" w:sz="4" w:space="0"/>
              <w:right w:val="single" w:color="000000" w:sz="4" w:space="0"/>
            </w:tcBorders>
            <w:vAlign w:val="center"/>
          </w:tcPr>
          <w:p w14:paraId="5DCE3C77">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3DD69FE7">
        <w:tblPrEx>
          <w:tblCellMar>
            <w:top w:w="0" w:type="dxa"/>
            <w:left w:w="108" w:type="dxa"/>
            <w:bottom w:w="0" w:type="dxa"/>
            <w:right w:w="108" w:type="dxa"/>
          </w:tblCellMar>
        </w:tblPrEx>
        <w:tc>
          <w:tcPr>
            <w:tcW w:w="416" w:type="dxa"/>
            <w:tcBorders>
              <w:top w:val="single" w:color="000000" w:sz="4" w:space="0"/>
              <w:left w:val="single" w:color="000000" w:sz="4" w:space="0"/>
              <w:bottom w:val="single" w:color="000000" w:sz="4" w:space="0"/>
              <w:right w:val="single" w:color="000000" w:sz="4" w:space="0"/>
            </w:tcBorders>
            <w:vAlign w:val="center"/>
          </w:tcPr>
          <w:p w14:paraId="317946ED">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4</w:t>
            </w:r>
          </w:p>
        </w:tc>
        <w:tc>
          <w:tcPr>
            <w:tcW w:w="1245" w:type="dxa"/>
            <w:tcBorders>
              <w:top w:val="single" w:color="000000" w:sz="4" w:space="0"/>
              <w:left w:val="single" w:color="000000" w:sz="4" w:space="0"/>
              <w:bottom w:val="single" w:color="000000" w:sz="4" w:space="0"/>
              <w:right w:val="single" w:color="000000" w:sz="4" w:space="0"/>
            </w:tcBorders>
            <w:vAlign w:val="center"/>
          </w:tcPr>
          <w:p w14:paraId="14A2C39F">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国产化检索节点</w:t>
            </w:r>
          </w:p>
        </w:tc>
        <w:tc>
          <w:tcPr>
            <w:tcW w:w="6990" w:type="dxa"/>
            <w:tcBorders>
              <w:top w:val="single" w:color="000000" w:sz="4" w:space="0"/>
              <w:left w:val="single" w:color="000000" w:sz="4" w:space="0"/>
              <w:bottom w:val="single" w:color="000000" w:sz="4" w:space="0"/>
              <w:right w:val="single" w:color="000000" w:sz="4" w:space="0"/>
            </w:tcBorders>
            <w:vAlign w:val="center"/>
          </w:tcPr>
          <w:p w14:paraId="4337763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★一、2U机架式服务器</w:t>
            </w:r>
          </w:p>
          <w:p w14:paraId="41BEF27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★二、处理器CPU规格</w:t>
            </w:r>
          </w:p>
          <w:p w14:paraId="5567F0C8">
            <w:pPr>
              <w:pStyle w:val="17"/>
              <w:keepNext w:val="0"/>
              <w:keepLines w:val="0"/>
              <w:pageBreakBefore w:val="0"/>
              <w:kinsoku/>
              <w:wordWrap/>
              <w:overflowPunct/>
              <w:topLinePunct w:val="0"/>
              <w:bidi w:val="0"/>
              <w:snapToGrid/>
              <w:ind w:firstLine="240" w:firstLineChars="100"/>
              <w:rPr>
                <w:rFonts w:ascii="仿宋_GB2312" w:hAnsi="仿宋_GB2312" w:eastAsia="仿宋_GB2312" w:cs="仿宋_GB2312"/>
              </w:rPr>
            </w:pPr>
            <w:r>
              <w:rPr>
                <w:rFonts w:hint="eastAsia" w:ascii="仿宋_GB2312" w:hAnsi="仿宋_GB2312" w:eastAsia="仿宋_GB2312" w:cs="仿宋_GB2312"/>
                <w:sz w:val="24"/>
              </w:rPr>
              <w:t>1.配置国产CPU≥2颗；单颗CPU核数不低于3</w:t>
            </w:r>
            <w:r>
              <w:rPr>
                <w:rFonts w:ascii="仿宋_GB2312" w:hAnsi="仿宋_GB2312" w:eastAsia="仿宋_GB2312" w:cs="仿宋_GB2312"/>
                <w:sz w:val="24"/>
              </w:rPr>
              <w:t>2</w:t>
            </w:r>
            <w:r>
              <w:rPr>
                <w:rFonts w:hint="eastAsia" w:ascii="仿宋_GB2312" w:hAnsi="仿宋_GB2312" w:eastAsia="仿宋_GB2312" w:cs="仿宋_GB2312"/>
                <w:sz w:val="24"/>
              </w:rPr>
              <w:t>核，主频≥2.6GHz主频，末级缓存容量≥</w:t>
            </w:r>
            <w:r>
              <w:rPr>
                <w:rFonts w:ascii="仿宋_GB2312" w:hAnsi="仿宋_GB2312" w:eastAsia="仿宋_GB2312" w:cs="仿宋_GB2312"/>
                <w:sz w:val="24"/>
              </w:rPr>
              <w:t>32</w:t>
            </w:r>
            <w:r>
              <w:rPr>
                <w:rFonts w:hint="eastAsia" w:ascii="仿宋_GB2312" w:hAnsi="仿宋_GB2312" w:eastAsia="仿宋_GB2312" w:cs="仿宋_GB2312"/>
                <w:sz w:val="24"/>
              </w:rPr>
              <w:t>MB，功耗≤</w:t>
            </w:r>
            <w:r>
              <w:rPr>
                <w:rFonts w:ascii="仿宋_GB2312" w:hAnsi="仿宋_GB2312" w:eastAsia="仿宋_GB2312" w:cs="仿宋_GB2312"/>
                <w:sz w:val="24"/>
              </w:rPr>
              <w:t>95</w:t>
            </w:r>
            <w:r>
              <w:rPr>
                <w:rFonts w:hint="eastAsia" w:ascii="仿宋_GB2312" w:hAnsi="仿宋_GB2312" w:eastAsia="仿宋_GB2312" w:cs="仿宋_GB2312"/>
                <w:sz w:val="24"/>
              </w:rPr>
              <w:t>W，内存速率≥2666MT/s；支持≥4通道内存，支持≥64位处理器，线程数≥</w:t>
            </w:r>
            <w:r>
              <w:rPr>
                <w:rFonts w:ascii="仿宋_GB2312" w:hAnsi="仿宋_GB2312" w:eastAsia="仿宋_GB2312" w:cs="仿宋_GB2312"/>
                <w:sz w:val="24"/>
              </w:rPr>
              <w:t>32</w:t>
            </w:r>
            <w:r>
              <w:rPr>
                <w:rFonts w:hint="eastAsia" w:ascii="仿宋_GB2312" w:hAnsi="仿宋_GB2312" w:eastAsia="仿宋_GB2312" w:cs="仿宋_GB2312"/>
                <w:sz w:val="24"/>
              </w:rPr>
              <w:t>，位宽≥64bit</w:t>
            </w:r>
            <w:r>
              <w:rPr>
                <w:rFonts w:hint="eastAsia" w:ascii="仿宋_GB2312" w:hAnsi="仿宋_GB2312" w:eastAsia="仿宋_GB2312" w:cs="仿宋_GB2312"/>
              </w:rPr>
              <w:t>；</w:t>
            </w:r>
          </w:p>
          <w:p w14:paraId="0F8CFBA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★三、主板规格</w:t>
            </w:r>
          </w:p>
          <w:p w14:paraId="2E9FFF9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1.主板支持的CPU和内存情况：≥2颗；支持内存≥DDR4，支持内存数量：≥16个；</w:t>
            </w:r>
          </w:p>
          <w:p w14:paraId="4B1CA1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2.主板内存槽数量：非板载内存的可扩展插槽数量应≥4个；</w:t>
            </w:r>
          </w:p>
          <w:p w14:paraId="246DFDA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3.主板存储接口：支持 SATA、SAS、M.2、U.2等存储接口中数≥1种； </w:t>
            </w:r>
          </w:p>
          <w:p w14:paraId="2AA7E2C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4.PCIe插槽接口：符合PCIe3.0或以上的高速串行计算机扩展总线标准，PCIe的接口速率与位宽需保证向下兼容；</w:t>
            </w:r>
          </w:p>
          <w:p w14:paraId="05B4C01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5.主板PCIe插槽数量及规格：a)高度大于44.45mm双路或以上服务器 PCIe插槽或接口≥5个，可通过扩展卡进行插槽扩展；可拓展支持≥8个PCIe 4.0 x8，或者≥3个PCIe 4.0 x16 + 2个 PCIe 4.0 x8标准插槽； </w:t>
            </w:r>
          </w:p>
          <w:p w14:paraId="023A289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★四、内存规格</w:t>
            </w:r>
          </w:p>
          <w:p w14:paraId="0C341AD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1.内存数量：≥16；本次配置总容量≥</w:t>
            </w:r>
            <w:r>
              <w:rPr>
                <w:rFonts w:ascii="仿宋_GB2312" w:hAnsi="仿宋_GB2312" w:eastAsia="仿宋_GB2312" w:cs="仿宋_GB2312"/>
              </w:rPr>
              <w:t>256</w:t>
            </w:r>
            <w:r>
              <w:rPr>
                <w:rFonts w:hint="eastAsia" w:ascii="仿宋_GB2312" w:hAnsi="仿宋_GB2312" w:eastAsia="仿宋_GB2312" w:cs="仿宋_GB2312"/>
              </w:rPr>
              <w:t>GB内存；</w:t>
            </w:r>
          </w:p>
          <w:p w14:paraId="45F5CEB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2.内存规格：≥DDR4；</w:t>
            </w:r>
          </w:p>
          <w:p w14:paraId="02075C6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3.内存通道：支持多个内存接口通道，每个通道可支持1DPC或2DPC，当支持2DPC时，印制电路板上应具备插槽的序号标识，支持≥4通道内存；</w:t>
            </w:r>
          </w:p>
          <w:p w14:paraId="6F7156A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4.内存插槽：≥</w:t>
            </w:r>
            <w:r>
              <w:rPr>
                <w:rFonts w:ascii="仿宋_GB2312" w:hAnsi="仿宋_GB2312" w:eastAsia="仿宋_GB2312" w:cs="仿宋_GB2312"/>
              </w:rPr>
              <w:t>16</w:t>
            </w:r>
            <w:r>
              <w:rPr>
                <w:rFonts w:hint="eastAsia" w:ascii="仿宋_GB2312" w:hAnsi="仿宋_GB2312" w:eastAsia="仿宋_GB2312" w:cs="仿宋_GB2312"/>
              </w:rPr>
              <w:t>个，可拓展支持总容量≥2TB；</w:t>
            </w:r>
          </w:p>
          <w:p w14:paraId="6A16201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★五、存储规格</w:t>
            </w:r>
          </w:p>
          <w:p w14:paraId="6DD9A74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◆1.硬磁盘实配容量：a)单盘≥</w:t>
            </w:r>
            <w:r>
              <w:rPr>
                <w:rFonts w:ascii="仿宋_GB2312" w:hAnsi="仿宋_GB2312" w:eastAsia="仿宋_GB2312" w:cs="仿宋_GB2312"/>
              </w:rPr>
              <w:t>1</w:t>
            </w:r>
            <w:r>
              <w:rPr>
                <w:rFonts w:hint="eastAsia" w:ascii="仿宋_GB2312" w:hAnsi="仿宋_GB2312" w:eastAsia="仿宋_GB2312" w:cs="仿宋_GB2312"/>
              </w:rPr>
              <w:t>TB SAS 硬盘；b)单盘≥480G SSD</w:t>
            </w:r>
            <w:r>
              <w:rPr>
                <w:rFonts w:ascii="仿宋_GB2312" w:hAnsi="仿宋_GB2312" w:eastAsia="仿宋_GB2312" w:cs="仿宋_GB2312"/>
              </w:rPr>
              <w:t xml:space="preserve"> </w:t>
            </w:r>
            <w:r>
              <w:rPr>
                <w:rFonts w:hint="eastAsia" w:ascii="仿宋_GB2312" w:hAnsi="仿宋_GB2312" w:eastAsia="仿宋_GB2312" w:cs="仿宋_GB2312"/>
              </w:rPr>
              <w:t>硬盘；c）单盘≥4</w:t>
            </w:r>
            <w:r>
              <w:rPr>
                <w:rFonts w:ascii="仿宋_GB2312" w:hAnsi="仿宋_GB2312" w:eastAsia="仿宋_GB2312" w:cs="仿宋_GB2312"/>
              </w:rPr>
              <w:t>TB SATA</w:t>
            </w:r>
            <w:r>
              <w:rPr>
                <w:rFonts w:hint="eastAsia" w:ascii="仿宋_GB2312" w:hAnsi="仿宋_GB2312" w:eastAsia="仿宋_GB2312" w:cs="仿宋_GB2312"/>
              </w:rPr>
              <w:t>硬盘；</w:t>
            </w:r>
          </w:p>
          <w:p w14:paraId="51F282D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2.硬盘实配数量：a)</w:t>
            </w:r>
            <w:r>
              <w:rPr>
                <w:rFonts w:ascii="仿宋_GB2312" w:hAnsi="仿宋_GB2312" w:eastAsia="仿宋_GB2312" w:cs="仿宋_GB2312"/>
              </w:rPr>
              <w:t>2</w:t>
            </w:r>
            <w:r>
              <w:rPr>
                <w:rFonts w:hint="eastAsia" w:ascii="仿宋_GB2312" w:hAnsi="仿宋_GB2312" w:eastAsia="仿宋_GB2312" w:cs="仿宋_GB2312"/>
              </w:rPr>
              <w:t>块≥</w:t>
            </w:r>
            <w:r>
              <w:rPr>
                <w:rFonts w:ascii="仿宋_GB2312" w:hAnsi="仿宋_GB2312" w:eastAsia="仿宋_GB2312" w:cs="仿宋_GB2312"/>
              </w:rPr>
              <w:t>1</w:t>
            </w:r>
            <w:r>
              <w:rPr>
                <w:rFonts w:hint="eastAsia" w:ascii="仿宋_GB2312" w:hAnsi="仿宋_GB2312" w:eastAsia="仿宋_GB2312" w:cs="仿宋_GB2312"/>
              </w:rPr>
              <w:t>TB SAS 硬盘；b)≥8块480G SSD</w:t>
            </w:r>
            <w:r>
              <w:rPr>
                <w:rFonts w:ascii="仿宋_GB2312" w:hAnsi="仿宋_GB2312" w:eastAsia="仿宋_GB2312" w:cs="仿宋_GB2312"/>
              </w:rPr>
              <w:t xml:space="preserve"> </w:t>
            </w:r>
            <w:r>
              <w:rPr>
                <w:rFonts w:hint="eastAsia" w:ascii="仿宋_GB2312" w:hAnsi="仿宋_GB2312" w:eastAsia="仿宋_GB2312" w:cs="仿宋_GB2312"/>
              </w:rPr>
              <w:t>硬盘；c）≥2块4</w:t>
            </w:r>
            <w:r>
              <w:rPr>
                <w:rFonts w:ascii="仿宋_GB2312" w:hAnsi="仿宋_GB2312" w:eastAsia="仿宋_GB2312" w:cs="仿宋_GB2312"/>
              </w:rPr>
              <w:t>TB SATA</w:t>
            </w:r>
            <w:r>
              <w:rPr>
                <w:rFonts w:hint="eastAsia" w:ascii="仿宋_GB2312" w:hAnsi="仿宋_GB2312" w:eastAsia="仿宋_GB2312" w:cs="仿宋_GB2312"/>
              </w:rPr>
              <w:t>硬盘；</w:t>
            </w:r>
          </w:p>
          <w:p w14:paraId="5F915ED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3.硬盘插槽数量及规格：≥12个硬盘位，整机最大可拓展支持16个3.5英寸/2.5英寸SAS/SATA/SSD硬盘位，可拓展支持4个后置2.5英寸NVME盘；</w:t>
            </w:r>
          </w:p>
          <w:p w14:paraId="66F16DC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六、RAID阵列</w:t>
            </w:r>
          </w:p>
          <w:p w14:paraId="2CA485C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1.配置1张独立RAID卡，缓存≥2G,支持RAID 0/1/5/6/10/50/60，可拓展支持超级电容掉电保护，配置一个RAID超级电容;</w:t>
            </w:r>
          </w:p>
          <w:p w14:paraId="3EACD9C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★七、网络规格</w:t>
            </w:r>
          </w:p>
          <w:p w14:paraId="082B101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1.网口速率和数量：配备网口数量不少于6个，且网口速率不少于1GE，其中1GE网口数量≥</w:t>
            </w:r>
            <w:r>
              <w:rPr>
                <w:rFonts w:ascii="仿宋_GB2312" w:hAnsi="仿宋_GB2312" w:eastAsia="仿宋_GB2312" w:cs="仿宋_GB2312"/>
              </w:rPr>
              <w:t>2</w:t>
            </w:r>
            <w:r>
              <w:rPr>
                <w:rFonts w:hint="eastAsia" w:ascii="仿宋_GB2312" w:hAnsi="仿宋_GB2312" w:eastAsia="仿宋_GB2312" w:cs="仿宋_GB2312"/>
              </w:rPr>
              <w:t>个、10GE网口数量≥</w:t>
            </w:r>
            <w:r>
              <w:rPr>
                <w:rFonts w:ascii="仿宋_GB2312" w:hAnsi="仿宋_GB2312" w:eastAsia="仿宋_GB2312" w:cs="仿宋_GB2312"/>
              </w:rPr>
              <w:t>4</w:t>
            </w:r>
            <w:r>
              <w:rPr>
                <w:rFonts w:hint="eastAsia" w:ascii="仿宋_GB2312" w:hAnsi="仿宋_GB2312" w:eastAsia="仿宋_GB2312" w:cs="仿宋_GB2312"/>
              </w:rPr>
              <w:t>个；</w:t>
            </w:r>
          </w:p>
          <w:p w14:paraId="77142A2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★八、外部接口规格</w:t>
            </w:r>
          </w:p>
          <w:p w14:paraId="5BA2DD8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1.显示接口：显示接口类型支持≥</w:t>
            </w:r>
            <w:r>
              <w:rPr>
                <w:rFonts w:ascii="仿宋_GB2312" w:hAnsi="仿宋_GB2312" w:eastAsia="仿宋_GB2312" w:cs="仿宋_GB2312"/>
              </w:rPr>
              <w:t>2</w:t>
            </w:r>
            <w:r>
              <w:rPr>
                <w:rFonts w:hint="eastAsia" w:ascii="仿宋_GB2312" w:hAnsi="仿宋_GB2312" w:eastAsia="仿宋_GB2312" w:cs="仿宋_GB2312"/>
              </w:rPr>
              <w:t>个VGA接口；</w:t>
            </w:r>
          </w:p>
          <w:p w14:paraId="121A8F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2.USB接口：配备USB接口，配备≥4个USB 3.0接口；</w:t>
            </w:r>
          </w:p>
          <w:p w14:paraId="1FF7E9A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★九、电源规格</w:t>
            </w:r>
          </w:p>
          <w:p w14:paraId="04CB17A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1.电源模块数量：≥2；</w:t>
            </w:r>
          </w:p>
          <w:p w14:paraId="7E579B7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2.电源功率：单电源功率≥900W，支持1+1冗余功能；</w:t>
            </w:r>
          </w:p>
          <w:p w14:paraId="196528C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★十、整机规格</w:t>
            </w:r>
          </w:p>
          <w:p w14:paraId="58D9626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1.外观和结构：</w:t>
            </w:r>
          </w:p>
          <w:p w14:paraId="26A1180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a)服务器的零部件应紧固无松动，可插拔部件应可靠连接，开关、按钮和其它控制部件应灵活可靠，布局应方便使用；</w:t>
            </w:r>
          </w:p>
          <w:p w14:paraId="0D22D19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b)产品表面不应有明显的凹痕、划伤、裂缝、变形和污染等。表面涂层均匀，不应起泡、龟裂、脱落和磨损，金属零部件无锈蚀及其它机械损伤；</w:t>
            </w:r>
          </w:p>
          <w:p w14:paraId="0BCFE8B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c)产品表面说明功能的文字、符号和标志应清晰、端正且牢固；</w:t>
            </w:r>
          </w:p>
          <w:p w14:paraId="421FCAA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d)应在服务器的显著位置提供运行状态的指示功能，并在随机文件中明确具体含义；</w:t>
            </w:r>
          </w:p>
          <w:p w14:paraId="58ADA95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e)机架、机箱的尺寸应符合通用机柜的安装要求，插入总线插座的电路板接口外形尺寸应符合有关总线标准的规定，将机箱固定在机柜上， 机箱底面最大下垂变形不得干涉相邻机体；</w:t>
            </w:r>
          </w:p>
          <w:p w14:paraId="1946CF3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f)高密度服务器应给出CPU个数与机柜高度；</w:t>
            </w:r>
          </w:p>
          <w:p w14:paraId="4C89466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g)服务器尺寸具体要求在随机文件中明确；</w:t>
            </w:r>
          </w:p>
          <w:p w14:paraId="495FB9A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2.尺寸：服务器机箱尺寸≤2U，高88mm*宽450mm*深790mm（高、宽、深可偏离值±5mm）：设计应遵循标准化、系列化的要求；机箱的内部结构符合通用部件的安装需要；</w:t>
            </w:r>
          </w:p>
          <w:p w14:paraId="56BCEB6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3.环境适应性：气候环境适应性应符合GB/T 9813.3的有关规定，工作温度 10～35℃，贮存运输温度-40～55℃；工作相对湿度 35%～80%，贮存运输相对湿度 20％～93%（40℃）；大气压86～106kPa；</w:t>
            </w:r>
          </w:p>
          <w:p w14:paraId="289ED0F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4.机械环境适应性：机械环境适应性应符合GB/T 9813.3的有关规定；</w:t>
            </w:r>
          </w:p>
          <w:p w14:paraId="6FC4513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5.噪声：符合GB/T 9813.3的有关规定，在产品说明中给出具体测试值塔式服务器噪声在空闲状态下不大于50dB；</w:t>
            </w:r>
          </w:p>
          <w:p w14:paraId="596C02D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★十一、机柜规格</w:t>
            </w:r>
          </w:p>
          <w:p w14:paraId="1FB4FE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1.高2055mm*宽600mm*深800mm（高、宽、深可偏离值±5mm）：设计应遵循标准化、系列化的要求；机箱的内部结构符合通用部件的安装需要；</w:t>
            </w:r>
          </w:p>
          <w:p w14:paraId="12899B0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★十二、主板功能</w:t>
            </w:r>
          </w:p>
          <w:p w14:paraId="440C909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1.主板外部接口种类：支持USB3.0、VGA显示、BMC 管理端口；</w:t>
            </w:r>
          </w:p>
          <w:p w14:paraId="3114BEA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★十三、网络功能</w:t>
            </w:r>
          </w:p>
          <w:p w14:paraId="03E33B4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1.网络功能：支持网络连接、网络访问、数据交换和网络管控功能；</w:t>
            </w:r>
          </w:p>
          <w:p w14:paraId="3F64E8A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★十四、CPU功能</w:t>
            </w:r>
          </w:p>
          <w:p w14:paraId="1D3D554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计算处理：支持通用计算及虚拟化功能。处理器需集成整型计算单元、浮点计算单元、内存控制器、I/O模块等，处理器与存储部件、网络部件、I/O部件等组成计算系统，提供数据处理、网络接入等计算相关功能；</w:t>
            </w:r>
          </w:p>
          <w:p w14:paraId="54FDA17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2.密码算法实现：CPU芯片应符合GM/T 0008的相关规定，或芯片密码模块应符合GB/T 37092或GM/T 0028的相关规定；（通过商用密码检测机构检测并经商用密码认证机构认证合格）</w:t>
            </w:r>
          </w:p>
          <w:p w14:paraId="21284B2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★十五、电源功能</w:t>
            </w:r>
          </w:p>
          <w:p w14:paraId="21D86A8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1.电源热插拔：整机电源模块应具备热插拔功能；</w:t>
            </w:r>
          </w:p>
          <w:p w14:paraId="067C19A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2.电源过流保护：支持过流及短路保护的功能；</w:t>
            </w:r>
          </w:p>
          <w:p w14:paraId="61F02C1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★十六、整机功能</w:t>
            </w:r>
          </w:p>
          <w:p w14:paraId="55D8A98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1.散热方式：支持风冷散热方式；</w:t>
            </w:r>
          </w:p>
          <w:p w14:paraId="73EC6FD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★十七、管理系统功能</w:t>
            </w:r>
          </w:p>
          <w:p w14:paraId="508B761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管理系统支持国产自研管理芯片；支持带外故障检测功能，不依赖于OS，对硬件故障如CPU故障、I2C和IPMI总线故障、内存故障、PCIe设备故障、硬盘故障进行检测和预告；</w:t>
            </w:r>
          </w:p>
          <w:p w14:paraId="113EABF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1.BMC固件基础功能：</w:t>
            </w:r>
          </w:p>
          <w:p w14:paraId="2C5831D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1)支持DHCP设置网络功能；</w:t>
            </w:r>
          </w:p>
          <w:p w14:paraId="4E7D02C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2)支持静态IP 设置网络功能；</w:t>
            </w:r>
          </w:p>
          <w:p w14:paraId="2CDFBDC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3)支持设备日志记录，包括但不限于登录日志、操作日志和报警日志等功能；</w:t>
            </w:r>
          </w:p>
          <w:p w14:paraId="1E7FFA9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4)支持日志信息导出和记录删除功能；</w:t>
            </w:r>
          </w:p>
          <w:p w14:paraId="2EBE674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5)支持通过管理接口向外输出准确的报警信息功能；</w:t>
            </w:r>
          </w:p>
          <w:p w14:paraId="598BD2A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6)设备的BMC管理软件应能够按报警的严重程度进行区分；</w:t>
            </w:r>
          </w:p>
          <w:p w14:paraId="641D005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7)支持IPMI2.0、SNMP 或Redfish 等接口功能；</w:t>
            </w:r>
          </w:p>
          <w:p w14:paraId="47A237B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8)支持键盘、鼠标和视频的重定向、文本控制台的重定向、远程虚拟媒体、高可靠的硬件监控和管理功能；</w:t>
            </w:r>
          </w:p>
          <w:p w14:paraId="3540068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9)支持基于网络开启、关闭和重启设备的功能，并查询当前设备开机运行状态；</w:t>
            </w:r>
          </w:p>
          <w:p w14:paraId="74463DF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10)支持故障提示功能，并可通过接口读取服务器故障信息；11)支持基于网络的固件更新功能， 包括BMC 和BIOS 等；</w:t>
            </w:r>
          </w:p>
          <w:p w14:paraId="45C4AC1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12)支持基于网络安装操作系统的功能，并可通过网络控制台访问设备；</w:t>
            </w:r>
          </w:p>
          <w:p w14:paraId="250AA30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13)支持通过本地的硬盘或光驱等存储设备，基于网络完成设备的操作系统安装功能；</w:t>
            </w:r>
          </w:p>
          <w:p w14:paraId="241D37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14)支持通过浏览器打开管理界面并登录功能；</w:t>
            </w:r>
          </w:p>
          <w:p w14:paraId="0FF97C5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15)支持设置口令策略功能；</w:t>
            </w:r>
          </w:p>
          <w:p w14:paraId="7124D00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16)支持访问权限设置功能，并通过日志记录访问事件；</w:t>
            </w:r>
          </w:p>
          <w:p w14:paraId="2C4C967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17)支持对出厂默认的用户名及口令进行安全保护功能，并提供默认口令修改提示；</w:t>
            </w:r>
          </w:p>
          <w:p w14:paraId="113661C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18)支持读取设备主板的工作环境温度功能；</w:t>
            </w:r>
          </w:p>
          <w:p w14:paraId="6E51C86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19)支持读取服务器CPU 等核心器件的温度功能；</w:t>
            </w:r>
          </w:p>
          <w:p w14:paraId="528167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20)支持通过外部管理工具进行BMC参数设置的功能，并可基于网络通过外部管理工具对BMC进行管理；</w:t>
            </w:r>
          </w:p>
          <w:p w14:paraId="496DF06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21)应支持固件版本查询、 固件升级；</w:t>
            </w:r>
          </w:p>
          <w:p w14:paraId="19AD508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22)支持基于网络实现开关机和复位控制的功能；</w:t>
            </w:r>
          </w:p>
          <w:p w14:paraId="28F7171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23)BMC 启动时间应不超过 180s， 实现功能包括网络、 IPMI、散热、传感器服务可用；</w:t>
            </w:r>
          </w:p>
          <w:p w14:paraId="2A3DDB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24)支持 BMC 固件设置的恢复出厂功能；</w:t>
            </w:r>
          </w:p>
          <w:p w14:paraId="221D407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2.BIOS固件基础功能：</w:t>
            </w:r>
          </w:p>
          <w:p w14:paraId="573DDEB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a）支持查看固件版本、内存信息、主板信息、处理器信息和系统时间信息功能；</w:t>
            </w:r>
          </w:p>
          <w:p w14:paraId="7B958D4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b）支持上电初始化界面显示 CPU 信息、内存信息、固件版本和部分快捷键信息功能；</w:t>
            </w:r>
          </w:p>
          <w:p w14:paraId="335AFB7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c）支持设置界面中英文显示切换功能；</w:t>
            </w:r>
          </w:p>
          <w:p w14:paraId="446D260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d）支持查看 PCIe 设备信息，SATA 设备信息功能；</w:t>
            </w:r>
          </w:p>
          <w:p w14:paraId="2A5967D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e）支持操作系统安装和引导功能， 应并向操作系统提供计算机主板信息和服务接口；</w:t>
            </w:r>
          </w:p>
          <w:p w14:paraId="42F14F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f）支持设置启动顺序，并按照设置的启动顺序启动功能；</w:t>
            </w:r>
          </w:p>
          <w:p w14:paraId="3E852F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g）支持安全启动功能；</w:t>
            </w:r>
          </w:p>
          <w:p w14:paraId="168DA72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h）支持设置口令、修改口令、验证口令功能；</w:t>
            </w:r>
          </w:p>
          <w:p w14:paraId="5351E17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i）支持板载显示控制或独立显卡的显示控制功能；</w:t>
            </w:r>
          </w:p>
          <w:p w14:paraId="0742DCA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j）支持 RAID 识别和启动功能；</w:t>
            </w:r>
          </w:p>
          <w:p w14:paraId="2B17F7B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k）支持串口重定向功能；</w:t>
            </w:r>
          </w:p>
          <w:p w14:paraId="5187FE4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l）支持固件更新功能；</w:t>
            </w:r>
          </w:p>
          <w:p w14:paraId="6932C3D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m）支持 BIOS 固件设置的恢复出厂功能；</w:t>
            </w:r>
          </w:p>
          <w:p w14:paraId="5B908F2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n）支持网络引导启用和关闭功能；</w:t>
            </w:r>
          </w:p>
          <w:p w14:paraId="53CFFEB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3.远程控制：支持远程关机和重新启动功能；</w:t>
            </w:r>
          </w:p>
          <w:p w14:paraId="6D6C8E5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★十八、操作系统及驱动功能</w:t>
            </w:r>
          </w:p>
          <w:p w14:paraId="789EBA0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1.操作系统及驱动的升级：支持通过网络、闪存盘对操作系统、驱动进行升级；</w:t>
            </w:r>
          </w:p>
          <w:p w14:paraId="7C54D2D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2.操作系统功能：</w:t>
            </w:r>
          </w:p>
          <w:p w14:paraId="5D29C3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a)支持访问控制、安全审计、网络接入鉴别等功能；</w:t>
            </w:r>
          </w:p>
          <w:p w14:paraId="2637F23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b)操作系统其他功能应满足操作系统政府采购需求标准中加*的指标要求；</w:t>
            </w:r>
          </w:p>
          <w:p w14:paraId="4B5318D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★十九、中文信息处理功能</w:t>
            </w:r>
          </w:p>
          <w:p w14:paraId="4DEDD90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1.中文信息处理：符合GB18030的有关规定；</w:t>
            </w:r>
          </w:p>
          <w:p w14:paraId="38AC06B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★二十、关键部件安全要求</w:t>
            </w:r>
          </w:p>
          <w:p w14:paraId="3A894E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1.关键部件安全要求：CPU和操作系统等关键部件应当符合安全可靠测评要求；通过政府有关部门指定的中国信息安全测评中心和国家保密科技测评中心网站查看安全可靠测评结果。</w:t>
            </w:r>
          </w:p>
          <w:p w14:paraId="408DBAF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rPr>
              <w:t>注：投标人在填写《技术响应表》时，在“投标文件响应技术参数”明确给出所投国产化检索节点“CPU型号”及“操作系统”名称，否则视为投标无效。</w:t>
            </w:r>
          </w:p>
          <w:p w14:paraId="1849504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★二十一、固件安全要求</w:t>
            </w:r>
          </w:p>
          <w:p w14:paraId="4F9A358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1.故障检测：支持故障检测功能，可以检测到具体的FRU（内存、硬盘等）的故障并发出告警；</w:t>
            </w:r>
          </w:p>
          <w:p w14:paraId="6A050FB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★二十二、系统安全要求</w:t>
            </w:r>
          </w:p>
          <w:p w14:paraId="5F38500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1.弱口令字典检查：支持弱口令字典检查功能，出现在弱口令字典中的字符串不能被设置为用户口令；</w:t>
            </w:r>
          </w:p>
          <w:p w14:paraId="0E63A62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2.白名单访问控制：支持基于时间、IP 或 MAC 白名单访问控制；</w:t>
            </w:r>
          </w:p>
          <w:p w14:paraId="1FEA6FE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3.二次鉴别：支持二次鉴别功能。对于用户配置、权限配置、公钥导入等重要的管理操作，已登录用户应通过二次鉴别后，才能执行操作；</w:t>
            </w:r>
          </w:p>
          <w:p w14:paraId="7FD2BD5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4.密码证书安全加密存储：支持对带外管理系统中的用户口令和证书等敏感信息进行加密存储， 禁止使用私有的和业界已知不安全的密码算法；</w:t>
            </w:r>
          </w:p>
          <w:p w14:paraId="52B5973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5.敏感信息安全加密传输：支持使用安全的传输加密协议（如SSH或HTTPS等）传输用户的敏感信息；</w:t>
            </w:r>
          </w:p>
          <w:p w14:paraId="1B768A8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★二十三、信息安全要求</w:t>
            </w:r>
          </w:p>
          <w:p w14:paraId="2DACE7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研发过程安全：供应商承诺生产商已建立从需求、设计、开发、测试、维护端到端的开发流程管理机制，输出和保存开发流程中每个阶段的产品需求清单、设计文档、开发文档、测试记录等材料，保证各个流程可追溯；</w:t>
            </w:r>
          </w:p>
          <w:p w14:paraId="5D4C75F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★二十四、物理安全</w:t>
            </w:r>
          </w:p>
          <w:p w14:paraId="5955EF7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1.物理安全：安全要求应符合GB4943.1的规定；</w:t>
            </w:r>
          </w:p>
          <w:p w14:paraId="50CFF88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★二十五、限用物质的限量要求</w:t>
            </w:r>
          </w:p>
          <w:p w14:paraId="557D2BA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1.限用物质的限量要求：限用物质的限量应符合GB/T26572的要求；</w:t>
            </w:r>
          </w:p>
          <w:p w14:paraId="3E0087C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★二十六、CPU性能</w:t>
            </w:r>
          </w:p>
          <w:p w14:paraId="3564A1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1.CPU主频：≥2.6GHz；</w:t>
            </w:r>
          </w:p>
          <w:p w14:paraId="709B23E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2.单CPU 核数：≥</w:t>
            </w:r>
            <w:r>
              <w:rPr>
                <w:rFonts w:ascii="仿宋_GB2312" w:hAnsi="仿宋_GB2312" w:eastAsia="仿宋_GB2312" w:cs="仿宋_GB2312"/>
                <w:color w:val="000000" w:themeColor="text1"/>
                <w14:textFill>
                  <w14:solidFill>
                    <w14:schemeClr w14:val="tx1"/>
                  </w14:solidFill>
                </w14:textFill>
              </w:rPr>
              <w:t>32</w:t>
            </w:r>
            <w:r>
              <w:rPr>
                <w:rFonts w:hint="eastAsia" w:ascii="仿宋_GB2312" w:hAnsi="仿宋_GB2312" w:eastAsia="仿宋_GB2312" w:cs="仿宋_GB2312"/>
                <w:color w:val="000000" w:themeColor="text1"/>
                <w14:textFill>
                  <w14:solidFill>
                    <w14:schemeClr w14:val="tx1"/>
                  </w14:solidFill>
                </w14:textFill>
              </w:rPr>
              <w:t>；</w:t>
            </w:r>
          </w:p>
          <w:p w14:paraId="0ABDBF7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3.单CPU 末级缓存容量：≥</w:t>
            </w:r>
            <w:r>
              <w:rPr>
                <w:rFonts w:ascii="仿宋_GB2312" w:hAnsi="仿宋_GB2312" w:eastAsia="仿宋_GB2312" w:cs="仿宋_GB2312"/>
                <w:color w:val="000000" w:themeColor="text1"/>
                <w14:textFill>
                  <w14:solidFill>
                    <w14:schemeClr w14:val="tx1"/>
                  </w14:solidFill>
                </w14:textFill>
              </w:rPr>
              <w:t>32</w:t>
            </w:r>
            <w:r>
              <w:rPr>
                <w:rFonts w:hint="eastAsia" w:ascii="仿宋_GB2312" w:hAnsi="仿宋_GB2312" w:eastAsia="仿宋_GB2312" w:cs="仿宋_GB2312"/>
                <w:color w:val="000000" w:themeColor="text1"/>
                <w14:textFill>
                  <w14:solidFill>
                    <w14:schemeClr w14:val="tx1"/>
                  </w14:solidFill>
                </w14:textFill>
              </w:rPr>
              <w:t>MB；</w:t>
            </w:r>
          </w:p>
          <w:p w14:paraId="2C66409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★二十七、内存性能</w:t>
            </w:r>
          </w:p>
          <w:p w14:paraId="69C7F7C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1.内存速率：≥2666MT/s；</w:t>
            </w:r>
          </w:p>
          <w:p w14:paraId="377A80B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★二十八、电源能耗</w:t>
            </w:r>
          </w:p>
          <w:p w14:paraId="71A8AF0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1.电源能耗：符合GB/T9813.3的有关规定；</w:t>
            </w:r>
          </w:p>
          <w:p w14:paraId="6F4F11A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★二十九、部件兼容性要求</w:t>
            </w:r>
          </w:p>
          <w:p w14:paraId="4766295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1.内存兼容性：适配3种及以上厂商的内存产品，且均不低于产品支持的内存规格；</w:t>
            </w:r>
          </w:p>
          <w:p w14:paraId="354C9C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2.固态存储兼容性：适配3种或以上厂商的固态存储产品，且均不低于产品支持的固态存储设备规格；</w:t>
            </w:r>
          </w:p>
          <w:p w14:paraId="570CDBA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3.网卡兼容性：网卡应适配两种或以上厂商产品；</w:t>
            </w:r>
          </w:p>
          <w:p w14:paraId="2353391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4.功能卡兼容性：内置或适配符合PCIe 的功能卡，如： 网络功能卡、存储功能卡及图形显示功能卡；</w:t>
            </w:r>
          </w:p>
          <w:p w14:paraId="4AC2BDC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★三十、外设兼容性</w:t>
            </w:r>
          </w:p>
          <w:p w14:paraId="2BF7C75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1.外设兼容性：兼容多种主流生产商的外部设备， 包括显示器、键盘、鼠标、闪存盘、移动硬盘、USB 光驱及KVM等，要求使用不同厂商的外部设备时，系统均能正常识别和安装驱动；</w:t>
            </w:r>
          </w:p>
          <w:p w14:paraId="51D7EA4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★三十一、软件兼容性</w:t>
            </w:r>
          </w:p>
          <w:p w14:paraId="63439BC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1.数据库兼容：兼容3个及以上厂商的国产数据库产品；</w:t>
            </w:r>
          </w:p>
          <w:p w14:paraId="33BD0AE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2.中间件兼容：兼容3个及以上厂商的国产中间件产品；</w:t>
            </w:r>
          </w:p>
          <w:p w14:paraId="7657E3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3.平台软件兼容：兼容3个及以上厂商的大数据平台；</w:t>
            </w:r>
          </w:p>
          <w:p w14:paraId="24D1160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★三十二、整机可靠性要求</w:t>
            </w:r>
          </w:p>
          <w:p w14:paraId="044602B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1.整机可靠性：m1值（MTBF的不可接受值）不得低于30000h；</w:t>
            </w:r>
          </w:p>
          <w:p w14:paraId="0CE25AC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2.风扇可靠性：风扇寿命应不低于40000h；</w:t>
            </w:r>
          </w:p>
          <w:p w14:paraId="62C2592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3.部件可靠性：支持硬盘、电源、风扇热插拔(内置风扇除外)；</w:t>
            </w:r>
          </w:p>
          <w:p w14:paraId="54E29EC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★三十三、包装及运输要求</w:t>
            </w:r>
          </w:p>
          <w:p w14:paraId="14F23D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标志、包装、运输和贮存：符合GB/T9813.3和商品包装政府采购需求标准的相关规定；</w:t>
            </w:r>
          </w:p>
          <w:p w14:paraId="2C26298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★三十四、服务响应</w:t>
            </w:r>
          </w:p>
          <w:p w14:paraId="4F14249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1.服务响应：</w:t>
            </w:r>
          </w:p>
          <w:p w14:paraId="52CC9B0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a)提供电话、电子邮件、远程连接等多种形式服务；</w:t>
            </w:r>
          </w:p>
          <w:p w14:paraId="0E655F0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b)提供同城 4h、异地12h技术响应服务，2个工作日解决问题，对于未能解决的问题和故障应提供可行的升级方案，并提供周转设备；</w:t>
            </w:r>
          </w:p>
          <w:p w14:paraId="61FA409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c)建立全国技术服务体系和服务团体，符合专业服务体系标准要求，提供原厂中文服务；</w:t>
            </w:r>
          </w:p>
          <w:p w14:paraId="588CC68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d)服务周期内提供产品的维修、换件和升级服务；</w:t>
            </w:r>
          </w:p>
          <w:p w14:paraId="2BA93BE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2.培训服务：提供培训材料、产品手册、培训视频等培训相关内容； </w:t>
            </w:r>
          </w:p>
          <w:p w14:paraId="166BE75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★三十五、服务周期</w:t>
            </w:r>
          </w:p>
          <w:p w14:paraId="4497711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1.服务周期：</w:t>
            </w:r>
          </w:p>
          <w:p w14:paraId="00DB445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a)产品免费服务周期（含换件和维修）应不小于3年；</w:t>
            </w:r>
          </w:p>
          <w:p w14:paraId="76D8CF0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b)设备停产后继续提供质量保障服务（含备品备件），服务终止时间与最后一批设备交付时间间隔不低于6年；</w:t>
            </w:r>
          </w:p>
          <w:p w14:paraId="768A7C0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c)产品停止服务时间应提前1年告知客户；</w:t>
            </w:r>
          </w:p>
          <w:p w14:paraId="39C5317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d)产品发布日期需在随机文件中明确；</w:t>
            </w:r>
          </w:p>
          <w:p w14:paraId="5D07BE7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★三十六、服务工具要求</w:t>
            </w:r>
          </w:p>
          <w:p w14:paraId="0D225DA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1.工具要求：提供设置服务器硬件、辅助操作系统安装等功能的辅助工具和管理软件。且随附软件应具有合法授权或版权；</w:t>
            </w:r>
          </w:p>
          <w:p w14:paraId="7A6EBC2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2.驱动安装升级指引：提供出厂安装的配件所需的驱动程序，形式包括但不限于驱动光盘、驱动下载链接等。其他配件应提供指引；</w:t>
            </w:r>
          </w:p>
          <w:p w14:paraId="05344B9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p>
          <w:p w14:paraId="4245387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★三十七、增值服务</w:t>
            </w:r>
          </w:p>
          <w:p w14:paraId="7494588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1.厂家升级产品软件与扩容服务：提供原厂级的部件/软件产品升级和扩容能力；</w:t>
            </w:r>
          </w:p>
          <w:p w14:paraId="7A14A2A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2.提供上门服务：提供上门服务的能力(可收费)；</w:t>
            </w:r>
          </w:p>
          <w:p w14:paraId="04B0033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★三十八、供应链质量</w:t>
            </w:r>
          </w:p>
          <w:p w14:paraId="6F78DB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1.抗干扰性：当产品部件出现供应风险时，应通知客户并提供风险应对方案确保产品的服务保障，必要时应停止相关受影响产品的销售；</w:t>
            </w:r>
          </w:p>
          <w:p w14:paraId="0A82164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2.供应能力证明：</w:t>
            </w:r>
            <w:r>
              <w:rPr>
                <w:rFonts w:hint="eastAsia" w:ascii="仿宋_GB2312" w:hAnsi="仿宋_GB2312" w:eastAsia="仿宋_GB2312" w:cs="仿宋_GB2312"/>
                <w:lang w:bidi="ar"/>
              </w:rPr>
              <w:t>供应商承诺提供供应链稳定</w:t>
            </w:r>
            <w:r>
              <w:rPr>
                <w:rFonts w:hint="eastAsia" w:ascii="仿宋_GB2312" w:hAnsi="仿宋_GB2312" w:eastAsia="仿宋_GB2312" w:cs="仿宋_GB2312"/>
              </w:rPr>
              <w:t>，确保产品的部件在产品服务周期内稳定供货。</w:t>
            </w:r>
          </w:p>
          <w:p w14:paraId="3B9C8A1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★三十九、操作系统要求</w:t>
            </w:r>
          </w:p>
          <w:p w14:paraId="7E4B281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1.支持AMD、ARM64、MIPS64、SW64、LoongArch等CPU架构，支持鲲鹏、飞腾、海光、兆芯、龙芯、申威等CPU芯片；</w:t>
            </w:r>
          </w:p>
          <w:p w14:paraId="244EFE3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2.兼容国内主流数据库，如：海量、达梦、人大金仓、GaussDB、OceanBase等，兼容国内主流中间件，如：东方通、金蝶、宝兰德等公参项；</w:t>
            </w:r>
          </w:p>
          <w:p w14:paraId="057A318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3.支持虚拟化解决方案，如OpenStack、KVM、Docker、Hyper-V等；</w:t>
            </w:r>
          </w:p>
          <w:p w14:paraId="3BCA19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4.兼容操作系统智能调优工具A-Tune和Keentune；</w:t>
            </w:r>
          </w:p>
          <w:p w14:paraId="533966F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提供完全自主可控的自研系统安全加固工具，提供对已加载内核模块的防卸载和度量能力，须支持选择低、普通、严格三种安全等级，支持选择标准、严格两种加固方案，支持对可执行文件、脚本、共享库文件的防篡改，且支持三权分立；</w:t>
            </w:r>
          </w:p>
          <w:p w14:paraId="5C30740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6.仓库提供开源主流高可用集群组件，提供完全自主可控的自研高可用集群管理工具；</w:t>
            </w:r>
          </w:p>
          <w:p w14:paraId="49DF863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7.系统内置国密算法，支持基于国密算法的加解密应用，支持国密SM2/3/4；须提供国密版内核模块签名机制，支持国密算法，以保证内核模块的可信性，禁止未签名模块加载至</w:t>
            </w:r>
            <w:r>
              <w:rPr>
                <w:rFonts w:ascii="仿宋_GB2312" w:hAnsi="仿宋_GB2312" w:eastAsia="仿宋_GB2312" w:cs="仿宋_GB2312"/>
                <w:color w:val="000000" w:themeColor="text1"/>
                <w14:textFill>
                  <w14:solidFill>
                    <w14:schemeClr w14:val="tx1"/>
                  </w14:solidFill>
                </w14:textFill>
              </w:rPr>
              <w:t>内核；须提供OpenSSL、Libgcrypt、Gnulib、Nettle、Hashes、libkcapi等常见算法库的国密版本，OpenSSL须支持X509、PKCS#7证书</w:t>
            </w:r>
            <w:r>
              <w:rPr>
                <w:rFonts w:hint="eastAsia" w:ascii="仿宋_GB2312" w:hAnsi="仿宋_GB2312" w:eastAsia="仿宋_GB2312" w:cs="仿宋_GB2312"/>
                <w:color w:val="000000" w:themeColor="text1"/>
                <w14:textFill>
                  <w14:solidFill>
                    <w14:schemeClr w14:val="tx1"/>
                  </w14:solidFill>
                </w14:textFill>
              </w:rPr>
              <w:t>；</w:t>
            </w:r>
          </w:p>
          <w:p w14:paraId="1F2C876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8.提供完全自主可控的自研中文图形化桌面环境，桌面环境等核心组件开源率不得高于1%；</w:t>
            </w:r>
          </w:p>
          <w:p w14:paraId="0A5366B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9.提供完全自主可控的自研安全运行环境软件，可允许开发者在操作系统上直接运行一个Linux环境，包括运行命令行工具、组件和应用等；</w:t>
            </w:r>
          </w:p>
          <w:p w14:paraId="3C9759D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0.</w:t>
            </w:r>
            <w:r>
              <w:rPr>
                <w:rFonts w:hint="eastAsia" w:ascii="仿宋_GB2312" w:hAnsi="仿宋_GB2312" w:eastAsia="仿宋_GB2312" w:cs="仿宋_GB2312"/>
              </w:rPr>
              <w:t>提供视图档案业务，基于纯感知数据，对人员、车辆、设备进行全方位刻画分析，形成实体档案，档案详情页可查看实体基本信息等；</w:t>
            </w:r>
          </w:p>
          <w:p w14:paraId="155E2FC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ascii="仿宋_GB2312" w:hAnsi="仿宋_GB2312" w:eastAsia="仿宋_GB2312" w:cs="仿宋_GB2312"/>
              </w:rPr>
              <w:t>11.</w:t>
            </w:r>
            <w:r>
              <w:rPr>
                <w:rFonts w:hint="eastAsia" w:ascii="仿宋_GB2312" w:hAnsi="仿宋_GB2312" w:eastAsia="仿宋_GB2312" w:cs="仿宋_GB2312"/>
              </w:rPr>
              <w:t>支持实时技战法，离线技战法；</w:t>
            </w:r>
          </w:p>
          <w:p w14:paraId="595C82C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2.</w:t>
            </w:r>
            <w:r>
              <w:rPr>
                <w:rFonts w:hint="eastAsia" w:ascii="仿宋_GB2312" w:hAnsi="仿宋_GB2312" w:eastAsia="仿宋_GB2312" w:cs="仿宋_GB2312"/>
              </w:rPr>
              <w:t>支持人、车等数据类型的多维融合计算；技战法支持自动获取大数据平台的标签作为数据源；计算的标签结果支持补充道大数据平台的实体档案中，实体包括人、车；</w:t>
            </w:r>
          </w:p>
          <w:p w14:paraId="4D119B5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3.</w:t>
            </w:r>
            <w:r>
              <w:rPr>
                <w:rFonts w:hint="eastAsia" w:ascii="仿宋_GB2312" w:hAnsi="仿宋_GB2312" w:eastAsia="仿宋_GB2312" w:cs="仿宋_GB2312"/>
              </w:rPr>
              <w:t>支持异构算林融合调度CPU/内存/GPU；支持通过k8s完成任务的调度，支持任务申请GPU资源并根据申请能正确调度；支持多任务并行运行且任务间资源隔离运行；支持队列任务按优先级调度，支持多用户提交任务至同一队列且资源弹性可调度；</w:t>
            </w:r>
          </w:p>
          <w:p w14:paraId="3781B917">
            <w:pPr>
              <w:pStyle w:val="752"/>
              <w:keepNext w:val="0"/>
              <w:keepLines w:val="0"/>
              <w:pageBreakBefore w:val="0"/>
              <w:kinsoku/>
              <w:wordWrap/>
              <w:overflowPunct/>
              <w:topLinePunct w:val="0"/>
              <w:bidi w:val="0"/>
              <w:snapToGrid/>
              <w:spacing w:before="1"/>
              <w:ind w:firstLine="240" w:firstLineChars="100"/>
              <w:rPr>
                <w:rFonts w:ascii="仿宋_GB2312" w:hAnsi="仿宋_GB2312" w:eastAsia="宋体" w:cs="仿宋_GB2312"/>
                <w:color w:val="000000"/>
              </w:rPr>
            </w:pPr>
            <w:r>
              <w:rPr>
                <w:rFonts w:hint="eastAsia" w:ascii="仿宋_GB2312" w:hAnsi="仿宋_GB2312" w:eastAsia="仿宋_GB2312" w:cs="仿宋_GB2312"/>
              </w:rPr>
              <w:t>14.支持数据资源管理，支持资源分类管理，支持数据领域标签新增、编辑、删除、详情查看等功能，支持层级嵌套；支持信息资源分类标签新增、编辑、删除、详情查看等功能，支持层级嵌套；支持数据目录管理，支持数据资源目录上下线功能，支持对数据资源目录进行批量上下线、删除；支持对数据编目进行文件下载、数据推送、比对订阅、数据共享等服务挂接。</w:t>
            </w:r>
          </w:p>
        </w:tc>
        <w:tc>
          <w:tcPr>
            <w:tcW w:w="990" w:type="dxa"/>
            <w:tcBorders>
              <w:top w:val="single" w:color="000000" w:sz="4" w:space="0"/>
              <w:left w:val="single" w:color="000000" w:sz="4" w:space="0"/>
              <w:bottom w:val="single" w:color="000000" w:sz="4" w:space="0"/>
              <w:right w:val="single" w:color="000000" w:sz="4" w:space="0"/>
            </w:tcBorders>
            <w:vAlign w:val="center"/>
          </w:tcPr>
          <w:p w14:paraId="06A688B1">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27D0B9C9">
        <w:tblPrEx>
          <w:tblCellMar>
            <w:top w:w="0" w:type="dxa"/>
            <w:left w:w="108" w:type="dxa"/>
            <w:bottom w:w="0" w:type="dxa"/>
            <w:right w:w="108" w:type="dxa"/>
          </w:tblCellMar>
        </w:tblPrEx>
        <w:tc>
          <w:tcPr>
            <w:tcW w:w="416" w:type="dxa"/>
            <w:tcBorders>
              <w:top w:val="single" w:color="000000" w:sz="4" w:space="0"/>
              <w:left w:val="single" w:color="000000" w:sz="4" w:space="0"/>
              <w:bottom w:val="single" w:color="000000" w:sz="4" w:space="0"/>
              <w:right w:val="single" w:color="000000" w:sz="4" w:space="0"/>
            </w:tcBorders>
            <w:vAlign w:val="center"/>
          </w:tcPr>
          <w:p w14:paraId="6DC14432">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5</w:t>
            </w:r>
          </w:p>
        </w:tc>
        <w:tc>
          <w:tcPr>
            <w:tcW w:w="1245" w:type="dxa"/>
            <w:tcBorders>
              <w:top w:val="single" w:color="000000" w:sz="4" w:space="0"/>
              <w:left w:val="single" w:color="000000" w:sz="4" w:space="0"/>
              <w:bottom w:val="single" w:color="000000" w:sz="4" w:space="0"/>
              <w:right w:val="single" w:color="000000" w:sz="4" w:space="0"/>
            </w:tcBorders>
            <w:vAlign w:val="center"/>
          </w:tcPr>
          <w:p w14:paraId="2A6225DB">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国产化大模型应用节点</w:t>
            </w:r>
          </w:p>
        </w:tc>
        <w:tc>
          <w:tcPr>
            <w:tcW w:w="6990" w:type="dxa"/>
            <w:tcBorders>
              <w:top w:val="single" w:color="000000" w:sz="4" w:space="0"/>
              <w:left w:val="single" w:color="000000" w:sz="4" w:space="0"/>
              <w:bottom w:val="single" w:color="000000" w:sz="4" w:space="0"/>
              <w:right w:val="single" w:color="000000" w:sz="4" w:space="0"/>
            </w:tcBorders>
            <w:vAlign w:val="center"/>
          </w:tcPr>
          <w:p w14:paraId="1253076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★一、2U机架式服务器</w:t>
            </w:r>
          </w:p>
          <w:p w14:paraId="16506AF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★二、处理器CPU规格</w:t>
            </w:r>
          </w:p>
          <w:p w14:paraId="26235593">
            <w:pPr>
              <w:pStyle w:val="17"/>
              <w:keepNext w:val="0"/>
              <w:keepLines w:val="0"/>
              <w:pageBreakBefore w:val="0"/>
              <w:kinsoku/>
              <w:wordWrap/>
              <w:overflowPunct/>
              <w:topLinePunct w:val="0"/>
              <w:bidi w:val="0"/>
              <w:snapToGrid/>
              <w:ind w:firstLine="240" w:firstLineChars="100"/>
              <w:rPr>
                <w:rFonts w:ascii="仿宋_GB2312" w:hAnsi="仿宋_GB2312" w:eastAsia="仿宋_GB2312" w:cs="仿宋_GB2312"/>
              </w:rPr>
            </w:pPr>
            <w:r>
              <w:rPr>
                <w:rFonts w:hint="eastAsia" w:ascii="仿宋_GB2312" w:hAnsi="仿宋_GB2312" w:eastAsia="仿宋_GB2312" w:cs="仿宋_GB2312"/>
                <w:sz w:val="24"/>
              </w:rPr>
              <w:t>1.配置国产CPU≥2颗；单颗CPU核数不低于2</w:t>
            </w:r>
            <w:r>
              <w:rPr>
                <w:rFonts w:ascii="仿宋_GB2312" w:hAnsi="仿宋_GB2312" w:eastAsia="仿宋_GB2312" w:cs="仿宋_GB2312"/>
                <w:sz w:val="24"/>
              </w:rPr>
              <w:t>4</w:t>
            </w:r>
            <w:r>
              <w:rPr>
                <w:rFonts w:hint="eastAsia" w:ascii="仿宋_GB2312" w:hAnsi="仿宋_GB2312" w:eastAsia="仿宋_GB2312" w:cs="仿宋_GB2312"/>
                <w:sz w:val="24"/>
              </w:rPr>
              <w:t>核，主频≥2.6GHz主频，末级缓存容量≥2</w:t>
            </w:r>
            <w:r>
              <w:rPr>
                <w:rFonts w:ascii="仿宋_GB2312" w:hAnsi="仿宋_GB2312" w:eastAsia="仿宋_GB2312" w:cs="仿宋_GB2312"/>
                <w:sz w:val="24"/>
              </w:rPr>
              <w:t>4</w:t>
            </w:r>
            <w:r>
              <w:rPr>
                <w:rFonts w:hint="eastAsia" w:ascii="仿宋_GB2312" w:hAnsi="仿宋_GB2312" w:eastAsia="仿宋_GB2312" w:cs="仿宋_GB2312"/>
                <w:sz w:val="24"/>
              </w:rPr>
              <w:t>MB，功耗≤</w:t>
            </w:r>
            <w:r>
              <w:rPr>
                <w:rFonts w:ascii="仿宋_GB2312" w:hAnsi="仿宋_GB2312" w:eastAsia="仿宋_GB2312" w:cs="仿宋_GB2312"/>
                <w:sz w:val="24"/>
              </w:rPr>
              <w:t>95</w:t>
            </w:r>
            <w:r>
              <w:rPr>
                <w:rFonts w:hint="eastAsia" w:ascii="仿宋_GB2312" w:hAnsi="仿宋_GB2312" w:eastAsia="仿宋_GB2312" w:cs="仿宋_GB2312"/>
                <w:sz w:val="24"/>
              </w:rPr>
              <w:t>W，内存速率≥2666MT/s；支持≥4通道内存，支持≥64位处理器，线程数≥</w:t>
            </w:r>
            <w:r>
              <w:rPr>
                <w:rFonts w:ascii="仿宋_GB2312" w:hAnsi="仿宋_GB2312" w:eastAsia="仿宋_GB2312" w:cs="仿宋_GB2312"/>
                <w:sz w:val="24"/>
              </w:rPr>
              <w:t>24</w:t>
            </w:r>
            <w:r>
              <w:rPr>
                <w:rFonts w:hint="eastAsia" w:ascii="仿宋_GB2312" w:hAnsi="仿宋_GB2312" w:eastAsia="仿宋_GB2312" w:cs="仿宋_GB2312"/>
                <w:sz w:val="24"/>
              </w:rPr>
              <w:t>，位宽≥64bit</w:t>
            </w:r>
            <w:r>
              <w:rPr>
                <w:rFonts w:hint="eastAsia" w:ascii="仿宋_GB2312" w:hAnsi="仿宋_GB2312" w:eastAsia="仿宋_GB2312" w:cs="仿宋_GB2312"/>
              </w:rPr>
              <w:t>；</w:t>
            </w:r>
          </w:p>
          <w:p w14:paraId="3496C0D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★三、主板规格</w:t>
            </w:r>
          </w:p>
          <w:p w14:paraId="166FF8A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1.主板支持的CPU和内存情况：≥2颗；支持内存≥DDR4，支持内存数量：≥16个；</w:t>
            </w:r>
          </w:p>
          <w:p w14:paraId="60A2F9A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2.主板内存槽数量：非板载内存的可扩展插槽数量应≥4个；</w:t>
            </w:r>
          </w:p>
          <w:p w14:paraId="674F82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3.主板存储接口：支持 SATA、SAS、M.2、U.2等存储接口中数≥1种； </w:t>
            </w:r>
          </w:p>
          <w:p w14:paraId="705FD9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4.PCIe插槽接口：符合PCIe3.0或以上的高速串行计算机扩展总线标准，PCIe的接口速率与位宽需保证向下兼容；</w:t>
            </w:r>
          </w:p>
          <w:p w14:paraId="2820592F">
            <w:pPr>
              <w:pStyle w:val="752"/>
              <w:keepNext w:val="0"/>
              <w:keepLines w:val="0"/>
              <w:pageBreakBefore w:val="0"/>
              <w:kinsoku/>
              <w:wordWrap/>
              <w:overflowPunct/>
              <w:topLinePunct w:val="0"/>
              <w:bidi w:val="0"/>
              <w:snapToGrid/>
              <w:spacing w:before="1"/>
              <w:ind w:firstLine="240" w:firstLineChars="100"/>
              <w:rPr>
                <w:rFonts w:ascii="仿宋_GB2312" w:hAnsi="仿宋_GB2312" w:cs="仿宋_GB2312"/>
              </w:rPr>
            </w:pPr>
            <w:r>
              <w:rPr>
                <w:rFonts w:hint="eastAsia" w:ascii="仿宋_GB2312" w:hAnsi="仿宋_GB2312" w:eastAsia="仿宋_GB2312" w:cs="仿宋_GB2312"/>
              </w:rPr>
              <w:t>5.主板PCIe插槽数量及规格：a)高度大于44.45mm双路或以上服务器 PCIe插槽或接口≥5个，可通过扩展卡进行插槽扩展；可拓展支持≥8个PCIe 4.0 x8，或者≥3个PCIe 4.0 x16 + 2个 PCIe 4.0 x8标准插槽</w:t>
            </w:r>
            <w:r>
              <w:rPr>
                <w:rFonts w:hint="eastAsia"/>
              </w:rPr>
              <w:t>；</w:t>
            </w:r>
          </w:p>
          <w:p w14:paraId="7C0A1D7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★四、内存规格</w:t>
            </w:r>
          </w:p>
          <w:p w14:paraId="2B1848D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1.内存数量：≥16；本次配置总容量≥</w:t>
            </w:r>
            <w:r>
              <w:rPr>
                <w:rFonts w:ascii="仿宋_GB2312" w:hAnsi="仿宋_GB2312" w:eastAsia="仿宋_GB2312" w:cs="仿宋_GB2312"/>
              </w:rPr>
              <w:t>128</w:t>
            </w:r>
            <w:r>
              <w:rPr>
                <w:rFonts w:hint="eastAsia" w:ascii="仿宋_GB2312" w:hAnsi="仿宋_GB2312" w:eastAsia="仿宋_GB2312" w:cs="仿宋_GB2312"/>
              </w:rPr>
              <w:t>GB内存；</w:t>
            </w:r>
          </w:p>
          <w:p w14:paraId="5DAE994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2.内存规格：≥DDR4；</w:t>
            </w:r>
          </w:p>
          <w:p w14:paraId="0E3BDFD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3.内存通道：支持多个内存接口通道，每个通道可支持1DPC或2DPC，当支持2DPC时，印制电路板上应具备插槽的序号标识，支持≥4通道内存；</w:t>
            </w:r>
          </w:p>
          <w:p w14:paraId="2A07E0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4.内存插槽：≥</w:t>
            </w:r>
            <w:r>
              <w:rPr>
                <w:rFonts w:ascii="仿宋_GB2312" w:hAnsi="仿宋_GB2312" w:eastAsia="仿宋_GB2312" w:cs="仿宋_GB2312"/>
              </w:rPr>
              <w:t>16</w:t>
            </w:r>
            <w:r>
              <w:rPr>
                <w:rFonts w:hint="eastAsia" w:ascii="仿宋_GB2312" w:hAnsi="仿宋_GB2312" w:eastAsia="仿宋_GB2312" w:cs="仿宋_GB2312"/>
              </w:rPr>
              <w:t>个，可拓展支持总容量≥2TB；</w:t>
            </w:r>
          </w:p>
          <w:p w14:paraId="0B34BA9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★五、存储规格</w:t>
            </w:r>
          </w:p>
          <w:p w14:paraId="00E7442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◆1.硬磁盘实配容量：a)单盘≥</w:t>
            </w:r>
            <w:r>
              <w:rPr>
                <w:rFonts w:ascii="仿宋_GB2312" w:hAnsi="仿宋_GB2312" w:eastAsia="仿宋_GB2312" w:cs="仿宋_GB2312"/>
              </w:rPr>
              <w:t>2</w:t>
            </w:r>
            <w:r>
              <w:rPr>
                <w:rFonts w:hint="eastAsia" w:ascii="仿宋_GB2312" w:hAnsi="仿宋_GB2312" w:eastAsia="仿宋_GB2312" w:cs="仿宋_GB2312"/>
              </w:rPr>
              <w:t xml:space="preserve">TB </w:t>
            </w:r>
            <w:r>
              <w:rPr>
                <w:rFonts w:ascii="仿宋_GB2312" w:hAnsi="仿宋_GB2312" w:eastAsia="仿宋_GB2312" w:cs="仿宋_GB2312"/>
              </w:rPr>
              <w:t>SATA</w:t>
            </w:r>
            <w:r>
              <w:rPr>
                <w:rFonts w:hint="eastAsia" w:ascii="仿宋_GB2312" w:hAnsi="仿宋_GB2312" w:eastAsia="仿宋_GB2312" w:cs="仿宋_GB2312"/>
              </w:rPr>
              <w:t xml:space="preserve"> 硬盘；b)单盘≥</w:t>
            </w:r>
            <w:r>
              <w:rPr>
                <w:rFonts w:ascii="仿宋_GB2312" w:hAnsi="仿宋_GB2312" w:eastAsia="仿宋_GB2312" w:cs="仿宋_GB2312"/>
              </w:rPr>
              <w:t>240</w:t>
            </w:r>
            <w:r>
              <w:rPr>
                <w:rFonts w:hint="eastAsia" w:ascii="仿宋_GB2312" w:hAnsi="仿宋_GB2312" w:eastAsia="仿宋_GB2312" w:cs="仿宋_GB2312"/>
              </w:rPr>
              <w:t>G SATA SSD；</w:t>
            </w:r>
          </w:p>
          <w:p w14:paraId="432DFAA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2.硬盘实配数量：a)单盘≥2块</w:t>
            </w:r>
            <w:r>
              <w:rPr>
                <w:rFonts w:ascii="仿宋_GB2312" w:hAnsi="仿宋_GB2312" w:eastAsia="仿宋_GB2312" w:cs="仿宋_GB2312"/>
              </w:rPr>
              <w:t>2</w:t>
            </w:r>
            <w:r>
              <w:rPr>
                <w:rFonts w:hint="eastAsia" w:ascii="仿宋_GB2312" w:hAnsi="仿宋_GB2312" w:eastAsia="仿宋_GB2312" w:cs="仿宋_GB2312"/>
              </w:rPr>
              <w:t xml:space="preserve">TB </w:t>
            </w:r>
            <w:r>
              <w:rPr>
                <w:rFonts w:ascii="仿宋_GB2312" w:hAnsi="仿宋_GB2312" w:eastAsia="仿宋_GB2312" w:cs="仿宋_GB2312"/>
              </w:rPr>
              <w:t>SATA</w:t>
            </w:r>
            <w:r>
              <w:rPr>
                <w:rFonts w:hint="eastAsia" w:ascii="仿宋_GB2312" w:hAnsi="仿宋_GB2312" w:eastAsia="仿宋_GB2312" w:cs="仿宋_GB2312"/>
              </w:rPr>
              <w:t xml:space="preserve"> 硬盘；b)单盘≥2块</w:t>
            </w:r>
            <w:r>
              <w:rPr>
                <w:rFonts w:ascii="仿宋_GB2312" w:hAnsi="仿宋_GB2312" w:eastAsia="仿宋_GB2312" w:cs="仿宋_GB2312"/>
              </w:rPr>
              <w:t>240</w:t>
            </w:r>
            <w:r>
              <w:rPr>
                <w:rFonts w:hint="eastAsia" w:ascii="仿宋_GB2312" w:hAnsi="仿宋_GB2312" w:eastAsia="仿宋_GB2312" w:cs="仿宋_GB2312"/>
              </w:rPr>
              <w:t>G SATA SSD；</w:t>
            </w:r>
          </w:p>
          <w:p w14:paraId="55F505B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3.硬盘插槽数量及规格：≥12个硬盘位，整机最大可拓展支持16个3.5英寸/2.5英寸SAS/SATA/SSD硬盘位，可拓展支持4个后置2.5英寸NVME盘；</w:t>
            </w:r>
          </w:p>
          <w:p w14:paraId="33E96C9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六、RAID阵列</w:t>
            </w:r>
          </w:p>
          <w:p w14:paraId="63401DD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1.配置1张独立RAID卡，缓存≥2G,支持RAID 0/1/5/6/10/50/60，可拓展支持超级电容掉电保护，配置一个RAID超级电容;</w:t>
            </w:r>
          </w:p>
          <w:p w14:paraId="2DC546F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★七、网络规格</w:t>
            </w:r>
          </w:p>
          <w:p w14:paraId="043FB89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1.网口速率和数量：配备网口数量不少于6个，且网口速率不少于1GE，其中1GE网口数量≥</w:t>
            </w:r>
            <w:r>
              <w:rPr>
                <w:rFonts w:ascii="仿宋_GB2312" w:hAnsi="仿宋_GB2312" w:eastAsia="仿宋_GB2312" w:cs="仿宋_GB2312"/>
              </w:rPr>
              <w:t>6</w:t>
            </w:r>
            <w:r>
              <w:rPr>
                <w:rFonts w:hint="eastAsia" w:ascii="仿宋_GB2312" w:hAnsi="仿宋_GB2312" w:eastAsia="仿宋_GB2312" w:cs="仿宋_GB2312"/>
              </w:rPr>
              <w:t>个；</w:t>
            </w:r>
          </w:p>
          <w:p w14:paraId="1B982F7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★八、外部接口规格</w:t>
            </w:r>
          </w:p>
          <w:p w14:paraId="38611F0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1.显示接口：显示接口类型支持≥1个VGA接口；</w:t>
            </w:r>
          </w:p>
          <w:p w14:paraId="00F017A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2.USB接口：配备USB接口，配备≥4个USB 3.0接口；</w:t>
            </w:r>
          </w:p>
          <w:p w14:paraId="15C724E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★九、电源规格</w:t>
            </w:r>
          </w:p>
          <w:p w14:paraId="13E05CB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1.电源模块数量：≥2；</w:t>
            </w:r>
          </w:p>
          <w:p w14:paraId="215265F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2.电源功率：单电源功率≥900W，支持1+1冗余功能；</w:t>
            </w:r>
          </w:p>
          <w:p w14:paraId="44DCE57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★十、整机规格</w:t>
            </w:r>
          </w:p>
          <w:p w14:paraId="695B2C9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1.外观和结构：</w:t>
            </w:r>
          </w:p>
          <w:p w14:paraId="69CB79F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a)服务器的零部件应紧固无松动，可插拔部件应可靠连接，开关、按钮和其它控制部件应灵活可靠，布局应方便使用；</w:t>
            </w:r>
          </w:p>
          <w:p w14:paraId="3E121CD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b)产品表面不应有明显的凹痕、划伤、裂缝、变形和污染等。表面涂层均匀，不应起泡、龟裂、脱落和磨损，金属零部件无锈蚀及其它机械损伤；</w:t>
            </w:r>
          </w:p>
          <w:p w14:paraId="57EA565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c)产品表面说明功能的文字、符号和标志应清晰、端正且牢固；</w:t>
            </w:r>
          </w:p>
          <w:p w14:paraId="53FE9AA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d)应在服务器的显著位置提供运行状态的指示功能，并在随机文件中明确具体含义；</w:t>
            </w:r>
          </w:p>
          <w:p w14:paraId="697FACB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e)机架、机箱的尺寸应符合通用机柜的安装要求，插入总线插座的电路板接口外形尺寸应符合有关总线标准的规定，将机箱固定在机柜上， 机箱底面最大下垂变形不得干涉相邻机体；</w:t>
            </w:r>
          </w:p>
          <w:p w14:paraId="6212D81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f)高密度服务器应给出CPU个数与机柜高度；</w:t>
            </w:r>
          </w:p>
          <w:p w14:paraId="07F8560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g)服务器尺寸具体要求在随机文件中明确；</w:t>
            </w:r>
          </w:p>
          <w:p w14:paraId="5D0A01F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2.尺寸：服务器机箱尺寸≤2U，高88mm* 宽450mm*深790mm（高、宽、深可偏离值±5mm）：设计应遵循标准化、系列化的要求；机箱的内部结构符合通用部件的安装需要；</w:t>
            </w:r>
          </w:p>
          <w:p w14:paraId="7907E9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3.环境适应性：气候环境适应性应符合GB/T 9813.3的有关规定，工作温度 10～35℃，贮存运输温度-40～55℃；工作相对湿度 35%～80%，贮存运输相对湿度 20％～93%（40℃）；大气压86～106kPa；</w:t>
            </w:r>
          </w:p>
          <w:p w14:paraId="3F861EE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4.机械环境适应性：机械环境适应性应符合GB/T 9813.3的有关规定；</w:t>
            </w:r>
          </w:p>
          <w:p w14:paraId="175C4E0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5.噪声：符合GB/T 9813.3的有关规定，在产品说明中给出具体测试值塔式服务器噪声在空闲状态下不大于50dB；</w:t>
            </w:r>
          </w:p>
          <w:p w14:paraId="4B2A084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★十一、机柜规格</w:t>
            </w:r>
          </w:p>
          <w:p w14:paraId="268D872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1.高2055mm* 宽600mm*深800mm（高、宽、深可偏离值±5mm）：设计应遵循标准化、系列化的要求；机箱的内部结构符合通用部件的安装需要；</w:t>
            </w:r>
          </w:p>
          <w:p w14:paraId="6AB2574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★十二、主板功能</w:t>
            </w:r>
          </w:p>
          <w:p w14:paraId="56CA2FC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1.主板外部接口种类：支持USB3.0、VGA显示、BMC 管理端口；</w:t>
            </w:r>
          </w:p>
          <w:p w14:paraId="2596E27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★十三、网络功能</w:t>
            </w:r>
          </w:p>
          <w:p w14:paraId="287AE9E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1.网络功能：支持网络连接、网络访问、数据交换和网络管控功能；</w:t>
            </w:r>
          </w:p>
          <w:p w14:paraId="0E6B909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★十四、CPU功能</w:t>
            </w:r>
          </w:p>
          <w:p w14:paraId="4F95E21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计算处理：支持通用计算及虚拟化功能。处理器需集成整型计算单元、浮点计算单元、内存控制器、I/O模块等，处理器与存储部件、网络部件、I/O部件等组成计算系统，提供数据处理、网络接入等计算相关功能；</w:t>
            </w:r>
          </w:p>
          <w:p w14:paraId="441071C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2.密码算法实现：CPU芯片应符合GM/T 0008的相关规定，或芯片密码模块应符合GB/T 37092或GM/T 0028的相关规定；（通过商用密码检测机构检测并经商用密码认证机构认证合格）</w:t>
            </w:r>
          </w:p>
          <w:p w14:paraId="45E9300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★十五、电源功能</w:t>
            </w:r>
          </w:p>
          <w:p w14:paraId="1DE3CBB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1.电源热插拔：整机电源模块应具备热插拔功能；</w:t>
            </w:r>
          </w:p>
          <w:p w14:paraId="470A0EA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2.电源过流保护：支持过流及短路保护的功能；</w:t>
            </w:r>
          </w:p>
          <w:p w14:paraId="67E1163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★十六、整机功能</w:t>
            </w:r>
          </w:p>
          <w:p w14:paraId="411D943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1.散热方式：支持风冷散热方式；</w:t>
            </w:r>
          </w:p>
          <w:p w14:paraId="26CB0AB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★十七、管理系统功能</w:t>
            </w:r>
          </w:p>
          <w:p w14:paraId="566621E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管理系统支持国产自研管理芯片；支持带外故障检测功能，不依赖于OS，对硬件故障如CPU故障、I2C和IPMI总线故障、内存故障、PCIe设备故障、硬盘故障进行检测和预告；</w:t>
            </w:r>
          </w:p>
          <w:p w14:paraId="272FB9E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1.BMC固件基础功能：</w:t>
            </w:r>
          </w:p>
          <w:p w14:paraId="6CFC30C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1)支持DHCP设置网络功能；</w:t>
            </w:r>
          </w:p>
          <w:p w14:paraId="21E83C4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2)支持静态IP 设置网络功能；</w:t>
            </w:r>
          </w:p>
          <w:p w14:paraId="655D3E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3)支持设备日志记录，包括但不限于登录日志、操作日志和报警日志等功能；</w:t>
            </w:r>
          </w:p>
          <w:p w14:paraId="453530A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4)支持日志信息导出和记录删除功能；</w:t>
            </w:r>
          </w:p>
          <w:p w14:paraId="2498BF4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5)支持通过管理接口向外输出准确的报警信息功能；</w:t>
            </w:r>
          </w:p>
          <w:p w14:paraId="12EDDDC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6)设备的BMC管理软件应能够按报警的严重程度进行区分；</w:t>
            </w:r>
          </w:p>
          <w:p w14:paraId="4A6117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7)支持IPMI2.0、SNMP 或Redfish 等接口功能；</w:t>
            </w:r>
          </w:p>
          <w:p w14:paraId="09C969D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8)支持键盘、鼠标和视频的重定向、文本控制台的重定向、远程虚拟媒体、高可靠的硬件监控和管理功能；</w:t>
            </w:r>
          </w:p>
          <w:p w14:paraId="0EEDC23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9)支持基于网络开启、关闭和重启设备的功能，并查询当前设备开机运行状态；</w:t>
            </w:r>
          </w:p>
          <w:p w14:paraId="52403D1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10)支持故障提示功能，并可通过接口读取服务器故障信息；11)支持基于网络的固件更新功能， 包括BMC 和BIOS 等；</w:t>
            </w:r>
          </w:p>
          <w:p w14:paraId="0573E93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12)支持基于网络安装操作系统的功能，并可通过网络控制台访问设备；</w:t>
            </w:r>
          </w:p>
          <w:p w14:paraId="4AC7426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13)支持通过本地的硬盘或光驱等存储设备，基于网络完成设备的操作系统安装功能；</w:t>
            </w:r>
          </w:p>
          <w:p w14:paraId="594BCF5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14)支持通过浏览器打开管理界面并登录功能；</w:t>
            </w:r>
          </w:p>
          <w:p w14:paraId="4C5F5AC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15)支持设置口令策略功能；</w:t>
            </w:r>
          </w:p>
          <w:p w14:paraId="012B953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16)支持访问权限设置功能，并通过日志记录访问事件；</w:t>
            </w:r>
          </w:p>
          <w:p w14:paraId="0008F71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17)支持对出厂默认的用户名及口令进行安全保护功能，并提供默认口令修改提示；</w:t>
            </w:r>
          </w:p>
          <w:p w14:paraId="72FAF99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18)支持读取设备主板的工作环境温度功能；</w:t>
            </w:r>
          </w:p>
          <w:p w14:paraId="214677A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19)支持读取服务器CPU 等核心器件的温度功能；</w:t>
            </w:r>
          </w:p>
          <w:p w14:paraId="276901E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20)支持通过外部管理工具进行BMC参数设置的功能，并可基于网络通过外部管理工具对BMC进行管理；</w:t>
            </w:r>
          </w:p>
          <w:p w14:paraId="027A082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21)应支持固件版本查询、 固件升级；</w:t>
            </w:r>
          </w:p>
          <w:p w14:paraId="1E96A95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22)支持基于网络实现开关机和复位控制的功能；</w:t>
            </w:r>
          </w:p>
          <w:p w14:paraId="14EB2FC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23)BMC 启动时间应不超过 180s， 实现功能包括网络、IPMI、散热、传感器服务可用；</w:t>
            </w:r>
          </w:p>
          <w:p w14:paraId="1D9570A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24)支持 BMC 固件设置的恢复出厂功能；</w:t>
            </w:r>
          </w:p>
          <w:p w14:paraId="090EFAA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2.BIOS固件基础功能：</w:t>
            </w:r>
          </w:p>
          <w:p w14:paraId="1EB29F8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a）支持查看固件版本、内存信息、主板信息、处理器信息和系统时间信息功能；</w:t>
            </w:r>
          </w:p>
          <w:p w14:paraId="459FB79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b）支持上电初始化界面显示 CPU 信息、内存信息、固件版本和部分快捷键信息功能；</w:t>
            </w:r>
          </w:p>
          <w:p w14:paraId="1B54089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c）支持设置界面中英文显示切换功能；</w:t>
            </w:r>
          </w:p>
          <w:p w14:paraId="01DB04D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d）支持查看 PCIe 设备信息，SATA 设备信息功能；</w:t>
            </w:r>
          </w:p>
          <w:p w14:paraId="4A55807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e）支持操作系统安装和引导功能，应并向操作系统提供计算机主板信息和服务接口；</w:t>
            </w:r>
          </w:p>
          <w:p w14:paraId="4D2E900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f）支持设置启动顺序，并按照设置的启动顺序启动功能；</w:t>
            </w:r>
          </w:p>
          <w:p w14:paraId="0E5846D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g）支持安全启动功能；</w:t>
            </w:r>
          </w:p>
          <w:p w14:paraId="6BA382D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h）支持设置口令、修改口令、验证口令功能；</w:t>
            </w:r>
          </w:p>
          <w:p w14:paraId="7ADE99C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i）支持板载显示控制或独立显卡的显示控制功能；</w:t>
            </w:r>
          </w:p>
          <w:p w14:paraId="48BDC83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j）支持 RAID 识别和启动功能；</w:t>
            </w:r>
          </w:p>
          <w:p w14:paraId="33B617D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k）支持串口重定向功能；</w:t>
            </w:r>
          </w:p>
          <w:p w14:paraId="6BBD0EE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l）支持固件更新功能；</w:t>
            </w:r>
          </w:p>
          <w:p w14:paraId="4EF1D3E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m）支持 BIOS 固件设置的恢复出厂功能；</w:t>
            </w:r>
          </w:p>
          <w:p w14:paraId="2E5AA42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n）支持网络引导启用和关闭功能；</w:t>
            </w:r>
          </w:p>
          <w:p w14:paraId="66591DB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3.远程控制：支持远程关机和重新启动功能；</w:t>
            </w:r>
          </w:p>
          <w:p w14:paraId="03D6381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★十八、操作系统及驱动功能</w:t>
            </w:r>
          </w:p>
          <w:p w14:paraId="4C31D9A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1.操作系统及驱动的升级：支持通过网络、闪存盘对操作系统、驱动进行升级；</w:t>
            </w:r>
          </w:p>
          <w:p w14:paraId="2F78216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2.操作系统功能：</w:t>
            </w:r>
          </w:p>
          <w:p w14:paraId="2EA653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a)支持访问控制、安全审计、网络接入鉴别等功能；</w:t>
            </w:r>
          </w:p>
          <w:p w14:paraId="3DE4AC8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b)操作系统其他功能应满足操作系统政府采购需求标准中加*的指标要求；</w:t>
            </w:r>
          </w:p>
          <w:p w14:paraId="08BA7B2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★十九、中文信息处理功能</w:t>
            </w:r>
          </w:p>
          <w:p w14:paraId="75123F2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1.中文信息处理：符合GB18030的有关规定；</w:t>
            </w:r>
          </w:p>
          <w:p w14:paraId="580ECFA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★二十、关键部件安全要求</w:t>
            </w:r>
          </w:p>
          <w:p w14:paraId="4B40408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1.关键部件安全要求：CPU和操作系统等关键部件应当符合安全可靠测评要求；通过政府有关部门指定的中国信息安全测评中心和国家保密科技测评中心网站查看安全可靠测评结果。</w:t>
            </w:r>
          </w:p>
          <w:p w14:paraId="7AF7A01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rPr>
              <w:t>注：投标人在填写《技术响应表》时，在“投标文件响应技术参数”明确给出所投国产化大模型应用节点“CPU型号”及“操作系统”名称，否则视为投标无效。</w:t>
            </w:r>
          </w:p>
          <w:p w14:paraId="08C50BD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★二十一、固件安全要求</w:t>
            </w:r>
          </w:p>
          <w:p w14:paraId="0A63F23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1.故障检测：支持故障检测功能，可以检测到具体的FRU（内存、硬盘等）的故障并发出告警；</w:t>
            </w:r>
          </w:p>
          <w:p w14:paraId="37505A9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★二十二、系统安全要求</w:t>
            </w:r>
          </w:p>
          <w:p w14:paraId="20B0EDB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1.弱口令字典检查：支持弱口令字典检查功能，出现在弱口令字典中的字符串不能被设置为用户口令；</w:t>
            </w:r>
          </w:p>
          <w:p w14:paraId="3E9C2D3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2.白名单访问控制：支持基于时间、IP 或 MAC 白名单访问控制；</w:t>
            </w:r>
          </w:p>
          <w:p w14:paraId="087E94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3.二次鉴别：支持二次鉴别功能。对于用户配置、权限配置、公钥导入等重要的管理操作，已登录用户应通过二次鉴别后，才能执行操作；</w:t>
            </w:r>
          </w:p>
          <w:p w14:paraId="7B26356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4.密码证书安全加密存储：支持对带外管理系统中的用户口令和证书等敏感信息进行加密存储， 禁止使用私有的和业界已知不安全的密码算法；</w:t>
            </w:r>
          </w:p>
          <w:p w14:paraId="03DB908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5.敏感信息安全加密传输：支持使用安全的传输加密协议（如SSH或HTTPS等）传输用户的敏感信息；</w:t>
            </w:r>
          </w:p>
          <w:p w14:paraId="19454CD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★二十三、信息安全要求</w:t>
            </w:r>
          </w:p>
          <w:p w14:paraId="12A2736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研发过程安全：供应商承诺生产商已建立从需求、设计、开发、测试、维护端到端的开发流程管理机制，输出和保存开发流程中每个阶段的产品需求清单、设计文档、开发文档、测试记录等材料，保证各个流程可追溯；</w:t>
            </w:r>
          </w:p>
          <w:p w14:paraId="7D3139C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★二十四、物理安全</w:t>
            </w:r>
          </w:p>
          <w:p w14:paraId="6483B7C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1.物理安全：安全要求应符合GB4943.1的规定；</w:t>
            </w:r>
          </w:p>
          <w:p w14:paraId="2C2E379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★二十五、限用物质的限量要求</w:t>
            </w:r>
          </w:p>
          <w:p w14:paraId="0418789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1.限用物质的限量要求：限用物质的限量应符合GB/T26572的要求；</w:t>
            </w:r>
          </w:p>
          <w:p w14:paraId="39D6608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★二十六、CPU性能</w:t>
            </w:r>
          </w:p>
          <w:p w14:paraId="70417BD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1.CPU主频：≥2.6GHz；</w:t>
            </w:r>
          </w:p>
          <w:p w14:paraId="1B3A04A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2.单CPU 核数：≥</w:t>
            </w:r>
            <w:r>
              <w:rPr>
                <w:rFonts w:ascii="仿宋_GB2312" w:hAnsi="仿宋_GB2312" w:eastAsia="仿宋_GB2312" w:cs="仿宋_GB2312"/>
                <w:color w:val="000000" w:themeColor="text1"/>
                <w14:textFill>
                  <w14:solidFill>
                    <w14:schemeClr w14:val="tx1"/>
                  </w14:solidFill>
                </w14:textFill>
              </w:rPr>
              <w:t>24</w:t>
            </w:r>
            <w:r>
              <w:rPr>
                <w:rFonts w:hint="eastAsia" w:ascii="仿宋_GB2312" w:hAnsi="仿宋_GB2312" w:eastAsia="仿宋_GB2312" w:cs="仿宋_GB2312"/>
                <w:color w:val="000000" w:themeColor="text1"/>
                <w14:textFill>
                  <w14:solidFill>
                    <w14:schemeClr w14:val="tx1"/>
                  </w14:solidFill>
                </w14:textFill>
              </w:rPr>
              <w:t>；</w:t>
            </w:r>
          </w:p>
          <w:p w14:paraId="1BD0A6F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3.单CPU 末级缓存容量：≥</w:t>
            </w:r>
            <w:r>
              <w:rPr>
                <w:rFonts w:ascii="仿宋_GB2312" w:hAnsi="仿宋_GB2312" w:eastAsia="仿宋_GB2312" w:cs="仿宋_GB2312"/>
                <w:color w:val="000000" w:themeColor="text1"/>
                <w14:textFill>
                  <w14:solidFill>
                    <w14:schemeClr w14:val="tx1"/>
                  </w14:solidFill>
                </w14:textFill>
              </w:rPr>
              <w:t>24</w:t>
            </w:r>
            <w:r>
              <w:rPr>
                <w:rFonts w:hint="eastAsia" w:ascii="仿宋_GB2312" w:hAnsi="仿宋_GB2312" w:eastAsia="仿宋_GB2312" w:cs="仿宋_GB2312"/>
                <w:color w:val="000000" w:themeColor="text1"/>
                <w14:textFill>
                  <w14:solidFill>
                    <w14:schemeClr w14:val="tx1"/>
                  </w14:solidFill>
                </w14:textFill>
              </w:rPr>
              <w:t>MB；</w:t>
            </w:r>
          </w:p>
          <w:p w14:paraId="2EA27C6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★二十七、内存性能</w:t>
            </w:r>
          </w:p>
          <w:p w14:paraId="2A8BE62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1.内存速率：≥2666MT/s；</w:t>
            </w:r>
          </w:p>
          <w:p w14:paraId="5409DC8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★二十八、电源能耗</w:t>
            </w:r>
          </w:p>
          <w:p w14:paraId="195E303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1.电源能耗：符合GB/T9813.3的有关规定；</w:t>
            </w:r>
          </w:p>
          <w:p w14:paraId="4D6D5E0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★二十九、部件兼容性要求</w:t>
            </w:r>
          </w:p>
          <w:p w14:paraId="77BD833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1.内存兼容性：适配3种及以上厂商的内存产品，且均不低于产品支持的内存规格；</w:t>
            </w:r>
          </w:p>
          <w:p w14:paraId="3C5FD02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2.固态存储兼容性：适配3种或以上厂商的固态存储产品，且均不低于产品支持的固态存储设备规格；</w:t>
            </w:r>
          </w:p>
          <w:p w14:paraId="42C1A66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3.网卡兼容性：网卡应适配两种或以上厂商产品；</w:t>
            </w:r>
          </w:p>
          <w:p w14:paraId="1A19EB1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4.功能卡兼容性：内置或适配符合PCIe 的功能卡，如： 网络功能卡、存储功能卡及图形显示功能卡；</w:t>
            </w:r>
          </w:p>
          <w:p w14:paraId="6F5D1FE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★三十、外设兼容性</w:t>
            </w:r>
          </w:p>
          <w:p w14:paraId="629EE5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1.外设兼容性：兼容多种主流生产商的外部设备， 包括显示器、键盘、鼠标、闪存盘、移动硬盘、USB 光驱及KVM等，要求使用不同厂商的外部设备时，系统均能正常识别和安装驱动；</w:t>
            </w:r>
          </w:p>
          <w:p w14:paraId="59FBE96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★三十一、软件兼容性</w:t>
            </w:r>
          </w:p>
          <w:p w14:paraId="30365A9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1.数据库兼容：兼容3个及以上厂商的国产数据库产品；</w:t>
            </w:r>
          </w:p>
          <w:p w14:paraId="303EB0A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2.中间件兼容：兼容3个及以上厂商的国产中间件产品；</w:t>
            </w:r>
          </w:p>
          <w:p w14:paraId="700B769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3.平台软件兼容：兼容3个及以上厂商的大数据平台；</w:t>
            </w:r>
          </w:p>
          <w:p w14:paraId="02D1781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★三十二、整机可靠性要求</w:t>
            </w:r>
          </w:p>
          <w:p w14:paraId="38F8E0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1.整机可靠性：m1值（MTBF的不可接受值）不得低于30000h；</w:t>
            </w:r>
          </w:p>
          <w:p w14:paraId="3EC1AA9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2.风扇可靠性：风扇寿命应不低于40000h；</w:t>
            </w:r>
          </w:p>
          <w:p w14:paraId="26B936D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3.部件可靠性：支持硬盘、电源、风扇热插拔(内置风扇除外)；</w:t>
            </w:r>
          </w:p>
          <w:p w14:paraId="2A78EE5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★三十三、包装及运输要求</w:t>
            </w:r>
          </w:p>
          <w:p w14:paraId="7C5BF6C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标志、包装、运输和贮存：符合GB/T9813.3和商品包装政府采购需求标准的相关规定；</w:t>
            </w:r>
          </w:p>
          <w:p w14:paraId="6F16866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★三十四、服务响应</w:t>
            </w:r>
          </w:p>
          <w:p w14:paraId="4E2F2F7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1.服务响应：</w:t>
            </w:r>
          </w:p>
          <w:p w14:paraId="033C4FB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a)提供电话、电子邮件、远程连接等多种形式服务；</w:t>
            </w:r>
          </w:p>
          <w:p w14:paraId="3BCB839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b)提供同城 4h、异地12h技术响应服务，2个工作日解决问题，对于未能解决的问题和故障应提供可行的升级方案，并提供周转设备；</w:t>
            </w:r>
          </w:p>
          <w:p w14:paraId="098301D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c)建立全国技术服务体系和服务团体，符合专业服务体系标准要求，提供原厂中文服务；</w:t>
            </w:r>
          </w:p>
          <w:p w14:paraId="01EB17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d)服务周期内提供产品的维修、换件和升级服务；</w:t>
            </w:r>
          </w:p>
          <w:p w14:paraId="32F2A89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2.培训服务：提供培训材料、产品手册、培训视频等培训相关内容； </w:t>
            </w:r>
          </w:p>
          <w:p w14:paraId="223B00E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★三十五、服务周期</w:t>
            </w:r>
          </w:p>
          <w:p w14:paraId="4C9D758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1.服务周期：</w:t>
            </w:r>
          </w:p>
          <w:p w14:paraId="4FB39CC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a)产品免费服务周期（含换件和维修）应不小于3年；</w:t>
            </w:r>
          </w:p>
          <w:p w14:paraId="38936AF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b)设备停产后继续提供质量保障服务（含备品备件），服务终止时间与最后一批设备交付时间间隔不低于6年；</w:t>
            </w:r>
          </w:p>
          <w:p w14:paraId="0A7B87A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c)产品停止服务时间应提前1年告知客户；</w:t>
            </w:r>
          </w:p>
          <w:p w14:paraId="4010108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d)产品发布日期需在随机文件中明确；</w:t>
            </w:r>
          </w:p>
          <w:p w14:paraId="4356AC0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★三十六、服务工具要求</w:t>
            </w:r>
          </w:p>
          <w:p w14:paraId="6F11C5E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1.工具要求：提供设置服务器硬件、辅助操作系统安装等功能的辅助工具和管理软件。且随附软件应具有合法授权或版权；</w:t>
            </w:r>
          </w:p>
          <w:p w14:paraId="17E3294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2.驱动安装升级指引：提供出厂安装的配件所需的驱动程序，形式包括但不限于驱动光盘、驱动下载链接等。其他配件应提供指引；</w:t>
            </w:r>
          </w:p>
          <w:p w14:paraId="00B47A4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p>
          <w:p w14:paraId="26C34FE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★三十七、增值服务</w:t>
            </w:r>
          </w:p>
          <w:p w14:paraId="2DDC480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1.厂家升级产品软件与扩容服务：提供原厂级的部件/软件产品升级和扩容能力；</w:t>
            </w:r>
          </w:p>
          <w:p w14:paraId="76C3F8F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2.提供上门服务：提供上门服务的能力(可收费)；</w:t>
            </w:r>
          </w:p>
          <w:p w14:paraId="5733EC3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★三十八、供应链质量</w:t>
            </w:r>
          </w:p>
          <w:p w14:paraId="7DF91A2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1.抗干扰性：当产品部件出现供应风险时，应通知客户并提供风险应对方案确保产品的服务保障，必要时应停止相关受影响产品的销售；</w:t>
            </w:r>
          </w:p>
          <w:p w14:paraId="586CF16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2.供应能力证明：</w:t>
            </w:r>
            <w:r>
              <w:rPr>
                <w:rFonts w:hint="eastAsia" w:ascii="仿宋_GB2312" w:hAnsi="仿宋_GB2312" w:eastAsia="仿宋_GB2312" w:cs="仿宋_GB2312"/>
                <w:lang w:bidi="ar"/>
              </w:rPr>
              <w:t>供应商承诺提供供应链稳定</w:t>
            </w:r>
            <w:r>
              <w:rPr>
                <w:rFonts w:hint="eastAsia" w:ascii="仿宋_GB2312" w:hAnsi="仿宋_GB2312" w:eastAsia="仿宋_GB2312" w:cs="仿宋_GB2312"/>
              </w:rPr>
              <w:t>，确保产品的部件在产品服务周期内稳定供货。</w:t>
            </w:r>
          </w:p>
          <w:p w14:paraId="6676E9B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★三十九、操作系统要求</w:t>
            </w:r>
          </w:p>
          <w:p w14:paraId="7213A45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1.支持AMD、ARM64、MIPS64、SW64、LoongArch等CPU架构，支持鲲鹏、飞腾、海光、兆芯、龙芯、申威等CPU芯片；</w:t>
            </w:r>
          </w:p>
          <w:p w14:paraId="769438E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2.兼容国内主流数据库，如：海量、达梦、人大金仓、GaussDB、OceanBase等，兼容国内主流中间件，如：东方通、金蝶、宝兰德等公参项；</w:t>
            </w:r>
          </w:p>
          <w:p w14:paraId="2F56EE1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3.支持虚拟化解决方案，如OpenStack、KVM、Docker、Hyper-V等；</w:t>
            </w:r>
          </w:p>
          <w:p w14:paraId="34F81CC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4.兼容操作系统智能调优工具A-Tune和Keentune；</w:t>
            </w:r>
          </w:p>
          <w:p w14:paraId="2D73E76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提供完全自主可控的自研系统安全加固工具，提供对已加载内核模块的防卸载和度量能力，须支持选择低、普通、严格三种安全等级，支持选择标准、严格两种加固方案，支持对可执行文件、脚本、共享库文件的防篡改，且支持三权分立；</w:t>
            </w:r>
          </w:p>
          <w:p w14:paraId="5280A18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6.仓库提供开源主流高可用集群组件，提供完全自主可控的自研高可用集群管理工具；</w:t>
            </w:r>
          </w:p>
          <w:p w14:paraId="2BC256D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7.系统内置国密算法，支持基于国密算法的加解密应用，支持国密SM2/3/4；须提供国密版内核模块签名机制，支持国密算法，以保证内核模块的可信性，禁止未签名模块加载至</w:t>
            </w:r>
            <w:r>
              <w:rPr>
                <w:rFonts w:ascii="仿宋_GB2312" w:hAnsi="仿宋_GB2312" w:eastAsia="仿宋_GB2312" w:cs="仿宋_GB2312"/>
                <w:color w:val="000000" w:themeColor="text1"/>
                <w14:textFill>
                  <w14:solidFill>
                    <w14:schemeClr w14:val="tx1"/>
                  </w14:solidFill>
                </w14:textFill>
              </w:rPr>
              <w:t>内核；须提供OpenSSL、Libgcrypt、Gnulib、Nettle、Hashes、libkcapi等常见算法库的国密版本，OpenSSL须支持X509、PKCS#7证书</w:t>
            </w:r>
            <w:r>
              <w:rPr>
                <w:rFonts w:hint="eastAsia" w:ascii="仿宋_GB2312" w:hAnsi="仿宋_GB2312" w:eastAsia="仿宋_GB2312" w:cs="仿宋_GB2312"/>
                <w:color w:val="000000" w:themeColor="text1"/>
                <w14:textFill>
                  <w14:solidFill>
                    <w14:schemeClr w14:val="tx1"/>
                  </w14:solidFill>
                </w14:textFill>
              </w:rPr>
              <w:t>；</w:t>
            </w:r>
          </w:p>
          <w:p w14:paraId="598B68C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8.提供完全自主可控的自研中文图形化桌面环境，桌面环境等核心组件开源率不得高于1%；</w:t>
            </w:r>
          </w:p>
          <w:p w14:paraId="543F63D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9.提供完全自主可控的自研安全运行环境软件，可允许开发者在操作系统上直接运行一个Linux环境，包括运行命令行工具、组件和应用等；</w:t>
            </w:r>
          </w:p>
          <w:p w14:paraId="1EE74A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0.</w:t>
            </w:r>
            <w:r>
              <w:rPr>
                <w:rFonts w:hint="eastAsia" w:ascii="仿宋_GB2312" w:hAnsi="仿宋_GB2312" w:eastAsia="仿宋_GB2312" w:cs="仿宋_GB2312"/>
              </w:rPr>
              <w:t>支持用户使用自然语言对视图抓拍图片、录像或本地视频文件中的目标进行快捷检索。支持按照时间、点位、相似度进行检索结果过滤；支持展示检索结果列表，点击命中图片支持展示比对详情；支持对历史尚未解析的图片创建解析任务进行分析。</w:t>
            </w:r>
          </w:p>
          <w:p w14:paraId="2A12134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ascii="仿宋_GB2312" w:hAnsi="仿宋_GB2312" w:eastAsia="仿宋_GB2312" w:cs="仿宋_GB2312"/>
              </w:rPr>
              <w:t>11.</w:t>
            </w:r>
            <w:r>
              <w:rPr>
                <w:rFonts w:hint="eastAsia" w:ascii="仿宋_GB2312" w:hAnsi="仿宋_GB2312" w:eastAsia="仿宋_GB2312" w:cs="仿宋_GB2312"/>
              </w:rPr>
              <w:t>支持对检索结果进行正负样本标注，并将标注样本实时投入在线训练，实现视图大模型的高效在线微调；</w:t>
            </w:r>
          </w:p>
          <w:p w14:paraId="127B144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rPr>
            </w:pPr>
            <w:r>
              <w:rPr>
                <w:rFonts w:ascii="仿宋_GB2312" w:hAnsi="仿宋_GB2312" w:eastAsia="仿宋_GB2312" w:cs="仿宋_GB2312"/>
                <w:color w:val="000000" w:themeColor="text1"/>
                <w14:textFill>
                  <w14:solidFill>
                    <w14:schemeClr w14:val="tx1"/>
                  </w14:solidFill>
                </w14:textFill>
              </w:rPr>
              <w:t>12.</w:t>
            </w:r>
            <w:r>
              <w:rPr>
                <w:rFonts w:hint="eastAsia" w:ascii="仿宋_GB2312" w:hAnsi="仿宋_GB2312" w:eastAsia="仿宋_GB2312" w:cs="仿宋_GB2312"/>
                <w:color w:val="000000" w:themeColor="text1"/>
                <w14:textFill>
                  <w14:solidFill>
                    <w14:schemeClr w14:val="tx1"/>
                  </w14:solidFill>
                </w14:textFill>
              </w:rPr>
              <w:t>支持根据用户自行圈选的局部特征图片对视图抓拍图片、录像或本地视频文件中的人体目标进行检索。支持通过时间、点位、相似度进行检索结果进行过滤；支持针对命中的目标展开详情，展示命中目标以及命中目标的场景大图。支持对历史未经过大模型解析的数据创建任务，进行局部特征检索。</w:t>
            </w:r>
          </w:p>
        </w:tc>
        <w:tc>
          <w:tcPr>
            <w:tcW w:w="990" w:type="dxa"/>
            <w:tcBorders>
              <w:top w:val="single" w:color="000000" w:sz="4" w:space="0"/>
              <w:left w:val="single" w:color="000000" w:sz="4" w:space="0"/>
              <w:bottom w:val="single" w:color="000000" w:sz="4" w:space="0"/>
              <w:right w:val="single" w:color="000000" w:sz="4" w:space="0"/>
            </w:tcBorders>
            <w:vAlign w:val="center"/>
          </w:tcPr>
          <w:p w14:paraId="16C53D63">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2B11B817">
        <w:tblPrEx>
          <w:tblCellMar>
            <w:top w:w="0" w:type="dxa"/>
            <w:left w:w="108" w:type="dxa"/>
            <w:bottom w:w="0" w:type="dxa"/>
            <w:right w:w="108" w:type="dxa"/>
          </w:tblCellMar>
        </w:tblPrEx>
        <w:trPr>
          <w:trHeight w:val="2967" w:hRule="atLeast"/>
        </w:trPr>
        <w:tc>
          <w:tcPr>
            <w:tcW w:w="416" w:type="dxa"/>
            <w:tcBorders>
              <w:top w:val="single" w:color="000000" w:sz="4" w:space="0"/>
              <w:left w:val="single" w:color="000000" w:sz="4" w:space="0"/>
              <w:bottom w:val="single" w:color="000000" w:sz="4" w:space="0"/>
              <w:right w:val="single" w:color="000000" w:sz="4" w:space="0"/>
            </w:tcBorders>
            <w:vAlign w:val="center"/>
          </w:tcPr>
          <w:p w14:paraId="0D741E0D">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6</w:t>
            </w:r>
          </w:p>
        </w:tc>
        <w:tc>
          <w:tcPr>
            <w:tcW w:w="1245" w:type="dxa"/>
            <w:tcBorders>
              <w:top w:val="single" w:color="000000" w:sz="4" w:space="0"/>
              <w:left w:val="single" w:color="000000" w:sz="4" w:space="0"/>
              <w:bottom w:val="single" w:color="000000" w:sz="4" w:space="0"/>
              <w:right w:val="single" w:color="000000" w:sz="4" w:space="0"/>
            </w:tcBorders>
            <w:vAlign w:val="center"/>
          </w:tcPr>
          <w:p w14:paraId="3AB19DE2">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国产化数据分析节点</w:t>
            </w:r>
          </w:p>
        </w:tc>
        <w:tc>
          <w:tcPr>
            <w:tcW w:w="6990" w:type="dxa"/>
            <w:tcBorders>
              <w:top w:val="single" w:color="000000" w:sz="4" w:space="0"/>
              <w:left w:val="single" w:color="000000" w:sz="4" w:space="0"/>
              <w:bottom w:val="single" w:color="000000" w:sz="4" w:space="0"/>
              <w:right w:val="single" w:color="000000" w:sz="4" w:space="0"/>
            </w:tcBorders>
          </w:tcPr>
          <w:p w14:paraId="4B02B3A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★一、单套由2台2U的节点服务器组成</w:t>
            </w:r>
          </w:p>
          <w:p w14:paraId="129FE22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★二、处理器CPU规格</w:t>
            </w:r>
          </w:p>
          <w:p w14:paraId="1AB34DD5">
            <w:pPr>
              <w:pStyle w:val="17"/>
              <w:keepNext w:val="0"/>
              <w:keepLines w:val="0"/>
              <w:pageBreakBefore w:val="0"/>
              <w:kinsoku/>
              <w:wordWrap/>
              <w:overflowPunct/>
              <w:topLinePunct w:val="0"/>
              <w:bidi w:val="0"/>
              <w:snapToGrid/>
              <w:ind w:firstLine="240" w:firstLineChars="100"/>
              <w:rPr>
                <w:rFonts w:ascii="仿宋_GB2312" w:hAnsi="仿宋_GB2312" w:eastAsia="仿宋_GB2312" w:cs="仿宋_GB2312"/>
              </w:rPr>
            </w:pPr>
            <w:r>
              <w:rPr>
                <w:rFonts w:hint="eastAsia" w:ascii="仿宋_GB2312" w:hAnsi="仿宋_GB2312" w:eastAsia="仿宋_GB2312" w:cs="仿宋_GB2312"/>
                <w:sz w:val="24"/>
              </w:rPr>
              <w:t>1.配置国产CPU≥</w:t>
            </w:r>
            <w:r>
              <w:rPr>
                <w:rFonts w:ascii="仿宋_GB2312" w:hAnsi="仿宋_GB2312" w:eastAsia="仿宋_GB2312" w:cs="仿宋_GB2312"/>
                <w:sz w:val="24"/>
              </w:rPr>
              <w:t>3</w:t>
            </w:r>
            <w:r>
              <w:rPr>
                <w:rFonts w:hint="eastAsia" w:ascii="仿宋_GB2312" w:hAnsi="仿宋_GB2312" w:eastAsia="仿宋_GB2312" w:cs="仿宋_GB2312"/>
                <w:sz w:val="24"/>
              </w:rPr>
              <w:t>颗；单颗CPU核数不低于</w:t>
            </w:r>
            <w:r>
              <w:rPr>
                <w:rFonts w:ascii="仿宋_GB2312" w:hAnsi="仿宋_GB2312" w:eastAsia="仿宋_GB2312" w:cs="仿宋_GB2312"/>
                <w:sz w:val="24"/>
              </w:rPr>
              <w:t>32</w:t>
            </w:r>
            <w:r>
              <w:rPr>
                <w:rFonts w:hint="eastAsia" w:ascii="仿宋_GB2312" w:hAnsi="仿宋_GB2312" w:eastAsia="仿宋_GB2312" w:cs="仿宋_GB2312"/>
                <w:sz w:val="24"/>
              </w:rPr>
              <w:t>核，主频≥2.6GHz主频，末级缓存容量≥</w:t>
            </w:r>
            <w:r>
              <w:rPr>
                <w:rFonts w:ascii="仿宋_GB2312" w:hAnsi="仿宋_GB2312" w:eastAsia="仿宋_GB2312" w:cs="仿宋_GB2312"/>
                <w:sz w:val="24"/>
              </w:rPr>
              <w:t>32</w:t>
            </w:r>
            <w:r>
              <w:rPr>
                <w:rFonts w:hint="eastAsia" w:ascii="仿宋_GB2312" w:hAnsi="仿宋_GB2312" w:eastAsia="仿宋_GB2312" w:cs="仿宋_GB2312"/>
                <w:sz w:val="24"/>
              </w:rPr>
              <w:t>MB，功耗≤200W，内存速率≥2666MT/s；支持≥4通道内存，支持≥64位处理器，线程数≥</w:t>
            </w:r>
            <w:r>
              <w:rPr>
                <w:rFonts w:ascii="仿宋_GB2312" w:hAnsi="仿宋_GB2312" w:eastAsia="仿宋_GB2312" w:cs="仿宋_GB2312"/>
                <w:sz w:val="24"/>
              </w:rPr>
              <w:t>32</w:t>
            </w:r>
            <w:r>
              <w:rPr>
                <w:rFonts w:hint="eastAsia" w:ascii="仿宋_GB2312" w:hAnsi="仿宋_GB2312" w:eastAsia="仿宋_GB2312" w:cs="仿宋_GB2312"/>
                <w:sz w:val="24"/>
              </w:rPr>
              <w:t>，位宽≥64bit</w:t>
            </w:r>
            <w:r>
              <w:rPr>
                <w:rFonts w:hint="eastAsia" w:ascii="仿宋_GB2312" w:hAnsi="仿宋_GB2312" w:eastAsia="仿宋_GB2312" w:cs="仿宋_GB2312"/>
              </w:rPr>
              <w:t>；</w:t>
            </w:r>
          </w:p>
          <w:p w14:paraId="6BBD942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★三、主板规格</w:t>
            </w:r>
          </w:p>
          <w:p w14:paraId="62EAA49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1.主板支持的CPU和内存情况：≥2颗；支持内存≥DDR4，支持内存数量：≥16个；</w:t>
            </w:r>
          </w:p>
          <w:p w14:paraId="5EB8324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2.主板内存槽数量：非板载内存的可扩展插槽数量应≥4个；</w:t>
            </w:r>
          </w:p>
          <w:p w14:paraId="5B6CD0D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3.主板存储接口：支持 SATA、SAS、M.2、U.2等存储接口中数≥1种； </w:t>
            </w:r>
          </w:p>
          <w:p w14:paraId="7893964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4.PCIe插槽接口：符合PCIe3.0或以上的高速串行计算机扩展总线标准，PCIe的接口速率与位宽需保证向下兼容；</w:t>
            </w:r>
          </w:p>
          <w:p w14:paraId="50F9E0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5.主板PCIe插槽数量及规格：a)高度大于44.45mm双路或以上服务器 PCIe插槽或接口≥5个，可通过扩展卡进行插槽扩展；可拓展支持≥8个PCIe 4.0 x8，或者≥3个PCIe 4.0 x16 + 2个 PCIe 4.0 x8标准插槽。</w:t>
            </w:r>
          </w:p>
          <w:p w14:paraId="1D27DC9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★四、内存规格</w:t>
            </w:r>
          </w:p>
          <w:p w14:paraId="1D4620C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1.内存数量：≥16；本次配置总容量≥</w:t>
            </w:r>
            <w:r>
              <w:rPr>
                <w:rFonts w:ascii="仿宋_GB2312" w:hAnsi="仿宋_GB2312" w:eastAsia="仿宋_GB2312" w:cs="仿宋_GB2312"/>
              </w:rPr>
              <w:t>256</w:t>
            </w:r>
            <w:r>
              <w:rPr>
                <w:rFonts w:hint="eastAsia" w:ascii="仿宋_GB2312" w:hAnsi="仿宋_GB2312" w:eastAsia="仿宋_GB2312" w:cs="仿宋_GB2312"/>
              </w:rPr>
              <w:t>GB内存；</w:t>
            </w:r>
          </w:p>
          <w:p w14:paraId="2664A50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2.内存规格：≥DDR4；</w:t>
            </w:r>
          </w:p>
          <w:p w14:paraId="7E1AACA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3.内存通道：支持多个内存接口通道，每个通道可支持1DPC或2DPC，当支持2DPC时，印制电路板上应具备插槽的序号标识，支持≥4通道内存；</w:t>
            </w:r>
          </w:p>
          <w:p w14:paraId="605DFFE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4.内存插槽：≥</w:t>
            </w:r>
            <w:r>
              <w:rPr>
                <w:rFonts w:ascii="仿宋_GB2312" w:hAnsi="仿宋_GB2312" w:eastAsia="仿宋_GB2312" w:cs="仿宋_GB2312"/>
              </w:rPr>
              <w:t>16</w:t>
            </w:r>
            <w:r>
              <w:rPr>
                <w:rFonts w:hint="eastAsia" w:ascii="仿宋_GB2312" w:hAnsi="仿宋_GB2312" w:eastAsia="仿宋_GB2312" w:cs="仿宋_GB2312"/>
              </w:rPr>
              <w:t>个，可拓展支持总容量≥2TB；</w:t>
            </w:r>
          </w:p>
          <w:p w14:paraId="112ED8D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★五、存储规格</w:t>
            </w:r>
          </w:p>
          <w:p w14:paraId="4D40C7F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bookmarkStart w:id="25" w:name="OLE_LINK1"/>
            <w:r>
              <w:rPr>
                <w:rFonts w:hint="eastAsia" w:ascii="仿宋_GB2312" w:hAnsi="仿宋_GB2312" w:eastAsia="仿宋_GB2312" w:cs="仿宋_GB2312"/>
              </w:rPr>
              <w:t>硬磁盘实配容量</w:t>
            </w:r>
            <w:bookmarkEnd w:id="25"/>
            <w:r>
              <w:rPr>
                <w:rFonts w:hint="eastAsia" w:ascii="仿宋_GB2312" w:hAnsi="仿宋_GB2312" w:eastAsia="仿宋_GB2312" w:cs="仿宋_GB2312"/>
              </w:rPr>
              <w:t>：a)单盘≥</w:t>
            </w:r>
            <w:r>
              <w:rPr>
                <w:rFonts w:hint="eastAsia" w:ascii="仿宋_GB2312" w:hAnsi="仿宋_GB2312" w:eastAsia="仿宋_GB2312" w:cs="仿宋_GB2312"/>
                <w:lang w:bidi="ar"/>
              </w:rPr>
              <w:t>240GB SSD硬盘</w:t>
            </w:r>
            <w:r>
              <w:rPr>
                <w:rFonts w:hint="eastAsia" w:ascii="仿宋_GB2312" w:hAnsi="仿宋_GB2312" w:eastAsia="仿宋_GB2312" w:cs="仿宋_GB2312"/>
              </w:rPr>
              <w:t>；b)单盘≥</w:t>
            </w:r>
            <w:r>
              <w:rPr>
                <w:rFonts w:hint="eastAsia" w:ascii="仿宋_GB2312" w:hAnsi="仿宋_GB2312" w:eastAsia="仿宋_GB2312" w:cs="仿宋_GB2312"/>
                <w:lang w:bidi="ar"/>
              </w:rPr>
              <w:t>2T SATA 硬盘</w:t>
            </w:r>
            <w:r>
              <w:rPr>
                <w:rFonts w:hint="eastAsia" w:ascii="仿宋_GB2312" w:hAnsi="仿宋_GB2312" w:eastAsia="仿宋_GB2312" w:cs="仿宋_GB2312"/>
              </w:rPr>
              <w:t>；</w:t>
            </w:r>
          </w:p>
          <w:p w14:paraId="4943C96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2.硬盘实配数量：a)≥</w:t>
            </w:r>
            <w:r>
              <w:rPr>
                <w:rFonts w:ascii="仿宋_GB2312" w:hAnsi="仿宋_GB2312" w:eastAsia="仿宋_GB2312" w:cs="仿宋_GB2312"/>
              </w:rPr>
              <w:t>6</w:t>
            </w:r>
            <w:r>
              <w:rPr>
                <w:rFonts w:hint="eastAsia" w:ascii="仿宋_GB2312" w:hAnsi="仿宋_GB2312" w:eastAsia="仿宋_GB2312" w:cs="仿宋_GB2312"/>
              </w:rPr>
              <w:t>块</w:t>
            </w:r>
            <w:r>
              <w:rPr>
                <w:rFonts w:hint="eastAsia" w:ascii="仿宋_GB2312" w:hAnsi="仿宋_GB2312" w:eastAsia="仿宋_GB2312" w:cs="仿宋_GB2312"/>
                <w:lang w:bidi="ar"/>
              </w:rPr>
              <w:t>240GB SSD硬盘</w:t>
            </w:r>
            <w:r>
              <w:rPr>
                <w:rFonts w:hint="eastAsia" w:ascii="仿宋_GB2312" w:hAnsi="仿宋_GB2312" w:eastAsia="仿宋_GB2312" w:cs="仿宋_GB2312"/>
              </w:rPr>
              <w:t>；b)≥</w:t>
            </w:r>
            <w:r>
              <w:rPr>
                <w:rFonts w:ascii="仿宋_GB2312" w:hAnsi="仿宋_GB2312" w:eastAsia="仿宋_GB2312" w:cs="仿宋_GB2312"/>
              </w:rPr>
              <w:t>4</w:t>
            </w:r>
            <w:r>
              <w:rPr>
                <w:rFonts w:hint="eastAsia" w:ascii="仿宋_GB2312" w:hAnsi="仿宋_GB2312" w:eastAsia="仿宋_GB2312" w:cs="仿宋_GB2312"/>
              </w:rPr>
              <w:t>块</w:t>
            </w:r>
            <w:r>
              <w:rPr>
                <w:rFonts w:hint="eastAsia" w:ascii="仿宋_GB2312" w:hAnsi="仿宋_GB2312" w:eastAsia="仿宋_GB2312" w:cs="仿宋_GB2312"/>
                <w:lang w:bidi="ar"/>
              </w:rPr>
              <w:t>2T SATA 硬盘</w:t>
            </w:r>
            <w:r>
              <w:rPr>
                <w:rFonts w:hint="eastAsia" w:ascii="仿宋_GB2312" w:hAnsi="仿宋_GB2312" w:eastAsia="仿宋_GB2312" w:cs="仿宋_GB2312"/>
              </w:rPr>
              <w:t>；</w:t>
            </w:r>
          </w:p>
          <w:p w14:paraId="48929EF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3.硬盘插槽数量及规格：≥12个硬盘位，整机最大可拓展支持16个3.5英寸/2.5英寸SAS/SATA/SSD硬盘位，可拓展支持4个后置2.5英寸NVME盘；</w:t>
            </w:r>
          </w:p>
          <w:p w14:paraId="3BE8E05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六、RAID阵列</w:t>
            </w:r>
          </w:p>
          <w:p w14:paraId="069FBD4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1.配置1张独立RAID卡，缓存≥2G,支持RAID 0/1/5/6/10/50/60，可拓展支持超级电容掉电保护，配置一个RAID超级电容;</w:t>
            </w:r>
          </w:p>
          <w:p w14:paraId="392CD11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★七、网络规格</w:t>
            </w:r>
          </w:p>
          <w:p w14:paraId="075D3A3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1.网口速率和数量：配备网口数量不少于6个，且网口速率不少于1GE；</w:t>
            </w:r>
          </w:p>
          <w:p w14:paraId="1E8F1CE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★八、外部接口规格</w:t>
            </w:r>
          </w:p>
          <w:p w14:paraId="7355C53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1.显示接口：显示接口类型支持≥1个VGA接口；</w:t>
            </w:r>
          </w:p>
          <w:p w14:paraId="3C7B479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2.USB接口：配备USB接口，配备≥4个USB 3.0接口；</w:t>
            </w:r>
          </w:p>
          <w:p w14:paraId="607539E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★九、电源规格</w:t>
            </w:r>
          </w:p>
          <w:p w14:paraId="0C3B1D8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1.电源模块数量：≥2；</w:t>
            </w:r>
          </w:p>
          <w:p w14:paraId="52E95A6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2.电源功率：单电源功率≥900W，支持1+1冗余功能；</w:t>
            </w:r>
          </w:p>
          <w:p w14:paraId="535B1F2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★十、整机规格</w:t>
            </w:r>
          </w:p>
          <w:p w14:paraId="69C7CE9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1.外观和结构：</w:t>
            </w:r>
          </w:p>
          <w:p w14:paraId="314DA7D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a)服务器的零部件应紧固无松动，可插拔部件应可靠连接，开关、按钮和其它控制部件应灵活可靠，布局应方便使用；</w:t>
            </w:r>
          </w:p>
          <w:p w14:paraId="0B2C97E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b)产品表面不应有明显的凹痕、划伤、裂缝、变形和污染等。表面涂层均匀，不应起泡、龟裂、脱落和磨损，金属零部件无锈蚀及其它机械损伤；</w:t>
            </w:r>
          </w:p>
          <w:p w14:paraId="48CD617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c)产品表面说明功能的文字、符号和标志应清晰、端正且牢固；</w:t>
            </w:r>
          </w:p>
          <w:p w14:paraId="0A213AE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d)应在服务器的显著位置提供运行状态的指示功能，并在随机文件中明确具体含义；</w:t>
            </w:r>
          </w:p>
          <w:p w14:paraId="37DD382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e)机架、机箱的尺寸应符合通用机柜的安装要求，插入总线插座的电路板接口外形尺寸应符合有关总线标准的规定，将机箱固定在机柜上， 机箱底面最大下垂变形不得干涉相邻机体；</w:t>
            </w:r>
          </w:p>
          <w:p w14:paraId="3CC055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f)高密度服务器应给出CPU个数与机柜高度；</w:t>
            </w:r>
          </w:p>
          <w:p w14:paraId="39AF7D4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g)服务器尺寸具体要求在随机文件中明确；</w:t>
            </w:r>
          </w:p>
          <w:p w14:paraId="1C654F9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2.尺寸：服务器机箱尺寸≤2U，高88mm* 宽450mm*深790mm（高、宽、深可偏离值±5mm）：设计应遵循标准化、系列化的要求；机箱的内部结构符合通用部件的安装需要；</w:t>
            </w:r>
          </w:p>
          <w:p w14:paraId="71F39EE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3.环境适应性：气候环境适应性应符合GB/T 9813.3的有关规定，工作温度 10～35℃，贮存运输温度-40～55℃；工作相对湿度 35%～80%，贮存运输相对湿度 20％～93%（40℃）；大气压86～106kPa；</w:t>
            </w:r>
          </w:p>
          <w:p w14:paraId="2A24F77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4.机械环境适应性：机械环境适应性应符合GB/T 9813.3的有关规定；</w:t>
            </w:r>
          </w:p>
          <w:p w14:paraId="673746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5.噪声：符合GB/T 9813.3的有关规定，在产品说明中给出具体测试值塔式服务器噪声在空闲状态下不大于50dB；</w:t>
            </w:r>
          </w:p>
          <w:p w14:paraId="4EAA08F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★十一、机柜规格</w:t>
            </w:r>
          </w:p>
          <w:p w14:paraId="6C2684A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1.高2055mm* 宽600mm*深800mm（高、宽、深可偏离值±5mm）：设计应遵循标准化、系列化的要求；机箱的内部结构符合通用部件的安装需要；</w:t>
            </w:r>
          </w:p>
          <w:p w14:paraId="4477D7D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★十二、主板功能</w:t>
            </w:r>
          </w:p>
          <w:p w14:paraId="44A0CB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1.主板外部接口种类：支持USB3.0、VGA显示、BMC 管理端口；</w:t>
            </w:r>
          </w:p>
          <w:p w14:paraId="67A5C03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★十三、网络功能</w:t>
            </w:r>
          </w:p>
          <w:p w14:paraId="5CCAEDB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1.网络功能：支持网络连接、网络访问、数据交换和网络管控功能；</w:t>
            </w:r>
          </w:p>
          <w:p w14:paraId="700F78F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★十四、CPU功能</w:t>
            </w:r>
          </w:p>
          <w:p w14:paraId="1CA0D85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计算处理：支持通用计算及虚拟化功能。处理器需集成整型计算单元、浮点计算单元、内存控制器、I/O模块等，处理器与存储部件、网络部件、I/O部件等组成计算系统，提供数据处理、网络接入等计算相关功能；</w:t>
            </w:r>
          </w:p>
          <w:p w14:paraId="6197C95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2.密码算法实现：CPU芯片应符合GM/T 0008的相关规定，或芯片密码模块应符合GB/T 37092或GM/T 0028的相关规定；（通过商用密码检测机构检测并经商用密码认证机构认证合格）；</w:t>
            </w:r>
          </w:p>
          <w:p w14:paraId="1713B24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★十五、电源功能</w:t>
            </w:r>
          </w:p>
          <w:p w14:paraId="69AAEC9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1.电源热插拔：整机电源模块应具备热插拔功能；</w:t>
            </w:r>
          </w:p>
          <w:p w14:paraId="5D43296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2.电源过流保护：支持过流及短路保护的功能；</w:t>
            </w:r>
          </w:p>
          <w:p w14:paraId="7499533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★十六、整机功能</w:t>
            </w:r>
          </w:p>
          <w:p w14:paraId="391AB1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1.散热方式：支持风冷散热方式；</w:t>
            </w:r>
          </w:p>
          <w:p w14:paraId="502AE93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★十七、管理系统功能</w:t>
            </w:r>
          </w:p>
          <w:p w14:paraId="1940ABB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管理系统支持国产自研管理芯片；支持带外故障检测功能，不依赖于OS，对硬件故障如CPU故障、I2C和IPMI总线故障、内存故障、PCIe设备故障、硬盘故障进行检测和预告；</w:t>
            </w:r>
          </w:p>
          <w:p w14:paraId="61080D5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1.BMC固件基础功能：</w:t>
            </w:r>
          </w:p>
          <w:p w14:paraId="0CF524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1)支持DHCP设置网络功能；</w:t>
            </w:r>
          </w:p>
          <w:p w14:paraId="337E089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2)支持静态IP设置网络功能；</w:t>
            </w:r>
          </w:p>
          <w:p w14:paraId="051D782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3)支持设备日志记录，包括但不限于登录日志、操作日志和报警日志等功能；</w:t>
            </w:r>
          </w:p>
          <w:p w14:paraId="5697597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4)支持日志信息导出和记录删除功能；</w:t>
            </w:r>
          </w:p>
          <w:p w14:paraId="074F25C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5)支持通过管理接口向外输出准确的报警信息功能；</w:t>
            </w:r>
          </w:p>
          <w:p w14:paraId="026857E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6)设备的BMC管理软件应能够按报警的严重程度进行区分；</w:t>
            </w:r>
          </w:p>
          <w:p w14:paraId="7801C76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7)支持IPMI2.0、SNMP或Redfish等接口功能；</w:t>
            </w:r>
          </w:p>
          <w:p w14:paraId="774BD6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8)支持键盘、鼠标和视频的重定向、文本控制台的重定向、远程虚拟媒体、高可靠的硬件监控和管理功能；</w:t>
            </w:r>
          </w:p>
          <w:p w14:paraId="336ADE9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9)支持基于网络开启、关闭和重启设备的功能，并查询当前设备开机运行状态；</w:t>
            </w:r>
          </w:p>
          <w:p w14:paraId="25E9FAA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10)支持故障提示功能，并可通过接口读取服务器故障信息；</w:t>
            </w:r>
          </w:p>
          <w:p w14:paraId="1C40E00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11)支持基于网络的固件更新功能， 包括BMC 和BIOS 等；</w:t>
            </w:r>
          </w:p>
          <w:p w14:paraId="7FDF822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12)支持基于网络安装操作系统的功能，并可通过网络控制台访问设备；</w:t>
            </w:r>
          </w:p>
          <w:p w14:paraId="3C91C81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13)支持通过本地的硬盘或光驱等存储设备，基于网络完成设备的操作系统安装功能；</w:t>
            </w:r>
          </w:p>
          <w:p w14:paraId="3FB53E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14)支持通过浏览器打开管理界面并登录功能；</w:t>
            </w:r>
          </w:p>
          <w:p w14:paraId="272E2D5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15)支持设置口令策略功能；</w:t>
            </w:r>
          </w:p>
          <w:p w14:paraId="318D8B2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16)支持访问权限设置功能，并通过日志记录访问事件；</w:t>
            </w:r>
          </w:p>
          <w:p w14:paraId="1E20A51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17)支持对出厂默认的用户名及口令进行安全保护功能，并提供默认口令修改提示；</w:t>
            </w:r>
          </w:p>
          <w:p w14:paraId="6569831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18)支持读取设备主板的工作环境温度功能；</w:t>
            </w:r>
          </w:p>
          <w:p w14:paraId="1BD63A1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19)支持读取服务器CPU 等核心器件的温度功能；</w:t>
            </w:r>
          </w:p>
          <w:p w14:paraId="047F0AB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20)支持通过外部管理工具进行BMC参数设置的功能，并可基于网络通过外部管理工具对BMC进行管理；</w:t>
            </w:r>
          </w:p>
          <w:p w14:paraId="18CB45E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21)应支持固件版本查询、固件升级；</w:t>
            </w:r>
          </w:p>
          <w:p w14:paraId="4945A1E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22)支持基于网络实现开关机和复位控制的功能；</w:t>
            </w:r>
          </w:p>
          <w:p w14:paraId="0F6220B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23)BMC 启动时间应不超过180s，实现功能包括网络、IPMI、散热、传感器服务可用；</w:t>
            </w:r>
          </w:p>
          <w:p w14:paraId="428D227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24)支持 BMC固件设置的恢复出厂功能；</w:t>
            </w:r>
          </w:p>
          <w:p w14:paraId="3B6FBB8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2.BIOS固件基础功能：</w:t>
            </w:r>
          </w:p>
          <w:p w14:paraId="4879AF1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a）支持查看固件版本、内存信息、主板信息、处理器信息和系统时间信息功能；</w:t>
            </w:r>
          </w:p>
          <w:p w14:paraId="7F3DD92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b）支持上电初始化界面显示CPU信息、内存信息、固件版本和部分快捷键信息功能；</w:t>
            </w:r>
          </w:p>
          <w:p w14:paraId="02C1371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c）支持设置界面中英文显示切换功能；</w:t>
            </w:r>
          </w:p>
          <w:p w14:paraId="496B398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d）支持查看PCIe设备信息，SATA设备信息功能；</w:t>
            </w:r>
          </w:p>
          <w:p w14:paraId="318BF26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e）支持操作系统安装和引导功能，应并向操作系统提供计算机主板信息和服务接口；</w:t>
            </w:r>
          </w:p>
          <w:p w14:paraId="60DE2C0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f）支持设置启动顺序，并按照设置的启动顺序启动功能；</w:t>
            </w:r>
          </w:p>
          <w:p w14:paraId="464C22F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g）支持安全启动功能；</w:t>
            </w:r>
          </w:p>
          <w:p w14:paraId="71E66BC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h）支持设置口令、修改口令、验证口令功能；</w:t>
            </w:r>
          </w:p>
          <w:p w14:paraId="2FC233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i）支持板载显示控制或独立显卡的显示控制功能；</w:t>
            </w:r>
          </w:p>
          <w:p w14:paraId="4841466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j）支持RAID识别和启动功能；</w:t>
            </w:r>
          </w:p>
          <w:p w14:paraId="0B359EA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k）支持串口重定向功能；</w:t>
            </w:r>
          </w:p>
          <w:p w14:paraId="231434F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l）支持固件更新功能；</w:t>
            </w:r>
          </w:p>
          <w:p w14:paraId="5941192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m）支持BIOS固件设置的恢复出厂功能；</w:t>
            </w:r>
          </w:p>
          <w:p w14:paraId="316F188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n）支持网络引导启用和关闭功能；</w:t>
            </w:r>
          </w:p>
          <w:p w14:paraId="0E0CDCB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3.远程控制：支持远程关机和重新启动功能；</w:t>
            </w:r>
          </w:p>
          <w:p w14:paraId="1E7B507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★十八、操作系统及驱动功能</w:t>
            </w:r>
          </w:p>
          <w:p w14:paraId="7BCB8B3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1.操作系统及驱动的升级：支持通过网络、闪存盘对操作系统、驱动进行升级；</w:t>
            </w:r>
          </w:p>
          <w:p w14:paraId="4AA9E6C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2.操作系统功能：</w:t>
            </w:r>
          </w:p>
          <w:p w14:paraId="7308042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a)支持访问控制、安全审计、网络接入鉴别等功能；</w:t>
            </w:r>
          </w:p>
          <w:p w14:paraId="15939F5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b)操作系统其他功能应满足操作系统政府采购需求标准中加*的指标要求；</w:t>
            </w:r>
          </w:p>
          <w:p w14:paraId="5B5574F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★十九、中文信息处理功能</w:t>
            </w:r>
          </w:p>
          <w:p w14:paraId="787450A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1.中文信息处理：符合GB18030的有关规定；</w:t>
            </w:r>
          </w:p>
          <w:p w14:paraId="2147610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★二十、关键部件安全要求</w:t>
            </w:r>
          </w:p>
          <w:p w14:paraId="4A62FAB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1.关键部件安全要求：CPU和操作系统等关键部件应当符合安全可靠测评要求；通过政府有关部门指定的中国信息安全测评中心和国家保密科技测评中心网站查看安全可靠测评结果。</w:t>
            </w:r>
          </w:p>
          <w:p w14:paraId="5239849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rPr>
              <w:t>注：投标人在填写《技术响应表》时，在“投标文件响应技术参数”明确给出所投国产化数据分析节点“CPU型号”及“操作系统”名称，否则视为投标无效。</w:t>
            </w:r>
          </w:p>
          <w:p w14:paraId="3E3EE34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★二十一、固件安全要求</w:t>
            </w:r>
          </w:p>
          <w:p w14:paraId="0DA17A3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1.故障检测：支持故障检测功能，可以检测到具体的FRU（内存、硬盘等）的故障并发出告警；</w:t>
            </w:r>
          </w:p>
          <w:p w14:paraId="06D9CFD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★二十二、系统安全要求</w:t>
            </w:r>
          </w:p>
          <w:p w14:paraId="6D0758B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1.弱口令字典检查：支持弱口令字典检查功能，出现在弱口令字典中的字符串不能被设置为用户口令；</w:t>
            </w:r>
          </w:p>
          <w:p w14:paraId="4DE3A77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2.白名单访问控制：支持基于时间、IP 或 MAC 白名单访问控制；</w:t>
            </w:r>
          </w:p>
          <w:p w14:paraId="319B8C2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3.二次鉴别：支持二次鉴别功能。对于用户配置、权限配置、公钥导入等重要的管理操作，已登录用户应通过二次鉴别后，才能执行操作；</w:t>
            </w:r>
          </w:p>
          <w:p w14:paraId="375D199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4.密码证书安全加密存储：支持对带外管理系统中的用户口令和证书等敏感信息进行加密存储， 禁止使用私有的和业界已知不安全的密码算法；</w:t>
            </w:r>
          </w:p>
          <w:p w14:paraId="09ABE37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5.敏感信息安全加密传输：支持使用安全的传输加密协议（如SSH或HTTPS等）传输用户的敏感信息；</w:t>
            </w:r>
          </w:p>
          <w:p w14:paraId="224220C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★二十三、信息安全要求</w:t>
            </w:r>
          </w:p>
          <w:p w14:paraId="5DEF3B6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研发过程安全：供应商承诺生产商已建立从需求、设计、开发、测试、维护端到端的开发流程管理机制，输出和保存开发流程中每个阶段的产品需求清单、设计文档、开发文档、测试记录等材料，保证各个流程可追溯；</w:t>
            </w:r>
          </w:p>
          <w:p w14:paraId="3DC65CC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★二十四、物理安全</w:t>
            </w:r>
          </w:p>
          <w:p w14:paraId="7DE1CB8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1.物理安全：安全要求应符合GB4943.1的规定；</w:t>
            </w:r>
          </w:p>
          <w:p w14:paraId="5A4AE63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★二十五、限用物质的限量要求</w:t>
            </w:r>
          </w:p>
          <w:p w14:paraId="066DDD5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1.限用物质的限量要求：限用物质的限量应符合GB/T26572的要求；</w:t>
            </w:r>
          </w:p>
          <w:p w14:paraId="3FD0150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★二十六、CPU性能</w:t>
            </w:r>
          </w:p>
          <w:p w14:paraId="2CC3E5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1.CPU主频：≥2.6GHz；</w:t>
            </w:r>
          </w:p>
          <w:p w14:paraId="72422A1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2.单CPU核数：≥</w:t>
            </w:r>
            <w:r>
              <w:rPr>
                <w:rFonts w:ascii="仿宋_GB2312" w:hAnsi="仿宋_GB2312" w:eastAsia="仿宋_GB2312" w:cs="仿宋_GB2312"/>
                <w:color w:val="000000" w:themeColor="text1"/>
                <w14:textFill>
                  <w14:solidFill>
                    <w14:schemeClr w14:val="tx1"/>
                  </w14:solidFill>
                </w14:textFill>
              </w:rPr>
              <w:t>32</w:t>
            </w:r>
            <w:r>
              <w:rPr>
                <w:rFonts w:hint="eastAsia" w:ascii="仿宋_GB2312" w:hAnsi="仿宋_GB2312" w:eastAsia="仿宋_GB2312" w:cs="仿宋_GB2312"/>
                <w:color w:val="000000" w:themeColor="text1"/>
                <w14:textFill>
                  <w14:solidFill>
                    <w14:schemeClr w14:val="tx1"/>
                  </w14:solidFill>
                </w14:textFill>
              </w:rPr>
              <w:t>；</w:t>
            </w:r>
          </w:p>
          <w:p w14:paraId="6F55E5B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3.单CPU末级缓存容量：≥</w:t>
            </w:r>
            <w:r>
              <w:rPr>
                <w:rFonts w:ascii="仿宋_GB2312" w:hAnsi="仿宋_GB2312" w:eastAsia="仿宋_GB2312" w:cs="仿宋_GB2312"/>
                <w:color w:val="000000" w:themeColor="text1"/>
                <w14:textFill>
                  <w14:solidFill>
                    <w14:schemeClr w14:val="tx1"/>
                  </w14:solidFill>
                </w14:textFill>
              </w:rPr>
              <w:t>32</w:t>
            </w:r>
            <w:r>
              <w:rPr>
                <w:rFonts w:hint="eastAsia" w:ascii="仿宋_GB2312" w:hAnsi="仿宋_GB2312" w:eastAsia="仿宋_GB2312" w:cs="仿宋_GB2312"/>
                <w:color w:val="000000" w:themeColor="text1"/>
                <w14:textFill>
                  <w14:solidFill>
                    <w14:schemeClr w14:val="tx1"/>
                  </w14:solidFill>
                </w14:textFill>
              </w:rPr>
              <w:t>MB；</w:t>
            </w:r>
          </w:p>
          <w:p w14:paraId="4D5A4ED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★二十七、内存性能</w:t>
            </w:r>
          </w:p>
          <w:p w14:paraId="1C901C6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1.内存速率：≥2666MT/s；</w:t>
            </w:r>
          </w:p>
          <w:p w14:paraId="5F9D492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★二十八、电源能耗</w:t>
            </w:r>
          </w:p>
          <w:p w14:paraId="300CDC9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1.电源能耗：符合GB/T9813.3的有关规定；</w:t>
            </w:r>
          </w:p>
          <w:p w14:paraId="7877BB9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★二十九、部件兼容性要求</w:t>
            </w:r>
          </w:p>
          <w:p w14:paraId="246459D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1.内存兼容性：适配3种及以上厂商的内存产品，且均不低于产品支持的内存规格；</w:t>
            </w:r>
          </w:p>
          <w:p w14:paraId="38D63ED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2.固态存储兼容性：适配3种或以上厂商的固态存储产品，且均不低于产品支持的固态存储设备规格；</w:t>
            </w:r>
          </w:p>
          <w:p w14:paraId="0E3522A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3.网卡兼容性：网卡应适配两种或以上厂商产品；</w:t>
            </w:r>
          </w:p>
          <w:p w14:paraId="27805A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4.功能卡兼容性：内置或适配符合PCIe 的功能卡，如： 网络功能卡、存储功能卡及图形显示功能卡；</w:t>
            </w:r>
          </w:p>
          <w:p w14:paraId="022F2CF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★三十、外设兼容性</w:t>
            </w:r>
          </w:p>
          <w:p w14:paraId="66DDF5F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1.外设兼容性：兼容多种主流生产商的外部设备， 包括显示器、键盘、鼠标、闪存盘、移动硬盘、USB 光驱及KVM等，要求使用不同厂商的外部设备时，系统均能正常识别和安装驱动；</w:t>
            </w:r>
          </w:p>
          <w:p w14:paraId="78D5457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★三十一、软件兼容性</w:t>
            </w:r>
          </w:p>
          <w:p w14:paraId="28D62E1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1.数据库兼容：兼容3个及以上厂商的国产数据库产品；</w:t>
            </w:r>
          </w:p>
          <w:p w14:paraId="3BB3C03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2.中间件兼容：兼容3个及以上厂商的国产中间件产品；</w:t>
            </w:r>
          </w:p>
          <w:p w14:paraId="79E1C1D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3.平台软件兼容：兼容3个及以上厂商的大数据平台；</w:t>
            </w:r>
          </w:p>
          <w:p w14:paraId="64D72ADA">
            <w:pPr>
              <w:pStyle w:val="752"/>
              <w:keepNext w:val="0"/>
              <w:keepLines w:val="0"/>
              <w:pageBreakBefore w:val="0"/>
              <w:widowControl w:val="0"/>
              <w:kinsoku/>
              <w:wordWrap/>
              <w:overflowPunct/>
              <w:topLinePunct w:val="0"/>
              <w:autoSpaceDE w:val="0"/>
              <w:autoSpaceDN w:val="0"/>
              <w:bidi w:val="0"/>
              <w:adjustRightInd w:val="0"/>
              <w:snapToGrid/>
              <w:spacing w:before="1"/>
              <w:ind w:firstLine="241" w:firstLineChars="100"/>
              <w:textAlignment w:val="auto"/>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★三十二、整机可靠性要求</w:t>
            </w:r>
          </w:p>
          <w:p w14:paraId="2D93D8D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1.整机可靠性：m1值（MTBF的不可接受值）不得低于30000h；</w:t>
            </w:r>
          </w:p>
          <w:p w14:paraId="1BF3972A">
            <w:pPr>
              <w:pStyle w:val="752"/>
              <w:keepNext w:val="0"/>
              <w:keepLines w:val="0"/>
              <w:pageBreakBefore w:val="0"/>
              <w:widowControl w:val="0"/>
              <w:kinsoku/>
              <w:wordWrap/>
              <w:overflowPunct/>
              <w:topLinePunct w:val="0"/>
              <w:autoSpaceDE w:val="0"/>
              <w:autoSpaceDN w:val="0"/>
              <w:bidi w:val="0"/>
              <w:adjustRightInd w:val="0"/>
              <w:snapToGrid/>
              <w:spacing w:before="1"/>
              <w:ind w:firstLine="240" w:firstLineChars="100"/>
              <w:textAlignment w:val="auto"/>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2.风扇可靠性：风扇寿命应不低于40000h；</w:t>
            </w:r>
          </w:p>
          <w:p w14:paraId="6AFAE9EA">
            <w:pPr>
              <w:pStyle w:val="752"/>
              <w:keepNext w:val="0"/>
              <w:keepLines w:val="0"/>
              <w:pageBreakBefore w:val="0"/>
              <w:widowControl w:val="0"/>
              <w:kinsoku/>
              <w:wordWrap/>
              <w:overflowPunct/>
              <w:topLinePunct w:val="0"/>
              <w:autoSpaceDE w:val="0"/>
              <w:autoSpaceDN w:val="0"/>
              <w:bidi w:val="0"/>
              <w:adjustRightInd w:val="0"/>
              <w:snapToGrid/>
              <w:spacing w:before="1"/>
              <w:ind w:firstLine="240" w:firstLineChars="100"/>
              <w:textAlignment w:val="auto"/>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3.部件可靠性：支持硬盘、电源、风扇热插拔(内置风扇除外)；</w:t>
            </w:r>
          </w:p>
          <w:p w14:paraId="36ECB709">
            <w:pPr>
              <w:pStyle w:val="752"/>
              <w:keepNext w:val="0"/>
              <w:keepLines w:val="0"/>
              <w:pageBreakBefore w:val="0"/>
              <w:widowControl w:val="0"/>
              <w:kinsoku/>
              <w:wordWrap/>
              <w:overflowPunct/>
              <w:topLinePunct w:val="0"/>
              <w:autoSpaceDE w:val="0"/>
              <w:autoSpaceDN w:val="0"/>
              <w:bidi w:val="0"/>
              <w:adjustRightInd w:val="0"/>
              <w:snapToGrid/>
              <w:spacing w:before="1"/>
              <w:ind w:firstLine="241" w:firstLineChars="100"/>
              <w:textAlignment w:val="auto"/>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★三十三、包装及运输要求</w:t>
            </w:r>
          </w:p>
          <w:p w14:paraId="3236A60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标志、包装、运输和贮存：符合GB/T9813.3和商品包装政府采购需求标准的相关规定；</w:t>
            </w:r>
          </w:p>
          <w:p w14:paraId="758BC7C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★三十四、服务响应</w:t>
            </w:r>
          </w:p>
          <w:p w14:paraId="0E7D40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1.服务响应：</w:t>
            </w:r>
          </w:p>
          <w:p w14:paraId="7626AC5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a)提供电话、电子邮件、远程连接等多种形式服务；</w:t>
            </w:r>
          </w:p>
          <w:p w14:paraId="44ADBB9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b)提供同城 4h、异地12h技术响应服务，2个工作日解决问题，对于未能解决的问题和故障应提供可行的升级方案，并提供周转设备；</w:t>
            </w:r>
          </w:p>
          <w:p w14:paraId="5801E4E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c)建立全国技术服务体系和服务团体，符合专业服务体系标准要求，提供原厂中文服务；</w:t>
            </w:r>
          </w:p>
          <w:p w14:paraId="5BB8088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d)服务周期内提供产品的维修、换件和升级服务；</w:t>
            </w:r>
          </w:p>
          <w:p w14:paraId="3E2AFD6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2.培训服务：提供培训材料、产品手册、培训视频等培训相关内容； </w:t>
            </w:r>
          </w:p>
          <w:p w14:paraId="124734C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★三十五、服务周期</w:t>
            </w:r>
          </w:p>
          <w:p w14:paraId="50C0752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1.服务周期：</w:t>
            </w:r>
          </w:p>
          <w:p w14:paraId="025B689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a)产品免费服务周期（含换件和维修）应不小于3年；</w:t>
            </w:r>
          </w:p>
          <w:p w14:paraId="07C7E8E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b)设备停产后继续提供质量保障服务（含备品备件），服务终止时间与最后一批设备交付时间间隔不低于6年；</w:t>
            </w:r>
          </w:p>
          <w:p w14:paraId="1B3FD34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c)产品停止服务时间应提前1年告知客户；</w:t>
            </w:r>
          </w:p>
          <w:p w14:paraId="7A98E29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d)产品发布日期需在随机文件中明确；</w:t>
            </w:r>
          </w:p>
          <w:p w14:paraId="563A627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★三十六、服务工具要求</w:t>
            </w:r>
          </w:p>
          <w:p w14:paraId="18E10F2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1.工具要求：提供设置服务器硬件、辅助操作系统安装等功能的辅助工具和管理软件。且随附软件应具有合法授权或版权；</w:t>
            </w:r>
          </w:p>
          <w:p w14:paraId="0D10334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2.驱动安装升级指引：提供出厂安装的配件所需的驱动程序，形式包括但不限于驱动光盘、驱动下载链接等。其他配件应提供指引；</w:t>
            </w:r>
          </w:p>
          <w:p w14:paraId="418BDCE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p>
          <w:p w14:paraId="2DA7111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★三十七、增值服务</w:t>
            </w:r>
          </w:p>
          <w:p w14:paraId="7D46900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1.厂家升级产品软件与扩容服务：提供原厂级的部件/软件产品升级和扩容能力；</w:t>
            </w:r>
          </w:p>
          <w:p w14:paraId="170FD7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2.提供上门服务：提供上门服务的能力(可收费)；</w:t>
            </w:r>
          </w:p>
          <w:p w14:paraId="55C3638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★三十八、供应链质量</w:t>
            </w:r>
          </w:p>
          <w:p w14:paraId="43CE724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1.抗干扰性：当产品部件出现供应风险时，应通知客户并提供风险应对方案确保产品的服务保障，必要时应停止相关受影响产品的销售；</w:t>
            </w:r>
          </w:p>
          <w:p w14:paraId="62041D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2.供应能力证明：</w:t>
            </w:r>
            <w:r>
              <w:rPr>
                <w:rFonts w:hint="eastAsia" w:ascii="仿宋_GB2312" w:hAnsi="仿宋_GB2312" w:eastAsia="仿宋_GB2312" w:cs="仿宋_GB2312"/>
                <w:lang w:bidi="ar"/>
              </w:rPr>
              <w:t>供应商承诺提供供应链稳定</w:t>
            </w:r>
            <w:r>
              <w:rPr>
                <w:rFonts w:hint="eastAsia" w:ascii="仿宋_GB2312" w:hAnsi="仿宋_GB2312" w:eastAsia="仿宋_GB2312" w:cs="仿宋_GB2312"/>
              </w:rPr>
              <w:t>，确保产品的部件在产品服务周期内稳定供货。</w:t>
            </w:r>
          </w:p>
          <w:p w14:paraId="52FF2BD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★三十九、操作系统要求</w:t>
            </w:r>
          </w:p>
          <w:p w14:paraId="0382325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1.支持AMD、ARM64、MIPS64、SW64、LoongArch等CPU架构，支持鲲鹏、飞腾、海光、兆芯、龙芯、申威等CPU芯片；</w:t>
            </w:r>
          </w:p>
          <w:p w14:paraId="34D1E47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2.兼容国内主流数据库，如：海量、达梦、人大金仓、GaussDB、OceanBase等，兼容国内主流中间件，如：东方通、金蝶、宝兰德等公参项；</w:t>
            </w:r>
          </w:p>
          <w:p w14:paraId="733646D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3.支持虚拟化解决方案，如OpenStack、KVM、Docker、Hyper-V等；</w:t>
            </w:r>
          </w:p>
          <w:p w14:paraId="0448033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4.兼容操作系统智能调优工具A-Tune和Keentune；</w:t>
            </w:r>
          </w:p>
          <w:p w14:paraId="59AF301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提供完全自主可控的自研系统安全加固工具，提供对已加载内核模块的防卸载和度量能力，须支持选择低、普通、严格三种安全等级，支持选择标准、严格两种加固方案，支持对可执行文件、脚本、共享库文件的防篡改，且支持三权分立；</w:t>
            </w:r>
          </w:p>
          <w:p w14:paraId="30D3B7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6.仓库提供开源主流高可用集群组件，提供完全自主可控的自研高可用集群管理工具；</w:t>
            </w:r>
          </w:p>
          <w:p w14:paraId="4539FD8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7.系统内置国密算法，支持基于国密算法的加解密应用，支持国密SM2/3/4；须提供国密版内核模块签名机制，支持国密算法，以保证内核模块的可信性，禁止未签名模块加载至</w:t>
            </w:r>
            <w:r>
              <w:rPr>
                <w:rFonts w:ascii="仿宋_GB2312" w:hAnsi="仿宋_GB2312" w:eastAsia="仿宋_GB2312" w:cs="仿宋_GB2312"/>
                <w:color w:val="000000" w:themeColor="text1"/>
                <w14:textFill>
                  <w14:solidFill>
                    <w14:schemeClr w14:val="tx1"/>
                  </w14:solidFill>
                </w14:textFill>
              </w:rPr>
              <w:t>内核；须提供OpenSSL、Libgcrypt、Gnulib、Nettle、Hashes、libkcapi等常见算法库的国密版本，OpenSSL须支持X509、PKCS#7证书</w:t>
            </w:r>
            <w:r>
              <w:rPr>
                <w:rFonts w:hint="eastAsia" w:ascii="仿宋_GB2312" w:hAnsi="仿宋_GB2312" w:eastAsia="仿宋_GB2312" w:cs="仿宋_GB2312"/>
                <w:color w:val="000000" w:themeColor="text1"/>
                <w14:textFill>
                  <w14:solidFill>
                    <w14:schemeClr w14:val="tx1"/>
                  </w14:solidFill>
                </w14:textFill>
              </w:rPr>
              <w:t>；</w:t>
            </w:r>
          </w:p>
          <w:p w14:paraId="5CBF04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8.提供完全自主可控的自研中文图形化桌面环境，桌面环境等核心组件开源率不得高于1%；</w:t>
            </w:r>
          </w:p>
          <w:p w14:paraId="2714A78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9.提供完全自主可控的自研安全运行环境软件，可允许开发者在操作系统上直接运行一个Linux环境，包括运行命令行工具、组件和应用等；</w:t>
            </w:r>
          </w:p>
          <w:p w14:paraId="13942D9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0.</w:t>
            </w:r>
            <w:r>
              <w:rPr>
                <w:rFonts w:hint="eastAsia" w:ascii="仿宋_GB2312" w:hAnsi="仿宋_GB2312" w:eastAsia="仿宋_GB2312" w:cs="仿宋_GB2312"/>
              </w:rPr>
              <w:t>支持数据表分区自动管理，自动创建未来分区，自动删除过期分区；支持对分区表进行自动指定时间范围查询或逐步渐进式查询；</w:t>
            </w:r>
          </w:p>
          <w:p w14:paraId="36A6301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1</w:t>
            </w:r>
            <w:r>
              <w:rPr>
                <w:rFonts w:hint="eastAsia" w:ascii="仿宋_GB2312" w:hAnsi="仿宋_GB2312" w:eastAsia="仿宋_GB2312" w:cs="仿宋_GB2312"/>
              </w:rPr>
              <w:t>、支持Kafka、Hive、ElasticSearch、RabbitMQ四种类型数据与Greenplum进行双向数据导入；支持Greenplum带出本地数据文件以及本地数据文件导入Greenplum；</w:t>
            </w:r>
          </w:p>
          <w:p w14:paraId="208F65E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rPr>
            </w:pPr>
            <w:r>
              <w:rPr>
                <w:rFonts w:hint="eastAsia" w:ascii="仿宋_GB2312" w:hAnsi="仿宋_GB2312" w:eastAsia="仿宋_GB2312" w:cs="仿宋_GB2312"/>
              </w:rPr>
              <w:t>12．支持接口服务的并发限流；支持当服务器CPU使用率或磁盘IO使用率达到预设阈值，对接口服务进行融断。</w:t>
            </w:r>
          </w:p>
        </w:tc>
        <w:tc>
          <w:tcPr>
            <w:tcW w:w="990" w:type="dxa"/>
            <w:tcBorders>
              <w:top w:val="single" w:color="000000" w:sz="4" w:space="0"/>
              <w:left w:val="single" w:color="000000" w:sz="4" w:space="0"/>
              <w:bottom w:val="single" w:color="000000" w:sz="4" w:space="0"/>
              <w:right w:val="single" w:color="000000" w:sz="4" w:space="0"/>
            </w:tcBorders>
            <w:vAlign w:val="center"/>
          </w:tcPr>
          <w:p w14:paraId="384430D2">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2套</w:t>
            </w:r>
          </w:p>
        </w:tc>
      </w:tr>
    </w:tbl>
    <w:p w14:paraId="61D00EFD">
      <w:pPr>
        <w:spacing w:line="380" w:lineRule="exact"/>
        <w:ind w:right="-330" w:rightChars="-157"/>
        <w:rPr>
          <w:rFonts w:ascii="仿宋_GB2312" w:eastAsia="仿宋_GB2312"/>
          <w:b/>
          <w:bCs/>
          <w:color w:val="000000"/>
          <w:sz w:val="24"/>
        </w:rPr>
      </w:pPr>
    </w:p>
    <w:bookmarkEnd w:id="24"/>
    <w:tbl>
      <w:tblPr>
        <w:tblStyle w:val="49"/>
        <w:tblpPr w:leftFromText="180" w:rightFromText="180" w:vertAnchor="text" w:horzAnchor="page" w:tblpX="1116" w:tblpY="338"/>
        <w:tblOverlap w:val="never"/>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60"/>
        <w:gridCol w:w="7763"/>
      </w:tblGrid>
      <w:tr w14:paraId="6070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595" w:type="dxa"/>
            <w:gridSpan w:val="3"/>
            <w:vAlign w:val="center"/>
          </w:tcPr>
          <w:p w14:paraId="05DBE870">
            <w:pPr>
              <w:spacing w:line="276" w:lineRule="auto"/>
              <w:jc w:val="left"/>
              <w:rPr>
                <w:rFonts w:ascii="仿宋_GB2312" w:hAnsi="宋体" w:eastAsia="仿宋_GB2312"/>
                <w:sz w:val="24"/>
              </w:rPr>
            </w:pPr>
            <w:r>
              <w:rPr>
                <w:rFonts w:ascii="仿宋_GB2312" w:hAnsi="宋体" w:eastAsia="仿宋_GB2312" w:cs="宋体"/>
                <w:b/>
                <w:kern w:val="0"/>
                <w:sz w:val="24"/>
              </w:rPr>
              <w:t>★</w:t>
            </w:r>
            <w:r>
              <w:rPr>
                <w:rFonts w:hint="eastAsia" w:ascii="仿宋_GB2312" w:hAnsi="宋体" w:eastAsia="仿宋_GB2312"/>
                <w:b/>
                <w:sz w:val="24"/>
              </w:rPr>
              <w:t>二、商务要求</w:t>
            </w:r>
          </w:p>
        </w:tc>
      </w:tr>
      <w:tr w14:paraId="0892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635E5731">
            <w:pPr>
              <w:spacing w:line="440" w:lineRule="exact"/>
              <w:jc w:val="left"/>
              <w:rPr>
                <w:rFonts w:ascii="等线" w:hAnsi="等线" w:eastAsia="仿宋_GB2312" w:cs="Arial"/>
                <w:bCs/>
                <w:color w:val="000000"/>
                <w:sz w:val="24"/>
                <w:lang w:val="en-GB"/>
              </w:rPr>
            </w:pPr>
            <w:r>
              <w:rPr>
                <w:rFonts w:ascii="仿宋_GB2312" w:hAnsi="仿宋_GB2312" w:eastAsia="仿宋_GB2312" w:cs="仿宋_GB2312"/>
                <w:color w:val="000000"/>
                <w:sz w:val="24"/>
              </w:rPr>
              <w:t>基本要求</w:t>
            </w:r>
          </w:p>
        </w:tc>
        <w:tc>
          <w:tcPr>
            <w:tcW w:w="7763" w:type="dxa"/>
            <w:vAlign w:val="center"/>
          </w:tcPr>
          <w:p w14:paraId="3543E418">
            <w:pPr>
              <w:spacing w:line="440" w:lineRule="exact"/>
              <w:jc w:val="left"/>
              <w:rPr>
                <w:rFonts w:hint="eastAsia" w:ascii="仿宋_GB2312" w:hAnsi="仿宋_GB2312" w:eastAsia="仿宋_GB2312" w:cs="仿宋_GB2312"/>
                <w:bCs/>
                <w:color w:val="000000"/>
                <w:sz w:val="24"/>
                <w:lang w:eastAsia="zh-CN"/>
              </w:rPr>
            </w:pPr>
            <w:r>
              <w:rPr>
                <w:rFonts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2.投标人应保证投标产品涉及到的知识产权和所提供的相关技术资料是合法取得，不会因为采购人的使用而被责令停止使用、追偿或要求赔偿损失，如出现此情况，一切经济和法律责任均由投标人承担；</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14:paraId="6190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6C98C56A">
            <w:pPr>
              <w:spacing w:line="440" w:lineRule="exact"/>
              <w:jc w:val="left"/>
              <w:rPr>
                <w:rFonts w:ascii="等线" w:hAnsi="等线" w:eastAsia="仿宋_GB2312" w:cs="Arial"/>
                <w:bCs/>
                <w:color w:val="000000"/>
                <w:sz w:val="24"/>
                <w:lang w:val="en-GB"/>
              </w:rPr>
            </w:pPr>
            <w:r>
              <w:rPr>
                <w:rFonts w:ascii="仿宋_GB2312" w:hAnsi="仿宋_GB2312" w:eastAsia="仿宋_GB2312" w:cs="仿宋_GB2312"/>
                <w:color w:val="000000"/>
                <w:sz w:val="24"/>
              </w:rPr>
              <w:t>质量保证期</w:t>
            </w:r>
          </w:p>
        </w:tc>
        <w:tc>
          <w:tcPr>
            <w:tcW w:w="7763" w:type="dxa"/>
            <w:vAlign w:val="center"/>
          </w:tcPr>
          <w:p w14:paraId="37EB866C">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提供硬件免费质保和免费升级不少于3年，软件免费质保和免费升级不少于1年。（采购需求一、项目技术规格参数及要求中另有要求的按采购需求要求执行）在质保期内因质量问题由中标人无条件更换，费用由中标人负责。超过质保期的另行协商，其余按投标人提交的售后服务承诺书执行。</w:t>
            </w:r>
          </w:p>
        </w:tc>
      </w:tr>
      <w:tr w14:paraId="6BB8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041D4FFF">
            <w:pPr>
              <w:spacing w:line="440" w:lineRule="exact"/>
              <w:jc w:val="left"/>
              <w:rPr>
                <w:rFonts w:ascii="等线" w:hAnsi="等线" w:eastAsia="仿宋_GB2312" w:cs="Arial"/>
                <w:bCs/>
                <w:color w:val="000000"/>
                <w:sz w:val="24"/>
                <w:lang w:val="en-GB"/>
              </w:rPr>
            </w:pPr>
            <w:r>
              <w:rPr>
                <w:rFonts w:ascii="仿宋_GB2312" w:hAnsi="仿宋_GB2312" w:eastAsia="仿宋_GB2312" w:cs="仿宋_GB2312"/>
                <w:color w:val="000000"/>
                <w:sz w:val="24"/>
              </w:rPr>
              <w:t>售后服务要求</w:t>
            </w:r>
          </w:p>
        </w:tc>
        <w:tc>
          <w:tcPr>
            <w:tcW w:w="7763" w:type="dxa"/>
            <w:vAlign w:val="center"/>
          </w:tcPr>
          <w:p w14:paraId="55FD2670">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1.投标产品必须是按厂家标准配置的整套全新产品，按国家规定实行“三包”，免费送货上门、免费安装调试（附安装说明书）及人员培训，培训后采购人可熟悉基本操作；</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2.故障处理 ：提供7*24小时维修服务，并提供售后服务电话，出现故障应在接到故障通知起</w:t>
            </w:r>
            <w:r>
              <w:rPr>
                <w:rFonts w:hint="eastAsia" w:ascii="仿宋_GB2312" w:hAnsi="仿宋_GB2312" w:eastAsia="仿宋_GB2312" w:cs="仿宋_GB2312"/>
                <w:bCs/>
                <w:color w:val="000000"/>
                <w:sz w:val="24"/>
              </w:rPr>
              <w:t>2</w:t>
            </w:r>
            <w:r>
              <w:rPr>
                <w:rFonts w:ascii="仿宋_GB2312" w:hAnsi="仿宋_GB2312" w:eastAsia="仿宋_GB2312" w:cs="仿宋_GB2312"/>
                <w:bCs/>
                <w:color w:val="000000"/>
                <w:sz w:val="24"/>
              </w:rPr>
              <w:t>小时内响应，一般问题</w:t>
            </w:r>
            <w:r>
              <w:rPr>
                <w:rFonts w:hint="eastAsia" w:ascii="仿宋_GB2312" w:hAnsi="仿宋_GB2312" w:eastAsia="仿宋_GB2312" w:cs="仿宋_GB2312"/>
                <w:bCs/>
                <w:color w:val="000000"/>
                <w:sz w:val="24"/>
              </w:rPr>
              <w:t>4</w:t>
            </w:r>
            <w:r>
              <w:rPr>
                <w:rFonts w:ascii="仿宋_GB2312" w:hAnsi="仿宋_GB2312" w:eastAsia="仿宋_GB2312" w:cs="仿宋_GB2312"/>
                <w:bCs/>
                <w:color w:val="000000"/>
                <w:sz w:val="24"/>
              </w:rPr>
              <w:t>小时内通过远程方式解决；遇到大的问题，在接到报修通知后</w:t>
            </w:r>
            <w:r>
              <w:rPr>
                <w:rFonts w:hint="eastAsia" w:ascii="仿宋_GB2312" w:hAnsi="仿宋_GB2312" w:eastAsia="仿宋_GB2312" w:cs="仿宋_GB2312"/>
                <w:bCs/>
                <w:color w:val="000000"/>
                <w:sz w:val="24"/>
              </w:rPr>
              <w:t>24</w:t>
            </w:r>
            <w:r>
              <w:rPr>
                <w:rFonts w:ascii="仿宋_GB2312" w:hAnsi="仿宋_GB2312" w:eastAsia="仿宋_GB2312" w:cs="仿宋_GB2312"/>
                <w:bCs/>
                <w:color w:val="000000"/>
                <w:sz w:val="24"/>
              </w:rPr>
              <w:t>小时内派技术人员到达现场维修，故障修复时限不超过</w:t>
            </w:r>
            <w:r>
              <w:rPr>
                <w:rFonts w:hint="eastAsia" w:ascii="仿宋_GB2312" w:hAnsi="仿宋_GB2312" w:eastAsia="仿宋_GB2312" w:cs="仿宋_GB2312"/>
                <w:bCs/>
                <w:color w:val="000000"/>
                <w:sz w:val="24"/>
              </w:rPr>
              <w:t>72</w:t>
            </w:r>
            <w:r>
              <w:rPr>
                <w:rFonts w:ascii="仿宋_GB2312" w:hAnsi="仿宋_GB2312" w:eastAsia="仿宋_GB2312" w:cs="仿宋_GB2312"/>
                <w:bCs/>
                <w:color w:val="000000"/>
                <w:sz w:val="24"/>
              </w:rPr>
              <w:t>小时,如超过时限无法排除故障，免费提供同等质量的产品作为备用品供采购人使用，直到修复完成</w:t>
            </w:r>
            <w:r>
              <w:rPr>
                <w:rFonts w:hint="eastAsia" w:ascii="仿宋_GB2312" w:hAnsi="仿宋_GB2312" w:eastAsia="仿宋_GB2312" w:cs="仿宋_GB2312"/>
                <w:bCs/>
                <w:color w:val="000000"/>
                <w:sz w:val="24"/>
              </w:rPr>
              <w:t>；采购需求一、项目技术规格参数及要求中另有要求的按采购需求要求执行</w:t>
            </w:r>
            <w:r>
              <w:rPr>
                <w:rFonts w:ascii="仿宋_GB2312" w:hAnsi="仿宋_GB2312" w:eastAsia="仿宋_GB2312" w:cs="仿宋_GB2312"/>
                <w:bCs/>
                <w:color w:val="000000"/>
                <w:sz w:val="24"/>
              </w:rPr>
              <w:t>。</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w:t>
            </w:r>
          </w:p>
        </w:tc>
      </w:tr>
      <w:tr w14:paraId="3064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201D618F">
            <w:pPr>
              <w:spacing w:line="440" w:lineRule="exact"/>
              <w:jc w:val="left"/>
              <w:rPr>
                <w:rFonts w:ascii="等线" w:hAnsi="等线" w:eastAsia="仿宋_GB2312" w:cs="Arial"/>
                <w:bCs/>
                <w:color w:val="000000"/>
                <w:sz w:val="24"/>
                <w:lang w:val="en-GB"/>
              </w:rPr>
            </w:pPr>
            <w:r>
              <w:rPr>
                <w:rFonts w:ascii="仿宋_GB2312" w:hAnsi="仿宋_GB2312" w:eastAsia="仿宋_GB2312" w:cs="仿宋_GB2312"/>
                <w:color w:val="000000"/>
                <w:sz w:val="24"/>
              </w:rPr>
              <w:t>交货时间及地点</w:t>
            </w:r>
          </w:p>
        </w:tc>
        <w:tc>
          <w:tcPr>
            <w:tcW w:w="7763" w:type="dxa"/>
            <w:vAlign w:val="center"/>
          </w:tcPr>
          <w:p w14:paraId="22346EE9">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1.交货时间：自签订合同之日起30日内安装调试完毕，验收合格并交付使用；</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2.交货地点：采购人指定柳州市内地点。</w:t>
            </w:r>
          </w:p>
        </w:tc>
      </w:tr>
      <w:tr w14:paraId="65BF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0D6C55DE">
            <w:pPr>
              <w:spacing w:line="440" w:lineRule="exact"/>
              <w:jc w:val="left"/>
              <w:rPr>
                <w:rFonts w:ascii="等线" w:hAnsi="等线" w:eastAsia="仿宋_GB2312" w:cs="Arial"/>
                <w:bCs/>
                <w:color w:val="000000"/>
                <w:sz w:val="24"/>
                <w:lang w:val="en-GB"/>
              </w:rPr>
            </w:pPr>
            <w:r>
              <w:rPr>
                <w:rFonts w:ascii="仿宋_GB2312" w:hAnsi="仿宋_GB2312" w:eastAsia="仿宋_GB2312" w:cs="仿宋_GB2312"/>
                <w:color w:val="000000"/>
                <w:sz w:val="24"/>
              </w:rPr>
              <w:t>付款方式</w:t>
            </w:r>
          </w:p>
        </w:tc>
        <w:tc>
          <w:tcPr>
            <w:tcW w:w="7763" w:type="dxa"/>
            <w:vAlign w:val="center"/>
          </w:tcPr>
          <w:p w14:paraId="17609A80">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本项目无预付款，货物全部到货完毕，货物验收合格之日起10个工作日内，支付合同价款的90%；全部安装、调试完毕，项目整体交付使用并通过最终验收合格10个工作日内支付合同价款的10%。</w:t>
            </w:r>
            <w:r>
              <w:rPr>
                <w:rFonts w:ascii="仿宋_GB2312" w:hAnsi="仿宋_GB2312" w:eastAsia="仿宋_GB2312" w:cs="仿宋_GB2312"/>
                <w:bCs/>
                <w:color w:val="000000"/>
                <w:sz w:val="24"/>
              </w:rPr>
              <w:br w:type="textWrapping"/>
            </w:r>
            <w:r>
              <w:rPr>
                <w:rFonts w:ascii="仿宋_GB2312" w:hAnsi="仿宋_GB2312" w:eastAsia="仿宋_GB2312" w:cs="仿宋_GB2312"/>
                <w:b/>
                <w:color w:val="000000"/>
                <w:sz w:val="24"/>
              </w:rPr>
              <w:t>注：资金支付等事项按照《保障中小企业款项支付条例》（国务院令第802号）、《广西壮族自治区财政厅关于持续优化政府采购营商环境推动高质量发展的通知》等要求执行。</w:t>
            </w:r>
          </w:p>
        </w:tc>
      </w:tr>
      <w:tr w14:paraId="0D44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0410B7D0">
            <w:pPr>
              <w:spacing w:line="440" w:lineRule="exact"/>
              <w:jc w:val="left"/>
              <w:rPr>
                <w:rFonts w:ascii="等线" w:hAnsi="等线" w:eastAsia="仿宋_GB2312" w:cs="Arial"/>
                <w:bCs/>
                <w:color w:val="000000"/>
                <w:sz w:val="24"/>
                <w:lang w:val="en-GB"/>
              </w:rPr>
            </w:pPr>
            <w:r>
              <w:rPr>
                <w:rFonts w:ascii="仿宋_GB2312" w:hAnsi="仿宋_GB2312" w:eastAsia="仿宋_GB2312" w:cs="仿宋_GB2312"/>
                <w:color w:val="000000"/>
                <w:sz w:val="24"/>
              </w:rPr>
              <w:t>备品备件及耗材等要求</w:t>
            </w:r>
          </w:p>
        </w:tc>
        <w:tc>
          <w:tcPr>
            <w:tcW w:w="7763" w:type="dxa"/>
            <w:vAlign w:val="center"/>
          </w:tcPr>
          <w:p w14:paraId="10685300">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1.投标人所提供零部件、配件及安装材料必须是符合国家规定质量安全标准的全新、合格产品；该项费用应包含在报价中；</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2.投标人所提供完整的全套设备须包括必备的易损耗备件和专用工具；</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3.投标人必须有完善的备品备件库体系，质保期内能提供相应的免费的措施和配件，保证过质保期后五年内有足够的备品备件，为完成本项目技术支持、服务需求提供可靠保证。</w:t>
            </w:r>
          </w:p>
        </w:tc>
      </w:tr>
      <w:tr w14:paraId="26C7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595" w:type="dxa"/>
            <w:gridSpan w:val="3"/>
            <w:vAlign w:val="center"/>
          </w:tcPr>
          <w:p w14:paraId="23D7BF01">
            <w:pPr>
              <w:widowControl/>
              <w:spacing w:line="276" w:lineRule="auto"/>
              <w:jc w:val="left"/>
              <w:rPr>
                <w:rFonts w:ascii="仿宋_GB2312" w:eastAsia="仿宋_GB2312"/>
                <w:bCs/>
                <w:sz w:val="24"/>
              </w:rPr>
            </w:pPr>
            <w:r>
              <w:rPr>
                <w:rFonts w:ascii="仿宋_GB2312" w:hAnsi="宋体" w:eastAsia="仿宋_GB2312" w:cs="宋体"/>
                <w:b/>
                <w:kern w:val="0"/>
                <w:sz w:val="24"/>
              </w:rPr>
              <w:t>★</w:t>
            </w:r>
            <w:r>
              <w:rPr>
                <w:rFonts w:hint="eastAsia" w:ascii="仿宋_GB2312" w:hAnsi="宋体" w:eastAsia="仿宋_GB2312" w:cs="Arial"/>
                <w:b/>
                <w:bCs/>
                <w:color w:val="000000"/>
                <w:sz w:val="24"/>
              </w:rPr>
              <w:t>三、验收要求</w:t>
            </w:r>
          </w:p>
        </w:tc>
      </w:tr>
      <w:tr w14:paraId="6DE3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832" w:type="dxa"/>
            <w:gridSpan w:val="2"/>
            <w:vAlign w:val="center"/>
          </w:tcPr>
          <w:p w14:paraId="48F0C22D">
            <w:pPr>
              <w:snapToGrid w:val="0"/>
              <w:spacing w:line="400" w:lineRule="exact"/>
              <w:jc w:val="center"/>
              <w:rPr>
                <w:rFonts w:ascii="等线" w:hAnsi="等线" w:eastAsia="仿宋_GB2312" w:cs="Arial"/>
                <w:bCs/>
                <w:color w:val="000000"/>
                <w:sz w:val="24"/>
                <w:lang w:val="en-GB"/>
              </w:rPr>
            </w:pPr>
            <w:r>
              <w:rPr>
                <w:rFonts w:ascii="仿宋_GB2312" w:hAnsi="仿宋_GB2312" w:eastAsia="仿宋_GB2312" w:cs="仿宋_GB2312"/>
                <w:bCs/>
                <w:color w:val="000000"/>
                <w:sz w:val="24"/>
                <w:szCs w:val="21"/>
              </w:rPr>
              <w:t>验收标准及要求</w:t>
            </w:r>
          </w:p>
        </w:tc>
        <w:tc>
          <w:tcPr>
            <w:tcW w:w="7763" w:type="dxa"/>
            <w:vAlign w:val="center"/>
          </w:tcPr>
          <w:p w14:paraId="5756170E">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1.国家强制性技术标准及有关规定；</w:t>
            </w:r>
          </w:p>
          <w:p w14:paraId="1CBF64B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2.交货验收时，采购人根据《广西壮族自治区政府采购项目履约验收管理办法》的规定，由采购人及中标人双方共同进行验收。必要时可委托国家认可的质量检测机构开展采购项目验收工作；</w:t>
            </w:r>
          </w:p>
          <w:p w14:paraId="75872774">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w:t>
            </w:r>
          </w:p>
          <w:p w14:paraId="5D0173B7">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4.验收费用：验收所产生的检验费及相关的全部费用均由中标人承担；</w:t>
            </w:r>
          </w:p>
          <w:p w14:paraId="1BC126F3">
            <w:pPr>
              <w:spacing w:line="440" w:lineRule="exact"/>
              <w:jc w:val="left"/>
              <w:rPr>
                <w:rFonts w:ascii="仿宋_GB2312" w:hAnsi="仿宋_GB2312" w:eastAsia="仿宋_GB2312" w:cs="仿宋_GB2312"/>
                <w:bCs/>
                <w:color w:val="000000"/>
                <w:sz w:val="24"/>
                <w:szCs w:val="21"/>
              </w:rPr>
            </w:pPr>
            <w:r>
              <w:rPr>
                <w:rFonts w:hint="eastAsia" w:ascii="仿宋_GB2312" w:hAnsi="仿宋_GB2312" w:eastAsia="仿宋_GB2312" w:cs="仿宋_GB2312"/>
                <w:bCs/>
                <w:color w:val="000000"/>
                <w:sz w:val="24"/>
              </w:rPr>
              <w:t>5.验收时中标人须提供：①产品的使用手册；②产品出厂检验合格证书；③产品质保证明。</w:t>
            </w:r>
          </w:p>
        </w:tc>
      </w:tr>
      <w:tr w14:paraId="6D36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595" w:type="dxa"/>
            <w:gridSpan w:val="3"/>
            <w:vAlign w:val="center"/>
          </w:tcPr>
          <w:p w14:paraId="536BE4D7">
            <w:pPr>
              <w:widowControl/>
              <w:snapToGrid w:val="0"/>
              <w:spacing w:before="120" w:after="120" w:line="440" w:lineRule="exact"/>
              <w:jc w:val="left"/>
              <w:rPr>
                <w:rFonts w:ascii="仿宋_GB2312" w:hAnsi="宋体" w:eastAsia="仿宋_GB2312" w:cs="宋体"/>
                <w:bCs/>
                <w:color w:val="000000"/>
                <w:sz w:val="24"/>
              </w:rPr>
            </w:pPr>
            <w:r>
              <w:rPr>
                <w:rFonts w:hint="eastAsia" w:ascii="仿宋_GB2312" w:hAnsi="宋体" w:eastAsia="仿宋_GB2312" w:cs="Arial"/>
                <w:b/>
                <w:bCs/>
                <w:color w:val="000000"/>
                <w:sz w:val="24"/>
              </w:rPr>
              <w:t>四、资信要求</w:t>
            </w:r>
          </w:p>
        </w:tc>
      </w:tr>
      <w:tr w14:paraId="653E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2" w:type="dxa"/>
            <w:gridSpan w:val="2"/>
            <w:vAlign w:val="center"/>
          </w:tcPr>
          <w:p w14:paraId="6DD589F2">
            <w:pPr>
              <w:snapToGrid w:val="0"/>
              <w:spacing w:line="400" w:lineRule="exact"/>
              <w:jc w:val="center"/>
              <w:rPr>
                <w:rFonts w:ascii="仿宋_GB2312" w:hAnsi="宋体" w:eastAsia="仿宋_GB2312" w:cs="Arial"/>
                <w:bCs/>
                <w:color w:val="000000"/>
                <w:sz w:val="24"/>
              </w:rPr>
            </w:pPr>
            <w:r>
              <w:rPr>
                <w:rFonts w:ascii="仿宋_GB2312" w:hAnsi="仿宋_GB2312" w:eastAsia="仿宋_GB2312" w:cs="仿宋_GB2312"/>
                <w:bCs/>
                <w:color w:val="000000"/>
                <w:sz w:val="24"/>
                <w:szCs w:val="21"/>
              </w:rPr>
              <w:t>政策性加分条件（如有）</w:t>
            </w:r>
          </w:p>
        </w:tc>
        <w:tc>
          <w:tcPr>
            <w:tcW w:w="7763" w:type="dxa"/>
            <w:vAlign w:val="center"/>
          </w:tcPr>
          <w:p w14:paraId="341A00BA">
            <w:pPr>
              <w:pStyle w:val="376"/>
              <w:spacing w:before="0" w:beforeAutospacing="0" w:after="0" w:afterAutospacing="0" w:line="460" w:lineRule="atLeas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649AA421">
            <w:pPr>
              <w:pStyle w:val="376"/>
              <w:spacing w:before="0" w:beforeAutospacing="0" w:after="0" w:afterAutospacing="0" w:line="460" w:lineRule="atLeast"/>
              <w:rPr>
                <w:rFonts w:ascii="仿宋_GB2312" w:eastAsia="仿宋_GB2312"/>
                <w:color w:val="000000"/>
              </w:rPr>
            </w:pPr>
            <w:r>
              <w:rPr>
                <w:rStyle w:val="377"/>
                <w:rFonts w:hint="eastAsia" w:ascii="仿宋_GB2312" w:eastAsia="仿宋_GB2312"/>
                <w:color w:val="000000"/>
              </w:rPr>
              <w:t>注：（1）采购标的对应的中小企业划分标准所属行业</w:t>
            </w:r>
            <w:r>
              <w:rPr>
                <w:rFonts w:hint="eastAsia" w:ascii="仿宋_GB2312" w:eastAsia="仿宋_GB2312"/>
                <w:b/>
                <w:bCs/>
                <w:color w:val="000000"/>
              </w:rPr>
              <w:t>：</w:t>
            </w:r>
            <w:r>
              <w:rPr>
                <w:rStyle w:val="736"/>
                <w:rFonts w:hint="eastAsia" w:ascii="仿宋_GB2312" w:hAnsi="Times New Roman" w:eastAsia="仿宋_GB2312" w:cs="Times New Roman"/>
                <w:color w:val="000000"/>
                <w:u w:val="single"/>
              </w:rPr>
              <w:t>工业</w:t>
            </w:r>
            <w:r>
              <w:rPr>
                <w:rStyle w:val="737"/>
                <w:rFonts w:hint="eastAsia" w:ascii="仿宋_GB2312" w:eastAsia="仿宋_GB2312"/>
                <w:color w:val="000000"/>
              </w:rPr>
              <w:t>。</w:t>
            </w:r>
          </w:p>
          <w:p w14:paraId="1B97678C">
            <w:pPr>
              <w:pStyle w:val="376"/>
              <w:spacing w:before="0" w:beforeAutospacing="0" w:after="0" w:afterAutospacing="0" w:line="460" w:lineRule="atLeast"/>
              <w:rPr>
                <w:rFonts w:ascii="仿宋_GB2312" w:eastAsia="仿宋_GB2312"/>
                <w:color w:val="000000"/>
              </w:rPr>
            </w:pPr>
            <w:r>
              <w:rPr>
                <w:rStyle w:val="377"/>
                <w:rFonts w:hint="eastAsia" w:ascii="仿宋_GB2312" w:eastAsia="仿宋_GB2312"/>
                <w:color w:val="000000"/>
              </w:rPr>
              <w:t>（2）中小企业划分有关标准根据工信部等部委发布的《关于印发中小企业划型标准规定的通知》（工信部联企业〔2011〕300号）确定；</w:t>
            </w:r>
          </w:p>
          <w:p w14:paraId="1A6C2C5F">
            <w:pPr>
              <w:pStyle w:val="376"/>
              <w:spacing w:before="0" w:beforeAutospacing="0" w:after="0" w:afterAutospacing="0" w:line="460" w:lineRule="atLeast"/>
              <w:rPr>
                <w:rFonts w:ascii="仿宋_GB2312" w:eastAsia="仿宋_GB2312"/>
                <w:color w:val="000000"/>
              </w:rPr>
            </w:pPr>
            <w:r>
              <w:rPr>
                <w:rStyle w:val="377"/>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14:paraId="42EEE911">
            <w:pPr>
              <w:pStyle w:val="376"/>
              <w:spacing w:before="0" w:beforeAutospacing="0" w:after="0" w:afterAutospacing="0" w:line="460" w:lineRule="atLeast"/>
              <w:rPr>
                <w:rFonts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14:paraId="626FFFA0">
            <w:pPr>
              <w:pStyle w:val="376"/>
              <w:spacing w:before="0" w:beforeAutospacing="0" w:after="0" w:afterAutospacing="0" w:line="460" w:lineRule="atLeast"/>
              <w:rPr>
                <w:rFonts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14:paraId="7DAE7DC7">
            <w:pPr>
              <w:pStyle w:val="376"/>
              <w:spacing w:before="0" w:beforeAutospacing="0" w:after="0" w:afterAutospacing="0" w:line="460" w:lineRule="atLeast"/>
              <w:rPr>
                <w:rFonts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2A1C47A3">
            <w:pPr>
              <w:pStyle w:val="376"/>
              <w:spacing w:before="0" w:beforeAutospacing="0" w:after="0" w:afterAutospacing="0" w:line="460" w:lineRule="atLeast"/>
              <w:rPr>
                <w:rFonts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14:paraId="19F4F3EF">
            <w:pPr>
              <w:pStyle w:val="376"/>
              <w:spacing w:before="0" w:beforeAutospacing="0" w:after="0" w:afterAutospacing="0" w:line="460" w:lineRule="atLeast"/>
              <w:rPr>
                <w:rFonts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14:paraId="161D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2" w:type="dxa"/>
            <w:gridSpan w:val="2"/>
            <w:vAlign w:val="center"/>
          </w:tcPr>
          <w:p w14:paraId="3973C7D2">
            <w:pPr>
              <w:snapToGrid w:val="0"/>
              <w:spacing w:line="400" w:lineRule="exact"/>
              <w:jc w:val="center"/>
              <w:rPr>
                <w:rFonts w:ascii="仿宋_GB2312" w:hAnsi="宋体" w:eastAsia="仿宋_GB2312" w:cs="Arial"/>
                <w:bCs/>
                <w:color w:val="000000"/>
                <w:sz w:val="24"/>
              </w:rPr>
            </w:pPr>
            <w:r>
              <w:rPr>
                <w:rFonts w:ascii="仿宋_GB2312" w:hAnsi="仿宋_GB2312" w:eastAsia="仿宋_GB2312" w:cs="仿宋_GB2312"/>
                <w:bCs/>
                <w:color w:val="000000"/>
                <w:sz w:val="24"/>
                <w:szCs w:val="21"/>
              </w:rPr>
              <w:t xml:space="preserve">质量管理、企业信用要求（如有） </w:t>
            </w:r>
          </w:p>
        </w:tc>
        <w:tc>
          <w:tcPr>
            <w:tcW w:w="7763" w:type="dxa"/>
            <w:vAlign w:val="center"/>
          </w:tcPr>
          <w:p w14:paraId="016EE395">
            <w:pPr>
              <w:pStyle w:val="397"/>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1.投标人或所投核心产品生产厂家具备有效的质量管理体系认证证书；</w:t>
            </w:r>
            <w:r>
              <w:rPr>
                <w:rFonts w:hint="eastAsia" w:ascii="仿宋_GB2312" w:eastAsia="仿宋_GB2312"/>
                <w:color w:val="000000"/>
              </w:rPr>
              <w:br w:type="textWrapping"/>
            </w:r>
            <w:r>
              <w:rPr>
                <w:rFonts w:hint="eastAsia" w:ascii="仿宋_GB2312" w:eastAsia="仿宋_GB2312"/>
                <w:color w:val="000000"/>
              </w:rPr>
              <w:t>2.投标人或所投核心产品生产厂家具备有效的职业健康安全管理体系认证证书；</w:t>
            </w:r>
            <w:r>
              <w:rPr>
                <w:rFonts w:hint="eastAsia" w:ascii="仿宋_GB2312" w:eastAsia="仿宋_GB2312"/>
                <w:color w:val="000000"/>
              </w:rPr>
              <w:br w:type="textWrapping"/>
            </w:r>
            <w:r>
              <w:rPr>
                <w:rFonts w:hint="eastAsia" w:ascii="仿宋_GB2312" w:eastAsia="仿宋_GB2312"/>
                <w:color w:val="000000"/>
              </w:rPr>
              <w:t>3.投标人或所投核心产品生产厂家具备有效的环境管理体系认证证书。</w:t>
            </w:r>
          </w:p>
        </w:tc>
      </w:tr>
      <w:tr w14:paraId="7F2C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2" w:type="dxa"/>
            <w:gridSpan w:val="2"/>
            <w:vAlign w:val="center"/>
          </w:tcPr>
          <w:p w14:paraId="01FF6F79">
            <w:pPr>
              <w:spacing w:line="440" w:lineRule="exact"/>
              <w:ind w:right="-27" w:rightChars="-13"/>
              <w:jc w:val="left"/>
              <w:rPr>
                <w:rFonts w:ascii="仿宋_GB2312" w:hAnsi="仿宋_GB2312" w:eastAsia="仿宋_GB2312" w:cs="仿宋_GB2312"/>
                <w:bCs/>
                <w:color w:val="000000"/>
                <w:sz w:val="24"/>
                <w:szCs w:val="21"/>
              </w:rPr>
            </w:pPr>
            <w:r>
              <w:rPr>
                <w:rFonts w:ascii="仿宋_GB2312" w:hAnsi="仿宋_GB2312" w:eastAsia="仿宋_GB2312" w:cs="仿宋_GB2312"/>
                <w:bCs/>
                <w:color w:val="000000"/>
                <w:sz w:val="24"/>
              </w:rPr>
              <w:t>能力或业绩要求（如有）</w:t>
            </w:r>
          </w:p>
        </w:tc>
        <w:tc>
          <w:tcPr>
            <w:tcW w:w="7763" w:type="dxa"/>
            <w:vAlign w:val="center"/>
          </w:tcPr>
          <w:p w14:paraId="3F642001">
            <w:pPr>
              <w:pStyle w:val="745"/>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投标人2022年1月1日起至今承接服务器采购类型的项目业绩</w:t>
            </w:r>
            <w:r>
              <w:rPr>
                <w:rFonts w:hint="eastAsia" w:ascii="仿宋_GB2312" w:eastAsia="仿宋_GB2312"/>
                <w:color w:val="000000"/>
                <w:lang w:eastAsia="zh-CN"/>
              </w:rPr>
              <w:t>。</w:t>
            </w:r>
          </w:p>
        </w:tc>
      </w:tr>
      <w:tr w14:paraId="2A9D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595" w:type="dxa"/>
            <w:gridSpan w:val="3"/>
            <w:vAlign w:val="center"/>
          </w:tcPr>
          <w:p w14:paraId="6D31CD4A">
            <w:pPr>
              <w:snapToGrid w:val="0"/>
              <w:spacing w:line="440" w:lineRule="exact"/>
              <w:rPr>
                <w:rFonts w:ascii="仿宋_GB2312" w:hAnsi="Courier New" w:eastAsia="仿宋_GB2312" w:cs="Courier New"/>
                <w:bCs/>
                <w:color w:val="FF0000"/>
                <w:kern w:val="0"/>
                <w:sz w:val="24"/>
                <w:szCs w:val="21"/>
              </w:rPr>
            </w:pPr>
            <w:r>
              <w:rPr>
                <w:rFonts w:hint="eastAsia" w:ascii="仿宋_GB2312" w:hAnsi="宋体" w:eastAsia="仿宋_GB2312" w:cs="Courier New"/>
                <w:b/>
                <w:bCs/>
                <w:kern w:val="0"/>
                <w:sz w:val="24"/>
                <w:szCs w:val="21"/>
              </w:rPr>
              <w:t>五、其他要求</w:t>
            </w:r>
          </w:p>
        </w:tc>
      </w:tr>
      <w:tr w14:paraId="7DA6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772" w:type="dxa"/>
            <w:vAlign w:val="center"/>
          </w:tcPr>
          <w:p w14:paraId="785FFCBD">
            <w:pPr>
              <w:jc w:val="center"/>
              <w:rPr>
                <w:rFonts w:ascii="仿宋_GB2312" w:hAnsi="宋体" w:eastAsia="仿宋_GB2312"/>
                <w:sz w:val="24"/>
              </w:rPr>
            </w:pPr>
            <w:r>
              <w:rPr>
                <w:rFonts w:ascii="仿宋_GB2312" w:hAnsi="宋体" w:eastAsia="仿宋_GB2312" w:cs="宋体"/>
                <w:bCs/>
                <w:color w:val="000000"/>
                <w:sz w:val="24"/>
              </w:rPr>
              <w:t>无</w:t>
            </w:r>
          </w:p>
        </w:tc>
        <w:tc>
          <w:tcPr>
            <w:tcW w:w="7823" w:type="dxa"/>
            <w:gridSpan w:val="2"/>
            <w:vAlign w:val="center"/>
          </w:tcPr>
          <w:p w14:paraId="156FD0B4">
            <w:pPr>
              <w:snapToGrid w:val="0"/>
              <w:spacing w:line="440" w:lineRule="exact"/>
              <w:jc w:val="left"/>
              <w:rPr>
                <w:rFonts w:ascii="仿宋_GB2312" w:eastAsia="仿宋_GB2312"/>
                <w:bCs/>
                <w:kern w:val="0"/>
                <w:sz w:val="24"/>
              </w:rPr>
            </w:pPr>
            <w:r>
              <w:rPr>
                <w:rFonts w:ascii="仿宋_GB2312" w:eastAsia="仿宋_GB2312"/>
                <w:bCs/>
                <w:color w:val="000000" w:themeColor="text1"/>
                <w:kern w:val="0"/>
                <w:sz w:val="24"/>
                <w14:textFill>
                  <w14:solidFill>
                    <w14:schemeClr w14:val="tx1"/>
                  </w14:solidFill>
                </w14:textFill>
              </w:rPr>
              <w:t xml:space="preserve"> </w:t>
            </w:r>
          </w:p>
        </w:tc>
      </w:tr>
    </w:tbl>
    <w:p w14:paraId="702043CC">
      <w:pPr>
        <w:adjustRightInd w:val="0"/>
        <w:spacing w:line="276" w:lineRule="auto"/>
        <w:rPr>
          <w:rFonts w:ascii="仿宋_GB2312" w:eastAsia="仿宋_GB2312"/>
          <w:b/>
          <w:bCs/>
          <w:sz w:val="24"/>
        </w:rPr>
      </w:pPr>
    </w:p>
    <w:p w14:paraId="20D5DB87">
      <w:pPr>
        <w:spacing w:line="360" w:lineRule="auto"/>
        <w:rPr>
          <w:rFonts w:ascii="仿宋_GB2312" w:hAnsi="宋体" w:eastAsia="仿宋_GB2312"/>
          <w:sz w:val="24"/>
        </w:rPr>
      </w:pPr>
    </w:p>
    <w:p w14:paraId="54AF598A">
      <w:pPr>
        <w:sectPr>
          <w:pgSz w:w="11906" w:h="16838"/>
          <w:pgMar w:top="1440" w:right="1134" w:bottom="1440" w:left="1134" w:header="851" w:footer="992" w:gutter="0"/>
          <w:cols w:space="720" w:num="1"/>
          <w:docGrid w:linePitch="312" w:charSpace="0"/>
        </w:sectPr>
      </w:pPr>
    </w:p>
    <w:p w14:paraId="6B1F90AC">
      <w:pPr>
        <w:pStyle w:val="3"/>
        <w:spacing w:line="276" w:lineRule="auto"/>
        <w:jc w:val="center"/>
        <w:rPr>
          <w:sz w:val="32"/>
          <w:szCs w:val="32"/>
        </w:rPr>
      </w:pPr>
      <w:bookmarkStart w:id="26" w:name="_Toc29711"/>
      <w:r>
        <w:rPr>
          <w:rFonts w:hint="eastAsia"/>
          <w:sz w:val="32"/>
          <w:szCs w:val="32"/>
        </w:rPr>
        <w:t>第三章 投标人须知</w:t>
      </w:r>
      <w:bookmarkEnd w:id="26"/>
    </w:p>
    <w:p w14:paraId="34FE0EBF">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9"/>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649A6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1887D65">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3C3F5486">
            <w:pPr>
              <w:spacing w:line="400" w:lineRule="exact"/>
              <w:jc w:val="center"/>
              <w:rPr>
                <w:rFonts w:ascii="仿宋_GB2312" w:eastAsia="仿宋_GB2312"/>
                <w:b/>
                <w:sz w:val="24"/>
              </w:rPr>
            </w:pPr>
            <w:r>
              <w:rPr>
                <w:rFonts w:hint="eastAsia" w:ascii="仿宋_GB2312" w:eastAsia="仿宋_GB2312"/>
                <w:b/>
                <w:sz w:val="24"/>
              </w:rPr>
              <w:t>内    容</w:t>
            </w:r>
          </w:p>
        </w:tc>
      </w:tr>
      <w:tr w14:paraId="0A5F8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198C77A">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2D29593B">
            <w:pPr>
              <w:spacing w:line="400" w:lineRule="exact"/>
              <w:rPr>
                <w:rFonts w:ascii="仿宋_GB2312" w:eastAsia="仿宋_GB2312"/>
                <w:sz w:val="24"/>
              </w:rPr>
            </w:pPr>
            <w:r>
              <w:rPr>
                <w:rFonts w:hint="eastAsia" w:ascii="仿宋_GB2312" w:eastAsia="仿宋_GB2312"/>
                <w:sz w:val="24"/>
              </w:rPr>
              <w:t>项目名称：</w:t>
            </w:r>
            <w:r>
              <w:rPr>
                <w:rFonts w:hint="eastAsia" w:ascii="仿宋_GB2312" w:hAnsi="宋体" w:eastAsia="仿宋_GB2312"/>
                <w:sz w:val="24"/>
              </w:rPr>
              <w:t>柳州市公安局视频专网设备采购</w:t>
            </w:r>
          </w:p>
          <w:p w14:paraId="2650F1F8">
            <w:pPr>
              <w:spacing w:line="400" w:lineRule="exact"/>
              <w:rPr>
                <w:rFonts w:ascii="仿宋_GB2312" w:eastAsia="仿宋_GB2312"/>
                <w:sz w:val="24"/>
              </w:rPr>
            </w:pPr>
            <w:r>
              <w:rPr>
                <w:rFonts w:hint="eastAsia" w:ascii="仿宋_GB2312" w:eastAsia="仿宋_GB2312"/>
                <w:sz w:val="24"/>
              </w:rPr>
              <w:t>项目编号：</w:t>
            </w:r>
            <w:r>
              <w:rPr>
                <w:rFonts w:hint="eastAsia" w:ascii="仿宋_GB2312" w:hAnsi="宋体" w:eastAsia="仿宋_GB2312"/>
                <w:sz w:val="24"/>
              </w:rPr>
              <w:t>LZZC2025-G1-990970-LZSZ</w:t>
            </w:r>
          </w:p>
        </w:tc>
      </w:tr>
      <w:tr w14:paraId="3C4D5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CC40F78">
            <w:pPr>
              <w:spacing w:line="400" w:lineRule="exact"/>
              <w:jc w:val="center"/>
              <w:rPr>
                <w:rFonts w:ascii="仿宋_GB2312" w:eastAsia="仿宋_GB2312"/>
                <w:sz w:val="24"/>
              </w:rPr>
            </w:pPr>
            <w:r>
              <w:rPr>
                <w:rFonts w:ascii="仿宋_GB2312" w:eastAsia="仿宋_GB2312"/>
                <w:sz w:val="24"/>
              </w:rPr>
              <w:t>2</w:t>
            </w:r>
          </w:p>
        </w:tc>
        <w:tc>
          <w:tcPr>
            <w:tcW w:w="8232" w:type="dxa"/>
          </w:tcPr>
          <w:p w14:paraId="58922404">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797C9AD8">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预算金额（人民币）：捌拾壹万贰仟伍佰陆拾元整</w:t>
            </w:r>
            <w:r>
              <w:rPr>
                <w:rFonts w:hint="eastAsia" w:ascii="仿宋_GB2312" w:hAnsi="仿宋_GB2312" w:eastAsia="仿宋_GB2312" w:cs="仿宋_GB2312"/>
                <w:sz w:val="24"/>
              </w:rPr>
              <w:t>（812,560.00）</w:t>
            </w:r>
          </w:p>
        </w:tc>
      </w:tr>
      <w:tr w14:paraId="3D619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E3C1B4C">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62F01CDB">
            <w:pPr>
              <w:spacing w:line="400" w:lineRule="exact"/>
              <w:rPr>
                <w:rFonts w:ascii="仿宋_GB2312" w:eastAsia="仿宋_GB2312"/>
                <w:sz w:val="24"/>
              </w:rPr>
            </w:pPr>
            <w:r>
              <w:rPr>
                <w:rFonts w:hint="eastAsia" w:ascii="仿宋_GB2312" w:eastAsia="仿宋_GB2312"/>
                <w:sz w:val="24"/>
              </w:rPr>
              <w:t>投标报价及费用：</w:t>
            </w:r>
          </w:p>
          <w:p w14:paraId="308FED47">
            <w:pPr>
              <w:spacing w:line="400" w:lineRule="exact"/>
              <w:rPr>
                <w:rFonts w:ascii="仿宋_GB2312" w:eastAsia="仿宋_GB2312"/>
                <w:sz w:val="24"/>
              </w:rPr>
            </w:pPr>
            <w:r>
              <w:rPr>
                <w:rFonts w:hint="eastAsia" w:ascii="仿宋_GB2312" w:eastAsia="仿宋_GB2312"/>
                <w:sz w:val="24"/>
              </w:rPr>
              <w:t>1.本项目投标应以人民币报价；</w:t>
            </w:r>
          </w:p>
          <w:p w14:paraId="1C8E8FF7">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2435C209">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5C8B1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64A2DAB7">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56AD971D">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36D64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0169051">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5CAB688A">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4B76F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639FB77">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0970E7BD">
            <w:pPr>
              <w:pStyle w:val="458"/>
              <w:spacing w:before="0" w:beforeAutospacing="0" w:after="0" w:afterAutospacing="0" w:line="460" w:lineRule="atLeast"/>
              <w:rPr>
                <w:rFonts w:ascii="仿宋_GB2312" w:eastAsia="仿宋_GB2312"/>
                <w:color w:val="000000"/>
              </w:rPr>
            </w:pPr>
            <w:r>
              <w:rPr>
                <w:rStyle w:val="459"/>
                <w:rFonts w:hint="eastAsia" w:ascii="仿宋_GB2312" w:eastAsia="仿宋_GB2312"/>
                <w:color w:val="000000"/>
              </w:rPr>
              <w:t>电子投标文件：</w:t>
            </w:r>
            <w:r>
              <w:rPr>
                <w:rFonts w:hint="eastAsia" w:ascii="仿宋_GB2312" w:eastAsia="仿宋_GB2312"/>
                <w:b/>
                <w:bCs/>
                <w:color w:val="000000"/>
              </w:rPr>
              <w:br w:type="textWrapping"/>
            </w:r>
            <w:r>
              <w:rPr>
                <w:rStyle w:val="459"/>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459"/>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459"/>
                <w:rFonts w:hint="eastAsia" w:ascii="仿宋_GB2312" w:eastAsia="仿宋_GB2312"/>
                <w:color w:val="000000"/>
              </w:rPr>
              <w:t>3.电子投标文件成功提交后，投标人可自行打印投标文件接收回执。</w:t>
            </w:r>
          </w:p>
        </w:tc>
      </w:tr>
      <w:tr w14:paraId="111F5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E4F8EE7">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3D2A0C1C">
            <w:pPr>
              <w:pStyle w:val="479"/>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32A01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BB27A99">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09162BEF">
            <w:pPr>
              <w:pStyle w:val="499"/>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5EE1F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27D2968">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56AA5093">
            <w:pPr>
              <w:pStyle w:val="519"/>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4EE1E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CD10A9F">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1A912FC2">
            <w:pPr>
              <w:pStyle w:val="539"/>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7737B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CB0F341">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3B70F36F">
            <w:pPr>
              <w:pStyle w:val="559"/>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39690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F3EAB57">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123FECB8">
            <w:pPr>
              <w:pStyle w:val="579"/>
              <w:spacing w:before="0" w:beforeAutospacing="0" w:after="0" w:afterAutospacing="0" w:line="460" w:lineRule="atLeast"/>
              <w:rPr>
                <w:rFonts w:ascii="仿宋_GB2312" w:eastAsia="仿宋_GB2312"/>
                <w:color w:val="000000"/>
              </w:rPr>
            </w:pPr>
            <w:r>
              <w:rPr>
                <w:rStyle w:val="580"/>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580"/>
                <w:rFonts w:hint="eastAsia" w:ascii="仿宋_GB2312" w:eastAsia="仿宋_GB2312"/>
                <w:color w:val="000000"/>
              </w:rPr>
              <w:t>二、甄别方式：</w:t>
            </w:r>
            <w:r>
              <w:rPr>
                <w:rFonts w:hint="eastAsia" w:ascii="仿宋_GB2312" w:eastAsia="仿宋_GB2312"/>
                <w:b/>
                <w:bCs/>
                <w:color w:val="000000"/>
              </w:rPr>
              <w:br w:type="textWrapping"/>
            </w:r>
            <w:r>
              <w:rPr>
                <w:rStyle w:val="580"/>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580"/>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580"/>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7C9E3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D2EAE18">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52D97D06">
            <w:pPr>
              <w:pStyle w:val="600"/>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601"/>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0D2FA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C0E25AD">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25C83896">
            <w:pPr>
              <w:pStyle w:val="621"/>
              <w:spacing w:before="0" w:beforeAutospacing="0" w:after="0" w:afterAutospacing="0" w:line="460" w:lineRule="atLeast"/>
              <w:rPr>
                <w:rFonts w:ascii="仿宋_GB2312" w:eastAsia="仿宋_GB2312"/>
                <w:color w:val="000000"/>
              </w:rPr>
            </w:pPr>
            <w:r>
              <w:rPr>
                <w:rStyle w:val="622"/>
                <w:rFonts w:hint="eastAsia" w:ascii="仿宋_GB2312" w:eastAsia="仿宋_GB2312"/>
                <w:color w:val="000000"/>
              </w:rPr>
              <w:t>签订合同时间：中标通知书发出后</w:t>
            </w:r>
            <w:r>
              <w:rPr>
                <w:rStyle w:val="622"/>
                <w:rFonts w:hint="eastAsia" w:ascii="仿宋_GB2312" w:eastAsia="仿宋_GB2312"/>
                <w:color w:val="000000"/>
                <w:u w:val="single"/>
              </w:rPr>
              <w:t>25</w:t>
            </w:r>
            <w:r>
              <w:rPr>
                <w:rStyle w:val="622"/>
                <w:rFonts w:hint="eastAsia" w:ascii="仿宋_GB2312" w:eastAsia="仿宋_GB2312"/>
                <w:color w:val="000000"/>
              </w:rPr>
              <w:t>日内。</w:t>
            </w:r>
          </w:p>
        </w:tc>
      </w:tr>
      <w:tr w14:paraId="24BBA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8C22CBF">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4C3B9478">
            <w:pPr>
              <w:pStyle w:val="642"/>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49482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F07E5D2">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7D087A48">
            <w:pPr>
              <w:pStyle w:val="662"/>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1F865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07D0FAF">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08CF9B52">
            <w:pPr>
              <w:pStyle w:val="682"/>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02F90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0DA7F57">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5953E806">
            <w:pPr>
              <w:pStyle w:val="702"/>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4756E8BD">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288105B9">
      <w:pPr>
        <w:spacing w:line="360" w:lineRule="auto"/>
        <w:jc w:val="center"/>
        <w:rPr>
          <w:b/>
          <w:sz w:val="32"/>
          <w:szCs w:val="32"/>
        </w:rPr>
      </w:pPr>
      <w:r>
        <w:rPr>
          <w:rFonts w:hint="eastAsia"/>
          <w:b/>
          <w:sz w:val="32"/>
          <w:szCs w:val="32"/>
        </w:rPr>
        <w:t>投标人须知</w:t>
      </w:r>
    </w:p>
    <w:p w14:paraId="78C5403A">
      <w:pPr>
        <w:spacing w:line="300" w:lineRule="exact"/>
        <w:jc w:val="center"/>
        <w:rPr>
          <w:b/>
          <w:sz w:val="32"/>
          <w:szCs w:val="32"/>
        </w:rPr>
      </w:pPr>
    </w:p>
    <w:p w14:paraId="423DEFD9">
      <w:pPr>
        <w:pStyle w:val="26"/>
        <w:snapToGrid w:val="0"/>
        <w:spacing w:line="360" w:lineRule="exact"/>
        <w:ind w:right="-330" w:rightChars="-157"/>
        <w:rPr>
          <w:rFonts w:ascii="仿宋_GB2312" w:hAnsi="宋体" w:eastAsia="仿宋_GB2312"/>
          <w:b/>
          <w:sz w:val="24"/>
          <w:szCs w:val="24"/>
        </w:rPr>
      </w:pPr>
      <w:r>
        <w:rPr>
          <w:rFonts w:hint="eastAsia" w:ascii="仿宋_GB2312" w:hAnsi="宋体" w:eastAsia="仿宋_GB2312"/>
          <w:b/>
          <w:sz w:val="24"/>
          <w:szCs w:val="24"/>
        </w:rPr>
        <w:t>一、总  则</w:t>
      </w:r>
    </w:p>
    <w:p w14:paraId="5D273E8F">
      <w:pPr>
        <w:snapToGrid w:val="0"/>
        <w:spacing w:line="360" w:lineRule="exact"/>
        <w:ind w:right="-330" w:rightChars="-157" w:firstLine="472" w:firstLineChars="196"/>
        <w:jc w:val="left"/>
        <w:outlineLvl w:val="1"/>
        <w:rPr>
          <w:rFonts w:ascii="仿宋_GB2312" w:eastAsia="仿宋_GB2312"/>
          <w:b/>
          <w:sz w:val="24"/>
        </w:rPr>
      </w:pPr>
      <w:bookmarkStart w:id="27" w:name="_Toc254970668"/>
      <w:bookmarkStart w:id="28" w:name="_Toc254970527"/>
      <w:r>
        <w:rPr>
          <w:rFonts w:hint="eastAsia" w:ascii="仿宋_GB2312" w:eastAsia="仿宋_GB2312"/>
          <w:b/>
          <w:sz w:val="24"/>
        </w:rPr>
        <w:t>1. 适用范围</w:t>
      </w:r>
      <w:bookmarkEnd w:id="27"/>
      <w:bookmarkEnd w:id="28"/>
    </w:p>
    <w:p w14:paraId="4597CEEA">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柳州市公安局视频专网设备采购</w:t>
      </w:r>
      <w:r>
        <w:rPr>
          <w:rFonts w:hint="eastAsia" w:ascii="仿宋_GB2312" w:hAnsi="宋体" w:eastAsia="仿宋_GB2312"/>
          <w:bCs/>
          <w:sz w:val="24"/>
          <w:szCs w:val="24"/>
        </w:rPr>
        <w:t>项目的招标、投标、评标、定标、验收、合同履约、付款等行为（法律、法规另有规定的，从其规定）。</w:t>
      </w:r>
    </w:p>
    <w:p w14:paraId="6BE9AE1D">
      <w:pPr>
        <w:snapToGrid w:val="0"/>
        <w:spacing w:line="360" w:lineRule="exact"/>
        <w:ind w:right="-330" w:rightChars="-157" w:firstLine="354" w:firstLineChars="147"/>
        <w:jc w:val="left"/>
        <w:outlineLvl w:val="1"/>
        <w:rPr>
          <w:rFonts w:ascii="仿宋_GB2312" w:eastAsia="仿宋_GB2312"/>
          <w:b/>
          <w:sz w:val="24"/>
        </w:rPr>
      </w:pPr>
      <w:bookmarkStart w:id="29" w:name="_Toc254970669"/>
      <w:bookmarkStart w:id="30" w:name="_Toc254970528"/>
      <w:r>
        <w:rPr>
          <w:rFonts w:hint="eastAsia" w:ascii="仿宋_GB2312" w:eastAsia="仿宋_GB2312"/>
          <w:b/>
          <w:sz w:val="24"/>
        </w:rPr>
        <w:t>2.定义</w:t>
      </w:r>
      <w:bookmarkEnd w:id="29"/>
      <w:bookmarkEnd w:id="30"/>
    </w:p>
    <w:p w14:paraId="7EC976D5">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柳州市公安局</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11E0C397">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76BC3538">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14:paraId="2D529C7B">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5549ED54">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102296C5">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19FEC295">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5D7B9EC0">
      <w:pPr>
        <w:pStyle w:val="26"/>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2.8“★”系指本次采购项目“第二章 采购需求”中的实质性要求。</w:t>
      </w:r>
    </w:p>
    <w:p w14:paraId="6A8616AC">
      <w:pPr>
        <w:pStyle w:val="26"/>
        <w:snapToGrid w:val="0"/>
        <w:spacing w:line="360" w:lineRule="exact"/>
        <w:ind w:right="-330" w:rightChars="-157" w:firstLine="480" w:firstLineChars="200"/>
        <w:rPr>
          <w:rFonts w:ascii="仿宋_GB2312" w:hAnsi="宋体" w:eastAsia="仿宋_GB2312"/>
          <w:bCs/>
          <w:sz w:val="24"/>
          <w:szCs w:val="24"/>
        </w:rPr>
      </w:pPr>
      <w:bookmarkStart w:id="31" w:name="_Toc254970670"/>
      <w:bookmarkStart w:id="32" w:name="_Toc254970529"/>
      <w:bookmarkStart w:id="33" w:name="_Toc254970536"/>
      <w:bookmarkStart w:id="34" w:name="_Toc254970677"/>
      <w:r>
        <w:rPr>
          <w:rFonts w:hint="eastAsia" w:ascii="仿宋_GB2312" w:hAnsi="宋体" w:eastAsia="仿宋_GB2312"/>
          <w:bCs/>
          <w:sz w:val="24"/>
          <w:szCs w:val="24"/>
        </w:rPr>
        <w:t>2.9“▲”系指本次采购的核心产品。</w:t>
      </w:r>
    </w:p>
    <w:p w14:paraId="3520A60B">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408EBA81">
      <w:pPr>
        <w:pStyle w:val="26"/>
        <w:widowControl/>
        <w:snapToGrid w:val="0"/>
        <w:spacing w:line="400" w:lineRule="exact"/>
        <w:ind w:firstLine="480" w:firstLineChars="200"/>
        <w:rPr>
          <w:rFonts w:ascii="仿宋_GB2312" w:hAnsi="宋体" w:eastAsia="仿宋_GB2312"/>
          <w:bCs/>
          <w:sz w:val="24"/>
        </w:rPr>
      </w:pPr>
      <w:r>
        <w:rPr>
          <w:rFonts w:hint="eastAsia" w:ascii="仿宋_GB2312" w:hAnsi="宋体" w:eastAsia="仿宋_GB2312"/>
          <w:bCs/>
          <w:sz w:val="24"/>
        </w:rPr>
        <w:t>2.11“法定代表人”系指投标人的法定代表人、负责人或自然人。</w:t>
      </w:r>
    </w:p>
    <w:p w14:paraId="3E95BDC8">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3.招标方式</w:t>
      </w:r>
      <w:bookmarkEnd w:id="31"/>
      <w:bookmarkEnd w:id="32"/>
    </w:p>
    <w:p w14:paraId="119E701C">
      <w:pPr>
        <w:snapToGrid w:val="0"/>
        <w:spacing w:line="360" w:lineRule="exact"/>
        <w:ind w:right="-330" w:rightChars="-157" w:firstLine="480" w:firstLineChars="200"/>
        <w:jc w:val="left"/>
        <w:rPr>
          <w:rFonts w:ascii="仿宋_GB2312" w:eastAsia="仿宋_GB2312"/>
          <w:sz w:val="24"/>
        </w:rPr>
      </w:pPr>
      <w:r>
        <w:rPr>
          <w:rFonts w:hint="eastAsia" w:ascii="仿宋_GB2312" w:eastAsia="仿宋_GB2312"/>
          <w:sz w:val="24"/>
        </w:rPr>
        <w:t>3.1公开招标方式。</w:t>
      </w:r>
    </w:p>
    <w:p w14:paraId="063F9C78">
      <w:pPr>
        <w:snapToGrid w:val="0"/>
        <w:spacing w:line="360" w:lineRule="exact"/>
        <w:ind w:right="-330" w:rightChars="-157" w:firstLine="482" w:firstLineChars="200"/>
        <w:jc w:val="left"/>
        <w:rPr>
          <w:rFonts w:ascii="仿宋_GB2312" w:eastAsia="仿宋_GB2312"/>
          <w:b/>
          <w:sz w:val="24"/>
        </w:rPr>
      </w:pPr>
      <w:bookmarkStart w:id="35" w:name="_Toc254970671"/>
      <w:bookmarkStart w:id="36" w:name="_Toc254970530"/>
      <w:r>
        <w:rPr>
          <w:rFonts w:hint="eastAsia" w:ascii="仿宋_GB2312" w:eastAsia="仿宋_GB2312"/>
          <w:b/>
          <w:sz w:val="24"/>
        </w:rPr>
        <w:t>4.投标委托</w:t>
      </w:r>
      <w:bookmarkEnd w:id="35"/>
      <w:bookmarkEnd w:id="36"/>
    </w:p>
    <w:p w14:paraId="51626735">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37" w:name="_Toc254970531"/>
      <w:bookmarkStart w:id="38" w:name="_Toc254970672"/>
    </w:p>
    <w:p w14:paraId="471E3E43">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5.投标费用</w:t>
      </w:r>
      <w:bookmarkEnd w:id="37"/>
      <w:bookmarkEnd w:id="38"/>
    </w:p>
    <w:p w14:paraId="6E475A4B">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425FD3CD">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6.联合体投标</w:t>
      </w:r>
    </w:p>
    <w:p w14:paraId="714D3051">
      <w:pPr>
        <w:snapToGrid w:val="0"/>
        <w:spacing w:line="360" w:lineRule="exact"/>
        <w:ind w:right="-330" w:rightChars="-157"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39439341">
      <w:pPr>
        <w:snapToGrid w:val="0"/>
        <w:spacing w:line="360" w:lineRule="exact"/>
        <w:ind w:right="-330" w:rightChars="-157"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7074F9F4">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7.1本项目不允许转包。</w:t>
      </w:r>
    </w:p>
    <w:p w14:paraId="52A60192">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7.2本项目不可以分包。</w:t>
      </w:r>
    </w:p>
    <w:p w14:paraId="459728A9">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52FFC771">
      <w:pPr>
        <w:snapToGrid w:val="0"/>
        <w:spacing w:line="360" w:lineRule="exact"/>
        <w:ind w:right="-330" w:rightChars="-157" w:firstLine="472" w:firstLineChars="196"/>
        <w:jc w:val="left"/>
        <w:outlineLvl w:val="1"/>
        <w:rPr>
          <w:rFonts w:ascii="仿宋_GB2312" w:eastAsia="仿宋_GB2312"/>
          <w:b/>
          <w:sz w:val="24"/>
        </w:rPr>
      </w:pPr>
      <w:bookmarkStart w:id="39" w:name="_Toc254970532"/>
      <w:bookmarkStart w:id="40" w:name="_Toc254970673"/>
      <w:r>
        <w:rPr>
          <w:rFonts w:hint="eastAsia" w:ascii="仿宋_GB2312" w:eastAsia="仿宋_GB2312"/>
          <w:b/>
          <w:sz w:val="24"/>
        </w:rPr>
        <w:t>8</w:t>
      </w:r>
      <w:r>
        <w:rPr>
          <w:rFonts w:ascii="仿宋_GB2312" w:eastAsia="仿宋_GB2312"/>
          <w:b/>
          <w:sz w:val="24"/>
        </w:rPr>
        <w:t>.</w:t>
      </w:r>
      <w:r>
        <w:rPr>
          <w:rFonts w:hint="eastAsia" w:ascii="仿宋_GB2312" w:eastAsia="仿宋_GB2312"/>
          <w:b/>
          <w:sz w:val="24"/>
        </w:rPr>
        <w:t>特别说明：</w:t>
      </w:r>
      <w:bookmarkEnd w:id="39"/>
      <w:bookmarkEnd w:id="40"/>
    </w:p>
    <w:p w14:paraId="3993110B">
      <w:pPr>
        <w:pStyle w:val="26"/>
        <w:snapToGrid w:val="0"/>
        <w:spacing w:line="400" w:lineRule="exact"/>
        <w:ind w:firstLine="480" w:firstLineChars="200"/>
        <w:rPr>
          <w:rFonts w:ascii="仿宋_GB2312" w:hAnsi="宋体" w:eastAsia="仿宋_GB2312"/>
          <w:bCs/>
          <w:sz w:val="24"/>
          <w:szCs w:val="24"/>
        </w:rPr>
      </w:pPr>
      <w:bookmarkStart w:id="41" w:name="_Toc254970533"/>
      <w:bookmarkStart w:id="42" w:name="_Toc254970674"/>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5A01A86A">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sz w:val="24"/>
          <w:szCs w:val="24"/>
        </w:rPr>
        <w:t>8.2关联供应商不得参加同一合同项下的政府采购活动，否则投标文件将被视为无效：</w:t>
      </w:r>
    </w:p>
    <w:p w14:paraId="0CA6C70C">
      <w:pPr>
        <w:pStyle w:val="26"/>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8.2.1 单位负责人为同一人或者存在直接控股、管理关系的不同供应商，不得参加同一合同项下的政府采购活动。</w:t>
      </w:r>
    </w:p>
    <w:p w14:paraId="752ED758">
      <w:pPr>
        <w:pStyle w:val="26"/>
        <w:widowControl/>
        <w:snapToGrid w:val="0"/>
        <w:spacing w:line="400" w:lineRule="atLeast"/>
        <w:ind w:firstLine="480" w:firstLineChars="200"/>
        <w:outlineLvl w:val="1"/>
        <w:rPr>
          <w:rFonts w:ascii="仿宋_GB2312" w:hAnsi="宋体" w:eastAsia="仿宋_GB2312"/>
          <w:sz w:val="24"/>
          <w:szCs w:val="24"/>
        </w:rPr>
      </w:pPr>
      <w:r>
        <w:rPr>
          <w:rFonts w:hint="eastAsia" w:ascii="仿宋_GB2312" w:hAnsi="宋体" w:eastAsia="仿宋_GB2312"/>
          <w:sz w:val="24"/>
          <w:szCs w:val="24"/>
        </w:rPr>
        <w:t>8.3除单一来源采购项目外，为采购项目提供整体设计、规范编制或者项目管理、监理、检测等服务的供应商，不得再参加该采购项目的其他采购活动。</w:t>
      </w:r>
    </w:p>
    <w:bookmarkEnd w:id="41"/>
    <w:bookmarkEnd w:id="42"/>
    <w:p w14:paraId="21084FD2">
      <w:pPr>
        <w:pStyle w:val="26"/>
        <w:snapToGrid w:val="0"/>
        <w:spacing w:line="360" w:lineRule="exact"/>
        <w:ind w:right="-330" w:rightChars="-157" w:firstLine="472" w:firstLineChars="196"/>
        <w:outlineLvl w:val="1"/>
        <w:rPr>
          <w:rFonts w:ascii="仿宋_GB2312" w:hAnsi="宋体" w:eastAsia="仿宋_GB2312"/>
          <w:b/>
          <w:bCs/>
          <w:sz w:val="24"/>
          <w:szCs w:val="24"/>
        </w:rPr>
      </w:pPr>
      <w:bookmarkStart w:id="43" w:name="_Toc254970675"/>
      <w:bookmarkStart w:id="44" w:name="_Toc254970534"/>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56EAE0B6">
      <w:pPr>
        <w:pStyle w:val="26"/>
        <w:snapToGrid w:val="0"/>
        <w:spacing w:line="400" w:lineRule="exact"/>
        <w:ind w:firstLine="482" w:firstLineChars="200"/>
        <w:rPr>
          <w:rFonts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0BBB9384">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3616E9EC">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2818DAB4">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5C8AE84E">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57FEEC06">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69B18D66">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5B8A7F7C">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6B49946E">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9.4质疑书面要求</w:t>
      </w:r>
    </w:p>
    <w:p w14:paraId="00D03EBE">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5003BF63">
      <w:pPr>
        <w:pStyle w:val="26"/>
        <w:numPr>
          <w:ilvl w:val="0"/>
          <w:numId w:val="2"/>
        </w:numPr>
        <w:tabs>
          <w:tab w:val="left" w:pos="1150"/>
          <w:tab w:val="left" w:pos="1350"/>
        </w:tabs>
        <w:spacing w:line="400" w:lineRule="exact"/>
        <w:rPr>
          <w:rFonts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3AD213EE">
      <w:pPr>
        <w:pStyle w:val="26"/>
        <w:numPr>
          <w:ilvl w:val="0"/>
          <w:numId w:val="2"/>
        </w:numPr>
        <w:spacing w:line="400" w:lineRule="exact"/>
        <w:rPr>
          <w:rFonts w:ascii="仿宋_GB2312" w:hAnsi="宋体" w:eastAsia="仿宋_GB2312"/>
          <w:sz w:val="24"/>
          <w:szCs w:val="24"/>
        </w:rPr>
      </w:pPr>
      <w:r>
        <w:rPr>
          <w:rFonts w:hint="eastAsia" w:ascii="仿宋_GB2312" w:hAnsi="宋体" w:eastAsia="仿宋_GB2312"/>
          <w:sz w:val="24"/>
          <w:szCs w:val="24"/>
        </w:rPr>
        <w:t>质疑项目的名称、编号；</w:t>
      </w:r>
    </w:p>
    <w:p w14:paraId="28536409">
      <w:pPr>
        <w:pStyle w:val="26"/>
        <w:numPr>
          <w:ilvl w:val="0"/>
          <w:numId w:val="2"/>
        </w:numPr>
        <w:spacing w:line="400" w:lineRule="exact"/>
        <w:rPr>
          <w:rFonts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22316731">
      <w:pPr>
        <w:pStyle w:val="26"/>
        <w:numPr>
          <w:ilvl w:val="0"/>
          <w:numId w:val="2"/>
        </w:numPr>
        <w:spacing w:line="400" w:lineRule="exact"/>
        <w:rPr>
          <w:rFonts w:ascii="仿宋_GB2312" w:hAnsi="宋体" w:eastAsia="仿宋_GB2312"/>
          <w:sz w:val="24"/>
          <w:szCs w:val="24"/>
        </w:rPr>
      </w:pPr>
      <w:r>
        <w:rPr>
          <w:rFonts w:hint="eastAsia" w:ascii="仿宋_GB2312" w:hAnsi="宋体" w:eastAsia="仿宋_GB2312"/>
          <w:sz w:val="24"/>
          <w:szCs w:val="24"/>
        </w:rPr>
        <w:t>事实依据；</w:t>
      </w:r>
    </w:p>
    <w:p w14:paraId="5C5085EF">
      <w:pPr>
        <w:pStyle w:val="26"/>
        <w:numPr>
          <w:ilvl w:val="0"/>
          <w:numId w:val="2"/>
        </w:numPr>
        <w:spacing w:line="400" w:lineRule="exact"/>
        <w:rPr>
          <w:rFonts w:ascii="仿宋_GB2312" w:hAnsi="宋体" w:eastAsia="仿宋_GB2312"/>
          <w:sz w:val="24"/>
          <w:szCs w:val="24"/>
        </w:rPr>
      </w:pPr>
      <w:r>
        <w:rPr>
          <w:rFonts w:hint="eastAsia" w:ascii="仿宋_GB2312" w:hAnsi="宋体" w:eastAsia="仿宋_GB2312"/>
          <w:sz w:val="24"/>
          <w:szCs w:val="24"/>
        </w:rPr>
        <w:t>必要的法律依据；</w:t>
      </w:r>
    </w:p>
    <w:p w14:paraId="182F1870">
      <w:pPr>
        <w:pStyle w:val="26"/>
        <w:numPr>
          <w:ilvl w:val="0"/>
          <w:numId w:val="2"/>
        </w:numPr>
        <w:spacing w:line="400" w:lineRule="exact"/>
        <w:ind w:left="1025" w:hanging="590"/>
        <w:rPr>
          <w:rFonts w:ascii="仿宋_GB2312" w:hAnsi="宋体" w:eastAsia="仿宋_GB2312"/>
          <w:sz w:val="24"/>
          <w:szCs w:val="24"/>
        </w:rPr>
      </w:pPr>
      <w:r>
        <w:rPr>
          <w:rFonts w:hint="eastAsia" w:ascii="仿宋_GB2312" w:hAnsi="宋体" w:eastAsia="仿宋_GB2312"/>
          <w:sz w:val="24"/>
          <w:szCs w:val="24"/>
        </w:rPr>
        <w:t>提出质疑的日期。</w:t>
      </w:r>
    </w:p>
    <w:p w14:paraId="61C948C4">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01F97D5F">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5B4B43C8">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7174382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129C3C7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0EC86F8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3A6B872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4A2BC4D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0C2B73B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7A037791">
      <w:pPr>
        <w:pStyle w:val="26"/>
        <w:snapToGrid w:val="0"/>
        <w:spacing w:line="360" w:lineRule="exact"/>
        <w:ind w:right="-330" w:rightChars="-157" w:firstLine="472" w:firstLineChars="196"/>
        <w:rPr>
          <w:rFonts w:ascii="仿宋_GB2312" w:hAnsi="宋体" w:eastAsia="仿宋_GB2312"/>
          <w:b/>
          <w:sz w:val="24"/>
          <w:szCs w:val="24"/>
        </w:rPr>
      </w:pPr>
      <w:r>
        <w:rPr>
          <w:rFonts w:hint="eastAsia" w:ascii="仿宋_GB2312" w:hAnsi="宋体" w:eastAsia="仿宋_GB2312"/>
          <w:b/>
          <w:sz w:val="24"/>
          <w:szCs w:val="24"/>
        </w:rPr>
        <w:t>二、招标文件</w:t>
      </w:r>
      <w:bookmarkEnd w:id="43"/>
      <w:bookmarkEnd w:id="44"/>
    </w:p>
    <w:p w14:paraId="720EDD13">
      <w:pPr>
        <w:snapToGrid w:val="0"/>
        <w:spacing w:line="360" w:lineRule="exact"/>
        <w:ind w:right="-330" w:rightChars="-157" w:firstLine="472" w:firstLineChars="196"/>
        <w:jc w:val="left"/>
        <w:rPr>
          <w:rFonts w:eastAsia="仿宋_GB2312" w:asciiTheme="minorHAnsi" w:hAnsiTheme="minorHAnsi"/>
          <w:b/>
          <w:sz w:val="24"/>
          <w:lang w:val="en-GB"/>
        </w:rPr>
      </w:pPr>
      <w:r>
        <w:rPr>
          <w:rFonts w:hint="eastAsia" w:ascii="仿宋_GB2312" w:eastAsia="仿宋_GB2312" w:cs="Courier New"/>
          <w:b/>
          <w:sz w:val="24"/>
        </w:rPr>
        <w:t>10.招标文件的构成</w:t>
      </w:r>
    </w:p>
    <w:p w14:paraId="3F441538">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31EECDC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3159FDC0">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64688524">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18C8A07B">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63C13F76">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07AC753A">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7E19DFFF">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41B3471A">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15BB87E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5658E85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2BD5C8B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4380F08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4498A77D">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2F5E3995">
      <w:pPr>
        <w:snapToGrid w:val="0"/>
        <w:spacing w:line="360" w:lineRule="exact"/>
        <w:ind w:right="-330" w:rightChars="-157" w:firstLine="472" w:firstLineChars="196"/>
        <w:jc w:val="left"/>
        <w:rPr>
          <w:rFonts w:ascii="仿宋_GB2312" w:eastAsia="仿宋_GB2312" w:cs="Courier New"/>
          <w:b/>
          <w:sz w:val="24"/>
        </w:rPr>
      </w:pPr>
      <w:bookmarkStart w:id="45" w:name="_Toc254970535"/>
      <w:bookmarkStart w:id="46" w:name="_Toc254970676"/>
      <w:r>
        <w:rPr>
          <w:rFonts w:hint="eastAsia" w:ascii="仿宋_GB2312" w:eastAsia="仿宋_GB2312" w:cs="Courier New"/>
          <w:b/>
          <w:sz w:val="24"/>
        </w:rPr>
        <w:t>三、投标文件的编制</w:t>
      </w:r>
      <w:bookmarkEnd w:id="45"/>
      <w:bookmarkEnd w:id="46"/>
    </w:p>
    <w:p w14:paraId="4CD3D46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75896EDA">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33"/>
    <w:bookmarkEnd w:id="34"/>
    <w:p w14:paraId="346E9ACE">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1235A32F">
      <w:pPr>
        <w:snapToGrid w:val="0"/>
        <w:spacing w:line="340" w:lineRule="exact"/>
        <w:ind w:right="-330" w:rightChars="-157" w:firstLine="472" w:firstLineChars="196"/>
        <w:jc w:val="left"/>
        <w:rPr>
          <w:rFonts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2EC20D74">
      <w:pPr>
        <w:pStyle w:val="255"/>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658AEAA3">
      <w:pPr>
        <w:pStyle w:val="255"/>
        <w:spacing w:before="0" w:beforeAutospacing="0" w:after="0" w:afterAutospacing="0" w:line="360" w:lineRule="atLeast"/>
        <w:rPr>
          <w:rFonts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1D5864B4">
      <w:pPr>
        <w:pStyle w:val="255"/>
        <w:spacing w:before="0" w:beforeAutospacing="0" w:after="0" w:afterAutospacing="0" w:line="360" w:lineRule="atLeast"/>
        <w:rPr>
          <w:rFonts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631C2009">
      <w:pPr>
        <w:pStyle w:val="255"/>
        <w:spacing w:before="0" w:beforeAutospacing="0" w:after="0" w:afterAutospacing="0" w:line="3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4905E085">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018333B3">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2163044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6EA84F7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49FC8F1C">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790AFA5D">
      <w:pPr>
        <w:snapToGrid w:val="0"/>
        <w:spacing w:line="340" w:lineRule="exact"/>
        <w:ind w:right="-330" w:rightChars="-157" w:firstLine="472" w:firstLineChars="196"/>
        <w:jc w:val="left"/>
        <w:rPr>
          <w:rFonts w:ascii="仿宋_GB2312" w:hAnsi="宋体" w:eastAsia="仿宋_GB2312" w:cs="Courier New"/>
          <w:sz w:val="24"/>
        </w:rPr>
      </w:pPr>
      <w:bookmarkStart w:id="47" w:name="_Toc254970678"/>
      <w:bookmarkStart w:id="48" w:name="_Toc254970537"/>
      <w:bookmarkStart w:id="49" w:name="_Hlk517112171"/>
      <w:bookmarkStart w:id="50" w:name="_Hlk517112217"/>
      <w:r>
        <w:rPr>
          <w:rFonts w:hint="eastAsia" w:ascii="仿宋_GB2312" w:hAnsi="宋体" w:eastAsia="仿宋_GB2312"/>
          <w:b/>
          <w:bCs/>
          <w:sz w:val="24"/>
        </w:rPr>
        <w:t>注：以下第（1）至第（3）项必须提供并加盖投标人CA电子签章、并按照第六章格式要求签字，否则投标无效。其余各项如有请提供，同时要加盖投标人CA电子签章，否则该材料被视为无效。</w:t>
      </w:r>
    </w:p>
    <w:bookmarkEnd w:id="47"/>
    <w:bookmarkEnd w:id="48"/>
    <w:bookmarkEnd w:id="49"/>
    <w:bookmarkEnd w:id="50"/>
    <w:p w14:paraId="3533AFC8">
      <w:pPr>
        <w:pStyle w:val="741"/>
        <w:spacing w:before="0" w:beforeAutospacing="0" w:after="0" w:afterAutospacing="0" w:line="360" w:lineRule="atLeast"/>
        <w:ind w:firstLine="480" w:firstLineChars="200"/>
        <w:rPr>
          <w:rFonts w:ascii="仿宋_GB2312" w:eastAsia="仿宋_GB2312"/>
          <w:color w:val="000000"/>
        </w:rPr>
      </w:pPr>
      <w:r>
        <w:rPr>
          <w:rFonts w:hint="eastAsia" w:ascii="仿宋_GB2312" w:eastAsia="仿宋_GB2312"/>
          <w:color w:val="000000"/>
        </w:rPr>
        <w:t>（1）投标函（</w:t>
      </w:r>
      <w:r>
        <w:rPr>
          <w:rFonts w:hint="eastAsia" w:ascii="仿宋_GB2312" w:eastAsia="仿宋_GB2312"/>
          <w:b/>
          <w:bCs/>
          <w:color w:val="000000"/>
        </w:rPr>
        <w:t>必须提供</w:t>
      </w:r>
      <w:r>
        <w:rPr>
          <w:rFonts w:hint="eastAsia" w:ascii="仿宋_GB2312" w:eastAsia="仿宋_GB2312"/>
          <w:color w:val="000000"/>
        </w:rPr>
        <w:t>，格式见第六章）；</w:t>
      </w:r>
    </w:p>
    <w:p w14:paraId="1AEB5803">
      <w:pPr>
        <w:pStyle w:val="741"/>
        <w:spacing w:before="0" w:beforeAutospacing="0" w:after="0" w:afterAutospacing="0" w:line="360" w:lineRule="atLeast"/>
        <w:rPr>
          <w:rFonts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519C2216">
      <w:pPr>
        <w:pStyle w:val="741"/>
        <w:spacing w:before="0" w:beforeAutospacing="0" w:after="0" w:afterAutospacing="0" w:line="360" w:lineRule="atLeast"/>
        <w:rPr>
          <w:rFonts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6DD48C44">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（4）项目实施方案（如有，格式见第六章</w:t>
      </w:r>
      <w:r>
        <w:rPr>
          <w:rFonts w:hint="eastAsia"/>
        </w:rPr>
        <w:t>）</w:t>
      </w:r>
      <w:r>
        <w:rPr>
          <w:rFonts w:hint="eastAsia" w:ascii="仿宋_GB2312" w:eastAsia="仿宋_GB2312"/>
          <w:color w:val="000000"/>
        </w:rPr>
        <w:t>；</w:t>
      </w:r>
    </w:p>
    <w:p w14:paraId="0E160A96">
      <w:pPr>
        <w:pStyle w:val="743"/>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rPr>
        <w:t>（5）安装进度计划和工期保证（如有，格式见第六章）；</w:t>
      </w:r>
    </w:p>
    <w:p w14:paraId="57897262">
      <w:pPr>
        <w:pStyle w:val="743"/>
        <w:spacing w:before="0" w:beforeAutospacing="0" w:after="0" w:afterAutospacing="0" w:line="360" w:lineRule="atLeast"/>
        <w:ind w:firstLine="480" w:firstLineChars="200"/>
        <w:rPr>
          <w:rFonts w:hint="eastAsia" w:ascii="仿宋_GB2312" w:eastAsia="仿宋_GB2312"/>
          <w:color w:val="000000"/>
          <w:lang w:eastAsia="zh-CN"/>
        </w:rPr>
      </w:pPr>
      <w:r>
        <w:rPr>
          <w:rFonts w:hint="eastAsia" w:ascii="仿宋_GB2312" w:eastAsia="仿宋_GB2312"/>
          <w:color w:val="000000"/>
          <w:lang w:eastAsia="zh-CN"/>
        </w:rPr>
        <w:t>（</w:t>
      </w:r>
      <w:r>
        <w:rPr>
          <w:rFonts w:hint="eastAsia" w:ascii="仿宋_GB2312" w:eastAsia="仿宋_GB2312"/>
          <w:color w:val="000000"/>
          <w:lang w:val="en-US" w:eastAsia="zh-CN"/>
        </w:rPr>
        <w:t>6</w:t>
      </w:r>
      <w:r>
        <w:rPr>
          <w:rFonts w:hint="eastAsia" w:ascii="仿宋_GB2312" w:eastAsia="仿宋_GB2312"/>
          <w:color w:val="000000"/>
          <w:lang w:eastAsia="zh-CN"/>
        </w:rPr>
        <w:t>）技术培训方案</w:t>
      </w:r>
      <w:r>
        <w:rPr>
          <w:rFonts w:hint="eastAsia" w:ascii="仿宋_GB2312" w:eastAsia="仿宋_GB2312"/>
          <w:color w:val="000000"/>
        </w:rPr>
        <w:t>（如有，格式见第六章）；</w:t>
      </w:r>
    </w:p>
    <w:p w14:paraId="7EA0D5F5">
      <w:pPr>
        <w:pStyle w:val="743"/>
        <w:spacing w:before="0" w:beforeAutospacing="0" w:after="0" w:afterAutospacing="0" w:line="360" w:lineRule="atLeast"/>
        <w:ind w:firstLine="480" w:firstLineChars="200"/>
        <w:rPr>
          <w:rFonts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7</w:t>
      </w:r>
      <w:r>
        <w:rPr>
          <w:rFonts w:hint="eastAsia" w:ascii="仿宋_GB2312" w:eastAsia="仿宋_GB2312"/>
          <w:color w:val="000000"/>
        </w:rPr>
        <w:t>）售后服务方案（如有，格式见第六章）；</w:t>
      </w:r>
    </w:p>
    <w:p w14:paraId="7B3D246B">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）投标人项目经验一览表（如有）；</w:t>
      </w:r>
    </w:p>
    <w:p w14:paraId="73AB05FE">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）投标人或所投核心产品生产厂家具备有效的质量管理体系认证证书（如有）；</w:t>
      </w:r>
    </w:p>
    <w:p w14:paraId="0311DB7C">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）投标人或投标核心产品生产厂家具备有效的职业健康安全管理体系认证证书（如有）；</w:t>
      </w:r>
    </w:p>
    <w:p w14:paraId="2460F448">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）投标人或所投核心产品生产厂家具备有效的环境管理体系认证证书（如有）；</w:t>
      </w:r>
    </w:p>
    <w:p w14:paraId="3688363D">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）投标产品由国家确定的认证机构出具的、处于有效期之内的环境标志产品认证证书（如有）；</w:t>
      </w:r>
    </w:p>
    <w:p w14:paraId="229591F6">
      <w:pPr>
        <w:pStyle w:val="743"/>
        <w:spacing w:before="0" w:beforeAutospacing="0" w:after="0" w:afterAutospacing="0" w:line="360" w:lineRule="atLeast"/>
        <w:ind w:firstLine="480" w:firstLineChars="200"/>
        <w:rPr>
          <w:rFonts w:ascii="仿宋_GB2312" w:eastAsia="仿宋_GB2312"/>
          <w:color w:val="000000"/>
        </w:rPr>
      </w:pPr>
      <w:r>
        <w:rPr>
          <w:rFonts w:hint="eastAsia" w:ascii="仿宋_GB2312" w:eastAsia="仿宋_GB2312"/>
          <w:color w:val="000000"/>
        </w:rPr>
        <w:t>（1</w:t>
      </w:r>
      <w:r>
        <w:rPr>
          <w:rFonts w:hint="eastAsia" w:ascii="仿宋_GB2312" w:eastAsia="仿宋_GB2312"/>
          <w:color w:val="000000"/>
          <w:lang w:val="en-US" w:eastAsia="zh-CN"/>
        </w:rPr>
        <w:t>3</w:t>
      </w:r>
      <w:r>
        <w:rPr>
          <w:rFonts w:hint="eastAsia" w:ascii="仿宋_GB2312" w:eastAsia="仿宋_GB2312"/>
          <w:color w:val="000000"/>
        </w:rPr>
        <w:t>）投标人对本项目的合理化建议和改进措施（如有，格式自拟）；</w:t>
      </w:r>
    </w:p>
    <w:p w14:paraId="5F0D4F00">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）投标人认为必要提供的声明及文件资料（如有，格式自拟）。</w:t>
      </w:r>
    </w:p>
    <w:p w14:paraId="1C9C9B87">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3F074C6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160BEF4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62E65B8A">
      <w:pPr>
        <w:snapToGrid w:val="0"/>
        <w:spacing w:line="400" w:lineRule="exact"/>
        <w:ind w:firstLine="422" w:firstLineChars="175"/>
        <w:jc w:val="left"/>
        <w:rPr>
          <w:rFonts w:ascii="仿宋_GB2312" w:eastAsia="仿宋_GB2312" w:cs="Courier New"/>
          <w:b/>
          <w:sz w:val="24"/>
        </w:rPr>
      </w:pPr>
      <w:bookmarkStart w:id="51" w:name="_Toc254970679"/>
      <w:bookmarkStart w:id="52" w:name="_Toc254970538"/>
      <w:r>
        <w:rPr>
          <w:rFonts w:hint="eastAsia" w:ascii="仿宋_GB2312" w:eastAsia="仿宋_GB2312" w:cs="Courier New"/>
          <w:b/>
          <w:sz w:val="24"/>
        </w:rPr>
        <w:t>15.投标报价</w:t>
      </w:r>
      <w:bookmarkEnd w:id="51"/>
      <w:bookmarkEnd w:id="52"/>
    </w:p>
    <w:p w14:paraId="3A52AF8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112575B7">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15.2投标报价是履行合同的最终价格，应包括货物及货物运抵指定交付地点的所有成本、各种费用的总和。</w:t>
      </w:r>
    </w:p>
    <w:p w14:paraId="6521978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54BE78F8">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2A33B00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1BF44ED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0681493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28E2F59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25F53CB6">
      <w:pPr>
        <w:spacing w:line="400" w:lineRule="exact"/>
        <w:ind w:firstLine="472" w:firstLineChars="196"/>
        <w:rPr>
          <w:rFonts w:ascii="仿宋_GB2312" w:eastAsia="仿宋_GB2312" w:cs="Courier New"/>
          <w:b/>
          <w:sz w:val="24"/>
        </w:rPr>
      </w:pPr>
      <w:bookmarkStart w:id="53" w:name="_Toc254970541"/>
      <w:bookmarkStart w:id="54" w:name="_Toc254970682"/>
      <w:r>
        <w:rPr>
          <w:rFonts w:hint="eastAsia" w:ascii="仿宋_GB2312" w:eastAsia="仿宋_GB2312" w:cs="Courier New"/>
          <w:b/>
          <w:sz w:val="24"/>
        </w:rPr>
        <w:t>17.投标保证金</w:t>
      </w:r>
      <w:bookmarkEnd w:id="53"/>
      <w:bookmarkEnd w:id="54"/>
    </w:p>
    <w:p w14:paraId="4C26E031">
      <w:pPr>
        <w:snapToGrid w:val="0"/>
        <w:spacing w:line="400" w:lineRule="exact"/>
        <w:ind w:firstLine="420"/>
        <w:jc w:val="left"/>
        <w:rPr>
          <w:rFonts w:ascii="仿宋_GB2312" w:eastAsia="仿宋_GB2312" w:cs="Courier New"/>
          <w:sz w:val="24"/>
        </w:rPr>
      </w:pPr>
      <w:bookmarkStart w:id="55" w:name="_Toc254970542"/>
      <w:bookmarkStart w:id="56" w:name="_Toc254970683"/>
      <w:r>
        <w:rPr>
          <w:rFonts w:hint="eastAsia" w:ascii="仿宋_GB2312" w:eastAsia="仿宋_GB2312" w:cs="Courier New"/>
          <w:sz w:val="24"/>
        </w:rPr>
        <w:t>17.1本项目无需提交投标保证金。</w:t>
      </w:r>
    </w:p>
    <w:p w14:paraId="0A739BFC">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55"/>
      <w:bookmarkEnd w:id="56"/>
      <w:r>
        <w:rPr>
          <w:rFonts w:hint="eastAsia" w:ascii="仿宋_GB2312" w:eastAsia="仿宋_GB2312" w:cs="Courier New"/>
          <w:b/>
          <w:sz w:val="24"/>
        </w:rPr>
        <w:t>编制、加密要求</w:t>
      </w:r>
    </w:p>
    <w:p w14:paraId="1033C068">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2C690F8D">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55866FC9">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217B4A83">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18.4电子投标文件不得涂改，若有修改错漏处，须加盖投标人CA电子签章或者法定代表人或授权委托代理人签字。扫描不清晰或乱码或表达不清所引起的后果由投标人负责。</w:t>
      </w:r>
    </w:p>
    <w:p w14:paraId="11E64AED">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4AD51693">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6BCFF33F">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23B39CAB">
      <w:pPr>
        <w:snapToGrid w:val="0"/>
        <w:spacing w:line="440" w:lineRule="exact"/>
        <w:ind w:firstLine="482" w:firstLineChars="200"/>
        <w:jc w:val="left"/>
        <w:rPr>
          <w:rFonts w:ascii="仿宋_GB2312" w:hAnsi="宋体" w:eastAsia="仿宋_GB2312"/>
          <w:b/>
          <w:bCs/>
          <w:sz w:val="24"/>
        </w:rPr>
      </w:pPr>
      <w:r>
        <w:rPr>
          <w:rFonts w:hint="eastAsia" w:ascii="仿宋_GB2312" w:hAnsi="宋体" w:eastAsia="仿宋_GB2312"/>
          <w:b/>
          <w:bCs/>
          <w:sz w:val="24"/>
        </w:rPr>
        <w:t>18.8电子投标文件的加密要求</w:t>
      </w:r>
    </w:p>
    <w:p w14:paraId="3C8E0B70">
      <w:pPr>
        <w:snapToGrid w:val="0"/>
        <w:spacing w:line="420" w:lineRule="exact"/>
        <w:ind w:firstLine="480" w:firstLineChars="200"/>
        <w:jc w:val="left"/>
        <w:rPr>
          <w:rFonts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30598DD2">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76A28BB9">
      <w:pPr>
        <w:tabs>
          <w:tab w:val="left" w:pos="3870"/>
          <w:tab w:val="left" w:pos="4085"/>
        </w:tabs>
        <w:snapToGrid w:val="0"/>
        <w:spacing w:line="420" w:lineRule="exact"/>
        <w:ind w:firstLine="480" w:firstLineChars="200"/>
        <w:jc w:val="left"/>
        <w:rPr>
          <w:rFonts w:ascii="仿宋_GB2312" w:hAnsi="宋体" w:eastAsia="仿宋_GB2312"/>
          <w:sz w:val="24"/>
        </w:rPr>
      </w:pPr>
      <w:bookmarkStart w:id="57" w:name="_Toc254970684"/>
      <w:bookmarkStart w:id="58" w:name="_Toc254970543"/>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54D741A0">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60FD760F">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76A6FC9B">
      <w:pPr>
        <w:tabs>
          <w:tab w:val="left" w:pos="3870"/>
          <w:tab w:val="left" w:pos="4085"/>
        </w:tabs>
        <w:snapToGrid w:val="0"/>
        <w:spacing w:line="420" w:lineRule="exact"/>
        <w:ind w:firstLine="482" w:firstLineChars="200"/>
        <w:jc w:val="left"/>
        <w:rPr>
          <w:rFonts w:ascii="仿宋_GB2312" w:hAnsi="宋体" w:eastAsia="仿宋_GB2312"/>
          <w:sz w:val="24"/>
        </w:rPr>
      </w:pPr>
      <w:r>
        <w:rPr>
          <w:rFonts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7F35BA5E">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4B3BB649">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4CCCFE63">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57"/>
      <w:bookmarkEnd w:id="58"/>
    </w:p>
    <w:p w14:paraId="6F47FD1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销不合要求的偏离或保留从而使其投标成为实质上响应的投标，除资格证明文件外经评标委员会认定属于28.澄清问题的形式规定情形的，应当允许其在评标结束之前通过广西政府采购云平台进行澄清、说明或者补正，澄清、说明或者补正投标文件必须以书面形式进行。若投标人截止时间前未澄清、说明或者补正的，或澄清、说明或者补正后仍不符合招标文件要求的，评标委员会有权认定其投标无效。</w:t>
      </w:r>
    </w:p>
    <w:p w14:paraId="37C484F7">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092DC11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3B553C2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4FF1E28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14:paraId="0D8D76D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07150FB8">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4E08B1C0">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3E97FD86">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67E5D14C">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（1）资格证明文件不全的，或者不符合招标文件标明的资格要求的；</w:t>
      </w:r>
    </w:p>
    <w:p w14:paraId="769B45B8">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3DCEA060">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（3）委托代理人与法定代表人授权委托书中的代理人不符的。</w:t>
      </w:r>
    </w:p>
    <w:p w14:paraId="3AEB5885">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71AFB164">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（1）投标有效期、服务期限、付款方式等商务条款不能满足招标文件要求的；</w:t>
      </w:r>
    </w:p>
    <w:p w14:paraId="7C3549AD">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rPr>
        <w:t>四</w:t>
      </w:r>
      <w:r>
        <w:rPr>
          <w:rFonts w:ascii="仿宋_GB2312" w:eastAsia="仿宋_GB2312"/>
          <w:sz w:val="24"/>
        </w:rPr>
        <w:t>项以上的；</w:t>
      </w:r>
    </w:p>
    <w:p w14:paraId="54A3D56C">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（3）投标技术方案不明确，存在一个或一个以上备选（替代）投标方案的；</w:t>
      </w:r>
    </w:p>
    <w:p w14:paraId="2C3F7790">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（4）未采用人民币报价或者未按照招标文件标明的币种报价的；</w:t>
      </w:r>
    </w:p>
    <w:p w14:paraId="19DA954C">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（5）报价超出最高限价，或者超出采购预算金额的；</w:t>
      </w:r>
    </w:p>
    <w:p w14:paraId="719E511C">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619A8A78">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00BEFBA2">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39C827C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4EA9EFE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68655F9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1410E23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66C276C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4D5459C2">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380445AA">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16F14A99">
      <w:pPr>
        <w:spacing w:line="460" w:lineRule="exact"/>
        <w:ind w:firstLine="720" w:firstLineChars="300"/>
        <w:rPr>
          <w:rFonts w:ascii="仿宋_GB2312" w:eastAsia="仿宋_GB2312"/>
          <w:bCs/>
          <w:sz w:val="24"/>
        </w:rPr>
      </w:pPr>
      <w:r>
        <w:rPr>
          <w:rFonts w:hint="eastAsia" w:ascii="仿宋_GB2312" w:eastAsia="仿宋_GB2312"/>
          <w:bCs/>
          <w:sz w:val="24"/>
        </w:rPr>
        <w:t>20.2.1广西政府采购云平台如对电子化开评标程序有调整的，按调整后的程序操作。</w:t>
      </w:r>
    </w:p>
    <w:p w14:paraId="41C7A021">
      <w:pPr>
        <w:spacing w:line="460" w:lineRule="exact"/>
        <w:ind w:firstLine="720" w:firstLineChars="300"/>
        <w:rPr>
          <w:rFonts w:ascii="仿宋_GB2312" w:eastAsia="仿宋_GB2312"/>
          <w:bCs/>
          <w:sz w:val="24"/>
        </w:rPr>
      </w:pPr>
      <w:r>
        <w:rPr>
          <w:rFonts w:hint="eastAsia" w:ascii="仿宋_GB2312" w:eastAsia="仿宋_GB2312"/>
          <w:bCs/>
          <w:sz w:val="24"/>
        </w:rPr>
        <w:t>20.2.2评审在严格保密的情况下进行，任何一方不得透露与评审有关的其他投标人的技术资料、价格和其他信息。</w:t>
      </w:r>
    </w:p>
    <w:p w14:paraId="2256F5F2">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7D26043A">
      <w:pPr>
        <w:spacing w:line="460" w:lineRule="exact"/>
        <w:ind w:firstLine="480" w:firstLineChars="200"/>
        <w:rPr>
          <w:rFonts w:ascii="仿宋_GB2312" w:eastAsia="仿宋_GB2312"/>
          <w:sz w:val="24"/>
        </w:rPr>
      </w:pPr>
      <w:r>
        <w:rPr>
          <w:rFonts w:hint="eastAsia" w:ascii="仿宋_GB2312" w:eastAsia="仿宋_GB2312"/>
          <w:sz w:val="24"/>
        </w:rPr>
        <w:t>采购过程中出现以下情形，导致广西政府采购云平台无法正常运行，或者无法保证电子交易的公平、公正和安全时，采购代理机构可中止电子交易活动：</w:t>
      </w:r>
    </w:p>
    <w:p w14:paraId="367D1191">
      <w:pPr>
        <w:spacing w:line="460" w:lineRule="exact"/>
        <w:ind w:firstLine="600" w:firstLineChars="250"/>
        <w:rPr>
          <w:rFonts w:ascii="仿宋_GB2312" w:eastAsia="仿宋_GB2312"/>
          <w:sz w:val="24"/>
        </w:rPr>
      </w:pPr>
      <w:r>
        <w:rPr>
          <w:rFonts w:hint="eastAsia" w:ascii="仿宋_GB2312" w:eastAsia="仿宋_GB2312"/>
          <w:sz w:val="24"/>
        </w:rPr>
        <w:t>20.3.1广西政府采购云平台发生故障而无法登录访问的；</w:t>
      </w:r>
    </w:p>
    <w:p w14:paraId="7717C21C">
      <w:pPr>
        <w:spacing w:line="460" w:lineRule="exact"/>
        <w:ind w:firstLine="600" w:firstLineChars="250"/>
        <w:rPr>
          <w:rFonts w:ascii="仿宋_GB2312" w:eastAsia="仿宋_GB2312"/>
          <w:sz w:val="24"/>
        </w:rPr>
      </w:pPr>
      <w:r>
        <w:rPr>
          <w:rFonts w:hint="eastAsia" w:ascii="仿宋_GB2312" w:eastAsia="仿宋_GB2312"/>
          <w:sz w:val="24"/>
        </w:rPr>
        <w:t>20.3.2广西政府采购云平台应用或数据库出现错误，不能进行正常操作的；</w:t>
      </w:r>
    </w:p>
    <w:p w14:paraId="657EB597">
      <w:pPr>
        <w:spacing w:line="460" w:lineRule="exact"/>
        <w:ind w:firstLine="600" w:firstLineChars="250"/>
        <w:rPr>
          <w:rFonts w:ascii="仿宋_GB2312" w:eastAsia="仿宋_GB2312"/>
          <w:sz w:val="24"/>
        </w:rPr>
      </w:pPr>
      <w:r>
        <w:rPr>
          <w:rFonts w:hint="eastAsia" w:ascii="仿宋_GB2312" w:eastAsia="仿宋_GB2312"/>
          <w:sz w:val="24"/>
        </w:rPr>
        <w:t>20.3.3广西政府采购云平台发现严重安全漏洞，有潜在泄密危险的；</w:t>
      </w:r>
    </w:p>
    <w:p w14:paraId="490940CA">
      <w:pPr>
        <w:spacing w:line="460" w:lineRule="exact"/>
        <w:ind w:firstLine="600" w:firstLineChars="250"/>
        <w:rPr>
          <w:rFonts w:ascii="仿宋_GB2312" w:eastAsia="仿宋_GB2312"/>
          <w:sz w:val="24"/>
        </w:rPr>
      </w:pPr>
      <w:r>
        <w:rPr>
          <w:rFonts w:hint="eastAsia" w:ascii="仿宋_GB2312" w:eastAsia="仿宋_GB2312"/>
          <w:sz w:val="24"/>
        </w:rPr>
        <w:t>20.3.4病毒发作导致不能进行正常操作的；</w:t>
      </w:r>
    </w:p>
    <w:p w14:paraId="0307648C">
      <w:pPr>
        <w:spacing w:line="460" w:lineRule="exact"/>
        <w:ind w:firstLine="600" w:firstLineChars="250"/>
        <w:rPr>
          <w:rFonts w:ascii="仿宋_GB2312" w:eastAsia="仿宋_GB2312"/>
          <w:sz w:val="24"/>
        </w:rPr>
      </w:pPr>
      <w:r>
        <w:rPr>
          <w:rFonts w:hint="eastAsia" w:ascii="仿宋_GB2312" w:eastAsia="仿宋_GB2312"/>
          <w:sz w:val="24"/>
        </w:rPr>
        <w:t>20.3.5其他无法保证电子交易的公平、公正和安全的情况。</w:t>
      </w:r>
    </w:p>
    <w:p w14:paraId="4DA8F632">
      <w:pPr>
        <w:spacing w:line="460" w:lineRule="exact"/>
        <w:ind w:firstLine="480" w:firstLineChars="200"/>
        <w:rPr>
          <w:rFonts w:ascii="仿宋_GB2312" w:eastAsia="仿宋_GB2312"/>
          <w:sz w:val="24"/>
        </w:rPr>
      </w:pPr>
      <w:r>
        <w:rPr>
          <w:rFonts w:hint="eastAsia" w:ascii="仿宋_GB2312" w:eastAsia="仿宋_GB2312"/>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65F9C3DD">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39DBF51D">
      <w:pPr>
        <w:pStyle w:val="26"/>
        <w:snapToGrid w:val="0"/>
        <w:spacing w:line="40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21.开标准备</w:t>
      </w:r>
    </w:p>
    <w:p w14:paraId="46572EB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19A88391">
      <w:pPr>
        <w:pStyle w:val="26"/>
        <w:snapToGrid w:val="0"/>
        <w:spacing w:line="400" w:lineRule="exact"/>
        <w:ind w:firstLine="482" w:firstLineChars="200"/>
        <w:rPr>
          <w:rFonts w:ascii="仿宋_GB2312" w:hAnsi="宋体" w:eastAsia="仿宋_GB2312"/>
          <w:b/>
          <w:sz w:val="24"/>
          <w:szCs w:val="24"/>
        </w:rPr>
      </w:pPr>
      <w:r>
        <w:rPr>
          <w:rFonts w:hint="eastAsia" w:ascii="仿宋_GB2312" w:hAnsi="宋体" w:eastAsia="仿宋_GB2312"/>
          <w:b/>
          <w:sz w:val="24"/>
          <w:szCs w:val="24"/>
        </w:rPr>
        <w:t>22.开标程序</w:t>
      </w:r>
    </w:p>
    <w:p w14:paraId="70CC1E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61A8CFE7">
      <w:pPr>
        <w:snapToGrid w:val="0"/>
        <w:spacing w:line="400" w:lineRule="exact"/>
        <w:ind w:firstLine="420"/>
        <w:jc w:val="left"/>
        <w:rPr>
          <w:rFonts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243CB759">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4852906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227B56D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70BEC37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615D1B12">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4BE46AF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14E84F0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2F2BF24B">
      <w:pPr>
        <w:pStyle w:val="26"/>
        <w:snapToGrid w:val="0"/>
        <w:spacing w:line="370" w:lineRule="exact"/>
        <w:ind w:firstLine="472" w:firstLineChars="196"/>
        <w:rPr>
          <w:rFonts w:ascii="仿宋_GB2312" w:hAnsi="宋体" w:eastAsia="仿宋_GB2312"/>
          <w:b/>
          <w:sz w:val="24"/>
          <w:szCs w:val="24"/>
        </w:rPr>
      </w:pPr>
      <w:bookmarkStart w:id="59" w:name="_Toc254970686"/>
      <w:bookmarkStart w:id="60" w:name="_Toc254970545"/>
      <w:r>
        <w:rPr>
          <w:rFonts w:hint="eastAsia" w:ascii="仿宋_GB2312" w:hAnsi="宋体" w:eastAsia="仿宋_GB2312"/>
          <w:b/>
          <w:sz w:val="24"/>
          <w:szCs w:val="24"/>
        </w:rPr>
        <w:t>六、评标</w:t>
      </w:r>
      <w:bookmarkEnd w:id="59"/>
      <w:bookmarkEnd w:id="60"/>
    </w:p>
    <w:p w14:paraId="43FAF6AC">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25.组建评标委员会</w:t>
      </w:r>
    </w:p>
    <w:p w14:paraId="0DD5ECA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62E42658">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26.评标的方式</w:t>
      </w:r>
    </w:p>
    <w:p w14:paraId="659FE4D8">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421B1B5E">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24F5CA61">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0461ADE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325A29E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48063D5D">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326CE65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16CD4B0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（2）评标委员会完成评标后，评委对各部分得分汇总，计算出本项目最终得分。评标委员会按评标标准推荐中标候选人同时起草评标报告。</w:t>
      </w:r>
    </w:p>
    <w:p w14:paraId="5CC3566E">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4CD7977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05DACAD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35A33679">
      <w:pPr>
        <w:pStyle w:val="39"/>
        <w:ind w:left="0" w:leftChars="0" w:firstLine="480" w:firstLineChars="200"/>
        <w:rPr>
          <w:rFonts w:ascii="仿宋_GB2312" w:eastAsia="仿宋_GB2312" w:cs="Courier New" w:hAnsiTheme="minorHAnsi"/>
          <w:sz w:val="24"/>
          <w:szCs w:val="24"/>
        </w:rPr>
      </w:pPr>
      <w:r>
        <w:rPr>
          <w:rFonts w:hint="eastAsia" w:ascii="仿宋_GB2312" w:eastAsia="仿宋_GB2312" w:cs="Courier New"/>
          <w:sz w:val="24"/>
        </w:rPr>
        <w:t>28.3</w:t>
      </w:r>
      <w:r>
        <w:rPr>
          <w:rFonts w:hint="eastAsia" w:ascii="仿宋_GB2312" w:eastAsia="仿宋_GB2312" w:cs="Courier New" w:hAnsiTheme="minorHAnsi"/>
          <w:sz w:val="24"/>
          <w:szCs w:val="24"/>
        </w:rPr>
        <w:t>投标人有以下情形之一的，评标委员会有权视该投标文件无效:</w:t>
      </w:r>
    </w:p>
    <w:p w14:paraId="516DA08A">
      <w:pPr>
        <w:pStyle w:val="39"/>
        <w:ind w:left="0" w:leftChars="0"/>
        <w:rPr>
          <w:rFonts w:ascii="仿宋_GB2312" w:eastAsia="仿宋_GB2312" w:cs="Courier New" w:hAnsiTheme="minorHAnsi"/>
          <w:sz w:val="24"/>
          <w:szCs w:val="24"/>
        </w:rPr>
      </w:pPr>
      <w:r>
        <w:rPr>
          <w:rFonts w:hint="eastAsia" w:ascii="仿宋_GB2312" w:eastAsia="仿宋_GB2312" w:cs="Courier New" w:hAnsiTheme="minorHAnsi"/>
          <w:sz w:val="24"/>
          <w:szCs w:val="24"/>
        </w:rPr>
        <w:t>（1）截止时间前未</w:t>
      </w:r>
      <w:r>
        <w:rPr>
          <w:rFonts w:hint="eastAsia" w:ascii="仿宋_GB2312" w:eastAsia="仿宋_GB2312" w:cs="Courier New"/>
          <w:sz w:val="24"/>
          <w:szCs w:val="24"/>
        </w:rPr>
        <w:t>澄清、说明或者补正</w:t>
      </w:r>
      <w:r>
        <w:rPr>
          <w:rFonts w:hint="eastAsia" w:ascii="仿宋_GB2312" w:eastAsia="仿宋_GB2312" w:cs="Courier New" w:hAnsiTheme="minorHAnsi"/>
          <w:sz w:val="24"/>
          <w:szCs w:val="24"/>
        </w:rPr>
        <w:t>，或</w:t>
      </w:r>
      <w:r>
        <w:rPr>
          <w:rFonts w:hint="eastAsia" w:ascii="仿宋_GB2312" w:eastAsia="仿宋_GB2312" w:cs="Courier New"/>
          <w:sz w:val="24"/>
          <w:szCs w:val="24"/>
        </w:rPr>
        <w:t>澄清、说明或者补正</w:t>
      </w:r>
      <w:r>
        <w:rPr>
          <w:rFonts w:hint="eastAsia" w:ascii="仿宋_GB2312" w:eastAsia="仿宋_GB2312" w:cs="Courier New" w:hAnsiTheme="minorHAnsi"/>
          <w:sz w:val="24"/>
          <w:szCs w:val="24"/>
        </w:rPr>
        <w:t>超过规定时间的:</w:t>
      </w:r>
    </w:p>
    <w:p w14:paraId="75B4AD24">
      <w:pPr>
        <w:pStyle w:val="39"/>
        <w:ind w:left="0" w:leftChars="0"/>
        <w:rPr>
          <w:rFonts w:ascii="仿宋_GB2312" w:eastAsia="仿宋_GB2312" w:cs="Courier New" w:hAnsiTheme="minorHAnsi"/>
          <w:sz w:val="24"/>
          <w:szCs w:val="24"/>
        </w:rPr>
      </w:pPr>
      <w:r>
        <w:rPr>
          <w:rFonts w:hint="eastAsia" w:ascii="仿宋_GB2312" w:eastAsia="仿宋_GB2312" w:cs="Courier New" w:hAnsiTheme="minorHAnsi"/>
          <w:sz w:val="24"/>
          <w:szCs w:val="24"/>
        </w:rPr>
        <w:t>（2）</w:t>
      </w:r>
      <w:r>
        <w:rPr>
          <w:rFonts w:hint="eastAsia" w:ascii="仿宋_GB2312" w:eastAsia="仿宋_GB2312" w:cs="Courier New"/>
          <w:sz w:val="24"/>
          <w:szCs w:val="24"/>
        </w:rPr>
        <w:t>澄清、说明或者补正</w:t>
      </w:r>
      <w:r>
        <w:rPr>
          <w:rFonts w:hint="eastAsia" w:ascii="仿宋_GB2312" w:eastAsia="仿宋_GB2312" w:cs="Courier New" w:hAnsiTheme="minorHAnsi"/>
          <w:sz w:val="24"/>
          <w:szCs w:val="24"/>
        </w:rPr>
        <w:t>超出投标文件范围或改变了投标文件的实质性内容的；</w:t>
      </w:r>
    </w:p>
    <w:p w14:paraId="2F632435">
      <w:pPr>
        <w:pStyle w:val="39"/>
        <w:ind w:left="0" w:leftChars="0"/>
        <w:rPr>
          <w:rFonts w:ascii="仿宋_GB2312" w:eastAsia="仿宋_GB2312" w:cs="Courier New" w:hAnsiTheme="minorHAnsi"/>
          <w:sz w:val="24"/>
          <w:szCs w:val="24"/>
        </w:rPr>
      </w:pPr>
      <w:r>
        <w:rPr>
          <w:rFonts w:hint="eastAsia" w:ascii="仿宋_GB2312" w:eastAsia="仿宋_GB2312" w:cs="Courier New" w:hAnsiTheme="minorHAnsi"/>
          <w:sz w:val="24"/>
          <w:szCs w:val="24"/>
        </w:rPr>
        <w:t>（3）</w:t>
      </w:r>
      <w:r>
        <w:rPr>
          <w:rFonts w:hint="eastAsia" w:ascii="仿宋_GB2312" w:eastAsia="仿宋_GB2312" w:cs="Courier New"/>
          <w:sz w:val="24"/>
          <w:szCs w:val="24"/>
        </w:rPr>
        <w:t>澄清、说明或者补正</w:t>
      </w:r>
      <w:r>
        <w:rPr>
          <w:rFonts w:hint="eastAsia" w:ascii="仿宋_GB2312" w:eastAsia="仿宋_GB2312" w:cs="Courier New" w:hAnsiTheme="minorHAnsi"/>
          <w:sz w:val="24"/>
          <w:szCs w:val="24"/>
        </w:rPr>
        <w:t>后投标文件仍不符合招标文件要求的。</w:t>
      </w:r>
    </w:p>
    <w:p w14:paraId="0970CEE9">
      <w:pPr>
        <w:snapToGrid w:val="0"/>
        <w:spacing w:line="370" w:lineRule="exact"/>
        <w:ind w:firstLine="420"/>
        <w:jc w:val="left"/>
        <w:rPr>
          <w:rFonts w:ascii="仿宋_GB2312" w:eastAsia="仿宋_GB2312"/>
          <w:b/>
          <w:sz w:val="24"/>
        </w:rPr>
      </w:pPr>
      <w:r>
        <w:rPr>
          <w:rFonts w:hint="eastAsia" w:ascii="仿宋_GB2312" w:eastAsia="仿宋_GB2312"/>
          <w:b/>
          <w:sz w:val="24"/>
        </w:rPr>
        <w:t>29.错误修正</w:t>
      </w:r>
    </w:p>
    <w:p w14:paraId="47BE895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73A7165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6C10AB4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5687619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22B7AA8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7B151018">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721764DF">
      <w:pPr>
        <w:pStyle w:val="26"/>
        <w:tabs>
          <w:tab w:val="left" w:pos="630"/>
        </w:tabs>
        <w:snapToGrid w:val="0"/>
        <w:spacing w:line="37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30.评标原则和评标方法</w:t>
      </w:r>
    </w:p>
    <w:p w14:paraId="0685BE7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3E8B40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214F0706">
      <w:pPr>
        <w:pStyle w:val="26"/>
        <w:snapToGrid w:val="0"/>
        <w:spacing w:line="37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31.评标过程的监控</w:t>
      </w:r>
    </w:p>
    <w:p w14:paraId="6FCD378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2ED8721D">
      <w:pPr>
        <w:pStyle w:val="26"/>
        <w:snapToGrid w:val="0"/>
        <w:spacing w:line="370" w:lineRule="exact"/>
        <w:ind w:firstLine="482" w:firstLineChars="200"/>
        <w:rPr>
          <w:rFonts w:ascii="仿宋_GB2312" w:hAnsi="宋体" w:eastAsia="仿宋_GB2312"/>
          <w:sz w:val="24"/>
          <w:szCs w:val="24"/>
        </w:rPr>
      </w:pPr>
      <w:r>
        <w:rPr>
          <w:rFonts w:hint="eastAsia" w:ascii="仿宋_GB2312" w:hAnsi="宋体" w:eastAsia="仿宋_GB2312"/>
          <w:b/>
          <w:sz w:val="24"/>
          <w:szCs w:val="24"/>
        </w:rPr>
        <w:t>七、评标结果</w:t>
      </w:r>
    </w:p>
    <w:p w14:paraId="409E996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1F6EE5B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7C6FA89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62A4C15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659AF25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044EC5A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5D00477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6EC19C5B">
      <w:pPr>
        <w:pStyle w:val="26"/>
        <w:snapToGrid w:val="0"/>
        <w:spacing w:line="370" w:lineRule="exact"/>
        <w:ind w:firstLine="472" w:firstLineChars="196"/>
        <w:rPr>
          <w:rFonts w:ascii="仿宋_GB2312" w:hAnsi="宋体" w:eastAsia="仿宋_GB2312"/>
          <w:b/>
          <w:sz w:val="24"/>
          <w:szCs w:val="24"/>
        </w:rPr>
      </w:pPr>
      <w:bookmarkStart w:id="61" w:name="_Toc254970688"/>
      <w:bookmarkStart w:id="62" w:name="_Toc254970547"/>
      <w:r>
        <w:rPr>
          <w:rFonts w:hint="eastAsia" w:ascii="仿宋_GB2312" w:hAnsi="宋体" w:eastAsia="仿宋_GB2312"/>
          <w:b/>
          <w:sz w:val="24"/>
          <w:szCs w:val="24"/>
        </w:rPr>
        <w:t>八、</w:t>
      </w:r>
      <w:bookmarkEnd w:id="61"/>
      <w:bookmarkEnd w:id="62"/>
      <w:r>
        <w:rPr>
          <w:rFonts w:hint="eastAsia" w:ascii="仿宋_GB2312" w:hAnsi="宋体" w:eastAsia="仿宋_GB2312"/>
          <w:b/>
          <w:sz w:val="24"/>
          <w:szCs w:val="24"/>
        </w:rPr>
        <w:t>签订合同</w:t>
      </w:r>
    </w:p>
    <w:p w14:paraId="149834E4">
      <w:pPr>
        <w:pStyle w:val="26"/>
        <w:snapToGrid w:val="0"/>
        <w:spacing w:line="370" w:lineRule="exact"/>
        <w:ind w:firstLine="472" w:firstLineChars="196"/>
        <w:rPr>
          <w:rFonts w:ascii="仿宋_GB2312" w:hAnsi="宋体" w:eastAsia="仿宋_GB2312"/>
          <w:b/>
          <w:bCs/>
          <w:sz w:val="24"/>
          <w:szCs w:val="24"/>
        </w:rPr>
      </w:pPr>
      <w:r>
        <w:rPr>
          <w:rFonts w:hint="eastAsia" w:ascii="仿宋_GB2312" w:hAnsi="宋体" w:eastAsia="仿宋_GB2312"/>
          <w:b/>
          <w:sz w:val="24"/>
          <w:szCs w:val="24"/>
        </w:rPr>
        <w:t>39.合同授予标准</w:t>
      </w:r>
    </w:p>
    <w:p w14:paraId="2E31BC9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451D85D6">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18A4426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14:paraId="5589F01E">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63" w:name="_Toc254970689"/>
      <w:bookmarkStart w:id="64" w:name="_Toc254970548"/>
      <w:bookmarkStart w:id="65" w:name="_Toc497578452"/>
    </w:p>
    <w:p w14:paraId="25216256"/>
    <w:p w14:paraId="0CC64268"/>
    <w:p w14:paraId="2CEE35FF"/>
    <w:p w14:paraId="499A438A"/>
    <w:p w14:paraId="3E1DDF0C"/>
    <w:p w14:paraId="1B02A801"/>
    <w:p w14:paraId="4FF3DD45"/>
    <w:p w14:paraId="597C6EAA"/>
    <w:p w14:paraId="15AE5E5B"/>
    <w:p w14:paraId="5D66806E"/>
    <w:p w14:paraId="4059DEB7"/>
    <w:p w14:paraId="52C1FBC1"/>
    <w:p w14:paraId="76E3FCD1"/>
    <w:p w14:paraId="2366D8BC"/>
    <w:p w14:paraId="3B95730C"/>
    <w:p w14:paraId="6F6B6986"/>
    <w:p w14:paraId="06BC358A"/>
    <w:p w14:paraId="7D5EAC59">
      <w:pPr>
        <w:pStyle w:val="3"/>
        <w:jc w:val="center"/>
      </w:pPr>
      <w:bookmarkStart w:id="66" w:name="_Toc27328"/>
      <w:r>
        <w:rPr>
          <w:rFonts w:hint="eastAsia"/>
          <w:sz w:val="30"/>
          <w:szCs w:val="30"/>
        </w:rPr>
        <w:t xml:space="preserve">第四章 </w:t>
      </w:r>
      <w:bookmarkEnd w:id="63"/>
      <w:bookmarkEnd w:id="64"/>
      <w:r>
        <w:rPr>
          <w:rFonts w:hint="eastAsia"/>
          <w:sz w:val="30"/>
          <w:szCs w:val="30"/>
        </w:rPr>
        <w:t>评标方法及评标标准</w:t>
      </w:r>
      <w:bookmarkEnd w:id="65"/>
      <w:bookmarkEnd w:id="66"/>
      <w:r>
        <w:tab/>
      </w:r>
    </w:p>
    <w:p w14:paraId="3406BB88">
      <w:r>
        <w:br w:type="page"/>
      </w:r>
    </w:p>
    <w:p w14:paraId="01552B26">
      <w:pPr>
        <w:tabs>
          <w:tab w:val="left" w:pos="3055"/>
        </w:tabs>
        <w:jc w:val="center"/>
        <w:rPr>
          <w:b/>
          <w:sz w:val="30"/>
          <w:szCs w:val="30"/>
        </w:rPr>
      </w:pPr>
      <w:r>
        <w:rPr>
          <w:rFonts w:hint="eastAsia" w:ascii="宋体" w:hAnsi="宋体" w:cs="Courier New"/>
          <w:b/>
          <w:bCs/>
          <w:color w:val="000000"/>
          <w:sz w:val="32"/>
          <w:szCs w:val="32"/>
        </w:rPr>
        <w:t>评标方法及评标标准</w:t>
      </w:r>
    </w:p>
    <w:p w14:paraId="3B650302">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2D313207">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535914BA">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67" w:name="_Hlk93676870"/>
      <w:r>
        <w:rPr>
          <w:rFonts w:hint="eastAsia" w:ascii="仿宋_GB2312" w:eastAsia="仿宋_GB2312"/>
          <w:b/>
          <w:sz w:val="24"/>
        </w:rPr>
        <w:t>，对投标人的价格、技术、信誉、业绩等</w:t>
      </w:r>
      <w:bookmarkEnd w:id="67"/>
      <w:r>
        <w:rPr>
          <w:rFonts w:hint="eastAsia" w:ascii="仿宋_GB2312" w:eastAsia="仿宋_GB2312"/>
          <w:b/>
          <w:sz w:val="24"/>
        </w:rPr>
        <w:t>方面按百分制打分。</w:t>
      </w:r>
    </w:p>
    <w:p w14:paraId="1B7D09C6">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26ECC17B">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63C74946">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6F52E81B">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5A9F404E">
      <w:pPr>
        <w:spacing w:line="400" w:lineRule="atLeast"/>
        <w:ind w:firstLine="480" w:firstLineChars="200"/>
        <w:jc w:val="left"/>
        <w:rPr>
          <w:rFonts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716"/>
        <w:tblpPr w:leftFromText="180" w:rightFromText="180" w:vertAnchor="text" w:horzAnchor="page" w:tblpX="661" w:tblpY="378"/>
        <w:tblOverlap w:val="never"/>
        <w:tblW w:w="10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6091"/>
        <w:gridCol w:w="867"/>
        <w:gridCol w:w="1413"/>
      </w:tblGrid>
      <w:tr w14:paraId="6A9C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310" w:type="dxa"/>
            <w:gridSpan w:val="5"/>
            <w:shd w:val="clear" w:color="auto" w:fill="D7D7D7"/>
            <w:vAlign w:val="center"/>
          </w:tcPr>
          <w:p w14:paraId="5A9393E0">
            <w:pPr>
              <w:spacing w:line="360" w:lineRule="exact"/>
              <w:jc w:val="center"/>
              <w:rPr>
                <w:rFonts w:ascii="仿宋_GB2312" w:hAnsi="仿宋_GB2312" w:eastAsia="仿宋_GB2312" w:cs="仿宋_GB2312"/>
                <w:b/>
              </w:rPr>
            </w:pPr>
            <w:r>
              <w:rPr>
                <w:rFonts w:hint="eastAsia" w:ascii="仿宋_GB2312" w:eastAsia="仿宋_GB2312"/>
                <w:b/>
                <w:sz w:val="32"/>
              </w:rPr>
              <w:t>客观分</w:t>
            </w:r>
          </w:p>
        </w:tc>
      </w:tr>
      <w:tr w14:paraId="6CE4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1CFFDC3E">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vAlign w:val="center"/>
          </w:tcPr>
          <w:p w14:paraId="1EB0EF3F">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评审因素</w:t>
            </w:r>
          </w:p>
        </w:tc>
        <w:tc>
          <w:tcPr>
            <w:tcW w:w="6091" w:type="dxa"/>
            <w:vAlign w:val="center"/>
          </w:tcPr>
          <w:p w14:paraId="04D70A9F">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评分标准说明</w:t>
            </w:r>
          </w:p>
        </w:tc>
        <w:tc>
          <w:tcPr>
            <w:tcW w:w="867" w:type="dxa"/>
            <w:vAlign w:val="center"/>
          </w:tcPr>
          <w:p w14:paraId="48BF3B38">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分值</w:t>
            </w:r>
          </w:p>
        </w:tc>
        <w:tc>
          <w:tcPr>
            <w:tcW w:w="1413" w:type="dxa"/>
            <w:vAlign w:val="center"/>
          </w:tcPr>
          <w:p w14:paraId="6B4FBBCB">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5DB9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trPr>
        <w:tc>
          <w:tcPr>
            <w:tcW w:w="849" w:type="dxa"/>
            <w:vAlign w:val="center"/>
          </w:tcPr>
          <w:p w14:paraId="0AF2E289">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价格分</w:t>
            </w:r>
          </w:p>
        </w:tc>
        <w:tc>
          <w:tcPr>
            <w:tcW w:w="1090" w:type="dxa"/>
            <w:vAlign w:val="center"/>
          </w:tcPr>
          <w:p w14:paraId="22E94D01">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价格</w:t>
            </w:r>
          </w:p>
        </w:tc>
        <w:tc>
          <w:tcPr>
            <w:tcW w:w="6091" w:type="dxa"/>
            <w:vAlign w:val="center"/>
          </w:tcPr>
          <w:p w14:paraId="6B3BF1C8">
            <w:pPr>
              <w:spacing w:line="44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1.满足招标文件要求且投标价格最低的投标报价为评标基准价，其投标人的报价分为最高分</w:t>
            </w:r>
            <w:r>
              <w:rPr>
                <w:rFonts w:hint="eastAsia" w:ascii="仿宋_GB2312" w:hAnsi="仿宋_GB2312" w:eastAsia="仿宋_GB2312" w:cs="仿宋_GB2312"/>
                <w:b/>
                <w:bCs/>
              </w:rPr>
              <w:t>30</w:t>
            </w:r>
            <w:r>
              <w:rPr>
                <w:rFonts w:hint="eastAsia" w:ascii="仿宋_GB2312" w:hAnsi="仿宋_GB2312" w:eastAsia="仿宋_GB2312" w:cs="仿宋_GB2312"/>
                <w:szCs w:val="21"/>
              </w:rPr>
              <w:t>分；</w:t>
            </w:r>
          </w:p>
          <w:p w14:paraId="75B77E5D">
            <w:pPr>
              <w:spacing w:line="44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2.其他投标人的报价得分按以下公式计算：</w:t>
            </w:r>
          </w:p>
          <w:p w14:paraId="1B77A79B">
            <w:pPr>
              <w:spacing w:line="440" w:lineRule="exact"/>
              <w:jc w:val="left"/>
              <w:rPr>
                <w:rFonts w:ascii="仿宋_GB2312" w:hAnsi="仿宋_GB2312" w:eastAsia="仿宋_GB2312" w:cs="仿宋_GB2312"/>
                <w:szCs w:val="21"/>
              </w:rPr>
            </w:pPr>
            <w:r>
              <w:rPr>
                <w:rFonts w:hint="eastAsia" w:ascii="仿宋_GB2312" w:hAnsi="仿宋_GB2312" w:eastAsia="仿宋_GB2312" w:cs="仿宋_GB2312"/>
                <w:szCs w:val="21"/>
              </w:rPr>
              <w:t>报价得分=（评标基准价／某投标人投标报价）×</w:t>
            </w:r>
            <w:r>
              <w:rPr>
                <w:rFonts w:hint="eastAsia" w:ascii="仿宋_GB2312" w:hAnsi="仿宋_GB2312" w:eastAsia="仿宋_GB2312" w:cs="仿宋_GB2312"/>
                <w:b/>
                <w:bCs/>
              </w:rPr>
              <w:t>30</w:t>
            </w:r>
            <w:r>
              <w:rPr>
                <w:rFonts w:hint="eastAsia" w:ascii="仿宋_GB2312" w:hAnsi="仿宋_GB2312" w:eastAsia="仿宋_GB2312" w:cs="仿宋_GB2312"/>
                <w:szCs w:val="21"/>
              </w:rPr>
              <w:t>分；</w:t>
            </w:r>
          </w:p>
          <w:p w14:paraId="5865957C">
            <w:pPr>
              <w:spacing w:line="44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3.小型、微型企业价格折扣率：</w:t>
            </w:r>
          </w:p>
          <w:p w14:paraId="4C24AE62">
            <w:pPr>
              <w:spacing w:line="440" w:lineRule="exact"/>
              <w:ind w:firstLine="420" w:firstLineChars="200"/>
              <w:jc w:val="left"/>
              <w:rPr>
                <w:rFonts w:ascii="仿宋_GB2312" w:hAnsi="仿宋_GB2312" w:eastAsia="仿宋_GB2312" w:cs="仿宋_GB2312"/>
                <w:b/>
              </w:rPr>
            </w:pPr>
            <w:r>
              <w:rPr>
                <w:rFonts w:hint="eastAsia" w:ascii="仿宋_GB2312" w:hAnsi="仿宋_GB2312" w:eastAsia="仿宋_GB2312" w:cs="仿宋_GB2312"/>
                <w:szCs w:val="21"/>
              </w:rPr>
              <w:t>符合《政府采购促进中小企业发展管理办法》（财库〔2020〕46号）规定条件且出具该办法规定的《中小企业声明函》的小型和微型企业参与报价，对其报价给予20%的扣除。监狱企业、残疾人福利性企业视同小微型企业，不重复享受政策。</w:t>
            </w:r>
          </w:p>
        </w:tc>
        <w:tc>
          <w:tcPr>
            <w:tcW w:w="867" w:type="dxa"/>
            <w:vAlign w:val="center"/>
          </w:tcPr>
          <w:p w14:paraId="3642B481">
            <w:pPr>
              <w:spacing w:line="360" w:lineRule="exact"/>
              <w:jc w:val="center"/>
              <w:rPr>
                <w:rFonts w:ascii="仿宋_GB2312" w:hAnsi="仿宋_GB2312" w:eastAsia="仿宋_GB2312" w:cs="仿宋_GB2312"/>
                <w:b/>
              </w:rPr>
            </w:pPr>
            <w:r>
              <w:rPr>
                <w:rFonts w:hint="eastAsia" w:ascii="仿宋_GB2312" w:hAnsi="仿宋_GB2312" w:eastAsia="仿宋_GB2312" w:cs="仿宋_GB2312"/>
                <w:b/>
                <w:bCs/>
              </w:rPr>
              <w:t>30</w:t>
            </w:r>
          </w:p>
        </w:tc>
        <w:tc>
          <w:tcPr>
            <w:tcW w:w="1413" w:type="dxa"/>
            <w:vAlign w:val="center"/>
          </w:tcPr>
          <w:p w14:paraId="3813769B">
            <w:pPr>
              <w:spacing w:line="360" w:lineRule="exact"/>
              <w:jc w:val="center"/>
              <w:rPr>
                <w:rFonts w:ascii="仿宋_GB2312" w:hAnsi="仿宋_GB2312" w:eastAsia="仿宋_GB2312" w:cs="仿宋_GB2312"/>
                <w:b/>
                <w:bCs/>
              </w:rPr>
            </w:pPr>
          </w:p>
        </w:tc>
      </w:tr>
      <w:tr w14:paraId="4B93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3FA88334">
            <w:pPr>
              <w:spacing w:line="360" w:lineRule="exact"/>
              <w:jc w:val="center"/>
              <w:rPr>
                <w:rFonts w:ascii="仿宋_GB2312" w:hAnsi="仿宋_GB2312" w:eastAsia="仿宋_GB2312" w:cs="仿宋_GB2312"/>
              </w:rPr>
            </w:pPr>
            <w:r>
              <w:rPr>
                <w:rFonts w:hint="eastAsia" w:ascii="仿宋_GB2312" w:hAnsi="仿宋_GB2312" w:eastAsia="仿宋_GB2312" w:cs="仿宋_GB2312"/>
                <w:b/>
                <w:bCs/>
              </w:rPr>
              <w:t>信誉分</w:t>
            </w:r>
          </w:p>
        </w:tc>
        <w:tc>
          <w:tcPr>
            <w:tcW w:w="1090" w:type="dxa"/>
            <w:vAlign w:val="center"/>
          </w:tcPr>
          <w:p w14:paraId="3EBE3D14">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体系认证</w:t>
            </w:r>
          </w:p>
        </w:tc>
        <w:tc>
          <w:tcPr>
            <w:tcW w:w="6091" w:type="dxa"/>
            <w:vAlign w:val="center"/>
          </w:tcPr>
          <w:p w14:paraId="233A0448">
            <w:pPr>
              <w:spacing w:line="440" w:lineRule="exact"/>
              <w:ind w:firstLine="420" w:firstLineChars="2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1.投标人或所投核心产品生产厂家具备有效的质量管理体系认证证书得1分，满分1分</w:t>
            </w:r>
            <w:r>
              <w:rPr>
                <w:rFonts w:hint="eastAsia" w:ascii="仿宋_GB2312" w:hAnsi="仿宋_GB2312" w:eastAsia="仿宋_GB2312" w:cs="仿宋_GB2312"/>
                <w:szCs w:val="21"/>
                <w:lang w:eastAsia="zh-CN"/>
              </w:rPr>
              <w:t>；</w:t>
            </w:r>
          </w:p>
          <w:p w14:paraId="03C2F3BC">
            <w:pPr>
              <w:spacing w:line="44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2.投标人或所投核心产品生产厂家具备有效的职业健康安全管理体系认证证书得1分，满分1分；</w:t>
            </w:r>
          </w:p>
          <w:p w14:paraId="690D21E6">
            <w:pPr>
              <w:spacing w:line="440" w:lineRule="exact"/>
              <w:ind w:firstLine="420" w:firstLineChars="2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3.投标人或所投核心产品生产厂家具备有效的环境管理体系认证证书得1分，满分1分</w:t>
            </w:r>
            <w:r>
              <w:rPr>
                <w:rFonts w:hint="eastAsia" w:ascii="仿宋_GB2312" w:hAnsi="仿宋_GB2312" w:eastAsia="仿宋_GB2312" w:cs="仿宋_GB2312"/>
                <w:szCs w:val="21"/>
                <w:lang w:eastAsia="zh-CN"/>
              </w:rPr>
              <w:t>。</w:t>
            </w:r>
          </w:p>
          <w:p w14:paraId="37DA7402">
            <w:pPr>
              <w:spacing w:line="440" w:lineRule="exact"/>
              <w:rPr>
                <w:rFonts w:ascii="仿宋_GB2312" w:hAnsi="仿宋_GB2312" w:eastAsia="仿宋_GB2312" w:cs="仿宋_GB2312"/>
              </w:rPr>
            </w:pPr>
            <w:r>
              <w:rPr>
                <w:rFonts w:hint="eastAsia"/>
              </w:rPr>
              <w:t xml:space="preserve">    </w:t>
            </w:r>
            <w:r>
              <w:rPr>
                <w:rFonts w:hint="eastAsia" w:ascii="仿宋_GB2312" w:hAnsi="仿宋_GB2312" w:eastAsia="仿宋_GB2312" w:cs="仿宋_GB2312"/>
                <w:b/>
              </w:rPr>
              <w:t>注：投标人提供证书材料并加盖投标人CA电子签章，否则不予计分。</w:t>
            </w:r>
          </w:p>
        </w:tc>
        <w:tc>
          <w:tcPr>
            <w:tcW w:w="867" w:type="dxa"/>
            <w:vAlign w:val="center"/>
          </w:tcPr>
          <w:p w14:paraId="52A14971">
            <w:pPr>
              <w:spacing w:line="360" w:lineRule="exact"/>
              <w:jc w:val="center"/>
              <w:rPr>
                <w:rFonts w:ascii="仿宋_GB2312" w:hAnsi="仿宋_GB2312" w:eastAsia="仿宋_GB2312" w:cs="仿宋_GB2312"/>
                <w:b/>
                <w:bCs/>
              </w:rPr>
            </w:pPr>
            <w:r>
              <w:rPr>
                <w:rFonts w:hint="eastAsia" w:ascii="仿宋_GB2312" w:hAnsi="仿宋_GB2312" w:eastAsia="仿宋_GB2312" w:cs="仿宋_GB2312"/>
                <w:b/>
                <w:bCs/>
              </w:rPr>
              <w:t>3</w:t>
            </w:r>
          </w:p>
        </w:tc>
        <w:tc>
          <w:tcPr>
            <w:tcW w:w="1413" w:type="dxa"/>
            <w:vAlign w:val="center"/>
          </w:tcPr>
          <w:p w14:paraId="108B504A">
            <w:pPr>
              <w:spacing w:line="360" w:lineRule="exact"/>
              <w:jc w:val="center"/>
              <w:rPr>
                <w:rFonts w:ascii="仿宋_GB2312" w:hAnsi="仿宋_GB2312" w:eastAsia="仿宋_GB2312" w:cs="仿宋_GB2312"/>
                <w:b/>
                <w:bCs/>
              </w:rPr>
            </w:pPr>
            <w:r>
              <w:rPr>
                <w:rFonts w:hint="eastAsia" w:ascii="仿宋_GB2312" w:hAnsi="仿宋_GB2312" w:eastAsia="仿宋_GB2312" w:cs="仿宋_GB2312"/>
              </w:rPr>
              <w:t>相关认证证书材料</w:t>
            </w:r>
          </w:p>
        </w:tc>
      </w:tr>
      <w:tr w14:paraId="7481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1B3FDA5A">
            <w:pPr>
              <w:snapToGrid w:val="0"/>
              <w:spacing w:line="400" w:lineRule="exact"/>
              <w:jc w:val="center"/>
              <w:rPr>
                <w:rFonts w:ascii="仿宋_GB2312" w:hAnsi="仿宋_GB2312" w:eastAsia="仿宋_GB2312" w:cs="仿宋_GB2312"/>
                <w:b/>
                <w:bCs/>
              </w:rPr>
            </w:pPr>
            <w:r>
              <w:rPr>
                <w:rFonts w:hint="eastAsia" w:ascii="仿宋_GB2312" w:hAnsi="仿宋_GB2312" w:eastAsia="仿宋_GB2312" w:cs="仿宋_GB2312"/>
                <w:b/>
                <w:bCs/>
                <w:szCs w:val="21"/>
              </w:rPr>
              <w:t>技术参数分</w:t>
            </w:r>
          </w:p>
        </w:tc>
        <w:tc>
          <w:tcPr>
            <w:tcW w:w="1090" w:type="dxa"/>
            <w:vAlign w:val="center"/>
          </w:tcPr>
          <w:p w14:paraId="7BA86335">
            <w:pPr>
              <w:snapToGrid w:val="0"/>
              <w:spacing w:line="400" w:lineRule="exact"/>
              <w:jc w:val="center"/>
              <w:rPr>
                <w:rFonts w:ascii="仿宋_GB2312" w:hAnsi="仿宋_GB2312" w:eastAsia="仿宋_GB2312" w:cs="仿宋_GB2312"/>
                <w:b/>
                <w:bCs/>
              </w:rPr>
            </w:pPr>
            <w:r>
              <w:rPr>
                <w:rFonts w:hint="eastAsia" w:ascii="仿宋_GB2312" w:hAnsi="仿宋_GB2312" w:eastAsia="仿宋_GB2312" w:cs="仿宋_GB2312"/>
                <w:b/>
                <w:bCs/>
              </w:rPr>
              <w:t>技术参数</w:t>
            </w:r>
          </w:p>
        </w:tc>
        <w:tc>
          <w:tcPr>
            <w:tcW w:w="6091" w:type="dxa"/>
            <w:vAlign w:val="center"/>
          </w:tcPr>
          <w:p w14:paraId="05F2E5E0">
            <w:pPr>
              <w:spacing w:line="460" w:lineRule="exact"/>
              <w:ind w:firstLine="420" w:firstLineChars="200"/>
              <w:rPr>
                <w:rFonts w:ascii="仿宋_GB2312" w:hAnsi="仿宋_GB2312" w:eastAsia="仿宋_GB2312" w:cs="仿宋_GB2312"/>
              </w:rPr>
            </w:pPr>
            <w:r>
              <w:rPr>
                <w:rFonts w:hint="eastAsia" w:ascii="仿宋_GB2312" w:hAnsi="仿宋_GB2312" w:eastAsia="仿宋_GB2312" w:cs="仿宋_GB2312"/>
                <w:szCs w:val="21"/>
              </w:rPr>
              <w:t>所投产品标记“</w:t>
            </w:r>
            <w:r>
              <w:rPr>
                <w:rFonts w:hint="eastAsia" w:ascii="仿宋_GB2312" w:hAnsi="仿宋_GB2312" w:eastAsia="仿宋_GB2312" w:cs="仿宋_GB2312"/>
              </w:rPr>
              <w:t>◆</w:t>
            </w:r>
            <w:r>
              <w:rPr>
                <w:rFonts w:hint="eastAsia" w:ascii="仿宋_GB2312" w:hAnsi="仿宋_GB2312" w:eastAsia="仿宋_GB2312" w:cs="仿宋_GB2312"/>
                <w:szCs w:val="21"/>
              </w:rPr>
              <w:t>”的技术参数内容承诺优于采购需求的，每有一项得</w:t>
            </w:r>
            <w:r>
              <w:rPr>
                <w:rFonts w:hint="eastAsia" w:ascii="仿宋_GB2312" w:hAnsi="仿宋_GB2312" w:eastAsia="仿宋_GB2312" w:cs="仿宋_GB2312"/>
                <w:bCs/>
                <w:szCs w:val="21"/>
              </w:rPr>
              <w:t>1</w:t>
            </w:r>
            <w:r>
              <w:rPr>
                <w:rFonts w:ascii="仿宋_GB2312" w:hAnsi="仿宋_GB2312" w:eastAsia="仿宋_GB2312" w:cs="仿宋_GB2312"/>
                <w:bCs/>
                <w:szCs w:val="21"/>
              </w:rPr>
              <w:t>分</w:t>
            </w:r>
            <w:r>
              <w:rPr>
                <w:rFonts w:hint="eastAsia" w:ascii="仿宋_GB2312" w:hAnsi="仿宋_GB2312" w:eastAsia="仿宋_GB2312" w:cs="仿宋_GB2312"/>
                <w:szCs w:val="21"/>
              </w:rPr>
              <w:t>，满分</w:t>
            </w:r>
            <w:r>
              <w:rPr>
                <w:rFonts w:ascii="仿宋_GB2312" w:hAnsi="仿宋_GB2312" w:eastAsia="仿宋_GB2312" w:cs="仿宋_GB2312"/>
                <w:bCs/>
                <w:szCs w:val="21"/>
              </w:rPr>
              <w:t>6</w:t>
            </w:r>
            <w:r>
              <w:rPr>
                <w:rFonts w:hint="eastAsia" w:ascii="仿宋_GB2312" w:hAnsi="仿宋_GB2312" w:eastAsia="仿宋_GB2312" w:cs="仿宋_GB2312"/>
                <w:bCs/>
                <w:szCs w:val="21"/>
              </w:rPr>
              <w:t>分</w:t>
            </w:r>
            <w:r>
              <w:rPr>
                <w:rFonts w:hint="eastAsia" w:ascii="仿宋_GB2312" w:hAnsi="仿宋_GB2312" w:eastAsia="仿宋_GB2312" w:cs="仿宋_GB2312"/>
              </w:rPr>
              <w:t>。</w:t>
            </w:r>
            <w:r>
              <w:rPr>
                <w:rFonts w:ascii="仿宋_GB2312" w:hAnsi="仿宋_GB2312" w:eastAsia="仿宋_GB2312" w:cs="仿宋_GB2312"/>
              </w:rPr>
              <w:t xml:space="preserve">     </w:t>
            </w:r>
          </w:p>
          <w:p w14:paraId="526976C0">
            <w:pPr>
              <w:spacing w:line="46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w:t>
            </w:r>
            <w:r>
              <w:rPr>
                <w:rFonts w:ascii="仿宋_GB2312" w:hAnsi="仿宋_GB2312" w:eastAsia="仿宋_GB2312" w:cs="仿宋_GB2312"/>
                <w:b/>
                <w:bCs/>
              </w:rPr>
              <w:t>标记“</w:t>
            </w:r>
            <w:r>
              <w:rPr>
                <w:rFonts w:hint="eastAsia" w:ascii="仿宋_GB2312" w:hAnsi="仿宋_GB2312" w:eastAsia="仿宋_GB2312" w:cs="仿宋_GB2312"/>
              </w:rPr>
              <w:t>◆</w:t>
            </w:r>
            <w:r>
              <w:rPr>
                <w:rFonts w:ascii="仿宋_GB2312" w:hAnsi="仿宋_GB2312" w:eastAsia="仿宋_GB2312" w:cs="仿宋_GB2312"/>
                <w:b/>
                <w:bCs/>
              </w:rPr>
              <w:t>”的技术参数为一项</w:t>
            </w:r>
            <w:r>
              <w:rPr>
                <w:rFonts w:hint="eastAsia" w:ascii="仿宋_GB2312" w:hAnsi="仿宋_GB2312" w:eastAsia="仿宋_GB2312" w:cs="仿宋_GB2312"/>
                <w:b/>
                <w:bCs/>
              </w:rPr>
              <w:t>，不同标的的相同技术参数可重复计分，</w:t>
            </w:r>
            <w:r>
              <w:rPr>
                <w:rFonts w:ascii="仿宋_GB2312" w:hAnsi="仿宋_GB2312" w:eastAsia="仿宋_GB2312" w:cs="仿宋_GB2312"/>
                <w:b/>
                <w:bCs/>
                <w:szCs w:val="21"/>
              </w:rPr>
              <w:t>如一项里有多个参数，优于其中一个参数即可加分</w:t>
            </w:r>
            <w:r>
              <w:rPr>
                <w:rFonts w:ascii="仿宋_GB2312" w:hAnsi="仿宋_GB2312" w:eastAsia="仿宋_GB2312" w:cs="仿宋_GB2312"/>
                <w:b/>
                <w:bCs/>
              </w:rPr>
              <w:t>；</w:t>
            </w:r>
          </w:p>
          <w:p w14:paraId="32FD7C51">
            <w:pPr>
              <w:spacing w:line="46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2.参数条款中有≥XX的技术参数，投标人响应的参数仅等于XX的为无偏离，</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rPr>
              <w:t>XX正偏离（优于）。</w:t>
            </w:r>
          </w:p>
          <w:p w14:paraId="4196FDBA">
            <w:pPr>
              <w:snapToGrid w:val="0"/>
              <w:spacing w:line="40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bCs/>
                <w:szCs w:val="21"/>
              </w:rPr>
              <w:t>3.参数条款中有≤XX的技术参数，投标人响应的参数仅等于XX的为无偏离，＜XX为正偏离（优于）。</w:t>
            </w:r>
          </w:p>
        </w:tc>
        <w:tc>
          <w:tcPr>
            <w:tcW w:w="867" w:type="dxa"/>
            <w:vAlign w:val="center"/>
          </w:tcPr>
          <w:p w14:paraId="58909B4A">
            <w:pPr>
              <w:snapToGrid w:val="0"/>
              <w:spacing w:line="400" w:lineRule="exact"/>
              <w:jc w:val="center"/>
              <w:rPr>
                <w:rFonts w:ascii="仿宋_GB2312" w:hAnsi="仿宋_GB2312" w:eastAsia="仿宋_GB2312" w:cs="仿宋_GB2312"/>
                <w:b/>
                <w:bCs/>
              </w:rPr>
            </w:pPr>
            <w:r>
              <w:rPr>
                <w:rFonts w:ascii="仿宋_GB2312" w:hAnsi="仿宋_GB2312" w:eastAsia="仿宋_GB2312" w:cs="仿宋_GB2312"/>
                <w:b/>
                <w:bCs/>
                <w:szCs w:val="21"/>
              </w:rPr>
              <w:t>6</w:t>
            </w:r>
          </w:p>
        </w:tc>
        <w:tc>
          <w:tcPr>
            <w:tcW w:w="1413" w:type="dxa"/>
            <w:vAlign w:val="center"/>
          </w:tcPr>
          <w:p w14:paraId="3EA2541A">
            <w:pPr>
              <w:snapToGrid w:val="0"/>
              <w:spacing w:line="400" w:lineRule="exact"/>
              <w:jc w:val="center"/>
              <w:rPr>
                <w:rFonts w:ascii="仿宋_GB2312" w:hAnsi="仿宋_GB2312" w:eastAsia="仿宋_GB2312" w:cs="仿宋_GB2312"/>
              </w:rPr>
            </w:pPr>
            <w:r>
              <w:rPr>
                <w:rFonts w:hint="eastAsia" w:ascii="仿宋_GB2312" w:hAnsi="仿宋_GB2312" w:eastAsia="仿宋_GB2312" w:cs="仿宋_GB2312"/>
                <w:szCs w:val="21"/>
              </w:rPr>
              <w:t>技术响应表</w:t>
            </w:r>
          </w:p>
        </w:tc>
      </w:tr>
      <w:tr w14:paraId="6681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1F1BAC64">
            <w:pPr>
              <w:spacing w:line="360" w:lineRule="exact"/>
              <w:jc w:val="center"/>
              <w:rPr>
                <w:rFonts w:ascii="仿宋_GB2312" w:hAnsi="宋体" w:eastAsia="仿宋_GB2312"/>
                <w:b/>
              </w:rPr>
            </w:pPr>
            <w:r>
              <w:rPr>
                <w:rFonts w:hint="eastAsia" w:ascii="仿宋_GB2312" w:hAnsi="仿宋_GB2312" w:eastAsia="仿宋_GB2312" w:cs="仿宋_GB2312"/>
                <w:b/>
                <w:bCs/>
              </w:rPr>
              <w:t>业绩分</w:t>
            </w:r>
          </w:p>
        </w:tc>
        <w:tc>
          <w:tcPr>
            <w:tcW w:w="1090" w:type="dxa"/>
            <w:vAlign w:val="center"/>
          </w:tcPr>
          <w:p w14:paraId="03B13972">
            <w:pPr>
              <w:spacing w:line="360" w:lineRule="exact"/>
              <w:jc w:val="center"/>
              <w:rPr>
                <w:rFonts w:ascii="仿宋_GB2312" w:hAnsi="宋体" w:eastAsia="仿宋_GB2312"/>
                <w:b/>
              </w:rPr>
            </w:pPr>
            <w:r>
              <w:rPr>
                <w:rFonts w:hint="eastAsia" w:ascii="仿宋_GB2312" w:hAnsi="仿宋_GB2312" w:eastAsia="仿宋_GB2312" w:cs="仿宋_GB2312"/>
                <w:b/>
                <w:bCs/>
              </w:rPr>
              <w:t>项目经验</w:t>
            </w:r>
          </w:p>
        </w:tc>
        <w:tc>
          <w:tcPr>
            <w:tcW w:w="6091" w:type="dxa"/>
            <w:vAlign w:val="center"/>
          </w:tcPr>
          <w:p w14:paraId="40F577F9">
            <w:pPr>
              <w:spacing w:line="440" w:lineRule="exact"/>
              <w:ind w:firstLine="420" w:firstLineChars="200"/>
              <w:rPr>
                <w:rFonts w:ascii="仿宋_GB2312" w:hAnsi="仿宋_GB2312" w:eastAsia="仿宋_GB2312" w:cs="仿宋_GB2312"/>
              </w:rPr>
            </w:pPr>
            <w:r>
              <w:rPr>
                <w:rFonts w:hint="eastAsia" w:ascii="仿宋_GB2312" w:hAnsi="仿宋_GB2312" w:eastAsia="仿宋_GB2312" w:cs="仿宋_GB2312"/>
              </w:rPr>
              <w:t>投标人2022年1月1日起至今承接服务器采购类型的项目业绩，每</w:t>
            </w:r>
            <w:r>
              <w:rPr>
                <w:rFonts w:hint="eastAsia" w:ascii="仿宋_GB2312" w:hAnsi="仿宋_GB2312" w:eastAsia="仿宋_GB2312" w:cs="仿宋_GB2312"/>
                <w:lang w:eastAsia="zh-CN"/>
              </w:rPr>
              <w:t>份合同</w:t>
            </w:r>
            <w:r>
              <w:rPr>
                <w:rFonts w:hint="eastAsia" w:ascii="仿宋_GB2312" w:hAnsi="仿宋_GB2312" w:eastAsia="仿宋_GB2312" w:cs="仿宋_GB2312"/>
              </w:rPr>
              <w:t>得1分，满分3分。</w:t>
            </w:r>
          </w:p>
          <w:p w14:paraId="24084FB8">
            <w:pPr>
              <w:spacing w:line="44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rPr>
              <w:t>注：</w:t>
            </w:r>
            <w:r>
              <w:rPr>
                <w:rFonts w:hint="eastAsia" w:ascii="仿宋_GB2312" w:hAnsi="仿宋_GB2312" w:eastAsia="仿宋_GB2312" w:cs="仿宋_GB2312"/>
                <w:b/>
                <w:szCs w:val="21"/>
              </w:rPr>
              <w:t>1.以合同签订时间为准；</w:t>
            </w:r>
          </w:p>
          <w:p w14:paraId="6DE70B86">
            <w:pPr>
              <w:spacing w:line="44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szCs w:val="21"/>
              </w:rPr>
              <w:t>2.</w:t>
            </w:r>
            <w:r>
              <w:rPr>
                <w:rFonts w:hint="eastAsia" w:ascii="仿宋_GB2312" w:hAnsi="仿宋_GB2312" w:eastAsia="仿宋_GB2312" w:cs="仿宋_GB2312"/>
                <w:b/>
                <w:bCs/>
                <w:color w:val="000000"/>
              </w:rPr>
              <w:t>投标人提供上述合同材料并加盖投标人</w:t>
            </w:r>
            <w:r>
              <w:rPr>
                <w:rFonts w:hint="eastAsia" w:ascii="仿宋_GB2312" w:hAnsi="仿宋_GB2312" w:eastAsia="仿宋_GB2312" w:cs="仿宋_GB2312"/>
                <w:b/>
              </w:rPr>
              <w:t>CA电子签章</w:t>
            </w:r>
            <w:r>
              <w:rPr>
                <w:rFonts w:hint="eastAsia" w:ascii="仿宋_GB2312" w:hAnsi="仿宋_GB2312" w:eastAsia="仿宋_GB2312" w:cs="仿宋_GB2312"/>
                <w:b/>
                <w:bCs/>
                <w:color w:val="000000"/>
              </w:rPr>
              <w:t>，否则不予计分</w:t>
            </w:r>
            <w:r>
              <w:rPr>
                <w:rFonts w:hint="eastAsia" w:ascii="仿宋_GB2312" w:hAnsi="仿宋_GB2312" w:eastAsia="仿宋_GB2312" w:cs="仿宋_GB2312"/>
                <w:b/>
              </w:rPr>
              <w:t>。</w:t>
            </w:r>
          </w:p>
        </w:tc>
        <w:tc>
          <w:tcPr>
            <w:tcW w:w="867" w:type="dxa"/>
            <w:vAlign w:val="center"/>
          </w:tcPr>
          <w:p w14:paraId="53B21109">
            <w:pPr>
              <w:spacing w:line="360" w:lineRule="exact"/>
              <w:jc w:val="center"/>
              <w:rPr>
                <w:rFonts w:ascii="仿宋_GB2312" w:hAnsi="仿宋_GB2312" w:eastAsia="仿宋_GB2312" w:cs="仿宋_GB2312"/>
                <w:b/>
                <w:bCs/>
              </w:rPr>
            </w:pPr>
            <w:r>
              <w:rPr>
                <w:rFonts w:hint="eastAsia" w:ascii="仿宋_GB2312" w:hAnsi="仿宋_GB2312" w:eastAsia="仿宋_GB2312" w:cs="仿宋_GB2312"/>
                <w:b/>
                <w:bCs/>
              </w:rPr>
              <w:t>3</w:t>
            </w:r>
          </w:p>
        </w:tc>
        <w:tc>
          <w:tcPr>
            <w:tcW w:w="1413" w:type="dxa"/>
            <w:vAlign w:val="center"/>
          </w:tcPr>
          <w:p w14:paraId="71445BC3">
            <w:pPr>
              <w:spacing w:line="360" w:lineRule="exact"/>
              <w:jc w:val="center"/>
              <w:rPr>
                <w:rFonts w:ascii="仿宋_GB2312" w:hAnsi="仿宋_GB2312" w:eastAsia="仿宋_GB2312" w:cs="仿宋_GB2312"/>
              </w:rPr>
            </w:pPr>
            <w:r>
              <w:rPr>
                <w:rFonts w:hint="eastAsia" w:ascii="仿宋_GB2312" w:hAnsi="仿宋_GB2312" w:eastAsia="仿宋_GB2312" w:cs="仿宋_GB2312"/>
              </w:rPr>
              <w:t>投标人项目经验一览表</w:t>
            </w:r>
          </w:p>
        </w:tc>
      </w:tr>
      <w:tr w14:paraId="2777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29605B3F">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政策功能分</w:t>
            </w:r>
          </w:p>
        </w:tc>
        <w:tc>
          <w:tcPr>
            <w:tcW w:w="1090" w:type="dxa"/>
            <w:vAlign w:val="center"/>
          </w:tcPr>
          <w:p w14:paraId="0B493B9A">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政策功能</w:t>
            </w:r>
          </w:p>
        </w:tc>
        <w:tc>
          <w:tcPr>
            <w:tcW w:w="6091" w:type="dxa"/>
            <w:vAlign w:val="center"/>
          </w:tcPr>
          <w:p w14:paraId="6BD164B7">
            <w:pPr>
              <w:spacing w:line="440" w:lineRule="exact"/>
              <w:ind w:firstLine="420" w:firstLineChars="200"/>
              <w:rPr>
                <w:rFonts w:hint="eastAsia" w:ascii="仿宋_GB2312" w:hAnsi="仿宋_GB2312" w:eastAsia="仿宋_GB2312" w:cs="仿宋_GB2312"/>
                <w:b/>
                <w:szCs w:val="21"/>
              </w:rPr>
            </w:pPr>
            <w:r>
              <w:rPr>
                <w:rFonts w:hint="eastAsia" w:ascii="仿宋_GB2312" w:hAnsi="仿宋_GB2312" w:eastAsia="仿宋_GB2312" w:cs="仿宋_GB2312"/>
              </w:rPr>
              <w:t>若采购货物属于财政部生态环境部《关于印发环境标志产品政府采购品目清单的通知》中环境标志产品政府采购品目清单范围的，提供投标产品由国家确定的认证机构出具的、处于有效期之内的环境标志产品认证证书材料并加盖投标人C</w:t>
            </w:r>
            <w:r>
              <w:rPr>
                <w:rFonts w:ascii="仿宋_GB2312" w:hAnsi="仿宋_GB2312" w:eastAsia="仿宋_GB2312" w:cs="仿宋_GB2312"/>
              </w:rPr>
              <w:t>A</w:t>
            </w:r>
            <w:r>
              <w:rPr>
                <w:rFonts w:hint="eastAsia" w:ascii="仿宋_GB2312" w:hAnsi="仿宋_GB2312" w:eastAsia="仿宋_GB2312" w:cs="仿宋_GB2312"/>
              </w:rPr>
              <w:t>电子签章，每有--项产品得</w:t>
            </w:r>
            <w:r>
              <w:rPr>
                <w:rFonts w:ascii="仿宋_GB2312" w:hAnsi="仿宋_GB2312" w:eastAsia="仿宋_GB2312" w:cs="仿宋_GB2312"/>
              </w:rPr>
              <w:t>0.5</w:t>
            </w:r>
            <w:r>
              <w:rPr>
                <w:rFonts w:hint="eastAsia" w:ascii="仿宋_GB2312" w:hAnsi="仿宋_GB2312" w:eastAsia="仿宋_GB2312" w:cs="仿宋_GB2312"/>
              </w:rPr>
              <w:t>分，满分</w:t>
            </w:r>
            <w:r>
              <w:rPr>
                <w:rFonts w:ascii="仿宋_GB2312" w:hAnsi="仿宋_GB2312" w:eastAsia="仿宋_GB2312" w:cs="仿宋_GB2312"/>
              </w:rPr>
              <w:t>3</w:t>
            </w:r>
            <w:r>
              <w:rPr>
                <w:rFonts w:hint="eastAsia" w:ascii="仿宋_GB2312" w:hAnsi="仿宋_GB2312" w:eastAsia="仿宋_GB2312" w:cs="仿宋_GB2312"/>
              </w:rPr>
              <w:t>分。</w:t>
            </w:r>
          </w:p>
        </w:tc>
        <w:tc>
          <w:tcPr>
            <w:tcW w:w="867" w:type="dxa"/>
            <w:vAlign w:val="center"/>
          </w:tcPr>
          <w:p w14:paraId="3ACC4EE1">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3</w:t>
            </w:r>
          </w:p>
        </w:tc>
        <w:tc>
          <w:tcPr>
            <w:tcW w:w="1413" w:type="dxa"/>
            <w:vAlign w:val="center"/>
          </w:tcPr>
          <w:p w14:paraId="69EF317E">
            <w:pPr>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相关证明材料</w:t>
            </w:r>
          </w:p>
        </w:tc>
      </w:tr>
      <w:tr w14:paraId="2362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0" w:type="dxa"/>
            <w:gridSpan w:val="3"/>
            <w:vAlign w:val="center"/>
          </w:tcPr>
          <w:p w14:paraId="23D5A5A2">
            <w:pPr>
              <w:spacing w:line="440" w:lineRule="exact"/>
              <w:jc w:val="center"/>
              <w:rPr>
                <w:rFonts w:ascii="仿宋_GB2312" w:hAnsi="仿宋_GB2312" w:eastAsia="仿宋_GB2312" w:cs="仿宋_GB2312"/>
                <w:szCs w:val="21"/>
              </w:rPr>
            </w:pPr>
            <w:r>
              <w:rPr>
                <w:rFonts w:hint="eastAsia" w:ascii="仿宋_GB2312" w:hAnsi="宋体" w:eastAsia="仿宋_GB2312"/>
                <w:b/>
                <w:bCs/>
              </w:rPr>
              <w:t>客观分总分</w:t>
            </w:r>
          </w:p>
        </w:tc>
        <w:tc>
          <w:tcPr>
            <w:tcW w:w="867" w:type="dxa"/>
            <w:vAlign w:val="center"/>
          </w:tcPr>
          <w:p w14:paraId="563FF8AA">
            <w:pPr>
              <w:spacing w:line="360" w:lineRule="exact"/>
              <w:jc w:val="center"/>
              <w:rPr>
                <w:rFonts w:hint="eastAsia" w:ascii="仿宋_GB2312" w:hAnsi="仿宋_GB2312" w:eastAsia="仿宋_GB2312" w:cs="仿宋_GB2312"/>
                <w:b/>
                <w:bCs/>
                <w:lang w:eastAsia="zh-CN"/>
              </w:rPr>
            </w:pPr>
            <w:r>
              <w:rPr>
                <w:rFonts w:ascii="仿宋_GB2312" w:hAnsi="仿宋_GB2312" w:eastAsia="仿宋_GB2312" w:cs="仿宋_GB2312"/>
                <w:b/>
                <w:bCs/>
              </w:rPr>
              <w:t>4</w:t>
            </w:r>
            <w:r>
              <w:rPr>
                <w:rFonts w:hint="eastAsia" w:ascii="仿宋_GB2312" w:hAnsi="仿宋_GB2312" w:eastAsia="仿宋_GB2312" w:cs="仿宋_GB2312"/>
                <w:b/>
                <w:bCs/>
                <w:lang w:val="en-US" w:eastAsia="zh-CN"/>
              </w:rPr>
              <w:t>5</w:t>
            </w:r>
          </w:p>
        </w:tc>
        <w:tc>
          <w:tcPr>
            <w:tcW w:w="1413" w:type="dxa"/>
            <w:vAlign w:val="center"/>
          </w:tcPr>
          <w:p w14:paraId="6F33702A">
            <w:pPr>
              <w:spacing w:line="360" w:lineRule="exact"/>
              <w:jc w:val="center"/>
              <w:rPr>
                <w:rFonts w:ascii="仿宋_GB2312" w:hAnsi="仿宋_GB2312" w:eastAsia="仿宋_GB2312" w:cs="仿宋_GB2312"/>
              </w:rPr>
            </w:pPr>
          </w:p>
        </w:tc>
      </w:tr>
    </w:tbl>
    <w:p w14:paraId="6F5DFD69">
      <w:pPr>
        <w:spacing w:line="400" w:lineRule="atLeast"/>
        <w:ind w:firstLine="0" w:firstLineChars="0"/>
        <w:jc w:val="left"/>
        <w:rPr>
          <w:rFonts w:hint="eastAsia" w:ascii="仿宋_GB2312" w:hAnsi="宋体" w:eastAsia="仿宋_GB2312"/>
          <w:color w:val="000000"/>
          <w:sz w:val="24"/>
        </w:rPr>
      </w:pPr>
    </w:p>
    <w:tbl>
      <w:tblPr>
        <w:tblStyle w:val="716"/>
        <w:tblpPr w:leftFromText="180" w:rightFromText="180" w:vertAnchor="text" w:horzAnchor="page" w:tblpX="661" w:tblpY="1"/>
        <w:tblOverlap w:val="never"/>
        <w:tblW w:w="10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6121"/>
        <w:gridCol w:w="825"/>
        <w:gridCol w:w="1430"/>
      </w:tblGrid>
      <w:tr w14:paraId="12A0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315" w:type="dxa"/>
            <w:gridSpan w:val="5"/>
            <w:shd w:val="clear" w:color="auto" w:fill="D7D7D7"/>
            <w:vAlign w:val="center"/>
          </w:tcPr>
          <w:p w14:paraId="655896DB">
            <w:pPr>
              <w:spacing w:line="400" w:lineRule="exact"/>
              <w:jc w:val="center"/>
              <w:rPr>
                <w:rFonts w:ascii="仿宋_GB2312" w:hAnsi="仿宋_GB2312" w:eastAsia="仿宋_GB2312" w:cs="仿宋_GB2312"/>
              </w:rPr>
            </w:pPr>
            <w:r>
              <w:rPr>
                <w:rFonts w:hint="eastAsia" w:ascii="仿宋_GB2312" w:eastAsia="仿宋_GB2312"/>
                <w:b/>
                <w:sz w:val="32"/>
              </w:rPr>
              <w:t>主观分</w:t>
            </w:r>
          </w:p>
        </w:tc>
      </w:tr>
      <w:tr w14:paraId="3802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vAlign w:val="center"/>
          </w:tcPr>
          <w:p w14:paraId="25C87B13">
            <w:pPr>
              <w:spacing w:line="400" w:lineRule="exact"/>
              <w:jc w:val="center"/>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vAlign w:val="center"/>
          </w:tcPr>
          <w:p w14:paraId="17264007">
            <w:pPr>
              <w:spacing w:line="400" w:lineRule="exact"/>
              <w:jc w:val="center"/>
              <w:rPr>
                <w:rFonts w:ascii="仿宋_GB2312" w:hAnsi="仿宋_GB2312" w:eastAsia="仿宋_GB2312" w:cs="仿宋_GB2312"/>
                <w:b/>
              </w:rPr>
            </w:pPr>
            <w:r>
              <w:rPr>
                <w:rFonts w:hint="eastAsia" w:ascii="仿宋_GB2312" w:hAnsi="仿宋_GB2312" w:eastAsia="仿宋_GB2312" w:cs="仿宋_GB2312"/>
                <w:b/>
              </w:rPr>
              <w:t>评审因素</w:t>
            </w:r>
          </w:p>
        </w:tc>
        <w:tc>
          <w:tcPr>
            <w:tcW w:w="6121" w:type="dxa"/>
            <w:vAlign w:val="center"/>
          </w:tcPr>
          <w:p w14:paraId="317301E5">
            <w:pPr>
              <w:spacing w:line="400" w:lineRule="exact"/>
              <w:jc w:val="center"/>
              <w:rPr>
                <w:rFonts w:ascii="仿宋_GB2312" w:hAnsi="仿宋_GB2312" w:eastAsia="仿宋_GB2312" w:cs="仿宋_GB2312"/>
                <w:b/>
              </w:rPr>
            </w:pPr>
            <w:r>
              <w:rPr>
                <w:rFonts w:hint="eastAsia" w:ascii="仿宋_GB2312" w:hAnsi="仿宋_GB2312" w:eastAsia="仿宋_GB2312" w:cs="仿宋_GB2312"/>
                <w:b/>
              </w:rPr>
              <w:t>评分标准说明</w:t>
            </w:r>
          </w:p>
        </w:tc>
        <w:tc>
          <w:tcPr>
            <w:tcW w:w="825" w:type="dxa"/>
            <w:vAlign w:val="center"/>
          </w:tcPr>
          <w:p w14:paraId="241C6E42">
            <w:pPr>
              <w:spacing w:line="400" w:lineRule="exact"/>
              <w:jc w:val="center"/>
              <w:rPr>
                <w:rFonts w:ascii="仿宋_GB2312" w:hAnsi="仿宋_GB2312" w:eastAsia="仿宋_GB2312" w:cs="仿宋_GB2312"/>
                <w:b/>
              </w:rPr>
            </w:pPr>
            <w:r>
              <w:rPr>
                <w:rFonts w:hint="eastAsia" w:ascii="仿宋_GB2312" w:hAnsi="仿宋_GB2312" w:eastAsia="仿宋_GB2312" w:cs="仿宋_GB2312"/>
                <w:b/>
              </w:rPr>
              <w:t>分值</w:t>
            </w:r>
          </w:p>
        </w:tc>
        <w:tc>
          <w:tcPr>
            <w:tcW w:w="1430" w:type="dxa"/>
            <w:vAlign w:val="center"/>
          </w:tcPr>
          <w:p w14:paraId="71BE9910">
            <w:pPr>
              <w:spacing w:line="400" w:lineRule="exact"/>
              <w:jc w:val="center"/>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176D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650E5E14">
            <w:pPr>
              <w:spacing w:line="400" w:lineRule="exact"/>
              <w:jc w:val="center"/>
              <w:rPr>
                <w:rFonts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vAlign w:val="center"/>
          </w:tcPr>
          <w:p w14:paraId="733C0E2A">
            <w:pPr>
              <w:spacing w:line="400" w:lineRule="exact"/>
              <w:jc w:val="center"/>
              <w:rPr>
                <w:rFonts w:ascii="仿宋_GB2312" w:hAnsi="仿宋_GB2312" w:eastAsia="仿宋_GB2312" w:cs="仿宋_GB2312"/>
              </w:rPr>
            </w:pPr>
            <w:r>
              <w:rPr>
                <w:rFonts w:hint="eastAsia" w:ascii="仿宋_GB2312" w:hAnsi="仿宋_GB2312" w:eastAsia="仿宋_GB2312" w:cs="仿宋_GB2312"/>
                <w:b/>
                <w:bCs/>
              </w:rPr>
              <w:t>项目实施方案</w:t>
            </w:r>
          </w:p>
        </w:tc>
        <w:tc>
          <w:tcPr>
            <w:tcW w:w="6121" w:type="dxa"/>
            <w:vAlign w:val="center"/>
          </w:tcPr>
          <w:p w14:paraId="1782BA48">
            <w:pPr>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一档（1</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rPr>
              <w:t xml:space="preserve">：方案对设备的安装调试和系统运行的保证措施阐述清晰合理、明确且符合本次采购需求，对各项关键工作安排、风险预见、风险应对、项目解决、项目管理、组织机构安排及分工与职责安排等方案详细，实施流程合理、考虑周全、进度有保障，提出具有建设性的方案优化建议； </w:t>
            </w:r>
          </w:p>
          <w:p w14:paraId="0D31243B">
            <w:pPr>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二档（9分）</w:t>
            </w:r>
            <w:r>
              <w:rPr>
                <w:rFonts w:hint="eastAsia" w:ascii="仿宋_GB2312" w:hAnsi="仿宋_GB2312" w:eastAsia="仿宋_GB2312" w:cs="仿宋_GB2312"/>
              </w:rPr>
              <w:t>：方案详细完整，充分理解客户需求，项目技术服务内容和措施完善,具备较强的操作性，对组织机构安排及分工与职责安排等比较详细合理，方案完整，能较好满足项目实施需求；</w:t>
            </w:r>
          </w:p>
          <w:p w14:paraId="3147ABFC">
            <w:pPr>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三档（3分）</w:t>
            </w:r>
            <w:r>
              <w:rPr>
                <w:rFonts w:hint="eastAsia" w:ascii="仿宋_GB2312" w:hAnsi="仿宋_GB2312" w:eastAsia="仿宋_GB2312" w:cs="仿宋_GB2312"/>
              </w:rPr>
              <w:t>：项目实施方案一般，满足采购需求，组织机构安排及分工与职责，内容简单，设备的安装调试和系统运行内容流程简单。</w:t>
            </w:r>
          </w:p>
          <w:p w14:paraId="259DBBC0">
            <w:pPr>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注：1.该方案内容可以包括：（1）人员配置；（2）职责分工；（3）设备的安装和系统运行质量保证措施；（4）风险应对措施。</w:t>
            </w:r>
          </w:p>
          <w:p w14:paraId="362FCD66">
            <w:pPr>
              <w:pStyle w:val="721"/>
              <w:spacing w:line="400" w:lineRule="exact"/>
              <w:ind w:firstLine="422" w:firstLineChars="200"/>
              <w:rPr>
                <w:rFonts w:ascii="仿宋_GB2312" w:hAnsi="仿宋_GB2312" w:eastAsia="仿宋_GB2312" w:cs="仿宋_GB2312"/>
                <w:bCs w:val="0"/>
                <w:spacing w:val="0"/>
                <w:kern w:val="2"/>
                <w:sz w:val="21"/>
              </w:rPr>
            </w:pPr>
            <w:r>
              <w:rPr>
                <w:rFonts w:hint="eastAsia" w:ascii="仿宋_GB2312" w:hAnsi="仿宋_GB2312" w:eastAsia="仿宋_GB2312" w:cs="仿宋_GB2312"/>
                <w:b/>
                <w:spacing w:val="0"/>
                <w:kern w:val="2"/>
                <w:sz w:val="21"/>
                <w:szCs w:val="21"/>
              </w:rPr>
              <w:t>2</w:t>
            </w:r>
            <w:r>
              <w:rPr>
                <w:rFonts w:hint="eastAsia" w:ascii="仿宋_GB2312" w:hAnsi="仿宋_GB2312" w:eastAsia="仿宋_GB2312" w:cs="仿宋_GB2312"/>
                <w:b/>
                <w:sz w:val="21"/>
                <w:szCs w:val="21"/>
              </w:rPr>
              <w:t>.未提供方案或提供的内容与本项目无关的得0分。</w:t>
            </w:r>
          </w:p>
        </w:tc>
        <w:tc>
          <w:tcPr>
            <w:tcW w:w="825" w:type="dxa"/>
            <w:vAlign w:val="center"/>
          </w:tcPr>
          <w:p w14:paraId="62E7984C">
            <w:pPr>
              <w:spacing w:line="400" w:lineRule="exact"/>
              <w:jc w:val="center"/>
              <w:rPr>
                <w:rFonts w:hint="eastAsia" w:ascii="仿宋_GB2312" w:hAnsi="仿宋_GB2312" w:eastAsia="仿宋_GB2312" w:cs="仿宋_GB2312"/>
                <w:b/>
                <w:bCs/>
                <w:lang w:eastAsia="zh-CN"/>
              </w:rPr>
            </w:pPr>
            <w:r>
              <w:rPr>
                <w:rFonts w:ascii="仿宋_GB2312" w:hAnsi="仿宋_GB2312" w:eastAsia="仿宋_GB2312" w:cs="仿宋_GB2312"/>
                <w:b/>
                <w:bCs/>
              </w:rPr>
              <w:t>1</w:t>
            </w:r>
            <w:r>
              <w:rPr>
                <w:rFonts w:hint="eastAsia" w:ascii="仿宋_GB2312" w:hAnsi="仿宋_GB2312" w:eastAsia="仿宋_GB2312" w:cs="仿宋_GB2312"/>
                <w:b/>
                <w:bCs/>
                <w:lang w:val="en-US" w:eastAsia="zh-CN"/>
              </w:rPr>
              <w:t>4</w:t>
            </w:r>
          </w:p>
        </w:tc>
        <w:tc>
          <w:tcPr>
            <w:tcW w:w="1430" w:type="dxa"/>
            <w:vAlign w:val="center"/>
          </w:tcPr>
          <w:p w14:paraId="69CA7812">
            <w:pPr>
              <w:spacing w:line="400" w:lineRule="exact"/>
              <w:jc w:val="center"/>
              <w:rPr>
                <w:rFonts w:ascii="仿宋_GB2312" w:hAnsi="仿宋_GB2312" w:eastAsia="仿宋_GB2312" w:cs="仿宋_GB2312"/>
                <w:b/>
                <w:bCs/>
              </w:rPr>
            </w:pPr>
            <w:r>
              <w:rPr>
                <w:rFonts w:hint="eastAsia" w:ascii="仿宋_GB2312" w:hAnsi="仿宋_GB2312" w:eastAsia="仿宋_GB2312" w:cs="仿宋_GB2312"/>
              </w:rPr>
              <w:t>项目实施方案</w:t>
            </w:r>
          </w:p>
        </w:tc>
      </w:tr>
      <w:tr w14:paraId="5AAB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51EE2557">
            <w:pPr>
              <w:spacing w:line="400" w:lineRule="exact"/>
              <w:jc w:val="center"/>
              <w:rPr>
                <w:rFonts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vAlign w:val="center"/>
          </w:tcPr>
          <w:p w14:paraId="381B55F2">
            <w:pPr>
              <w:widowControl/>
              <w:spacing w:line="400" w:lineRule="exact"/>
              <w:jc w:val="center"/>
              <w:rPr>
                <w:rFonts w:ascii="仿宋_GB2312" w:hAnsi="仿宋_GB2312" w:eastAsia="仿宋_GB2312" w:cs="仿宋_GB2312"/>
              </w:rPr>
            </w:pPr>
            <w:r>
              <w:rPr>
                <w:rFonts w:hint="eastAsia" w:ascii="仿宋_GB2312" w:hAnsi="仿宋_GB2312" w:eastAsia="仿宋_GB2312" w:cs="仿宋_GB2312"/>
                <w:b/>
                <w:bCs/>
              </w:rPr>
              <w:t>安装进度计划和工期保证</w:t>
            </w:r>
          </w:p>
        </w:tc>
        <w:tc>
          <w:tcPr>
            <w:tcW w:w="6121" w:type="dxa"/>
            <w:vAlign w:val="center"/>
          </w:tcPr>
          <w:p w14:paraId="1678E8E9">
            <w:pPr>
              <w:pStyle w:val="757"/>
              <w:spacing w:line="400" w:lineRule="exact"/>
              <w:ind w:firstLine="422" w:firstLineChars="200"/>
              <w:rPr>
                <w:rFonts w:ascii="仿宋_GB2312" w:hAnsi="仿宋_GB2312" w:eastAsia="仿宋_GB2312" w:cs="仿宋_GB2312"/>
                <w:bCs w:val="0"/>
                <w:spacing w:val="0"/>
                <w:kern w:val="2"/>
                <w:sz w:val="21"/>
              </w:rPr>
            </w:pPr>
            <w:r>
              <w:rPr>
                <w:rFonts w:hint="eastAsia" w:ascii="仿宋_GB2312" w:hAnsi="仿宋_GB2312" w:eastAsia="仿宋_GB2312" w:cs="仿宋_GB2312"/>
                <w:b/>
                <w:spacing w:val="0"/>
                <w:kern w:val="2"/>
                <w:sz w:val="21"/>
              </w:rPr>
              <w:t>一档（</w:t>
            </w:r>
            <w:r>
              <w:rPr>
                <w:rFonts w:ascii="仿宋_GB2312" w:hAnsi="仿宋_GB2312" w:eastAsia="仿宋_GB2312" w:cs="仿宋_GB2312"/>
                <w:b/>
                <w:spacing w:val="0"/>
                <w:kern w:val="2"/>
                <w:sz w:val="21"/>
              </w:rPr>
              <w:t>15</w:t>
            </w:r>
            <w:r>
              <w:rPr>
                <w:rFonts w:hint="eastAsia" w:ascii="仿宋_GB2312" w:hAnsi="仿宋_GB2312" w:eastAsia="仿宋_GB2312" w:cs="仿宋_GB2312"/>
                <w:b/>
                <w:spacing w:val="0"/>
                <w:kern w:val="2"/>
                <w:sz w:val="21"/>
              </w:rPr>
              <w:t>分）：</w:t>
            </w:r>
            <w:r>
              <w:rPr>
                <w:rFonts w:hint="eastAsia" w:ascii="仿宋_GB2312" w:hAnsi="仿宋_GB2312" w:eastAsia="仿宋_GB2312" w:cs="仿宋_GB2312"/>
                <w:bCs w:val="0"/>
                <w:spacing w:val="0"/>
                <w:kern w:val="2"/>
                <w:sz w:val="21"/>
              </w:rPr>
              <w:t>实施进度合理紧凑、各实施节点衔接连贯，工期保证措施可行性强；关键工作安排详细，步骤和要点描述详细全面，切合实际，方案先进，可行性强，对采购人有实际性帮助；</w:t>
            </w:r>
          </w:p>
          <w:p w14:paraId="378BF0C3">
            <w:pPr>
              <w:pStyle w:val="757"/>
              <w:spacing w:line="400" w:lineRule="exact"/>
              <w:ind w:firstLine="422" w:firstLineChars="200"/>
              <w:rPr>
                <w:rFonts w:ascii="仿宋_GB2312" w:hAnsi="仿宋_GB2312" w:eastAsia="仿宋_GB2312" w:cs="仿宋_GB2312"/>
                <w:bCs w:val="0"/>
                <w:spacing w:val="0"/>
                <w:kern w:val="2"/>
                <w:sz w:val="21"/>
              </w:rPr>
            </w:pPr>
            <w:r>
              <w:rPr>
                <w:rFonts w:hint="eastAsia" w:ascii="仿宋_GB2312" w:hAnsi="仿宋_GB2312" w:eastAsia="仿宋_GB2312" w:cs="仿宋_GB2312"/>
                <w:b/>
                <w:spacing w:val="0"/>
                <w:kern w:val="2"/>
                <w:sz w:val="21"/>
              </w:rPr>
              <w:t>二档（</w:t>
            </w:r>
            <w:r>
              <w:rPr>
                <w:rFonts w:ascii="仿宋_GB2312" w:hAnsi="仿宋_GB2312" w:eastAsia="仿宋_GB2312" w:cs="仿宋_GB2312"/>
                <w:b/>
                <w:spacing w:val="0"/>
                <w:kern w:val="2"/>
                <w:sz w:val="21"/>
              </w:rPr>
              <w:t>9</w:t>
            </w:r>
            <w:r>
              <w:rPr>
                <w:rFonts w:hint="eastAsia" w:ascii="仿宋_GB2312" w:hAnsi="仿宋_GB2312" w:eastAsia="仿宋_GB2312" w:cs="仿宋_GB2312"/>
                <w:b/>
                <w:spacing w:val="0"/>
                <w:kern w:val="2"/>
                <w:sz w:val="21"/>
              </w:rPr>
              <w:t>分）：</w:t>
            </w:r>
            <w:r>
              <w:rPr>
                <w:rFonts w:hint="eastAsia" w:ascii="仿宋_GB2312" w:hAnsi="仿宋_GB2312" w:eastAsia="仿宋_GB2312" w:cs="仿宋_GB2312"/>
                <w:bCs w:val="0"/>
                <w:spacing w:val="0"/>
                <w:kern w:val="2"/>
                <w:sz w:val="21"/>
              </w:rPr>
              <w:t>实施进度较贴合项目需求，工期保证措施有一定的针对性，计划步骤和要点描述较详细可行，方案具有一定的合理性；</w:t>
            </w:r>
          </w:p>
          <w:p w14:paraId="0EA03293">
            <w:pPr>
              <w:pStyle w:val="757"/>
              <w:spacing w:line="400" w:lineRule="exact"/>
              <w:ind w:firstLine="422" w:firstLineChars="200"/>
              <w:rPr>
                <w:rFonts w:ascii="仿宋_GB2312" w:hAnsi="仿宋_GB2312" w:eastAsia="仿宋_GB2312" w:cs="仿宋_GB2312"/>
                <w:bCs w:val="0"/>
                <w:spacing w:val="0"/>
                <w:kern w:val="2"/>
                <w:sz w:val="21"/>
              </w:rPr>
            </w:pPr>
            <w:r>
              <w:rPr>
                <w:rFonts w:hint="eastAsia" w:ascii="仿宋_GB2312" w:hAnsi="仿宋_GB2312" w:eastAsia="仿宋_GB2312" w:cs="仿宋_GB2312"/>
                <w:b/>
                <w:spacing w:val="0"/>
                <w:kern w:val="2"/>
                <w:sz w:val="21"/>
              </w:rPr>
              <w:t>三档（</w:t>
            </w:r>
            <w:r>
              <w:rPr>
                <w:rFonts w:ascii="仿宋_GB2312" w:hAnsi="仿宋_GB2312" w:eastAsia="仿宋_GB2312" w:cs="仿宋_GB2312"/>
                <w:b/>
                <w:spacing w:val="0"/>
                <w:kern w:val="2"/>
                <w:sz w:val="21"/>
              </w:rPr>
              <w:t>3</w:t>
            </w:r>
            <w:r>
              <w:rPr>
                <w:rFonts w:hint="eastAsia" w:ascii="仿宋_GB2312" w:hAnsi="仿宋_GB2312" w:eastAsia="仿宋_GB2312" w:cs="仿宋_GB2312"/>
                <w:b/>
                <w:spacing w:val="0"/>
                <w:kern w:val="2"/>
                <w:sz w:val="21"/>
              </w:rPr>
              <w:t>分）：</w:t>
            </w:r>
            <w:r>
              <w:rPr>
                <w:rFonts w:hint="eastAsia" w:ascii="仿宋_GB2312" w:hAnsi="仿宋_GB2312" w:eastAsia="仿宋_GB2312" w:cs="仿宋_GB2312"/>
                <w:bCs w:val="0"/>
                <w:spacing w:val="0"/>
                <w:kern w:val="2"/>
                <w:sz w:val="21"/>
              </w:rPr>
              <w:t>实施进度满足采购需求，工期保证措施基本可行。</w:t>
            </w:r>
          </w:p>
          <w:p w14:paraId="32C0DAB0">
            <w:pPr>
              <w:pStyle w:val="757"/>
              <w:spacing w:line="400" w:lineRule="exact"/>
              <w:ind w:firstLine="422" w:firstLineChars="200"/>
              <w:rPr>
                <w:rFonts w:ascii="仿宋_GB2312" w:hAnsi="仿宋_GB2312" w:eastAsia="仿宋_GB2312" w:cs="仿宋_GB2312"/>
                <w:b/>
                <w:spacing w:val="0"/>
                <w:kern w:val="2"/>
                <w:sz w:val="21"/>
              </w:rPr>
            </w:pPr>
            <w:r>
              <w:rPr>
                <w:rFonts w:hint="eastAsia" w:ascii="仿宋_GB2312" w:hAnsi="仿宋_GB2312" w:eastAsia="仿宋_GB2312" w:cs="仿宋_GB2312"/>
                <w:b/>
                <w:spacing w:val="0"/>
                <w:kern w:val="2"/>
                <w:sz w:val="21"/>
              </w:rPr>
              <w:t>注：1.该方案内容可以包括：（1）安装调试及系统运行进度计划；（2）工期保证措施。</w:t>
            </w:r>
          </w:p>
          <w:p w14:paraId="602614BF">
            <w:pPr>
              <w:pStyle w:val="723"/>
              <w:spacing w:line="400" w:lineRule="exact"/>
              <w:ind w:firstLine="422" w:firstLineChars="200"/>
              <w:rPr>
                <w:rFonts w:ascii="仿宋_GB2312" w:hAnsi="仿宋_GB2312" w:eastAsia="仿宋_GB2312" w:cs="仿宋_GB2312"/>
                <w:szCs w:val="24"/>
              </w:rPr>
            </w:pPr>
            <w:r>
              <w:rPr>
                <w:rFonts w:hint="eastAsia" w:ascii="仿宋_GB2312" w:hAnsi="仿宋_GB2312" w:eastAsia="仿宋_GB2312" w:cs="仿宋_GB2312"/>
                <w:b/>
              </w:rPr>
              <w:t>2.未提供方案或提供的内容与本项目无关的得0分。</w:t>
            </w:r>
          </w:p>
        </w:tc>
        <w:tc>
          <w:tcPr>
            <w:tcW w:w="825" w:type="dxa"/>
            <w:vAlign w:val="center"/>
          </w:tcPr>
          <w:p w14:paraId="2FF6CA57">
            <w:pPr>
              <w:spacing w:line="400" w:lineRule="exact"/>
              <w:jc w:val="center"/>
              <w:rPr>
                <w:rFonts w:ascii="仿宋_GB2312" w:hAnsi="仿宋_GB2312" w:eastAsia="仿宋_GB2312" w:cs="仿宋_GB2312"/>
                <w:b/>
                <w:bCs/>
              </w:rPr>
            </w:pPr>
            <w:r>
              <w:rPr>
                <w:rFonts w:ascii="仿宋_GB2312" w:hAnsi="仿宋_GB2312" w:eastAsia="仿宋_GB2312" w:cs="仿宋_GB2312"/>
                <w:b/>
                <w:bCs/>
              </w:rPr>
              <w:t>15</w:t>
            </w:r>
          </w:p>
        </w:tc>
        <w:tc>
          <w:tcPr>
            <w:tcW w:w="1430" w:type="dxa"/>
            <w:vAlign w:val="center"/>
          </w:tcPr>
          <w:p w14:paraId="29BD351D">
            <w:pPr>
              <w:spacing w:line="400" w:lineRule="exact"/>
              <w:jc w:val="center"/>
              <w:rPr>
                <w:rFonts w:ascii="仿宋_GB2312" w:hAnsi="仿宋_GB2312" w:eastAsia="仿宋_GB2312" w:cs="仿宋_GB2312"/>
                <w:b/>
                <w:bCs/>
              </w:rPr>
            </w:pPr>
            <w:r>
              <w:rPr>
                <w:rFonts w:hint="eastAsia" w:ascii="仿宋_GB2312" w:hAnsi="仿宋_GB2312" w:eastAsia="仿宋_GB2312" w:cs="仿宋_GB2312"/>
              </w:rPr>
              <w:t>安装进度计划和工期保证</w:t>
            </w:r>
          </w:p>
        </w:tc>
      </w:tr>
      <w:tr w14:paraId="59DD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8" w:hRule="atLeast"/>
        </w:trPr>
        <w:tc>
          <w:tcPr>
            <w:tcW w:w="849" w:type="dxa"/>
            <w:vMerge w:val="restart"/>
            <w:vAlign w:val="center"/>
          </w:tcPr>
          <w:p w14:paraId="5A10F379">
            <w:pPr>
              <w:spacing w:line="400" w:lineRule="exact"/>
              <w:jc w:val="center"/>
              <w:rPr>
                <w:rFonts w:hint="eastAsia" w:ascii="仿宋_GB2312" w:hAnsi="仿宋_GB2312" w:eastAsia="仿宋_GB2312" w:cs="仿宋_GB2312"/>
                <w:b/>
                <w:bCs/>
              </w:rPr>
            </w:pPr>
          </w:p>
          <w:p w14:paraId="3B604CED">
            <w:pPr>
              <w:spacing w:line="400" w:lineRule="exact"/>
              <w:jc w:val="center"/>
              <w:rPr>
                <w:rFonts w:hint="eastAsia" w:ascii="仿宋_GB2312" w:hAnsi="仿宋_GB2312" w:eastAsia="仿宋_GB2312" w:cs="仿宋_GB2312"/>
                <w:b/>
                <w:bCs/>
              </w:rPr>
            </w:pPr>
          </w:p>
          <w:p w14:paraId="58A83ACD">
            <w:pPr>
              <w:spacing w:line="400" w:lineRule="exact"/>
              <w:jc w:val="center"/>
              <w:rPr>
                <w:rFonts w:hint="eastAsia" w:ascii="仿宋_GB2312" w:hAnsi="仿宋_GB2312" w:eastAsia="仿宋_GB2312" w:cs="仿宋_GB2312"/>
                <w:b/>
                <w:bCs/>
              </w:rPr>
            </w:pPr>
          </w:p>
          <w:p w14:paraId="7EDCF493">
            <w:pPr>
              <w:spacing w:line="400" w:lineRule="exact"/>
              <w:jc w:val="center"/>
              <w:rPr>
                <w:rFonts w:hint="eastAsia" w:ascii="仿宋_GB2312" w:hAnsi="仿宋_GB2312" w:eastAsia="仿宋_GB2312" w:cs="仿宋_GB2312"/>
                <w:b/>
                <w:bCs/>
              </w:rPr>
            </w:pPr>
          </w:p>
          <w:p w14:paraId="7D022D3C">
            <w:pPr>
              <w:spacing w:line="400" w:lineRule="exact"/>
              <w:jc w:val="center"/>
              <w:rPr>
                <w:rFonts w:hint="eastAsia" w:ascii="仿宋_GB2312" w:hAnsi="仿宋_GB2312" w:eastAsia="仿宋_GB2312" w:cs="仿宋_GB2312"/>
                <w:b/>
                <w:bCs/>
              </w:rPr>
            </w:pPr>
          </w:p>
          <w:p w14:paraId="59258B22">
            <w:pPr>
              <w:spacing w:line="400" w:lineRule="exact"/>
              <w:jc w:val="center"/>
              <w:rPr>
                <w:rFonts w:hint="eastAsia" w:ascii="仿宋_GB2312" w:hAnsi="仿宋_GB2312" w:eastAsia="仿宋_GB2312" w:cs="仿宋_GB2312"/>
                <w:b/>
                <w:bCs/>
              </w:rPr>
            </w:pPr>
          </w:p>
          <w:p w14:paraId="54B2708E">
            <w:pPr>
              <w:spacing w:line="400" w:lineRule="exact"/>
              <w:jc w:val="center"/>
              <w:rPr>
                <w:rFonts w:hint="eastAsia" w:ascii="仿宋_GB2312" w:hAnsi="仿宋_GB2312" w:eastAsia="仿宋_GB2312" w:cs="仿宋_GB2312"/>
                <w:b/>
                <w:bCs/>
              </w:rPr>
            </w:pPr>
          </w:p>
          <w:p w14:paraId="2CB15A6D">
            <w:pPr>
              <w:spacing w:line="400" w:lineRule="exact"/>
              <w:jc w:val="center"/>
              <w:rPr>
                <w:rFonts w:hint="eastAsia" w:ascii="仿宋_GB2312" w:hAnsi="仿宋_GB2312" w:eastAsia="仿宋_GB2312" w:cs="仿宋_GB2312"/>
                <w:b/>
                <w:bCs/>
              </w:rPr>
            </w:pPr>
          </w:p>
          <w:p w14:paraId="6F94D7EA">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服务方案分</w:t>
            </w:r>
          </w:p>
        </w:tc>
        <w:tc>
          <w:tcPr>
            <w:tcW w:w="1090" w:type="dxa"/>
            <w:vAlign w:val="center"/>
          </w:tcPr>
          <w:p w14:paraId="3C2C29AA">
            <w:pPr>
              <w:widowControl/>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技术培训方案</w:t>
            </w:r>
          </w:p>
        </w:tc>
        <w:tc>
          <w:tcPr>
            <w:tcW w:w="6121" w:type="dxa"/>
            <w:vAlign w:val="center"/>
          </w:tcPr>
          <w:p w14:paraId="6FE57D26">
            <w:pPr>
              <w:pStyle w:val="759"/>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szCs w:val="21"/>
              </w:rPr>
              <w:t>一档（1</w:t>
            </w:r>
            <w:r>
              <w:rPr>
                <w:rFonts w:hint="eastAsia" w:ascii="仿宋_GB2312" w:hAnsi="仿宋_GB2312" w:eastAsia="仿宋_GB2312" w:cs="仿宋_GB2312"/>
                <w:b/>
                <w:bCs/>
                <w:szCs w:val="21"/>
                <w:lang w:val="en-US" w:eastAsia="zh-CN"/>
              </w:rPr>
              <w:t>2</w:t>
            </w:r>
            <w:r>
              <w:rPr>
                <w:rFonts w:hint="eastAsia" w:ascii="仿宋_GB2312" w:hAnsi="仿宋_GB2312" w:eastAsia="仿宋_GB2312" w:cs="仿宋_GB2312"/>
                <w:b/>
                <w:bCs/>
                <w:szCs w:val="21"/>
              </w:rPr>
              <w:t>分）：</w:t>
            </w:r>
            <w:r>
              <w:rPr>
                <w:rFonts w:hint="eastAsia" w:ascii="仿宋_GB2312" w:hAnsi="仿宋_GB2312" w:eastAsia="仿宋_GB2312" w:cs="仿宋_GB2312"/>
              </w:rPr>
              <w:t>技术培训的内容和方案完善详尽，培训方式采取现场方式，承诺培训人员经验丰富、专业性强，课程安排合理，培训内容针对性强，培训课时充足，培训方案详尽； </w:t>
            </w:r>
          </w:p>
          <w:p w14:paraId="51FF0E1E">
            <w:pPr>
              <w:pStyle w:val="759"/>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rPr>
              <w:t>二档（8分）：</w:t>
            </w:r>
            <w:r>
              <w:rPr>
                <w:rFonts w:hint="eastAsia" w:ascii="仿宋_GB2312" w:hAnsi="仿宋_GB2312" w:eastAsia="仿宋_GB2312" w:cs="仿宋_GB2312"/>
              </w:rPr>
              <w:t>培训方案较详细具体，包含课程安排、人员安排、培训课程内容等，方案较为完整，能较好满足培训需求；</w:t>
            </w:r>
          </w:p>
          <w:p w14:paraId="40CD83B8">
            <w:pPr>
              <w:pStyle w:val="759"/>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ascii="仿宋_GB2312" w:hAnsi="仿宋_GB2312" w:eastAsia="仿宋_GB2312" w:cs="仿宋_GB2312"/>
                <w:b/>
                <w:bCs/>
                <w:szCs w:val="21"/>
              </w:rPr>
              <w:t>3</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培训方案满足采购</w:t>
            </w:r>
            <w:r>
              <w:rPr>
                <w:rFonts w:hint="eastAsia" w:ascii="仿宋_GB2312" w:hAnsi="仿宋_GB2312" w:eastAsia="仿宋_GB2312" w:cs="仿宋_GB2312"/>
              </w:rPr>
              <w:t>需求，内容简单</w:t>
            </w:r>
            <w:r>
              <w:rPr>
                <w:rFonts w:hint="eastAsia" w:ascii="仿宋_GB2312" w:hAnsi="仿宋_GB2312" w:eastAsia="仿宋_GB2312" w:cs="仿宋_GB2312"/>
                <w:szCs w:val="21"/>
              </w:rPr>
              <w:t>。</w:t>
            </w:r>
          </w:p>
          <w:p w14:paraId="054729C4">
            <w:pPr>
              <w:pStyle w:val="757"/>
              <w:spacing w:line="400" w:lineRule="exact"/>
              <w:ind w:firstLine="462" w:firstLineChars="200"/>
              <w:rPr>
                <w:rFonts w:hint="eastAsia" w:ascii="仿宋_GB2312" w:hAnsi="仿宋_GB2312" w:eastAsia="仿宋_GB2312" w:cs="仿宋_GB2312"/>
                <w:b/>
                <w:spacing w:val="0"/>
                <w:kern w:val="2"/>
                <w:sz w:val="21"/>
              </w:rPr>
            </w:pPr>
            <w:r>
              <w:rPr>
                <w:rFonts w:ascii="仿宋_GB2312" w:hAnsi="仿宋_GB2312" w:eastAsia="仿宋_GB2312" w:cs="仿宋_GB2312"/>
                <w:b/>
                <w:sz w:val="21"/>
                <w:szCs w:val="21"/>
              </w:rPr>
              <w:t>注：未提供方案或提供的内容与本项目无关的得0分。</w:t>
            </w:r>
          </w:p>
        </w:tc>
        <w:tc>
          <w:tcPr>
            <w:tcW w:w="825" w:type="dxa"/>
            <w:vAlign w:val="center"/>
          </w:tcPr>
          <w:p w14:paraId="1619F0DD">
            <w:pPr>
              <w:spacing w:line="40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rPr>
              <w:t>1</w:t>
            </w:r>
            <w:r>
              <w:rPr>
                <w:rFonts w:hint="eastAsia" w:ascii="仿宋_GB2312" w:hAnsi="仿宋_GB2312" w:eastAsia="仿宋_GB2312" w:cs="仿宋_GB2312"/>
                <w:b/>
                <w:bCs/>
                <w:lang w:val="en-US" w:eastAsia="zh-CN"/>
              </w:rPr>
              <w:t>2</w:t>
            </w:r>
          </w:p>
        </w:tc>
        <w:tc>
          <w:tcPr>
            <w:tcW w:w="1430" w:type="dxa"/>
            <w:vAlign w:val="center"/>
          </w:tcPr>
          <w:p w14:paraId="7C3A0BA6">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rPr>
              <w:t>技术培训方案</w:t>
            </w:r>
          </w:p>
        </w:tc>
      </w:tr>
      <w:tr w14:paraId="6511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continue"/>
            <w:vAlign w:val="center"/>
          </w:tcPr>
          <w:p w14:paraId="79CD1137">
            <w:pPr>
              <w:spacing w:line="400" w:lineRule="exact"/>
              <w:jc w:val="both"/>
              <w:rPr>
                <w:rFonts w:hint="eastAsia" w:ascii="仿宋_GB2312" w:hAnsi="仿宋_GB2312" w:eastAsia="仿宋_GB2312" w:cs="仿宋_GB2312"/>
              </w:rPr>
            </w:pPr>
          </w:p>
        </w:tc>
        <w:tc>
          <w:tcPr>
            <w:tcW w:w="1090" w:type="dxa"/>
            <w:vAlign w:val="center"/>
          </w:tcPr>
          <w:p w14:paraId="4B1A5AA0">
            <w:pPr>
              <w:widowControl/>
              <w:spacing w:line="400" w:lineRule="exact"/>
              <w:jc w:val="center"/>
              <w:rPr>
                <w:rFonts w:ascii="仿宋_GB2312" w:hAnsi="仿宋_GB2312" w:eastAsia="仿宋_GB2312" w:cs="仿宋_GB2312"/>
              </w:rPr>
            </w:pPr>
            <w:r>
              <w:rPr>
                <w:rFonts w:hint="eastAsia" w:ascii="仿宋_GB2312" w:hAnsi="仿宋_GB2312" w:eastAsia="仿宋_GB2312" w:cs="仿宋_GB2312"/>
                <w:b/>
                <w:bCs/>
              </w:rPr>
              <w:t>售后服务方案</w:t>
            </w:r>
          </w:p>
        </w:tc>
        <w:tc>
          <w:tcPr>
            <w:tcW w:w="6121" w:type="dxa"/>
            <w:vAlign w:val="center"/>
          </w:tcPr>
          <w:p w14:paraId="4D13787A">
            <w:pPr>
              <w:widowControl/>
              <w:spacing w:line="400" w:lineRule="exact"/>
              <w:ind w:firstLine="422" w:firstLineChars="200"/>
              <w:rPr>
                <w:rFonts w:ascii="仿宋_GB2312" w:hAnsi="仿宋_GB2312" w:eastAsia="仿宋_GB2312" w:cs="仿宋_GB2312"/>
                <w:b w:val="0"/>
                <w:bCs w:val="0"/>
              </w:rPr>
            </w:pPr>
            <w:r>
              <w:rPr>
                <w:rFonts w:hint="eastAsia" w:ascii="仿宋_GB2312" w:hAnsi="仿宋_GB2312" w:eastAsia="仿宋_GB2312" w:cs="仿宋_GB2312"/>
                <w:b/>
                <w:bCs/>
              </w:rPr>
              <w:t>一档（</w:t>
            </w:r>
            <w:r>
              <w:rPr>
                <w:rFonts w:ascii="仿宋_GB2312" w:hAnsi="仿宋_GB2312" w:eastAsia="仿宋_GB2312" w:cs="仿宋_GB2312"/>
                <w:b/>
                <w:bCs/>
              </w:rPr>
              <w:t>14</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w:t>
            </w:r>
            <w:r>
              <w:rPr>
                <w:rFonts w:hint="eastAsia" w:ascii="仿宋_GB2312" w:hAnsi="仿宋_GB2312" w:eastAsia="仿宋_GB2312" w:cs="仿宋_GB2312"/>
              </w:rPr>
              <w:t>售后服务方案及承诺详细、全面，各项内容编制思路合理、完整周全，安排有专职售后服务人员且职责明确，并提供本项目的售后服务团队名单（提供售后服务联系人姓名、电话等信息），故障出现解决方案、免费保修期外维修方案详细全面、可操作性强，</w:t>
            </w:r>
            <w:r>
              <w:rPr>
                <w:rFonts w:hint="eastAsia" w:ascii="仿宋_GB2312" w:hAnsi="仿宋_GB2312" w:eastAsia="仿宋_GB2312" w:cs="仿宋_GB2312"/>
                <w:b w:val="0"/>
                <w:bCs w:val="0"/>
              </w:rPr>
              <w:t>故障响应时间≤5分钟、到达现场维护时间≤1小时，</w:t>
            </w:r>
            <w:r>
              <w:rPr>
                <w:rFonts w:hint="eastAsia" w:ascii="仿宋_GB2312" w:hAnsi="仿宋_GB2312" w:eastAsia="仿宋_GB2312" w:cs="仿宋_GB2312"/>
              </w:rPr>
              <w:t>并提供实现承诺内容的具体方案</w:t>
            </w:r>
            <w:r>
              <w:rPr>
                <w:rFonts w:hint="eastAsia" w:ascii="仿宋_GB2312" w:hAnsi="仿宋_GB2312" w:eastAsia="仿宋_GB2312" w:cs="仿宋_GB2312"/>
                <w:bCs w:val="0"/>
              </w:rPr>
              <w:t>；</w:t>
            </w:r>
          </w:p>
          <w:p w14:paraId="7F01BDAD">
            <w:pPr>
              <w:widowControl/>
              <w:spacing w:line="400" w:lineRule="exact"/>
              <w:ind w:firstLine="422" w:firstLineChars="200"/>
              <w:rPr>
                <w:rFonts w:ascii="仿宋_GB2312" w:hAnsi="仿宋_GB2312" w:eastAsia="仿宋_GB2312" w:cs="仿宋_GB2312"/>
                <w:b w:val="0"/>
                <w:bCs w:val="0"/>
              </w:rPr>
            </w:pPr>
            <w:r>
              <w:rPr>
                <w:rFonts w:hint="eastAsia" w:ascii="仿宋_GB2312" w:hAnsi="仿宋_GB2312" w:eastAsia="仿宋_GB2312" w:cs="仿宋_GB2312"/>
                <w:b/>
                <w:bCs/>
              </w:rPr>
              <w:t>二档（8分）</w:t>
            </w:r>
            <w:r>
              <w:rPr>
                <w:rFonts w:hint="eastAsia" w:ascii="仿宋_GB2312" w:hAnsi="仿宋_GB2312" w:eastAsia="仿宋_GB2312" w:cs="仿宋_GB2312"/>
                <w:b w:val="0"/>
                <w:bCs w:val="0"/>
              </w:rPr>
              <w:t>：</w:t>
            </w:r>
            <w:r>
              <w:rPr>
                <w:rFonts w:hint="eastAsia" w:ascii="仿宋_GB2312" w:hAnsi="仿宋_GB2312" w:eastAsia="仿宋_GB2312" w:cs="仿宋_GB2312"/>
              </w:rPr>
              <w:t>方案能较好满足采购需求，符合实际，有一定的针对性、可行性；售后服务有承诺及服务保障措施，常用的、容易损坏的备品备件及易损件配备的</w:t>
            </w:r>
            <w:r>
              <w:rPr>
                <w:rFonts w:hint="eastAsia" w:ascii="仿宋_GB2312" w:hAnsi="仿宋_GB2312" w:eastAsia="仿宋_GB2312" w:cs="仿宋_GB2312"/>
                <w:lang w:val="en-US" w:eastAsia="zh-CN"/>
              </w:rPr>
              <w:t>较</w:t>
            </w:r>
            <w:r>
              <w:rPr>
                <w:rFonts w:hint="eastAsia" w:ascii="仿宋_GB2312" w:hAnsi="仿宋_GB2312" w:eastAsia="仿宋_GB2312" w:cs="仿宋_GB2312"/>
              </w:rPr>
              <w:t>齐全及价格合理，</w:t>
            </w:r>
            <w:r>
              <w:rPr>
                <w:rFonts w:hint="eastAsia" w:ascii="仿宋_GB2312" w:hAnsi="仿宋_GB2312" w:eastAsia="仿宋_GB2312" w:cs="仿宋_GB2312"/>
                <w:b w:val="0"/>
                <w:bCs w:val="0"/>
              </w:rPr>
              <w:t>故障响应时间≤10分钟、到达现场维护时间≤2小时</w:t>
            </w:r>
            <w:r>
              <w:rPr>
                <w:rFonts w:hint="eastAsia" w:ascii="仿宋_GB2312" w:hAnsi="仿宋_GB2312" w:eastAsia="仿宋_GB2312" w:cs="仿宋_GB2312"/>
              </w:rPr>
              <w:t>，并提供实现承诺内容的具体方案；</w:t>
            </w:r>
          </w:p>
          <w:p w14:paraId="00D6A27E">
            <w:pPr>
              <w:widowControl/>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三档（3分）</w:t>
            </w:r>
            <w:r>
              <w:rPr>
                <w:rFonts w:hint="eastAsia" w:ascii="仿宋_GB2312" w:hAnsi="仿宋_GB2312" w:eastAsia="仿宋_GB2312" w:cs="仿宋_GB2312"/>
                <w:b w:val="0"/>
                <w:bCs w:val="0"/>
              </w:rPr>
              <w:t>：</w:t>
            </w:r>
            <w:r>
              <w:rPr>
                <w:rFonts w:hint="eastAsia" w:ascii="仿宋_GB2312" w:hAnsi="仿宋_GB2312" w:eastAsia="仿宋_GB2312" w:cs="仿宋_GB2312"/>
              </w:rPr>
              <w:t>项目售后方案可行，拟投入的售后服务人力资源和技术力量满足项目的实施需要，技术服务内容完整、措施可行，</w:t>
            </w:r>
            <w:r>
              <w:rPr>
                <w:rFonts w:hint="eastAsia" w:ascii="仿宋_GB2312" w:hAnsi="仿宋_GB2312" w:eastAsia="仿宋_GB2312" w:cs="仿宋_GB2312"/>
                <w:b w:val="0"/>
                <w:bCs w:val="0"/>
              </w:rPr>
              <w:t>故障响应时间≤20分钟、到达现场维护时间≤3小时</w:t>
            </w:r>
            <w:r>
              <w:rPr>
                <w:rFonts w:hint="eastAsia" w:ascii="仿宋_GB2312" w:hAnsi="仿宋_GB2312" w:eastAsia="仿宋_GB2312" w:cs="仿宋_GB2312"/>
                <w:lang w:eastAsia="zh-CN"/>
              </w:rPr>
              <w:t>。</w:t>
            </w:r>
          </w:p>
          <w:p w14:paraId="45246D00">
            <w:pPr>
              <w:widowControl/>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注：1.该方案内容可以包括：（1）技术培训方案；（2）定期回访维护方案；（3）售后服务人员一览表；（4）维修应急预案；（5）零配件储备供应。</w:t>
            </w:r>
          </w:p>
          <w:p w14:paraId="21767FCE">
            <w:pPr>
              <w:pStyle w:val="748"/>
              <w:spacing w:line="400" w:lineRule="exact"/>
              <w:ind w:firstLine="422" w:firstLineChars="200"/>
              <w:rPr>
                <w:rFonts w:ascii="仿宋_GB2312" w:hAnsi="仿宋_GB2312" w:eastAsia="仿宋_GB2312" w:cs="仿宋_GB2312"/>
                <w:szCs w:val="24"/>
              </w:rPr>
            </w:pPr>
            <w:r>
              <w:rPr>
                <w:rFonts w:hint="eastAsia" w:ascii="仿宋_GB2312" w:hAnsi="仿宋_GB2312" w:eastAsia="仿宋_GB2312" w:cs="仿宋_GB2312"/>
                <w:b/>
                <w:bCs/>
              </w:rPr>
              <w:t>2.未提供方案或提供的内容与本项目无关的得0分。</w:t>
            </w:r>
          </w:p>
        </w:tc>
        <w:tc>
          <w:tcPr>
            <w:tcW w:w="825" w:type="dxa"/>
            <w:vAlign w:val="center"/>
          </w:tcPr>
          <w:p w14:paraId="5A11C8DE">
            <w:pPr>
              <w:spacing w:line="400" w:lineRule="exact"/>
              <w:ind w:firstLine="0"/>
              <w:jc w:val="center"/>
              <w:rPr>
                <w:rFonts w:ascii="仿宋_GB2312" w:hAnsi="仿宋_GB2312" w:eastAsia="仿宋_GB2312" w:cs="仿宋_GB2312"/>
                <w:b/>
                <w:bCs/>
                <w:strike/>
              </w:rPr>
            </w:pPr>
            <w:r>
              <w:rPr>
                <w:rFonts w:hint="eastAsia" w:ascii="仿宋_GB2312" w:hAnsi="仿宋_GB2312" w:eastAsia="仿宋_GB2312" w:cs="仿宋_GB2312"/>
                <w:b/>
                <w:bCs/>
              </w:rPr>
              <w:t>1</w:t>
            </w:r>
            <w:r>
              <w:rPr>
                <w:rFonts w:ascii="仿宋_GB2312" w:hAnsi="仿宋_GB2312" w:eastAsia="仿宋_GB2312" w:cs="仿宋_GB2312"/>
                <w:b/>
                <w:bCs/>
              </w:rPr>
              <w:t>4</w:t>
            </w:r>
          </w:p>
        </w:tc>
        <w:tc>
          <w:tcPr>
            <w:tcW w:w="1430" w:type="dxa"/>
            <w:vAlign w:val="center"/>
          </w:tcPr>
          <w:p w14:paraId="7753CDFA">
            <w:pPr>
              <w:spacing w:line="400" w:lineRule="exact"/>
              <w:ind w:firstLine="0"/>
              <w:jc w:val="center"/>
              <w:rPr>
                <w:rFonts w:ascii="仿宋_GB2312" w:hAnsi="仿宋_GB2312" w:eastAsia="仿宋_GB2312" w:cs="仿宋_GB2312"/>
                <w:b/>
                <w:bCs/>
              </w:rPr>
            </w:pPr>
            <w:r>
              <w:rPr>
                <w:rFonts w:hint="eastAsia" w:ascii="仿宋_GB2312" w:hAnsi="仿宋_GB2312" w:eastAsia="仿宋_GB2312" w:cs="仿宋_GB2312"/>
              </w:rPr>
              <w:t>售后服务方案</w:t>
            </w:r>
          </w:p>
        </w:tc>
      </w:tr>
      <w:tr w14:paraId="5035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60" w:type="dxa"/>
            <w:gridSpan w:val="3"/>
            <w:vAlign w:val="center"/>
          </w:tcPr>
          <w:p w14:paraId="7BEA0B3B">
            <w:pPr>
              <w:pStyle w:val="717"/>
              <w:spacing w:line="400" w:lineRule="exact"/>
              <w:jc w:val="center"/>
              <w:rPr>
                <w:rFonts w:ascii="仿宋_GB2312" w:hAnsi="仿宋_GB2312" w:eastAsia="仿宋_GB2312" w:cs="仿宋_GB2312"/>
                <w:b/>
                <w:bCs/>
                <w:szCs w:val="24"/>
              </w:rPr>
            </w:pPr>
            <w:r>
              <w:rPr>
                <w:rFonts w:hint="eastAsia" w:ascii="仿宋_GB2312" w:hAnsi="仿宋_GB2312" w:eastAsia="仿宋_GB2312" w:cs="仿宋_GB2312"/>
                <w:b/>
                <w:bCs/>
                <w:szCs w:val="24"/>
              </w:rPr>
              <w:t>主观分总分</w:t>
            </w:r>
          </w:p>
        </w:tc>
        <w:tc>
          <w:tcPr>
            <w:tcW w:w="825" w:type="dxa"/>
            <w:vAlign w:val="center"/>
          </w:tcPr>
          <w:p w14:paraId="5CBDD80F">
            <w:pPr>
              <w:spacing w:line="400" w:lineRule="exact"/>
              <w:jc w:val="center"/>
              <w:rPr>
                <w:rFonts w:hint="eastAsia" w:ascii="仿宋_GB2312" w:hAnsi="仿宋_GB2312" w:eastAsia="仿宋_GB2312" w:cs="仿宋_GB2312"/>
                <w:b/>
                <w:bCs/>
                <w:lang w:eastAsia="zh-CN"/>
              </w:rPr>
            </w:pPr>
            <w:r>
              <w:rPr>
                <w:rFonts w:ascii="仿宋_GB2312" w:hAnsi="仿宋_GB2312" w:eastAsia="仿宋_GB2312" w:cs="仿宋_GB2312"/>
                <w:b/>
                <w:bCs/>
              </w:rPr>
              <w:t>5</w:t>
            </w:r>
            <w:r>
              <w:rPr>
                <w:rFonts w:hint="eastAsia" w:ascii="仿宋_GB2312" w:hAnsi="仿宋_GB2312" w:eastAsia="仿宋_GB2312" w:cs="仿宋_GB2312"/>
                <w:b/>
                <w:bCs/>
                <w:lang w:val="en-US" w:eastAsia="zh-CN"/>
              </w:rPr>
              <w:t>5</w:t>
            </w:r>
          </w:p>
        </w:tc>
        <w:tc>
          <w:tcPr>
            <w:tcW w:w="1430" w:type="dxa"/>
            <w:vAlign w:val="center"/>
          </w:tcPr>
          <w:p w14:paraId="7A169A93">
            <w:pPr>
              <w:spacing w:line="400" w:lineRule="exact"/>
              <w:jc w:val="center"/>
              <w:rPr>
                <w:rFonts w:ascii="仿宋_GB2312" w:hAnsi="仿宋_GB2312" w:eastAsia="仿宋_GB2312" w:cs="仿宋_GB2312"/>
              </w:rPr>
            </w:pPr>
          </w:p>
        </w:tc>
      </w:tr>
    </w:tbl>
    <w:p w14:paraId="2028B279">
      <w:pPr>
        <w:spacing w:line="400" w:lineRule="exact"/>
        <w:ind w:firstLine="482" w:firstLineChars="200"/>
        <w:rPr>
          <w:rFonts w:ascii="仿宋_GB2312" w:eastAsia="仿宋_GB2312"/>
          <w:b/>
          <w:sz w:val="24"/>
        </w:rPr>
      </w:pPr>
    </w:p>
    <w:p w14:paraId="12D69AD9">
      <w:pPr>
        <w:spacing w:line="400" w:lineRule="exact"/>
        <w:ind w:firstLine="482" w:firstLineChars="200"/>
        <w:rPr>
          <w:rFonts w:ascii="仿宋_GB2312" w:eastAsia="仿宋_GB2312"/>
          <w:b/>
          <w:sz w:val="24"/>
        </w:rPr>
      </w:pPr>
      <w:r>
        <w:rPr>
          <w:rFonts w:hint="eastAsia" w:ascii="仿宋_GB2312" w:eastAsia="仿宋_GB2312"/>
          <w:b/>
          <w:sz w:val="24"/>
        </w:rPr>
        <w:t>（三）总得分=客观分+主观分</w:t>
      </w:r>
    </w:p>
    <w:p w14:paraId="4DFF4176">
      <w:pPr>
        <w:adjustRightInd w:val="0"/>
        <w:spacing w:line="400" w:lineRule="exact"/>
        <w:ind w:firstLine="482" w:firstLineChars="200"/>
        <w:jc w:val="left"/>
        <w:textAlignment w:val="baseline"/>
        <w:rPr>
          <w:rFonts w:ascii="仿宋_GB2312" w:hAnsi="宋体" w:eastAsia="仿宋_GB2312"/>
          <w:b/>
          <w:kern w:val="0"/>
          <w:sz w:val="24"/>
        </w:rPr>
      </w:pPr>
      <w:r>
        <w:rPr>
          <w:rFonts w:hint="eastAsia" w:ascii="仿宋_GB2312" w:hAnsi="宋体" w:eastAsia="仿宋_GB2312"/>
          <w:b/>
          <w:kern w:val="0"/>
          <w:sz w:val="24"/>
        </w:rPr>
        <w:t>三、中标标准及中标候选人推荐原则</w:t>
      </w:r>
    </w:p>
    <w:p w14:paraId="547F2269">
      <w:pPr>
        <w:adjustRightInd w:val="0"/>
        <w:spacing w:line="400" w:lineRule="exact"/>
        <w:ind w:firstLine="482" w:firstLineChars="200"/>
        <w:jc w:val="left"/>
        <w:textAlignment w:val="baseline"/>
        <w:rPr>
          <w:rFonts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采购人或采购代理机构应将该情况报政府采购监督管理部门，从合格的中标候选人中另行确定中标人或重新开展政府采购活动。</w:t>
      </w:r>
    </w:p>
    <w:p w14:paraId="2C57E81E">
      <w:pPr>
        <w:tabs>
          <w:tab w:val="left" w:pos="3055"/>
        </w:tabs>
        <w:spacing w:line="400" w:lineRule="exact"/>
        <w:jc w:val="left"/>
        <w:rPr>
          <w:rFonts w:ascii="宋体" w:hAnsi="宋体" w:cs="Courier New"/>
          <w:b/>
          <w:bCs/>
          <w:sz w:val="32"/>
          <w:szCs w:val="32"/>
        </w:rPr>
      </w:pPr>
      <w:r>
        <w:rPr>
          <w:rFonts w:hint="eastAsia" w:ascii="仿宋_GB2312" w:hAnsi="宋体" w:eastAsia="仿宋_GB2312"/>
          <w:b/>
          <w:kern w:val="0"/>
          <w:sz w:val="24"/>
        </w:rPr>
        <w:t xml:space="preserve">    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437095CC">
      <w:pPr>
        <w:tabs>
          <w:tab w:val="left" w:pos="3055"/>
        </w:tabs>
        <w:jc w:val="center"/>
        <w:rPr>
          <w:rFonts w:ascii="宋体" w:hAnsi="宋体" w:cs="Courier New"/>
          <w:b/>
          <w:bCs/>
          <w:sz w:val="32"/>
          <w:szCs w:val="32"/>
        </w:rPr>
      </w:pPr>
    </w:p>
    <w:p w14:paraId="512F9736">
      <w:pPr>
        <w:tabs>
          <w:tab w:val="left" w:pos="3055"/>
        </w:tabs>
        <w:jc w:val="center"/>
        <w:rPr>
          <w:rFonts w:ascii="宋体" w:hAnsi="宋体" w:cs="Courier New"/>
          <w:b/>
          <w:bCs/>
          <w:sz w:val="32"/>
          <w:szCs w:val="32"/>
        </w:rPr>
      </w:pPr>
    </w:p>
    <w:p w14:paraId="1B3549B1">
      <w:pPr>
        <w:tabs>
          <w:tab w:val="left" w:pos="3055"/>
        </w:tabs>
        <w:jc w:val="center"/>
        <w:rPr>
          <w:rFonts w:ascii="宋体" w:hAnsi="宋体" w:cs="Courier New"/>
          <w:b/>
          <w:bCs/>
          <w:sz w:val="32"/>
          <w:szCs w:val="32"/>
        </w:rPr>
      </w:pPr>
    </w:p>
    <w:p w14:paraId="468DB7BB">
      <w:pPr>
        <w:spacing w:before="0" w:line="240" w:lineRule="auto"/>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br w:type="page"/>
      </w:r>
    </w:p>
    <w:p w14:paraId="0157D599">
      <w:pPr>
        <w:spacing w:before="342" w:line="400" w:lineRule="exact"/>
        <w:rPr>
          <w:rFonts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w:t>
      </w:r>
    </w:p>
    <w:p w14:paraId="53B276E5">
      <w:pPr>
        <w:spacing w:before="342" w:line="175" w:lineRule="auto"/>
        <w:jc w:val="center"/>
        <w:rPr>
          <w:rFonts w:ascii="微软雅黑" w:hAnsi="微软雅黑" w:eastAsia="微软雅黑" w:cs="微软雅黑"/>
          <w:spacing w:val="-2"/>
          <w:sz w:val="40"/>
          <w:szCs w:val="40"/>
        </w:rPr>
      </w:pPr>
      <w:bookmarkStart w:id="68" w:name="_Toc9572"/>
      <w:r>
        <w:rPr>
          <w:rFonts w:ascii="微软雅黑" w:hAnsi="微软雅黑" w:eastAsia="微软雅黑" w:cs="微软雅黑"/>
          <w:spacing w:val="-2"/>
          <w:sz w:val="40"/>
          <w:szCs w:val="40"/>
        </w:rPr>
        <w:t>环境标志产品政府采购品目清单</w:t>
      </w:r>
      <w:bookmarkEnd w:id="68"/>
    </w:p>
    <w:p w14:paraId="0088213D">
      <w:pPr>
        <w:spacing w:before="41"/>
      </w:pPr>
    </w:p>
    <w:tbl>
      <w:tblPr>
        <w:tblStyle w:val="7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0EAEC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jc w:val="center"/>
        </w:trPr>
        <w:tc>
          <w:tcPr>
            <w:tcW w:w="510" w:type="dxa"/>
          </w:tcPr>
          <w:p w14:paraId="016FBFCF">
            <w:pPr>
              <w:pStyle w:val="734"/>
              <w:spacing w:before="71" w:line="283" w:lineRule="auto"/>
              <w:ind w:left="114" w:right="107" w:firstLine="15"/>
            </w:pPr>
            <w:r>
              <w:rPr>
                <w:b/>
                <w:bCs/>
                <w:spacing w:val="-12"/>
              </w:rPr>
              <w:t>品目</w:t>
            </w:r>
            <w:r>
              <w:t xml:space="preserve"> </w:t>
            </w:r>
            <w:r>
              <w:rPr>
                <w:b/>
                <w:bCs/>
                <w:spacing w:val="-4"/>
              </w:rPr>
              <w:t>序号</w:t>
            </w:r>
          </w:p>
        </w:tc>
        <w:tc>
          <w:tcPr>
            <w:tcW w:w="5623" w:type="dxa"/>
            <w:gridSpan w:val="3"/>
          </w:tcPr>
          <w:p w14:paraId="371E26D7">
            <w:pPr>
              <w:pStyle w:val="734"/>
              <w:spacing w:before="224" w:line="222" w:lineRule="auto"/>
              <w:ind w:left="3054"/>
            </w:pPr>
            <w:r>
              <w:rPr>
                <w:b/>
                <w:bCs/>
                <w:spacing w:val="-6"/>
              </w:rPr>
              <w:t>名称</w:t>
            </w:r>
          </w:p>
        </w:tc>
        <w:tc>
          <w:tcPr>
            <w:tcW w:w="3081" w:type="dxa"/>
          </w:tcPr>
          <w:p w14:paraId="1AC4E5C0">
            <w:pPr>
              <w:pStyle w:val="734"/>
              <w:spacing w:before="224" w:line="219" w:lineRule="auto"/>
              <w:ind w:left="1325"/>
            </w:pPr>
            <w:r>
              <w:rPr>
                <w:b/>
                <w:bCs/>
                <w:spacing w:val="-4"/>
              </w:rPr>
              <w:t>依据的标准</w:t>
            </w:r>
          </w:p>
        </w:tc>
      </w:tr>
      <w:tr w14:paraId="25190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restart"/>
            <w:tcBorders>
              <w:bottom w:val="nil"/>
            </w:tcBorders>
          </w:tcPr>
          <w:p w14:paraId="622C120B">
            <w:pPr>
              <w:pStyle w:val="734"/>
              <w:spacing w:before="93" w:line="184" w:lineRule="auto"/>
              <w:ind w:left="128"/>
            </w:pPr>
            <w:r>
              <w:t>1</w:t>
            </w:r>
          </w:p>
        </w:tc>
        <w:tc>
          <w:tcPr>
            <w:tcW w:w="1343" w:type="dxa"/>
            <w:vMerge w:val="restart"/>
            <w:tcBorders>
              <w:bottom w:val="nil"/>
            </w:tcBorders>
          </w:tcPr>
          <w:p w14:paraId="4FBD2B8D">
            <w:pPr>
              <w:pStyle w:val="734"/>
              <w:spacing w:before="66" w:line="307" w:lineRule="auto"/>
              <w:ind w:left="110" w:right="108" w:hanging="8"/>
            </w:pPr>
            <w:r>
              <w:rPr>
                <w:spacing w:val="3"/>
              </w:rPr>
              <w:t>A020101</w:t>
            </w:r>
            <w:r>
              <w:rPr>
                <w:spacing w:val="34"/>
              </w:rPr>
              <w:t xml:space="preserve"> </w:t>
            </w:r>
            <w:r>
              <w:rPr>
                <w:spacing w:val="3"/>
              </w:rPr>
              <w:t>计算机</w:t>
            </w:r>
            <w:r>
              <w:t xml:space="preserve"> </w:t>
            </w:r>
            <w:r>
              <w:rPr>
                <w:spacing w:val="-3"/>
              </w:rPr>
              <w:t>设备</w:t>
            </w:r>
          </w:p>
        </w:tc>
        <w:tc>
          <w:tcPr>
            <w:tcW w:w="2324" w:type="dxa"/>
          </w:tcPr>
          <w:p w14:paraId="273CAE38">
            <w:pPr>
              <w:pStyle w:val="734"/>
              <w:spacing w:before="66" w:line="220" w:lineRule="auto"/>
              <w:ind w:left="103"/>
            </w:pPr>
            <w:r>
              <w:rPr>
                <w:spacing w:val="-1"/>
              </w:rPr>
              <w:t>A02010103</w:t>
            </w:r>
            <w:r>
              <w:rPr>
                <w:spacing w:val="-32"/>
              </w:rPr>
              <w:t xml:space="preserve"> </w:t>
            </w:r>
            <w:r>
              <w:rPr>
                <w:spacing w:val="-1"/>
              </w:rPr>
              <w:t>服务器</w:t>
            </w:r>
          </w:p>
        </w:tc>
        <w:tc>
          <w:tcPr>
            <w:tcW w:w="1956" w:type="dxa"/>
          </w:tcPr>
          <w:p w14:paraId="5DF466B2">
            <w:pPr>
              <w:rPr>
                <w:rFonts w:ascii="Arial"/>
              </w:rPr>
            </w:pPr>
          </w:p>
        </w:tc>
        <w:tc>
          <w:tcPr>
            <w:tcW w:w="3081" w:type="dxa"/>
          </w:tcPr>
          <w:p w14:paraId="04149807">
            <w:pPr>
              <w:pStyle w:val="734"/>
              <w:spacing w:before="66" w:line="219" w:lineRule="auto"/>
              <w:ind w:left="109"/>
            </w:pPr>
            <w:r>
              <w:rPr>
                <w:spacing w:val="-2"/>
              </w:rPr>
              <w:t>HJ2507</w:t>
            </w:r>
            <w:r>
              <w:rPr>
                <w:spacing w:val="-20"/>
              </w:rPr>
              <w:t xml:space="preserve"> </w:t>
            </w:r>
            <w:r>
              <w:rPr>
                <w:spacing w:val="-2"/>
              </w:rPr>
              <w:t>网络服务器</w:t>
            </w:r>
          </w:p>
        </w:tc>
      </w:tr>
      <w:tr w14:paraId="3AD4E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4BCCD405">
            <w:pPr>
              <w:rPr>
                <w:rFonts w:ascii="Arial"/>
              </w:rPr>
            </w:pPr>
          </w:p>
        </w:tc>
        <w:tc>
          <w:tcPr>
            <w:tcW w:w="1343" w:type="dxa"/>
            <w:vMerge w:val="continue"/>
            <w:tcBorders>
              <w:top w:val="nil"/>
              <w:bottom w:val="nil"/>
            </w:tcBorders>
          </w:tcPr>
          <w:p w14:paraId="0BEEA3A7">
            <w:pPr>
              <w:rPr>
                <w:rFonts w:ascii="Arial"/>
              </w:rPr>
            </w:pPr>
          </w:p>
        </w:tc>
        <w:tc>
          <w:tcPr>
            <w:tcW w:w="2324" w:type="dxa"/>
          </w:tcPr>
          <w:p w14:paraId="5D08FD5B">
            <w:pPr>
              <w:pStyle w:val="734"/>
              <w:spacing w:before="65" w:line="219" w:lineRule="auto"/>
              <w:ind w:left="103"/>
            </w:pPr>
            <w:r>
              <w:rPr>
                <w:spacing w:val="-2"/>
              </w:rPr>
              <w:t>A02010104</w:t>
            </w:r>
            <w:r>
              <w:rPr>
                <w:spacing w:val="-14"/>
              </w:rPr>
              <w:t xml:space="preserve"> </w:t>
            </w:r>
            <w:r>
              <w:rPr>
                <w:spacing w:val="-2"/>
              </w:rPr>
              <w:t>台式计算机</w:t>
            </w:r>
          </w:p>
        </w:tc>
        <w:tc>
          <w:tcPr>
            <w:tcW w:w="1956" w:type="dxa"/>
          </w:tcPr>
          <w:p w14:paraId="3CEC7509">
            <w:pPr>
              <w:rPr>
                <w:rFonts w:ascii="Arial"/>
              </w:rPr>
            </w:pPr>
          </w:p>
        </w:tc>
        <w:tc>
          <w:tcPr>
            <w:tcW w:w="3081" w:type="dxa"/>
          </w:tcPr>
          <w:p w14:paraId="5652A01A">
            <w:pPr>
              <w:pStyle w:val="734"/>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34F43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1530320E">
            <w:pPr>
              <w:rPr>
                <w:rFonts w:ascii="Arial"/>
              </w:rPr>
            </w:pPr>
          </w:p>
        </w:tc>
        <w:tc>
          <w:tcPr>
            <w:tcW w:w="1343" w:type="dxa"/>
            <w:vMerge w:val="continue"/>
            <w:tcBorders>
              <w:top w:val="nil"/>
              <w:bottom w:val="nil"/>
            </w:tcBorders>
          </w:tcPr>
          <w:p w14:paraId="74FCFA01">
            <w:pPr>
              <w:rPr>
                <w:rFonts w:ascii="Arial"/>
              </w:rPr>
            </w:pPr>
          </w:p>
        </w:tc>
        <w:tc>
          <w:tcPr>
            <w:tcW w:w="2324" w:type="dxa"/>
          </w:tcPr>
          <w:p w14:paraId="280FFE0A">
            <w:pPr>
              <w:pStyle w:val="734"/>
              <w:spacing w:before="64" w:line="219" w:lineRule="auto"/>
              <w:ind w:left="103"/>
            </w:pPr>
            <w:r>
              <w:rPr>
                <w:spacing w:val="-1"/>
              </w:rPr>
              <w:t>A02010105</w:t>
            </w:r>
            <w:r>
              <w:rPr>
                <w:spacing w:val="-30"/>
              </w:rPr>
              <w:t xml:space="preserve"> </w:t>
            </w:r>
            <w:r>
              <w:rPr>
                <w:spacing w:val="-1"/>
              </w:rPr>
              <w:t>便携式计算机</w:t>
            </w:r>
          </w:p>
        </w:tc>
        <w:tc>
          <w:tcPr>
            <w:tcW w:w="1956" w:type="dxa"/>
          </w:tcPr>
          <w:p w14:paraId="08917AE9">
            <w:pPr>
              <w:rPr>
                <w:rFonts w:ascii="Arial"/>
              </w:rPr>
            </w:pPr>
          </w:p>
        </w:tc>
        <w:tc>
          <w:tcPr>
            <w:tcW w:w="3081" w:type="dxa"/>
          </w:tcPr>
          <w:p w14:paraId="5024F5BD">
            <w:pPr>
              <w:pStyle w:val="734"/>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57291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18DDFE04">
            <w:pPr>
              <w:rPr>
                <w:rFonts w:ascii="Arial"/>
              </w:rPr>
            </w:pPr>
          </w:p>
        </w:tc>
        <w:tc>
          <w:tcPr>
            <w:tcW w:w="1343" w:type="dxa"/>
            <w:vMerge w:val="continue"/>
            <w:tcBorders>
              <w:top w:val="nil"/>
              <w:bottom w:val="nil"/>
            </w:tcBorders>
          </w:tcPr>
          <w:p w14:paraId="1766A36A">
            <w:pPr>
              <w:rPr>
                <w:rFonts w:ascii="Arial"/>
              </w:rPr>
            </w:pPr>
          </w:p>
        </w:tc>
        <w:tc>
          <w:tcPr>
            <w:tcW w:w="2324" w:type="dxa"/>
          </w:tcPr>
          <w:p w14:paraId="5797E9AE">
            <w:pPr>
              <w:pStyle w:val="734"/>
              <w:spacing w:before="64" w:line="219" w:lineRule="auto"/>
              <w:ind w:left="103"/>
            </w:pPr>
            <w:r>
              <w:rPr>
                <w:spacing w:val="-1"/>
              </w:rPr>
              <w:t>A02010107</w:t>
            </w:r>
            <w:r>
              <w:rPr>
                <w:spacing w:val="-28"/>
              </w:rPr>
              <w:t xml:space="preserve"> </w:t>
            </w:r>
            <w:r>
              <w:rPr>
                <w:spacing w:val="-1"/>
              </w:rPr>
              <w:t>平板式微型计算机</w:t>
            </w:r>
          </w:p>
        </w:tc>
        <w:tc>
          <w:tcPr>
            <w:tcW w:w="1956" w:type="dxa"/>
          </w:tcPr>
          <w:p w14:paraId="79EC9FAF">
            <w:pPr>
              <w:rPr>
                <w:rFonts w:ascii="Arial"/>
              </w:rPr>
            </w:pPr>
          </w:p>
        </w:tc>
        <w:tc>
          <w:tcPr>
            <w:tcW w:w="3081" w:type="dxa"/>
          </w:tcPr>
          <w:p w14:paraId="05B6F6DC">
            <w:pPr>
              <w:pStyle w:val="734"/>
              <w:spacing w:before="63"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629E0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5EDE42C2">
            <w:pPr>
              <w:rPr>
                <w:rFonts w:ascii="Arial"/>
              </w:rPr>
            </w:pPr>
          </w:p>
        </w:tc>
        <w:tc>
          <w:tcPr>
            <w:tcW w:w="1343" w:type="dxa"/>
            <w:vMerge w:val="continue"/>
            <w:tcBorders>
              <w:top w:val="nil"/>
              <w:bottom w:val="nil"/>
            </w:tcBorders>
          </w:tcPr>
          <w:p w14:paraId="0FB3E379">
            <w:pPr>
              <w:rPr>
                <w:rFonts w:ascii="Arial"/>
              </w:rPr>
            </w:pPr>
          </w:p>
        </w:tc>
        <w:tc>
          <w:tcPr>
            <w:tcW w:w="2324" w:type="dxa"/>
          </w:tcPr>
          <w:p w14:paraId="032A4804">
            <w:pPr>
              <w:pStyle w:val="734"/>
              <w:spacing w:before="65" w:line="219" w:lineRule="auto"/>
              <w:ind w:left="103"/>
            </w:pPr>
            <w:r>
              <w:rPr>
                <w:spacing w:val="-2"/>
              </w:rPr>
              <w:t>A02010108</w:t>
            </w:r>
            <w:r>
              <w:rPr>
                <w:spacing w:val="32"/>
              </w:rPr>
              <w:t xml:space="preserve"> </w:t>
            </w:r>
            <w:r>
              <w:rPr>
                <w:spacing w:val="-2"/>
              </w:rPr>
              <w:t>网络计算机</w:t>
            </w:r>
          </w:p>
        </w:tc>
        <w:tc>
          <w:tcPr>
            <w:tcW w:w="1956" w:type="dxa"/>
          </w:tcPr>
          <w:p w14:paraId="081977A1">
            <w:pPr>
              <w:rPr>
                <w:rFonts w:ascii="Arial"/>
              </w:rPr>
            </w:pPr>
          </w:p>
        </w:tc>
        <w:tc>
          <w:tcPr>
            <w:tcW w:w="3081" w:type="dxa"/>
          </w:tcPr>
          <w:p w14:paraId="540F1B7A">
            <w:pPr>
              <w:pStyle w:val="734"/>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24245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645DD7D5">
            <w:pPr>
              <w:rPr>
                <w:rFonts w:ascii="Arial"/>
              </w:rPr>
            </w:pPr>
          </w:p>
        </w:tc>
        <w:tc>
          <w:tcPr>
            <w:tcW w:w="1343" w:type="dxa"/>
            <w:vMerge w:val="continue"/>
            <w:tcBorders>
              <w:top w:val="nil"/>
              <w:bottom w:val="nil"/>
            </w:tcBorders>
          </w:tcPr>
          <w:p w14:paraId="7F2DEB87">
            <w:pPr>
              <w:rPr>
                <w:rFonts w:ascii="Arial"/>
              </w:rPr>
            </w:pPr>
          </w:p>
        </w:tc>
        <w:tc>
          <w:tcPr>
            <w:tcW w:w="2324" w:type="dxa"/>
          </w:tcPr>
          <w:p w14:paraId="1FB1A27D">
            <w:pPr>
              <w:pStyle w:val="734"/>
              <w:spacing w:before="64" w:line="219" w:lineRule="auto"/>
              <w:ind w:left="103"/>
            </w:pPr>
            <w:r>
              <w:t>A02010109 计算机工作站</w:t>
            </w:r>
          </w:p>
        </w:tc>
        <w:tc>
          <w:tcPr>
            <w:tcW w:w="1956" w:type="dxa"/>
          </w:tcPr>
          <w:p w14:paraId="7CB36667">
            <w:pPr>
              <w:rPr>
                <w:rFonts w:ascii="Arial"/>
              </w:rPr>
            </w:pPr>
          </w:p>
        </w:tc>
        <w:tc>
          <w:tcPr>
            <w:tcW w:w="3081" w:type="dxa"/>
          </w:tcPr>
          <w:p w14:paraId="096C8B30">
            <w:pPr>
              <w:pStyle w:val="734"/>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732FC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212B6FED">
            <w:pPr>
              <w:rPr>
                <w:rFonts w:ascii="Arial"/>
              </w:rPr>
            </w:pPr>
          </w:p>
        </w:tc>
        <w:tc>
          <w:tcPr>
            <w:tcW w:w="1343" w:type="dxa"/>
            <w:vMerge w:val="continue"/>
            <w:tcBorders>
              <w:top w:val="nil"/>
            </w:tcBorders>
          </w:tcPr>
          <w:p w14:paraId="1A719C69">
            <w:pPr>
              <w:rPr>
                <w:rFonts w:ascii="Arial"/>
              </w:rPr>
            </w:pPr>
          </w:p>
        </w:tc>
        <w:tc>
          <w:tcPr>
            <w:tcW w:w="2324" w:type="dxa"/>
          </w:tcPr>
          <w:p w14:paraId="138A1C4C">
            <w:pPr>
              <w:pStyle w:val="734"/>
              <w:spacing w:before="64" w:line="219" w:lineRule="auto"/>
              <w:ind w:left="103"/>
            </w:pPr>
            <w:r>
              <w:rPr>
                <w:spacing w:val="-1"/>
              </w:rPr>
              <w:t>A02010199</w:t>
            </w:r>
            <w:r>
              <w:rPr>
                <w:spacing w:val="-29"/>
              </w:rPr>
              <w:t xml:space="preserve"> </w:t>
            </w:r>
            <w:r>
              <w:rPr>
                <w:spacing w:val="-1"/>
              </w:rPr>
              <w:t>其他计算机设备</w:t>
            </w:r>
          </w:p>
        </w:tc>
        <w:tc>
          <w:tcPr>
            <w:tcW w:w="1956" w:type="dxa"/>
          </w:tcPr>
          <w:p w14:paraId="346C5345">
            <w:pPr>
              <w:rPr>
                <w:rFonts w:ascii="Arial"/>
              </w:rPr>
            </w:pPr>
          </w:p>
        </w:tc>
        <w:tc>
          <w:tcPr>
            <w:tcW w:w="3081" w:type="dxa"/>
          </w:tcPr>
          <w:p w14:paraId="3AC358BB">
            <w:pPr>
              <w:pStyle w:val="734"/>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49C36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0C3966D5">
            <w:pPr>
              <w:pStyle w:val="734"/>
              <w:spacing w:before="93" w:line="183" w:lineRule="auto"/>
              <w:ind w:left="116"/>
            </w:pPr>
            <w:r>
              <w:t>2</w:t>
            </w:r>
          </w:p>
        </w:tc>
        <w:tc>
          <w:tcPr>
            <w:tcW w:w="1343" w:type="dxa"/>
            <w:vMerge w:val="restart"/>
            <w:tcBorders>
              <w:bottom w:val="nil"/>
            </w:tcBorders>
          </w:tcPr>
          <w:p w14:paraId="112AA55D">
            <w:pPr>
              <w:pStyle w:val="734"/>
              <w:spacing w:before="65" w:line="307" w:lineRule="auto"/>
              <w:ind w:left="123" w:right="108" w:hanging="21"/>
            </w:pPr>
            <w:r>
              <w:rPr>
                <w:spacing w:val="3"/>
              </w:rPr>
              <w:t>A020106</w:t>
            </w:r>
            <w:r>
              <w:rPr>
                <w:spacing w:val="34"/>
              </w:rPr>
              <w:t xml:space="preserve"> </w:t>
            </w:r>
            <w:r>
              <w:rPr>
                <w:spacing w:val="3"/>
              </w:rPr>
              <w:t>输入输</w:t>
            </w:r>
            <w:r>
              <w:rPr>
                <w:spacing w:val="-5"/>
              </w:rPr>
              <w:t>出设备</w:t>
            </w:r>
          </w:p>
        </w:tc>
        <w:tc>
          <w:tcPr>
            <w:tcW w:w="2324" w:type="dxa"/>
            <w:vMerge w:val="restart"/>
            <w:tcBorders>
              <w:bottom w:val="nil"/>
            </w:tcBorders>
          </w:tcPr>
          <w:p w14:paraId="2C16AC2A">
            <w:pPr>
              <w:pStyle w:val="734"/>
              <w:spacing w:before="64" w:line="220" w:lineRule="auto"/>
              <w:ind w:left="103"/>
            </w:pPr>
            <w:r>
              <w:rPr>
                <w:spacing w:val="-1"/>
              </w:rPr>
              <w:t>A02010601</w:t>
            </w:r>
            <w:r>
              <w:rPr>
                <w:spacing w:val="-31"/>
              </w:rPr>
              <w:t xml:space="preserve"> </w:t>
            </w:r>
            <w:r>
              <w:rPr>
                <w:spacing w:val="-1"/>
              </w:rPr>
              <w:t>打印设备</w:t>
            </w:r>
          </w:p>
        </w:tc>
        <w:tc>
          <w:tcPr>
            <w:tcW w:w="1956" w:type="dxa"/>
          </w:tcPr>
          <w:p w14:paraId="7CD796C1">
            <w:pPr>
              <w:pStyle w:val="734"/>
              <w:spacing w:before="65" w:line="219" w:lineRule="auto"/>
              <w:ind w:left="105"/>
            </w:pPr>
            <w:r>
              <w:t>A0201060101 喷墨打印机</w:t>
            </w:r>
          </w:p>
        </w:tc>
        <w:tc>
          <w:tcPr>
            <w:tcW w:w="3081" w:type="dxa"/>
          </w:tcPr>
          <w:p w14:paraId="75BF5F99">
            <w:pPr>
              <w:pStyle w:val="734"/>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10978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68B6AD2E">
            <w:pPr>
              <w:rPr>
                <w:rFonts w:ascii="Arial"/>
              </w:rPr>
            </w:pPr>
          </w:p>
        </w:tc>
        <w:tc>
          <w:tcPr>
            <w:tcW w:w="1343" w:type="dxa"/>
            <w:vMerge w:val="continue"/>
            <w:tcBorders>
              <w:top w:val="nil"/>
              <w:bottom w:val="nil"/>
            </w:tcBorders>
          </w:tcPr>
          <w:p w14:paraId="431EAA0F">
            <w:pPr>
              <w:rPr>
                <w:rFonts w:ascii="Arial"/>
              </w:rPr>
            </w:pPr>
          </w:p>
        </w:tc>
        <w:tc>
          <w:tcPr>
            <w:tcW w:w="2324" w:type="dxa"/>
            <w:vMerge w:val="continue"/>
            <w:tcBorders>
              <w:top w:val="nil"/>
              <w:bottom w:val="nil"/>
            </w:tcBorders>
          </w:tcPr>
          <w:p w14:paraId="0A6ECDF4">
            <w:pPr>
              <w:rPr>
                <w:rFonts w:ascii="Arial"/>
              </w:rPr>
            </w:pPr>
          </w:p>
        </w:tc>
        <w:tc>
          <w:tcPr>
            <w:tcW w:w="1956" w:type="dxa"/>
          </w:tcPr>
          <w:p w14:paraId="57DFCE93">
            <w:pPr>
              <w:pStyle w:val="734"/>
              <w:spacing w:before="64" w:line="219" w:lineRule="auto"/>
              <w:ind w:left="105"/>
            </w:pPr>
            <w:r>
              <w:t>A0201060102 激光打印机</w:t>
            </w:r>
          </w:p>
        </w:tc>
        <w:tc>
          <w:tcPr>
            <w:tcW w:w="3081" w:type="dxa"/>
          </w:tcPr>
          <w:p w14:paraId="4004BB70">
            <w:pPr>
              <w:pStyle w:val="734"/>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5939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217A5C6F">
            <w:pPr>
              <w:rPr>
                <w:rFonts w:ascii="Arial"/>
              </w:rPr>
            </w:pPr>
          </w:p>
        </w:tc>
        <w:tc>
          <w:tcPr>
            <w:tcW w:w="1343" w:type="dxa"/>
            <w:vMerge w:val="continue"/>
            <w:tcBorders>
              <w:top w:val="nil"/>
              <w:bottom w:val="nil"/>
            </w:tcBorders>
          </w:tcPr>
          <w:p w14:paraId="6E38CB2A">
            <w:pPr>
              <w:rPr>
                <w:rFonts w:ascii="Arial"/>
              </w:rPr>
            </w:pPr>
          </w:p>
        </w:tc>
        <w:tc>
          <w:tcPr>
            <w:tcW w:w="2324" w:type="dxa"/>
            <w:vMerge w:val="continue"/>
            <w:tcBorders>
              <w:top w:val="nil"/>
              <w:bottom w:val="nil"/>
            </w:tcBorders>
          </w:tcPr>
          <w:p w14:paraId="13D6F6FB">
            <w:pPr>
              <w:rPr>
                <w:rFonts w:ascii="Arial"/>
              </w:rPr>
            </w:pPr>
          </w:p>
        </w:tc>
        <w:tc>
          <w:tcPr>
            <w:tcW w:w="1956" w:type="dxa"/>
          </w:tcPr>
          <w:p w14:paraId="38CDC43D">
            <w:pPr>
              <w:pStyle w:val="734"/>
              <w:spacing w:before="64" w:line="219" w:lineRule="auto"/>
              <w:ind w:left="105"/>
            </w:pPr>
            <w:r>
              <w:t>A0201060103 热式打印机</w:t>
            </w:r>
          </w:p>
        </w:tc>
        <w:tc>
          <w:tcPr>
            <w:tcW w:w="3081" w:type="dxa"/>
          </w:tcPr>
          <w:p w14:paraId="48EE35D2">
            <w:pPr>
              <w:pStyle w:val="734"/>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4B07B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39CAE74C">
            <w:pPr>
              <w:rPr>
                <w:rFonts w:ascii="Arial"/>
              </w:rPr>
            </w:pPr>
          </w:p>
        </w:tc>
        <w:tc>
          <w:tcPr>
            <w:tcW w:w="1343" w:type="dxa"/>
            <w:vMerge w:val="continue"/>
            <w:tcBorders>
              <w:top w:val="nil"/>
              <w:bottom w:val="nil"/>
            </w:tcBorders>
          </w:tcPr>
          <w:p w14:paraId="38182FF1">
            <w:pPr>
              <w:rPr>
                <w:rFonts w:ascii="Arial"/>
              </w:rPr>
            </w:pPr>
          </w:p>
        </w:tc>
        <w:tc>
          <w:tcPr>
            <w:tcW w:w="2324" w:type="dxa"/>
            <w:vMerge w:val="continue"/>
            <w:tcBorders>
              <w:top w:val="nil"/>
            </w:tcBorders>
          </w:tcPr>
          <w:p w14:paraId="12F40885">
            <w:pPr>
              <w:rPr>
                <w:rFonts w:ascii="Arial"/>
              </w:rPr>
            </w:pPr>
          </w:p>
        </w:tc>
        <w:tc>
          <w:tcPr>
            <w:tcW w:w="1956" w:type="dxa"/>
          </w:tcPr>
          <w:p w14:paraId="36F7933C">
            <w:pPr>
              <w:pStyle w:val="734"/>
              <w:spacing w:before="65" w:line="219" w:lineRule="auto"/>
              <w:ind w:left="105"/>
            </w:pPr>
            <w:r>
              <w:t>A0201060104 针式打印机</w:t>
            </w:r>
          </w:p>
        </w:tc>
        <w:tc>
          <w:tcPr>
            <w:tcW w:w="3081" w:type="dxa"/>
          </w:tcPr>
          <w:p w14:paraId="52D8321F">
            <w:pPr>
              <w:pStyle w:val="734"/>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0DD3D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0289FE1E">
            <w:pPr>
              <w:rPr>
                <w:rFonts w:ascii="Arial"/>
              </w:rPr>
            </w:pPr>
          </w:p>
        </w:tc>
        <w:tc>
          <w:tcPr>
            <w:tcW w:w="1343" w:type="dxa"/>
            <w:vMerge w:val="continue"/>
            <w:tcBorders>
              <w:top w:val="nil"/>
              <w:bottom w:val="nil"/>
            </w:tcBorders>
          </w:tcPr>
          <w:p w14:paraId="02E67AED">
            <w:pPr>
              <w:rPr>
                <w:rFonts w:ascii="Arial"/>
              </w:rPr>
            </w:pPr>
          </w:p>
        </w:tc>
        <w:tc>
          <w:tcPr>
            <w:tcW w:w="2324" w:type="dxa"/>
            <w:vMerge w:val="restart"/>
            <w:tcBorders>
              <w:bottom w:val="nil"/>
            </w:tcBorders>
          </w:tcPr>
          <w:p w14:paraId="5F068827">
            <w:pPr>
              <w:pStyle w:val="734"/>
              <w:spacing w:before="64" w:line="222" w:lineRule="auto"/>
              <w:ind w:left="103"/>
            </w:pPr>
            <w:r>
              <w:t>A02010604 显示设备</w:t>
            </w:r>
          </w:p>
        </w:tc>
        <w:tc>
          <w:tcPr>
            <w:tcW w:w="1956" w:type="dxa"/>
          </w:tcPr>
          <w:p w14:paraId="18A21788">
            <w:pPr>
              <w:pStyle w:val="734"/>
              <w:spacing w:before="64" w:line="221" w:lineRule="auto"/>
              <w:ind w:left="105"/>
            </w:pPr>
            <w:r>
              <w:t>A0201060401 液晶显示器</w:t>
            </w:r>
          </w:p>
        </w:tc>
        <w:tc>
          <w:tcPr>
            <w:tcW w:w="3081" w:type="dxa"/>
          </w:tcPr>
          <w:p w14:paraId="1D6D86AA">
            <w:pPr>
              <w:pStyle w:val="734"/>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4F0E7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1396FE15">
            <w:pPr>
              <w:rPr>
                <w:rFonts w:ascii="Arial"/>
              </w:rPr>
            </w:pPr>
          </w:p>
        </w:tc>
        <w:tc>
          <w:tcPr>
            <w:tcW w:w="1343" w:type="dxa"/>
            <w:vMerge w:val="continue"/>
            <w:tcBorders>
              <w:top w:val="nil"/>
              <w:bottom w:val="nil"/>
            </w:tcBorders>
          </w:tcPr>
          <w:p w14:paraId="229E38A8">
            <w:pPr>
              <w:rPr>
                <w:rFonts w:ascii="Arial"/>
              </w:rPr>
            </w:pPr>
          </w:p>
        </w:tc>
        <w:tc>
          <w:tcPr>
            <w:tcW w:w="2324" w:type="dxa"/>
            <w:vMerge w:val="continue"/>
            <w:tcBorders>
              <w:top w:val="nil"/>
            </w:tcBorders>
          </w:tcPr>
          <w:p w14:paraId="2AF05462">
            <w:pPr>
              <w:rPr>
                <w:rFonts w:ascii="Arial"/>
              </w:rPr>
            </w:pPr>
          </w:p>
        </w:tc>
        <w:tc>
          <w:tcPr>
            <w:tcW w:w="1956" w:type="dxa"/>
          </w:tcPr>
          <w:p w14:paraId="60E1F4CA">
            <w:pPr>
              <w:pStyle w:val="734"/>
              <w:spacing w:before="64" w:line="221" w:lineRule="auto"/>
              <w:ind w:left="105"/>
            </w:pPr>
            <w:r>
              <w:t>A0201060499 其他显示器</w:t>
            </w:r>
          </w:p>
        </w:tc>
        <w:tc>
          <w:tcPr>
            <w:tcW w:w="3081" w:type="dxa"/>
          </w:tcPr>
          <w:p w14:paraId="5778C445">
            <w:pPr>
              <w:pStyle w:val="734"/>
              <w:spacing w:before="63"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2A0AD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7827B418">
            <w:pPr>
              <w:rPr>
                <w:rFonts w:ascii="Arial"/>
              </w:rPr>
            </w:pPr>
          </w:p>
        </w:tc>
        <w:tc>
          <w:tcPr>
            <w:tcW w:w="1343" w:type="dxa"/>
            <w:vMerge w:val="continue"/>
            <w:tcBorders>
              <w:top w:val="nil"/>
            </w:tcBorders>
          </w:tcPr>
          <w:p w14:paraId="2634F68E">
            <w:pPr>
              <w:rPr>
                <w:rFonts w:ascii="Arial"/>
              </w:rPr>
            </w:pPr>
          </w:p>
        </w:tc>
        <w:tc>
          <w:tcPr>
            <w:tcW w:w="2324" w:type="dxa"/>
          </w:tcPr>
          <w:p w14:paraId="58E3668C">
            <w:pPr>
              <w:pStyle w:val="734"/>
              <w:spacing w:before="64" w:line="220" w:lineRule="auto"/>
              <w:ind w:left="103"/>
            </w:pPr>
            <w:r>
              <w:rPr>
                <w:spacing w:val="-2"/>
              </w:rPr>
              <w:t>A02010609</w:t>
            </w:r>
            <w:r>
              <w:rPr>
                <w:spacing w:val="-9"/>
              </w:rPr>
              <w:t xml:space="preserve"> </w:t>
            </w:r>
            <w:r>
              <w:rPr>
                <w:spacing w:val="-2"/>
              </w:rPr>
              <w:t>图形图像输入设备</w:t>
            </w:r>
          </w:p>
        </w:tc>
        <w:tc>
          <w:tcPr>
            <w:tcW w:w="1956" w:type="dxa"/>
          </w:tcPr>
          <w:p w14:paraId="26E1F535">
            <w:pPr>
              <w:pStyle w:val="734"/>
              <w:spacing w:before="64" w:line="220" w:lineRule="auto"/>
              <w:ind w:left="105"/>
            </w:pPr>
            <w:r>
              <w:t>A0201060901 扫描仪</w:t>
            </w:r>
          </w:p>
        </w:tc>
        <w:tc>
          <w:tcPr>
            <w:tcW w:w="3081" w:type="dxa"/>
          </w:tcPr>
          <w:p w14:paraId="4588BEC1">
            <w:pPr>
              <w:pStyle w:val="734"/>
              <w:spacing w:before="64" w:line="219" w:lineRule="auto"/>
              <w:ind w:left="109"/>
            </w:pPr>
            <w:r>
              <w:rPr>
                <w:spacing w:val="-1"/>
              </w:rPr>
              <w:t>HJ2517</w:t>
            </w:r>
            <w:r>
              <w:rPr>
                <w:spacing w:val="-34"/>
              </w:rPr>
              <w:t xml:space="preserve"> </w:t>
            </w:r>
            <w:r>
              <w:rPr>
                <w:spacing w:val="-1"/>
              </w:rPr>
              <w:t>扫描仪</w:t>
            </w:r>
          </w:p>
        </w:tc>
      </w:tr>
      <w:tr w14:paraId="7ED6B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7DDCE32D">
            <w:pPr>
              <w:pStyle w:val="734"/>
              <w:spacing w:before="93" w:line="183" w:lineRule="auto"/>
              <w:ind w:left="118"/>
            </w:pPr>
            <w:r>
              <w:t>3</w:t>
            </w:r>
          </w:p>
        </w:tc>
        <w:tc>
          <w:tcPr>
            <w:tcW w:w="1343" w:type="dxa"/>
          </w:tcPr>
          <w:p w14:paraId="1E0433FB">
            <w:pPr>
              <w:pStyle w:val="734"/>
              <w:spacing w:before="64" w:line="220" w:lineRule="auto"/>
              <w:ind w:left="102"/>
            </w:pPr>
            <w:r>
              <w:rPr>
                <w:spacing w:val="-1"/>
              </w:rPr>
              <w:t>A020202</w:t>
            </w:r>
            <w:r>
              <w:rPr>
                <w:spacing w:val="-33"/>
              </w:rPr>
              <w:t xml:space="preserve"> </w:t>
            </w:r>
            <w:r>
              <w:rPr>
                <w:spacing w:val="-1"/>
              </w:rPr>
              <w:t>投影仪</w:t>
            </w:r>
          </w:p>
        </w:tc>
        <w:tc>
          <w:tcPr>
            <w:tcW w:w="2324" w:type="dxa"/>
          </w:tcPr>
          <w:p w14:paraId="224AD6C3">
            <w:pPr>
              <w:rPr>
                <w:rFonts w:ascii="Arial"/>
              </w:rPr>
            </w:pPr>
          </w:p>
        </w:tc>
        <w:tc>
          <w:tcPr>
            <w:tcW w:w="1956" w:type="dxa"/>
          </w:tcPr>
          <w:p w14:paraId="2C1DC19F">
            <w:pPr>
              <w:rPr>
                <w:rFonts w:ascii="Arial"/>
              </w:rPr>
            </w:pPr>
          </w:p>
        </w:tc>
        <w:tc>
          <w:tcPr>
            <w:tcW w:w="3081" w:type="dxa"/>
          </w:tcPr>
          <w:p w14:paraId="0C99AEE1">
            <w:pPr>
              <w:pStyle w:val="734"/>
              <w:spacing w:before="64" w:line="219" w:lineRule="auto"/>
              <w:ind w:left="109"/>
            </w:pPr>
            <w:r>
              <w:rPr>
                <w:spacing w:val="-1"/>
              </w:rPr>
              <w:t>HJ2516</w:t>
            </w:r>
            <w:r>
              <w:rPr>
                <w:spacing w:val="-34"/>
              </w:rPr>
              <w:t xml:space="preserve"> </w:t>
            </w:r>
            <w:r>
              <w:rPr>
                <w:spacing w:val="-1"/>
              </w:rPr>
              <w:t>投影仪</w:t>
            </w:r>
          </w:p>
        </w:tc>
      </w:tr>
      <w:tr w14:paraId="590C3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tcPr>
          <w:p w14:paraId="0E49463F">
            <w:pPr>
              <w:pStyle w:val="734"/>
              <w:spacing w:before="92" w:line="183" w:lineRule="auto"/>
              <w:ind w:left="114"/>
            </w:pPr>
            <w:r>
              <w:t>4</w:t>
            </w:r>
          </w:p>
        </w:tc>
        <w:tc>
          <w:tcPr>
            <w:tcW w:w="1343" w:type="dxa"/>
          </w:tcPr>
          <w:p w14:paraId="2C1895A9">
            <w:pPr>
              <w:pStyle w:val="734"/>
              <w:spacing w:before="64" w:line="219" w:lineRule="auto"/>
              <w:ind w:left="102"/>
            </w:pPr>
            <w:r>
              <w:rPr>
                <w:spacing w:val="-1"/>
              </w:rPr>
              <w:t>A020201</w:t>
            </w:r>
            <w:r>
              <w:rPr>
                <w:spacing w:val="-32"/>
              </w:rPr>
              <w:t xml:space="preserve"> </w:t>
            </w:r>
            <w:r>
              <w:rPr>
                <w:spacing w:val="-1"/>
              </w:rPr>
              <w:t>复印机</w:t>
            </w:r>
          </w:p>
        </w:tc>
        <w:tc>
          <w:tcPr>
            <w:tcW w:w="2324" w:type="dxa"/>
          </w:tcPr>
          <w:p w14:paraId="463245C4">
            <w:pPr>
              <w:rPr>
                <w:rFonts w:ascii="Arial"/>
              </w:rPr>
            </w:pPr>
          </w:p>
        </w:tc>
        <w:tc>
          <w:tcPr>
            <w:tcW w:w="1956" w:type="dxa"/>
          </w:tcPr>
          <w:p w14:paraId="11AB5416">
            <w:pPr>
              <w:rPr>
                <w:rFonts w:ascii="Arial"/>
              </w:rPr>
            </w:pPr>
          </w:p>
        </w:tc>
        <w:tc>
          <w:tcPr>
            <w:tcW w:w="3081" w:type="dxa"/>
          </w:tcPr>
          <w:p w14:paraId="74C58856">
            <w:pPr>
              <w:pStyle w:val="734"/>
              <w:spacing w:before="64" w:line="219" w:lineRule="auto"/>
              <w:ind w:left="109"/>
              <w:rPr>
                <w:lang w:eastAsia="zh-CN"/>
              </w:rPr>
            </w:pPr>
            <w:r>
              <w:rPr>
                <w:lang w:eastAsia="zh-CN"/>
              </w:rPr>
              <w:t>HJ424 数字式复印（包括多功能）设备</w:t>
            </w:r>
          </w:p>
        </w:tc>
      </w:tr>
      <w:tr w14:paraId="2D172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45614110">
            <w:pPr>
              <w:pStyle w:val="734"/>
              <w:spacing w:before="94" w:line="182" w:lineRule="auto"/>
              <w:ind w:left="118"/>
            </w:pPr>
            <w:r>
              <w:t>5</w:t>
            </w:r>
          </w:p>
        </w:tc>
        <w:tc>
          <w:tcPr>
            <w:tcW w:w="1343" w:type="dxa"/>
          </w:tcPr>
          <w:p w14:paraId="3F09C9FF">
            <w:pPr>
              <w:pStyle w:val="734"/>
              <w:spacing w:before="64" w:line="284" w:lineRule="auto"/>
              <w:ind w:left="110" w:right="108" w:hanging="8"/>
            </w:pPr>
            <w:r>
              <w:rPr>
                <w:spacing w:val="2"/>
              </w:rPr>
              <w:t>A020204</w:t>
            </w:r>
            <w:r>
              <w:rPr>
                <w:spacing w:val="44"/>
              </w:rPr>
              <w:t xml:space="preserve"> </w:t>
            </w:r>
            <w:r>
              <w:rPr>
                <w:spacing w:val="2"/>
              </w:rPr>
              <w:t>多功能</w:t>
            </w:r>
            <w:r>
              <w:rPr>
                <w:spacing w:val="-4"/>
              </w:rPr>
              <w:t>一体机</w:t>
            </w:r>
          </w:p>
        </w:tc>
        <w:tc>
          <w:tcPr>
            <w:tcW w:w="2324" w:type="dxa"/>
          </w:tcPr>
          <w:p w14:paraId="7597048A">
            <w:pPr>
              <w:rPr>
                <w:rFonts w:ascii="Arial"/>
              </w:rPr>
            </w:pPr>
          </w:p>
        </w:tc>
        <w:tc>
          <w:tcPr>
            <w:tcW w:w="1956" w:type="dxa"/>
          </w:tcPr>
          <w:p w14:paraId="3D961838">
            <w:pPr>
              <w:rPr>
                <w:rFonts w:ascii="Arial"/>
              </w:rPr>
            </w:pPr>
          </w:p>
        </w:tc>
        <w:tc>
          <w:tcPr>
            <w:tcW w:w="3081" w:type="dxa"/>
          </w:tcPr>
          <w:p w14:paraId="422C0060">
            <w:pPr>
              <w:pStyle w:val="734"/>
              <w:spacing w:before="64" w:line="219" w:lineRule="auto"/>
              <w:ind w:left="109"/>
              <w:rPr>
                <w:lang w:eastAsia="zh-CN"/>
              </w:rPr>
            </w:pPr>
            <w:r>
              <w:rPr>
                <w:lang w:eastAsia="zh-CN"/>
              </w:rPr>
              <w:t>HJ424 数字式复印（包括多功能）设备</w:t>
            </w:r>
          </w:p>
        </w:tc>
      </w:tr>
      <w:tr w14:paraId="5757B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6C92CBE7">
            <w:pPr>
              <w:pStyle w:val="734"/>
              <w:spacing w:before="94" w:line="183" w:lineRule="auto"/>
              <w:ind w:left="116"/>
            </w:pPr>
            <w:r>
              <w:t>6</w:t>
            </w:r>
          </w:p>
        </w:tc>
        <w:tc>
          <w:tcPr>
            <w:tcW w:w="1343" w:type="dxa"/>
          </w:tcPr>
          <w:p w14:paraId="56A55E18">
            <w:pPr>
              <w:pStyle w:val="734"/>
              <w:spacing w:before="66" w:line="283" w:lineRule="auto"/>
              <w:ind w:left="109" w:right="108" w:hanging="7"/>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324" w:type="dxa"/>
          </w:tcPr>
          <w:p w14:paraId="21179E41">
            <w:pPr>
              <w:pStyle w:val="734"/>
              <w:spacing w:before="65" w:line="219" w:lineRule="auto"/>
              <w:ind w:left="103"/>
            </w:pPr>
            <w:r>
              <w:t>A02021001 速印机</w:t>
            </w:r>
          </w:p>
        </w:tc>
        <w:tc>
          <w:tcPr>
            <w:tcW w:w="1956" w:type="dxa"/>
          </w:tcPr>
          <w:p w14:paraId="221EEDCB">
            <w:pPr>
              <w:rPr>
                <w:rFonts w:ascii="Arial"/>
              </w:rPr>
            </w:pPr>
          </w:p>
        </w:tc>
        <w:tc>
          <w:tcPr>
            <w:tcW w:w="3081" w:type="dxa"/>
          </w:tcPr>
          <w:p w14:paraId="179557D8">
            <w:pPr>
              <w:pStyle w:val="734"/>
              <w:spacing w:before="65" w:line="219" w:lineRule="auto"/>
              <w:ind w:left="109"/>
              <w:rPr>
                <w:lang w:eastAsia="zh-CN"/>
              </w:rPr>
            </w:pPr>
            <w:r>
              <w:rPr>
                <w:spacing w:val="-1"/>
                <w:lang w:eastAsia="zh-CN"/>
              </w:rPr>
              <w:t>HJ472 数字式一体化速印机</w:t>
            </w:r>
          </w:p>
        </w:tc>
      </w:tr>
      <w:tr w14:paraId="4EDE6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10" w:type="dxa"/>
          </w:tcPr>
          <w:p w14:paraId="5C19547C">
            <w:pPr>
              <w:pStyle w:val="734"/>
              <w:spacing w:before="95" w:line="182" w:lineRule="auto"/>
              <w:ind w:left="119"/>
            </w:pPr>
            <w:r>
              <w:t>7</w:t>
            </w:r>
          </w:p>
        </w:tc>
        <w:tc>
          <w:tcPr>
            <w:tcW w:w="1343" w:type="dxa"/>
          </w:tcPr>
          <w:p w14:paraId="52CB1248">
            <w:pPr>
              <w:pStyle w:val="734"/>
              <w:spacing w:before="67" w:line="301" w:lineRule="auto"/>
              <w:ind w:left="109" w:right="32" w:hanging="7"/>
              <w:rPr>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324" w:type="dxa"/>
          </w:tcPr>
          <w:p w14:paraId="538929F3">
            <w:pPr>
              <w:rPr>
                <w:rFonts w:ascii="Arial"/>
              </w:rPr>
            </w:pPr>
          </w:p>
        </w:tc>
        <w:tc>
          <w:tcPr>
            <w:tcW w:w="1956" w:type="dxa"/>
          </w:tcPr>
          <w:p w14:paraId="501B284B">
            <w:pPr>
              <w:rPr>
                <w:rFonts w:ascii="Arial"/>
              </w:rPr>
            </w:pPr>
          </w:p>
        </w:tc>
        <w:tc>
          <w:tcPr>
            <w:tcW w:w="3081" w:type="dxa"/>
          </w:tcPr>
          <w:p w14:paraId="3CE596FE">
            <w:pPr>
              <w:pStyle w:val="734"/>
              <w:spacing w:before="65" w:line="219" w:lineRule="auto"/>
              <w:ind w:left="109"/>
            </w:pPr>
            <w:r>
              <w:rPr>
                <w:spacing w:val="-1"/>
              </w:rPr>
              <w:t>HJ2532</w:t>
            </w:r>
            <w:r>
              <w:rPr>
                <w:spacing w:val="-35"/>
              </w:rPr>
              <w:t xml:space="preserve"> </w:t>
            </w:r>
            <w:r>
              <w:rPr>
                <w:spacing w:val="-1"/>
              </w:rPr>
              <w:t>轻型汽车</w:t>
            </w:r>
          </w:p>
        </w:tc>
      </w:tr>
      <w:tr w14:paraId="1B46D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10" w:type="dxa"/>
            <w:vMerge w:val="restart"/>
            <w:tcBorders>
              <w:bottom w:val="nil"/>
            </w:tcBorders>
          </w:tcPr>
          <w:p w14:paraId="464706F5">
            <w:pPr>
              <w:pStyle w:val="734"/>
              <w:spacing w:before="95" w:line="183" w:lineRule="auto"/>
              <w:ind w:left="115"/>
            </w:pPr>
            <w:r>
              <w:t>8</w:t>
            </w:r>
          </w:p>
        </w:tc>
        <w:tc>
          <w:tcPr>
            <w:tcW w:w="1343" w:type="dxa"/>
            <w:vMerge w:val="restart"/>
            <w:tcBorders>
              <w:bottom w:val="nil"/>
            </w:tcBorders>
          </w:tcPr>
          <w:p w14:paraId="2DE2B122">
            <w:pPr>
              <w:pStyle w:val="734"/>
              <w:spacing w:before="65" w:line="307" w:lineRule="auto"/>
              <w:ind w:left="112" w:right="108" w:hanging="10"/>
            </w:pPr>
            <w:r>
              <w:rPr>
                <w:spacing w:val="3"/>
              </w:rPr>
              <w:t>A020305</w:t>
            </w:r>
            <w:r>
              <w:rPr>
                <w:spacing w:val="34"/>
              </w:rPr>
              <w:t xml:space="preserve"> </w:t>
            </w:r>
            <w:r>
              <w:rPr>
                <w:spacing w:val="3"/>
              </w:rPr>
              <w:t>乘用车</w:t>
            </w:r>
            <w:r>
              <w:rPr>
                <w:spacing w:val="-3"/>
              </w:rPr>
              <w:t>（轿车）</w:t>
            </w:r>
          </w:p>
        </w:tc>
        <w:tc>
          <w:tcPr>
            <w:tcW w:w="2324" w:type="dxa"/>
          </w:tcPr>
          <w:p w14:paraId="6CB22DCE">
            <w:pPr>
              <w:pStyle w:val="734"/>
              <w:spacing w:before="66" w:line="220" w:lineRule="auto"/>
              <w:ind w:left="103"/>
            </w:pPr>
            <w:r>
              <w:t>A02030501 轿车</w:t>
            </w:r>
          </w:p>
        </w:tc>
        <w:tc>
          <w:tcPr>
            <w:tcW w:w="1956" w:type="dxa"/>
          </w:tcPr>
          <w:p w14:paraId="0A942A7B">
            <w:pPr>
              <w:rPr>
                <w:rFonts w:ascii="Arial"/>
              </w:rPr>
            </w:pPr>
          </w:p>
        </w:tc>
        <w:tc>
          <w:tcPr>
            <w:tcW w:w="3081" w:type="dxa"/>
          </w:tcPr>
          <w:p w14:paraId="712E60DC">
            <w:pPr>
              <w:pStyle w:val="734"/>
              <w:spacing w:before="66" w:line="219" w:lineRule="auto"/>
              <w:ind w:left="109"/>
            </w:pPr>
            <w:r>
              <w:rPr>
                <w:spacing w:val="-1"/>
              </w:rPr>
              <w:t>HJ2532</w:t>
            </w:r>
            <w:r>
              <w:rPr>
                <w:spacing w:val="-35"/>
              </w:rPr>
              <w:t xml:space="preserve"> </w:t>
            </w:r>
            <w:r>
              <w:rPr>
                <w:spacing w:val="-1"/>
              </w:rPr>
              <w:t>轻型汽车</w:t>
            </w:r>
          </w:p>
        </w:tc>
      </w:tr>
      <w:tr w14:paraId="4341D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06B04308">
            <w:pPr>
              <w:rPr>
                <w:rFonts w:ascii="Arial"/>
              </w:rPr>
            </w:pPr>
          </w:p>
        </w:tc>
        <w:tc>
          <w:tcPr>
            <w:tcW w:w="1343" w:type="dxa"/>
            <w:vMerge w:val="continue"/>
            <w:tcBorders>
              <w:top w:val="nil"/>
            </w:tcBorders>
          </w:tcPr>
          <w:p w14:paraId="33082F39">
            <w:pPr>
              <w:rPr>
                <w:rFonts w:ascii="Arial"/>
              </w:rPr>
            </w:pPr>
          </w:p>
        </w:tc>
        <w:tc>
          <w:tcPr>
            <w:tcW w:w="2324" w:type="dxa"/>
          </w:tcPr>
          <w:p w14:paraId="5C0862B7">
            <w:pPr>
              <w:pStyle w:val="734"/>
              <w:spacing w:before="66" w:line="220" w:lineRule="auto"/>
              <w:ind w:left="103"/>
            </w:pPr>
            <w:r>
              <w:rPr>
                <w:spacing w:val="-1"/>
              </w:rPr>
              <w:t>A02030599</w:t>
            </w:r>
            <w:r>
              <w:rPr>
                <w:spacing w:val="-28"/>
              </w:rPr>
              <w:t xml:space="preserve"> </w:t>
            </w:r>
            <w:r>
              <w:rPr>
                <w:spacing w:val="-1"/>
              </w:rPr>
              <w:t>其他乘用车（轿车）</w:t>
            </w:r>
          </w:p>
        </w:tc>
        <w:tc>
          <w:tcPr>
            <w:tcW w:w="1956" w:type="dxa"/>
          </w:tcPr>
          <w:p w14:paraId="48BFEB7C">
            <w:pPr>
              <w:rPr>
                <w:rFonts w:ascii="Arial"/>
              </w:rPr>
            </w:pPr>
          </w:p>
        </w:tc>
        <w:tc>
          <w:tcPr>
            <w:tcW w:w="3081" w:type="dxa"/>
          </w:tcPr>
          <w:p w14:paraId="05B9C832">
            <w:pPr>
              <w:pStyle w:val="734"/>
              <w:spacing w:before="66" w:line="219" w:lineRule="auto"/>
              <w:ind w:left="109"/>
            </w:pPr>
            <w:r>
              <w:rPr>
                <w:spacing w:val="-1"/>
              </w:rPr>
              <w:t>HJ2532</w:t>
            </w:r>
            <w:r>
              <w:rPr>
                <w:spacing w:val="-35"/>
              </w:rPr>
              <w:t xml:space="preserve"> </w:t>
            </w:r>
            <w:r>
              <w:rPr>
                <w:spacing w:val="-1"/>
              </w:rPr>
              <w:t>轻型汽车</w:t>
            </w:r>
          </w:p>
        </w:tc>
      </w:tr>
      <w:tr w14:paraId="1AD63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502D5B6A">
            <w:pPr>
              <w:pStyle w:val="734"/>
              <w:spacing w:before="94" w:line="183" w:lineRule="auto"/>
              <w:ind w:left="115"/>
            </w:pPr>
            <w:r>
              <w:t>9</w:t>
            </w:r>
          </w:p>
        </w:tc>
        <w:tc>
          <w:tcPr>
            <w:tcW w:w="1343" w:type="dxa"/>
          </w:tcPr>
          <w:p w14:paraId="7718C99F">
            <w:pPr>
              <w:pStyle w:val="734"/>
              <w:spacing w:before="66" w:line="220" w:lineRule="auto"/>
              <w:ind w:left="102"/>
            </w:pPr>
            <w:r>
              <w:rPr>
                <w:spacing w:val="-1"/>
              </w:rPr>
              <w:t>A020306</w:t>
            </w:r>
            <w:r>
              <w:rPr>
                <w:spacing w:val="-33"/>
              </w:rPr>
              <w:t xml:space="preserve"> </w:t>
            </w:r>
            <w:r>
              <w:rPr>
                <w:spacing w:val="-1"/>
              </w:rPr>
              <w:t>客车</w:t>
            </w:r>
          </w:p>
        </w:tc>
        <w:tc>
          <w:tcPr>
            <w:tcW w:w="2324" w:type="dxa"/>
          </w:tcPr>
          <w:p w14:paraId="0CFBC9FB">
            <w:pPr>
              <w:pStyle w:val="734"/>
              <w:spacing w:before="66" w:line="220" w:lineRule="auto"/>
              <w:ind w:left="103"/>
            </w:pPr>
            <w:r>
              <w:rPr>
                <w:spacing w:val="-1"/>
              </w:rPr>
              <w:t>A02030601</w:t>
            </w:r>
            <w:r>
              <w:rPr>
                <w:spacing w:val="-30"/>
              </w:rPr>
              <w:t xml:space="preserve"> </w:t>
            </w:r>
            <w:r>
              <w:rPr>
                <w:spacing w:val="-1"/>
              </w:rPr>
              <w:t>小型客车</w:t>
            </w:r>
          </w:p>
        </w:tc>
        <w:tc>
          <w:tcPr>
            <w:tcW w:w="1956" w:type="dxa"/>
          </w:tcPr>
          <w:p w14:paraId="32806758">
            <w:pPr>
              <w:rPr>
                <w:rFonts w:ascii="Arial"/>
              </w:rPr>
            </w:pPr>
          </w:p>
        </w:tc>
        <w:tc>
          <w:tcPr>
            <w:tcW w:w="3081" w:type="dxa"/>
          </w:tcPr>
          <w:p w14:paraId="0309678D">
            <w:pPr>
              <w:pStyle w:val="734"/>
              <w:spacing w:before="66" w:line="219" w:lineRule="auto"/>
              <w:ind w:left="109"/>
            </w:pPr>
            <w:r>
              <w:rPr>
                <w:spacing w:val="-1"/>
              </w:rPr>
              <w:t>HJ2532</w:t>
            </w:r>
            <w:r>
              <w:rPr>
                <w:spacing w:val="-35"/>
              </w:rPr>
              <w:t xml:space="preserve"> </w:t>
            </w:r>
            <w:r>
              <w:rPr>
                <w:spacing w:val="-1"/>
              </w:rPr>
              <w:t>轻型汽车</w:t>
            </w:r>
          </w:p>
        </w:tc>
      </w:tr>
      <w:tr w14:paraId="0E94C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263FDFC2">
            <w:pPr>
              <w:pStyle w:val="734"/>
              <w:spacing w:before="94" w:line="184" w:lineRule="auto"/>
              <w:ind w:left="128"/>
            </w:pPr>
            <w:r>
              <w:rPr>
                <w:spacing w:val="-10"/>
              </w:rPr>
              <w:t>10</w:t>
            </w:r>
          </w:p>
        </w:tc>
        <w:tc>
          <w:tcPr>
            <w:tcW w:w="1343" w:type="dxa"/>
          </w:tcPr>
          <w:p w14:paraId="7B77DEC1">
            <w:pPr>
              <w:pStyle w:val="734"/>
              <w:spacing w:before="66" w:line="283" w:lineRule="auto"/>
              <w:ind w:left="106" w:right="108" w:hanging="4"/>
            </w:pPr>
            <w:r>
              <w:rPr>
                <w:spacing w:val="3"/>
              </w:rPr>
              <w:t>A020307</w:t>
            </w:r>
            <w:r>
              <w:rPr>
                <w:spacing w:val="34"/>
              </w:rPr>
              <w:t xml:space="preserve"> </w:t>
            </w:r>
            <w:r>
              <w:rPr>
                <w:spacing w:val="3"/>
              </w:rPr>
              <w:t>专用车</w:t>
            </w:r>
            <w:r>
              <w:t xml:space="preserve"> 辆</w:t>
            </w:r>
          </w:p>
        </w:tc>
        <w:tc>
          <w:tcPr>
            <w:tcW w:w="2324" w:type="dxa"/>
          </w:tcPr>
          <w:p w14:paraId="40A984AE">
            <w:pPr>
              <w:pStyle w:val="734"/>
              <w:spacing w:before="66" w:line="220" w:lineRule="auto"/>
              <w:ind w:left="103"/>
            </w:pPr>
            <w:r>
              <w:rPr>
                <w:spacing w:val="-1"/>
              </w:rPr>
              <w:t>A02030799</w:t>
            </w:r>
            <w:r>
              <w:rPr>
                <w:spacing w:val="-30"/>
              </w:rPr>
              <w:t xml:space="preserve"> </w:t>
            </w:r>
            <w:r>
              <w:rPr>
                <w:spacing w:val="-1"/>
              </w:rPr>
              <w:t>其他专用汽车</w:t>
            </w:r>
          </w:p>
        </w:tc>
        <w:tc>
          <w:tcPr>
            <w:tcW w:w="1956" w:type="dxa"/>
          </w:tcPr>
          <w:p w14:paraId="4253D6B6">
            <w:pPr>
              <w:rPr>
                <w:rFonts w:ascii="Arial"/>
              </w:rPr>
            </w:pPr>
          </w:p>
        </w:tc>
        <w:tc>
          <w:tcPr>
            <w:tcW w:w="3081" w:type="dxa"/>
          </w:tcPr>
          <w:p w14:paraId="2560D33E">
            <w:pPr>
              <w:pStyle w:val="734"/>
              <w:spacing w:before="66" w:line="219" w:lineRule="auto"/>
              <w:ind w:left="109"/>
            </w:pPr>
            <w:r>
              <w:rPr>
                <w:spacing w:val="-1"/>
              </w:rPr>
              <w:t>HJ2532</w:t>
            </w:r>
            <w:r>
              <w:rPr>
                <w:spacing w:val="-35"/>
              </w:rPr>
              <w:t xml:space="preserve"> </w:t>
            </w:r>
            <w:r>
              <w:rPr>
                <w:spacing w:val="-1"/>
              </w:rPr>
              <w:t>轻型汽车</w:t>
            </w:r>
          </w:p>
        </w:tc>
      </w:tr>
      <w:tr w14:paraId="1C6BB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10" w:type="dxa"/>
            <w:vMerge w:val="restart"/>
            <w:tcBorders>
              <w:bottom w:val="nil"/>
            </w:tcBorders>
          </w:tcPr>
          <w:p w14:paraId="7C368CDE">
            <w:pPr>
              <w:pStyle w:val="734"/>
              <w:spacing w:before="97" w:line="184" w:lineRule="auto"/>
              <w:ind w:left="128"/>
            </w:pPr>
            <w:r>
              <w:rPr>
                <w:spacing w:val="-10"/>
              </w:rPr>
              <w:t>11</w:t>
            </w:r>
          </w:p>
        </w:tc>
        <w:tc>
          <w:tcPr>
            <w:tcW w:w="1343" w:type="dxa"/>
            <w:vMerge w:val="restart"/>
            <w:tcBorders>
              <w:bottom w:val="nil"/>
            </w:tcBorders>
          </w:tcPr>
          <w:p w14:paraId="53C72C64">
            <w:pPr>
              <w:pStyle w:val="734"/>
              <w:spacing w:before="70" w:line="307" w:lineRule="auto"/>
              <w:ind w:left="109" w:right="108" w:hanging="7"/>
            </w:pPr>
            <w:r>
              <w:rPr>
                <w:spacing w:val="3"/>
              </w:rPr>
              <w:t>A020523</w:t>
            </w:r>
            <w:r>
              <w:rPr>
                <w:spacing w:val="34"/>
              </w:rPr>
              <w:t xml:space="preserve"> </w:t>
            </w:r>
            <w:r>
              <w:rPr>
                <w:spacing w:val="3"/>
              </w:rPr>
              <w:t>制冷空</w:t>
            </w:r>
            <w:r>
              <w:rPr>
                <w:spacing w:val="-2"/>
              </w:rPr>
              <w:t>调设备</w:t>
            </w:r>
          </w:p>
        </w:tc>
        <w:tc>
          <w:tcPr>
            <w:tcW w:w="2324" w:type="dxa"/>
          </w:tcPr>
          <w:p w14:paraId="1AFEC907">
            <w:pPr>
              <w:pStyle w:val="734"/>
              <w:spacing w:before="70" w:line="219" w:lineRule="auto"/>
              <w:ind w:left="103"/>
            </w:pPr>
            <w:r>
              <w:t>A02052301 制冷压缩机</w:t>
            </w:r>
          </w:p>
        </w:tc>
        <w:tc>
          <w:tcPr>
            <w:tcW w:w="1956" w:type="dxa"/>
          </w:tcPr>
          <w:p w14:paraId="3B72DD12">
            <w:pPr>
              <w:rPr>
                <w:rFonts w:ascii="Arial"/>
              </w:rPr>
            </w:pPr>
          </w:p>
        </w:tc>
        <w:tc>
          <w:tcPr>
            <w:tcW w:w="3081" w:type="dxa"/>
          </w:tcPr>
          <w:p w14:paraId="4097D8FA">
            <w:pPr>
              <w:pStyle w:val="734"/>
              <w:spacing w:before="69" w:line="219" w:lineRule="auto"/>
              <w:ind w:left="109"/>
            </w:pPr>
            <w:r>
              <w:rPr>
                <w:spacing w:val="-1"/>
              </w:rPr>
              <w:t>HJ2531</w:t>
            </w:r>
            <w:r>
              <w:rPr>
                <w:spacing w:val="-32"/>
              </w:rPr>
              <w:t xml:space="preserve"> </w:t>
            </w:r>
            <w:r>
              <w:rPr>
                <w:spacing w:val="-1"/>
              </w:rPr>
              <w:t>工商用制冷设备</w:t>
            </w:r>
          </w:p>
        </w:tc>
      </w:tr>
      <w:tr w14:paraId="4DAE0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bottom w:val="nil"/>
            </w:tcBorders>
          </w:tcPr>
          <w:p w14:paraId="6B268DC9">
            <w:pPr>
              <w:rPr>
                <w:rFonts w:ascii="Arial"/>
              </w:rPr>
            </w:pPr>
          </w:p>
        </w:tc>
        <w:tc>
          <w:tcPr>
            <w:tcW w:w="1343" w:type="dxa"/>
            <w:vMerge w:val="continue"/>
            <w:tcBorders>
              <w:top w:val="nil"/>
              <w:bottom w:val="nil"/>
            </w:tcBorders>
          </w:tcPr>
          <w:p w14:paraId="411A383A">
            <w:pPr>
              <w:rPr>
                <w:rFonts w:ascii="Arial"/>
              </w:rPr>
            </w:pPr>
          </w:p>
        </w:tc>
        <w:tc>
          <w:tcPr>
            <w:tcW w:w="2324" w:type="dxa"/>
          </w:tcPr>
          <w:p w14:paraId="25EBEB9A">
            <w:pPr>
              <w:pStyle w:val="734"/>
              <w:spacing w:before="67" w:line="219" w:lineRule="auto"/>
              <w:ind w:left="103"/>
            </w:pPr>
            <w:r>
              <w:t>A02052305 空调机组</w:t>
            </w:r>
          </w:p>
        </w:tc>
        <w:tc>
          <w:tcPr>
            <w:tcW w:w="1956" w:type="dxa"/>
          </w:tcPr>
          <w:p w14:paraId="66BA4750">
            <w:pPr>
              <w:rPr>
                <w:rFonts w:ascii="Arial"/>
              </w:rPr>
            </w:pPr>
          </w:p>
        </w:tc>
        <w:tc>
          <w:tcPr>
            <w:tcW w:w="3081" w:type="dxa"/>
          </w:tcPr>
          <w:p w14:paraId="134EB623">
            <w:pPr>
              <w:pStyle w:val="734"/>
              <w:spacing w:before="67" w:line="219" w:lineRule="auto"/>
              <w:ind w:left="109"/>
            </w:pPr>
            <w:r>
              <w:rPr>
                <w:spacing w:val="-1"/>
              </w:rPr>
              <w:t>HJ2531</w:t>
            </w:r>
            <w:r>
              <w:rPr>
                <w:spacing w:val="-32"/>
              </w:rPr>
              <w:t xml:space="preserve"> </w:t>
            </w:r>
            <w:r>
              <w:rPr>
                <w:spacing w:val="-1"/>
              </w:rPr>
              <w:t>工商用制冷设备</w:t>
            </w:r>
          </w:p>
        </w:tc>
      </w:tr>
      <w:tr w14:paraId="50621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tcBorders>
          </w:tcPr>
          <w:p w14:paraId="28B5E4BA">
            <w:pPr>
              <w:rPr>
                <w:rFonts w:ascii="Arial"/>
              </w:rPr>
            </w:pPr>
          </w:p>
        </w:tc>
        <w:tc>
          <w:tcPr>
            <w:tcW w:w="1343" w:type="dxa"/>
            <w:vMerge w:val="continue"/>
            <w:tcBorders>
              <w:top w:val="nil"/>
            </w:tcBorders>
          </w:tcPr>
          <w:p w14:paraId="651473DB">
            <w:pPr>
              <w:rPr>
                <w:rFonts w:ascii="Arial"/>
              </w:rPr>
            </w:pPr>
          </w:p>
        </w:tc>
        <w:tc>
          <w:tcPr>
            <w:tcW w:w="2324" w:type="dxa"/>
          </w:tcPr>
          <w:p w14:paraId="5CAD92EA">
            <w:pPr>
              <w:pStyle w:val="734"/>
              <w:spacing w:before="67" w:line="221" w:lineRule="auto"/>
              <w:ind w:left="103"/>
              <w:rPr>
                <w:lang w:eastAsia="zh-CN"/>
              </w:rPr>
            </w:pPr>
            <w:r>
              <w:rPr>
                <w:spacing w:val="-2"/>
                <w:lang w:eastAsia="zh-CN"/>
              </w:rPr>
              <w:t>A02052309</w:t>
            </w:r>
            <w:r>
              <w:rPr>
                <w:spacing w:val="-27"/>
                <w:lang w:eastAsia="zh-CN"/>
              </w:rPr>
              <w:t xml:space="preserve"> </w:t>
            </w:r>
            <w:r>
              <w:rPr>
                <w:spacing w:val="-2"/>
                <w:lang w:eastAsia="zh-CN"/>
              </w:rPr>
              <w:t>专用制冷、空调设备</w:t>
            </w:r>
          </w:p>
        </w:tc>
        <w:tc>
          <w:tcPr>
            <w:tcW w:w="1956" w:type="dxa"/>
          </w:tcPr>
          <w:p w14:paraId="09EA0C9A">
            <w:pPr>
              <w:rPr>
                <w:rFonts w:ascii="Arial"/>
              </w:rPr>
            </w:pPr>
          </w:p>
        </w:tc>
        <w:tc>
          <w:tcPr>
            <w:tcW w:w="3081" w:type="dxa"/>
          </w:tcPr>
          <w:p w14:paraId="72F23181">
            <w:pPr>
              <w:pStyle w:val="734"/>
              <w:spacing w:before="67" w:line="219" w:lineRule="auto"/>
              <w:ind w:left="109"/>
            </w:pPr>
            <w:r>
              <w:rPr>
                <w:spacing w:val="-1"/>
              </w:rPr>
              <w:t>HJ2531</w:t>
            </w:r>
            <w:r>
              <w:rPr>
                <w:spacing w:val="-32"/>
              </w:rPr>
              <w:t xml:space="preserve"> </w:t>
            </w:r>
            <w:r>
              <w:rPr>
                <w:spacing w:val="-1"/>
              </w:rPr>
              <w:t>工商用制冷设备</w:t>
            </w:r>
          </w:p>
        </w:tc>
      </w:tr>
      <w:tr w14:paraId="21515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5F62DC43">
            <w:pPr>
              <w:pStyle w:val="734"/>
              <w:spacing w:before="96" w:line="184" w:lineRule="auto"/>
              <w:ind w:left="128"/>
            </w:pPr>
            <w:r>
              <w:rPr>
                <w:spacing w:val="-10"/>
              </w:rPr>
              <w:t>12</w:t>
            </w:r>
          </w:p>
        </w:tc>
        <w:tc>
          <w:tcPr>
            <w:tcW w:w="1343" w:type="dxa"/>
            <w:vMerge w:val="restart"/>
            <w:tcBorders>
              <w:bottom w:val="nil"/>
            </w:tcBorders>
          </w:tcPr>
          <w:p w14:paraId="6EA8F292">
            <w:pPr>
              <w:pStyle w:val="734"/>
              <w:spacing w:before="68" w:line="309" w:lineRule="auto"/>
              <w:ind w:left="128" w:right="108" w:hanging="26"/>
            </w:pPr>
            <w:r>
              <w:rPr>
                <w:spacing w:val="3"/>
              </w:rPr>
              <w:t>A020618</w:t>
            </w:r>
            <w:r>
              <w:rPr>
                <w:spacing w:val="34"/>
              </w:rPr>
              <w:t xml:space="preserve"> </w:t>
            </w:r>
            <w:r>
              <w:rPr>
                <w:spacing w:val="3"/>
              </w:rPr>
              <w:t>生活用</w:t>
            </w:r>
            <w:r>
              <w:rPr>
                <w:spacing w:val="-8"/>
              </w:rPr>
              <w:t>电器</w:t>
            </w:r>
          </w:p>
        </w:tc>
        <w:tc>
          <w:tcPr>
            <w:tcW w:w="2324" w:type="dxa"/>
          </w:tcPr>
          <w:p w14:paraId="626EAB05">
            <w:pPr>
              <w:pStyle w:val="734"/>
              <w:spacing w:before="68" w:line="221" w:lineRule="auto"/>
              <w:ind w:left="103"/>
            </w:pPr>
            <w:r>
              <w:rPr>
                <w:spacing w:val="-1"/>
              </w:rPr>
              <w:t>A02061802</w:t>
            </w:r>
            <w:r>
              <w:rPr>
                <w:spacing w:val="-29"/>
              </w:rPr>
              <w:t xml:space="preserve"> </w:t>
            </w:r>
            <w:r>
              <w:rPr>
                <w:spacing w:val="-1"/>
              </w:rPr>
              <w:t>空气调节电器</w:t>
            </w:r>
          </w:p>
        </w:tc>
        <w:tc>
          <w:tcPr>
            <w:tcW w:w="1956" w:type="dxa"/>
          </w:tcPr>
          <w:p w14:paraId="4AA3D2E1">
            <w:pPr>
              <w:pStyle w:val="734"/>
              <w:spacing w:before="68" w:line="219" w:lineRule="auto"/>
              <w:ind w:left="105"/>
            </w:pPr>
            <w:r>
              <w:rPr>
                <w:spacing w:val="-1"/>
              </w:rPr>
              <w:t>A0206180203</w:t>
            </w:r>
            <w:r>
              <w:rPr>
                <w:spacing w:val="-28"/>
              </w:rPr>
              <w:t xml:space="preserve"> </w:t>
            </w:r>
            <w:r>
              <w:rPr>
                <w:spacing w:val="-1"/>
              </w:rPr>
              <w:t>空调机</w:t>
            </w:r>
          </w:p>
        </w:tc>
        <w:tc>
          <w:tcPr>
            <w:tcW w:w="3081" w:type="dxa"/>
          </w:tcPr>
          <w:p w14:paraId="09DDE971">
            <w:pPr>
              <w:pStyle w:val="734"/>
              <w:spacing w:before="68" w:line="219" w:lineRule="auto"/>
              <w:ind w:left="109"/>
            </w:pPr>
            <w:r>
              <w:rPr>
                <w:spacing w:val="-1"/>
              </w:rPr>
              <w:t>HJ2535</w:t>
            </w:r>
            <w:r>
              <w:rPr>
                <w:spacing w:val="-32"/>
              </w:rPr>
              <w:t xml:space="preserve"> </w:t>
            </w:r>
            <w:r>
              <w:rPr>
                <w:spacing w:val="-1"/>
              </w:rPr>
              <w:t>房间空气调节器</w:t>
            </w:r>
          </w:p>
        </w:tc>
      </w:tr>
      <w:tr w14:paraId="5C39D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10" w:type="dxa"/>
            <w:vMerge w:val="continue"/>
            <w:tcBorders>
              <w:top w:val="nil"/>
            </w:tcBorders>
          </w:tcPr>
          <w:p w14:paraId="4870BDD9">
            <w:pPr>
              <w:rPr>
                <w:rFonts w:ascii="Arial"/>
              </w:rPr>
            </w:pPr>
          </w:p>
        </w:tc>
        <w:tc>
          <w:tcPr>
            <w:tcW w:w="1343" w:type="dxa"/>
            <w:vMerge w:val="continue"/>
            <w:tcBorders>
              <w:top w:val="nil"/>
            </w:tcBorders>
          </w:tcPr>
          <w:p w14:paraId="28301B01">
            <w:pPr>
              <w:rPr>
                <w:rFonts w:ascii="Arial"/>
              </w:rPr>
            </w:pPr>
          </w:p>
        </w:tc>
        <w:tc>
          <w:tcPr>
            <w:tcW w:w="2324" w:type="dxa"/>
          </w:tcPr>
          <w:p w14:paraId="5888C1CA">
            <w:pPr>
              <w:pStyle w:val="734"/>
              <w:spacing w:before="68" w:line="220" w:lineRule="auto"/>
              <w:ind w:left="103"/>
            </w:pPr>
            <w:r>
              <w:rPr>
                <w:spacing w:val="-1"/>
              </w:rPr>
              <w:t>A02061808</w:t>
            </w:r>
            <w:r>
              <w:rPr>
                <w:spacing w:val="-31"/>
              </w:rPr>
              <w:t xml:space="preserve"> </w:t>
            </w:r>
            <w:r>
              <w:rPr>
                <w:spacing w:val="-1"/>
              </w:rPr>
              <w:t>热水器</w:t>
            </w:r>
          </w:p>
        </w:tc>
        <w:tc>
          <w:tcPr>
            <w:tcW w:w="1956" w:type="dxa"/>
          </w:tcPr>
          <w:p w14:paraId="117F46B7">
            <w:pPr>
              <w:rPr>
                <w:rFonts w:ascii="Arial"/>
              </w:rPr>
            </w:pPr>
          </w:p>
        </w:tc>
        <w:tc>
          <w:tcPr>
            <w:tcW w:w="3081" w:type="dxa"/>
          </w:tcPr>
          <w:p w14:paraId="5AC89646">
            <w:pPr>
              <w:pStyle w:val="734"/>
              <w:spacing w:before="67" w:line="219" w:lineRule="auto"/>
              <w:ind w:left="109"/>
            </w:pPr>
            <w:r>
              <w:rPr>
                <w:spacing w:val="-1"/>
              </w:rPr>
              <w:t>HJ/T362</w:t>
            </w:r>
            <w:r>
              <w:rPr>
                <w:spacing w:val="-33"/>
              </w:rPr>
              <w:t xml:space="preserve"> </w:t>
            </w:r>
            <w:r>
              <w:rPr>
                <w:spacing w:val="-1"/>
              </w:rPr>
              <w:t>太阳能集热器</w:t>
            </w:r>
          </w:p>
        </w:tc>
      </w:tr>
      <w:tr w14:paraId="737E7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316CCD1A">
            <w:pPr>
              <w:pStyle w:val="734"/>
              <w:spacing w:before="95" w:line="184" w:lineRule="auto"/>
              <w:ind w:left="128"/>
            </w:pPr>
            <w:r>
              <w:rPr>
                <w:spacing w:val="-10"/>
              </w:rPr>
              <w:t>13</w:t>
            </w:r>
          </w:p>
        </w:tc>
        <w:tc>
          <w:tcPr>
            <w:tcW w:w="1343" w:type="dxa"/>
          </w:tcPr>
          <w:p w14:paraId="36052FE5">
            <w:pPr>
              <w:pStyle w:val="734"/>
              <w:spacing w:before="69" w:line="284" w:lineRule="auto"/>
              <w:ind w:left="109" w:right="108" w:hanging="7"/>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324" w:type="dxa"/>
          </w:tcPr>
          <w:p w14:paraId="000B28AE">
            <w:pPr>
              <w:pStyle w:val="734"/>
              <w:spacing w:before="68" w:line="220" w:lineRule="auto"/>
              <w:ind w:left="103"/>
            </w:pPr>
            <w:r>
              <w:rPr>
                <w:spacing w:val="-1"/>
              </w:rPr>
              <w:t>A02061908</w:t>
            </w:r>
            <w:r>
              <w:rPr>
                <w:spacing w:val="-29"/>
              </w:rPr>
              <w:t xml:space="preserve"> </w:t>
            </w:r>
            <w:r>
              <w:rPr>
                <w:spacing w:val="-1"/>
              </w:rPr>
              <w:t>室内照明灯具</w:t>
            </w:r>
          </w:p>
        </w:tc>
        <w:tc>
          <w:tcPr>
            <w:tcW w:w="1956" w:type="dxa"/>
          </w:tcPr>
          <w:p w14:paraId="47244F70">
            <w:pPr>
              <w:rPr>
                <w:rFonts w:ascii="Arial"/>
              </w:rPr>
            </w:pPr>
          </w:p>
        </w:tc>
        <w:tc>
          <w:tcPr>
            <w:tcW w:w="3081" w:type="dxa"/>
          </w:tcPr>
          <w:p w14:paraId="57084651">
            <w:pPr>
              <w:pStyle w:val="734"/>
              <w:spacing w:before="67" w:line="219" w:lineRule="auto"/>
              <w:ind w:left="109"/>
            </w:pPr>
            <w:r>
              <w:rPr>
                <w:spacing w:val="-1"/>
              </w:rPr>
              <w:t>HJ2518</w:t>
            </w:r>
            <w:r>
              <w:rPr>
                <w:spacing w:val="-35"/>
              </w:rPr>
              <w:t xml:space="preserve"> </w:t>
            </w:r>
            <w:r>
              <w:rPr>
                <w:spacing w:val="-1"/>
              </w:rPr>
              <w:t>照明光源</w:t>
            </w:r>
          </w:p>
        </w:tc>
      </w:tr>
      <w:tr w14:paraId="6DD65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tcPr>
          <w:p w14:paraId="55728F87">
            <w:pPr>
              <w:pStyle w:val="734"/>
              <w:spacing w:before="91" w:line="184" w:lineRule="auto"/>
              <w:ind w:left="128"/>
            </w:pPr>
            <w:r>
              <w:rPr>
                <w:spacing w:val="-10"/>
              </w:rPr>
              <w:t>14</w:t>
            </w:r>
          </w:p>
        </w:tc>
        <w:tc>
          <w:tcPr>
            <w:tcW w:w="1343" w:type="dxa"/>
          </w:tcPr>
          <w:p w14:paraId="26F90E2E">
            <w:pPr>
              <w:pStyle w:val="734"/>
              <w:spacing w:before="64" w:line="296" w:lineRule="auto"/>
              <w:ind w:left="109" w:right="106" w:hanging="7"/>
              <w:rPr>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324" w:type="dxa"/>
          </w:tcPr>
          <w:p w14:paraId="3BA1AFE9">
            <w:pPr>
              <w:pStyle w:val="734"/>
              <w:spacing w:before="64" w:line="219" w:lineRule="auto"/>
              <w:ind w:left="103"/>
            </w:pPr>
            <w:r>
              <w:rPr>
                <w:spacing w:val="-1"/>
              </w:rPr>
              <w:t>A02081001</w:t>
            </w:r>
            <w:r>
              <w:rPr>
                <w:spacing w:val="-30"/>
              </w:rPr>
              <w:t xml:space="preserve"> </w:t>
            </w:r>
            <w:r>
              <w:rPr>
                <w:spacing w:val="-1"/>
              </w:rPr>
              <w:t>传真通信设备</w:t>
            </w:r>
          </w:p>
        </w:tc>
        <w:tc>
          <w:tcPr>
            <w:tcW w:w="1956" w:type="dxa"/>
          </w:tcPr>
          <w:p w14:paraId="44E65623">
            <w:pPr>
              <w:rPr>
                <w:rFonts w:ascii="Arial"/>
              </w:rPr>
            </w:pPr>
          </w:p>
        </w:tc>
        <w:tc>
          <w:tcPr>
            <w:tcW w:w="3081" w:type="dxa"/>
          </w:tcPr>
          <w:p w14:paraId="5383440C">
            <w:pPr>
              <w:pStyle w:val="734"/>
              <w:spacing w:before="63"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618DE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tcPr>
          <w:p w14:paraId="52DC2D5F">
            <w:pPr>
              <w:pStyle w:val="734"/>
              <w:spacing w:before="92" w:line="184" w:lineRule="auto"/>
              <w:ind w:left="128"/>
            </w:pPr>
            <w:r>
              <w:rPr>
                <w:spacing w:val="-10"/>
              </w:rPr>
              <w:t>15</w:t>
            </w:r>
          </w:p>
        </w:tc>
        <w:tc>
          <w:tcPr>
            <w:tcW w:w="1343" w:type="dxa"/>
            <w:vMerge w:val="restart"/>
            <w:tcBorders>
              <w:bottom w:val="nil"/>
            </w:tcBorders>
          </w:tcPr>
          <w:p w14:paraId="63C57A70">
            <w:pPr>
              <w:pStyle w:val="734"/>
              <w:spacing w:before="65" w:line="307" w:lineRule="auto"/>
              <w:ind w:left="109" w:right="108" w:hanging="7"/>
            </w:pPr>
            <w:r>
              <w:rPr>
                <w:spacing w:val="1"/>
              </w:rPr>
              <w:t>A020910</w:t>
            </w:r>
            <w:r>
              <w:rPr>
                <w:spacing w:val="54"/>
              </w:rPr>
              <w:t xml:space="preserve"> </w:t>
            </w:r>
            <w:r>
              <w:rPr>
                <w:spacing w:val="1"/>
              </w:rPr>
              <w:t>电视设</w:t>
            </w:r>
            <w:r>
              <w:t xml:space="preserve"> 备</w:t>
            </w:r>
          </w:p>
        </w:tc>
        <w:tc>
          <w:tcPr>
            <w:tcW w:w="2324" w:type="dxa"/>
          </w:tcPr>
          <w:p w14:paraId="29F70E3B">
            <w:pPr>
              <w:pStyle w:val="734"/>
              <w:spacing w:before="64" w:line="284" w:lineRule="auto"/>
              <w:ind w:left="107" w:right="107" w:hanging="4"/>
              <w:rPr>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1956" w:type="dxa"/>
          </w:tcPr>
          <w:p w14:paraId="05E9A45C">
            <w:pPr>
              <w:rPr>
                <w:rFonts w:ascii="Arial"/>
              </w:rPr>
            </w:pPr>
          </w:p>
        </w:tc>
        <w:tc>
          <w:tcPr>
            <w:tcW w:w="3081" w:type="dxa"/>
          </w:tcPr>
          <w:p w14:paraId="6F53165D">
            <w:pPr>
              <w:pStyle w:val="734"/>
              <w:spacing w:before="64" w:line="219" w:lineRule="auto"/>
              <w:ind w:left="109"/>
              <w:rPr>
                <w:lang w:eastAsia="zh-CN"/>
              </w:rPr>
            </w:pPr>
            <w:r>
              <w:rPr>
                <w:spacing w:val="-1"/>
                <w:lang w:eastAsia="zh-CN"/>
              </w:rPr>
              <w:t>HJ2506</w:t>
            </w:r>
            <w:r>
              <w:rPr>
                <w:spacing w:val="-31"/>
                <w:lang w:eastAsia="zh-CN"/>
              </w:rPr>
              <w:t xml:space="preserve"> </w:t>
            </w:r>
            <w:r>
              <w:rPr>
                <w:spacing w:val="-1"/>
                <w:lang w:eastAsia="zh-CN"/>
              </w:rPr>
              <w:t>彩色电视广播接收机</w:t>
            </w:r>
          </w:p>
        </w:tc>
      </w:tr>
      <w:tr w14:paraId="16D61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tcPr>
          <w:p w14:paraId="1D34D18E">
            <w:pPr>
              <w:rPr>
                <w:rFonts w:ascii="Arial"/>
              </w:rPr>
            </w:pPr>
          </w:p>
        </w:tc>
        <w:tc>
          <w:tcPr>
            <w:tcW w:w="1343" w:type="dxa"/>
            <w:vMerge w:val="continue"/>
            <w:tcBorders>
              <w:top w:val="nil"/>
            </w:tcBorders>
          </w:tcPr>
          <w:p w14:paraId="0E57FEC5">
            <w:pPr>
              <w:rPr>
                <w:rFonts w:ascii="Arial"/>
              </w:rPr>
            </w:pPr>
          </w:p>
        </w:tc>
        <w:tc>
          <w:tcPr>
            <w:tcW w:w="2324" w:type="dxa"/>
          </w:tcPr>
          <w:p w14:paraId="60D5784C">
            <w:pPr>
              <w:pStyle w:val="734"/>
              <w:spacing w:before="67" w:line="284" w:lineRule="auto"/>
              <w:ind w:left="111" w:right="107" w:hanging="8"/>
              <w:rPr>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1956" w:type="dxa"/>
          </w:tcPr>
          <w:p w14:paraId="7874E64E">
            <w:pPr>
              <w:rPr>
                <w:rFonts w:ascii="Arial"/>
              </w:rPr>
            </w:pPr>
          </w:p>
        </w:tc>
        <w:tc>
          <w:tcPr>
            <w:tcW w:w="3081" w:type="dxa"/>
          </w:tcPr>
          <w:p w14:paraId="37B4315A">
            <w:pPr>
              <w:pStyle w:val="734"/>
              <w:spacing w:before="67" w:line="219" w:lineRule="auto"/>
              <w:ind w:left="109"/>
              <w:rPr>
                <w:lang w:eastAsia="zh-CN"/>
              </w:rPr>
            </w:pPr>
            <w:r>
              <w:rPr>
                <w:spacing w:val="-1"/>
                <w:lang w:eastAsia="zh-CN"/>
              </w:rPr>
              <w:t>HJ2506</w:t>
            </w:r>
            <w:r>
              <w:rPr>
                <w:spacing w:val="-31"/>
                <w:lang w:eastAsia="zh-CN"/>
              </w:rPr>
              <w:t xml:space="preserve"> </w:t>
            </w:r>
            <w:r>
              <w:rPr>
                <w:spacing w:val="-1"/>
                <w:lang w:eastAsia="zh-CN"/>
              </w:rPr>
              <w:t>彩色电视广播接收机</w:t>
            </w:r>
          </w:p>
        </w:tc>
      </w:tr>
      <w:tr w14:paraId="4A53C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restart"/>
            <w:tcBorders>
              <w:bottom w:val="nil"/>
            </w:tcBorders>
          </w:tcPr>
          <w:p w14:paraId="2F159C57">
            <w:pPr>
              <w:pStyle w:val="734"/>
              <w:spacing w:before="92" w:line="184" w:lineRule="auto"/>
              <w:ind w:left="128"/>
            </w:pPr>
            <w:r>
              <w:rPr>
                <w:spacing w:val="-10"/>
              </w:rPr>
              <w:t>16</w:t>
            </w:r>
          </w:p>
        </w:tc>
        <w:tc>
          <w:tcPr>
            <w:tcW w:w="1343" w:type="dxa"/>
            <w:vMerge w:val="restart"/>
            <w:tcBorders>
              <w:bottom w:val="nil"/>
            </w:tcBorders>
          </w:tcPr>
          <w:p w14:paraId="6B1B8A7F">
            <w:pPr>
              <w:pStyle w:val="734"/>
              <w:spacing w:before="65" w:line="220" w:lineRule="auto"/>
              <w:ind w:left="193"/>
            </w:pPr>
            <w:r>
              <w:rPr>
                <w:spacing w:val="-1"/>
              </w:rPr>
              <w:t>A0601</w:t>
            </w:r>
            <w:r>
              <w:rPr>
                <w:spacing w:val="-36"/>
              </w:rPr>
              <w:t xml:space="preserve"> </w:t>
            </w:r>
            <w:r>
              <w:rPr>
                <w:spacing w:val="-1"/>
              </w:rPr>
              <w:t>床类</w:t>
            </w:r>
          </w:p>
        </w:tc>
        <w:tc>
          <w:tcPr>
            <w:tcW w:w="2324" w:type="dxa"/>
          </w:tcPr>
          <w:p w14:paraId="1A9D22A0">
            <w:pPr>
              <w:pStyle w:val="734"/>
              <w:spacing w:before="65" w:line="220" w:lineRule="auto"/>
              <w:ind w:left="103"/>
            </w:pPr>
            <w:r>
              <w:rPr>
                <w:spacing w:val="-1"/>
              </w:rPr>
              <w:t>A060101</w:t>
            </w:r>
            <w:r>
              <w:rPr>
                <w:spacing w:val="-34"/>
              </w:rPr>
              <w:t xml:space="preserve"> </w:t>
            </w:r>
            <w:r>
              <w:rPr>
                <w:spacing w:val="-1"/>
              </w:rPr>
              <w:t>钢木床类</w:t>
            </w:r>
          </w:p>
        </w:tc>
        <w:tc>
          <w:tcPr>
            <w:tcW w:w="1956" w:type="dxa"/>
          </w:tcPr>
          <w:p w14:paraId="19460A9A">
            <w:pPr>
              <w:rPr>
                <w:rFonts w:ascii="Arial"/>
              </w:rPr>
            </w:pPr>
          </w:p>
        </w:tc>
        <w:tc>
          <w:tcPr>
            <w:tcW w:w="3081" w:type="dxa"/>
          </w:tcPr>
          <w:p w14:paraId="2F116B72">
            <w:pPr>
              <w:pStyle w:val="734"/>
              <w:spacing w:before="64"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028D6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10" w:type="dxa"/>
            <w:vMerge w:val="continue"/>
            <w:tcBorders>
              <w:top w:val="nil"/>
              <w:bottom w:val="nil"/>
            </w:tcBorders>
          </w:tcPr>
          <w:p w14:paraId="0A5639B9">
            <w:pPr>
              <w:rPr>
                <w:rFonts w:ascii="Arial"/>
              </w:rPr>
            </w:pPr>
          </w:p>
        </w:tc>
        <w:tc>
          <w:tcPr>
            <w:tcW w:w="1343" w:type="dxa"/>
            <w:vMerge w:val="continue"/>
            <w:tcBorders>
              <w:top w:val="nil"/>
              <w:bottom w:val="nil"/>
            </w:tcBorders>
          </w:tcPr>
          <w:p w14:paraId="28F12030">
            <w:pPr>
              <w:rPr>
                <w:rFonts w:ascii="Arial"/>
              </w:rPr>
            </w:pPr>
          </w:p>
        </w:tc>
        <w:tc>
          <w:tcPr>
            <w:tcW w:w="2324" w:type="dxa"/>
          </w:tcPr>
          <w:p w14:paraId="456C8AD5">
            <w:pPr>
              <w:pStyle w:val="734"/>
              <w:spacing w:before="65" w:line="220" w:lineRule="auto"/>
              <w:ind w:left="103"/>
            </w:pPr>
            <w:r>
              <w:rPr>
                <w:spacing w:val="-1"/>
              </w:rPr>
              <w:t>A060104</w:t>
            </w:r>
            <w:r>
              <w:rPr>
                <w:spacing w:val="-33"/>
              </w:rPr>
              <w:t xml:space="preserve"> </w:t>
            </w:r>
            <w:r>
              <w:rPr>
                <w:spacing w:val="-1"/>
              </w:rPr>
              <w:t>木制床类</w:t>
            </w:r>
          </w:p>
        </w:tc>
        <w:tc>
          <w:tcPr>
            <w:tcW w:w="1956" w:type="dxa"/>
          </w:tcPr>
          <w:p w14:paraId="7016EC76">
            <w:pPr>
              <w:rPr>
                <w:rFonts w:ascii="Arial"/>
              </w:rPr>
            </w:pPr>
          </w:p>
        </w:tc>
        <w:tc>
          <w:tcPr>
            <w:tcW w:w="3081" w:type="dxa"/>
          </w:tcPr>
          <w:p w14:paraId="3A7A57F7">
            <w:pPr>
              <w:pStyle w:val="734"/>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C6EE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05496DE4">
            <w:pPr>
              <w:rPr>
                <w:rFonts w:ascii="Arial"/>
              </w:rPr>
            </w:pPr>
          </w:p>
        </w:tc>
        <w:tc>
          <w:tcPr>
            <w:tcW w:w="1343" w:type="dxa"/>
            <w:vMerge w:val="continue"/>
            <w:tcBorders>
              <w:top w:val="nil"/>
            </w:tcBorders>
          </w:tcPr>
          <w:p w14:paraId="6D097F3F">
            <w:pPr>
              <w:rPr>
                <w:rFonts w:ascii="Arial"/>
              </w:rPr>
            </w:pPr>
          </w:p>
        </w:tc>
        <w:tc>
          <w:tcPr>
            <w:tcW w:w="2324" w:type="dxa"/>
          </w:tcPr>
          <w:p w14:paraId="2063864C">
            <w:pPr>
              <w:pStyle w:val="734"/>
              <w:spacing w:before="65" w:line="220" w:lineRule="auto"/>
              <w:ind w:left="103"/>
            </w:pPr>
            <w:r>
              <w:rPr>
                <w:spacing w:val="-1"/>
              </w:rPr>
              <w:t>A060199</w:t>
            </w:r>
            <w:r>
              <w:rPr>
                <w:spacing w:val="-33"/>
              </w:rPr>
              <w:t xml:space="preserve"> </w:t>
            </w:r>
            <w:r>
              <w:rPr>
                <w:spacing w:val="-1"/>
              </w:rPr>
              <w:t>其他床类</w:t>
            </w:r>
          </w:p>
        </w:tc>
        <w:tc>
          <w:tcPr>
            <w:tcW w:w="1956" w:type="dxa"/>
          </w:tcPr>
          <w:p w14:paraId="2523C3E3">
            <w:pPr>
              <w:rPr>
                <w:rFonts w:ascii="Arial"/>
              </w:rPr>
            </w:pPr>
          </w:p>
        </w:tc>
        <w:tc>
          <w:tcPr>
            <w:tcW w:w="3081" w:type="dxa"/>
          </w:tcPr>
          <w:p w14:paraId="681EB0BB">
            <w:pPr>
              <w:pStyle w:val="734"/>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20ABE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463641C9">
            <w:pPr>
              <w:pStyle w:val="734"/>
              <w:spacing w:before="93" w:line="184" w:lineRule="auto"/>
              <w:ind w:left="128"/>
            </w:pPr>
            <w:r>
              <w:rPr>
                <w:spacing w:val="-10"/>
              </w:rPr>
              <w:t>17</w:t>
            </w:r>
          </w:p>
        </w:tc>
        <w:tc>
          <w:tcPr>
            <w:tcW w:w="1343" w:type="dxa"/>
            <w:vMerge w:val="restart"/>
            <w:tcBorders>
              <w:bottom w:val="nil"/>
            </w:tcBorders>
          </w:tcPr>
          <w:p w14:paraId="2A8699C2">
            <w:pPr>
              <w:pStyle w:val="734"/>
              <w:spacing w:before="65" w:line="220" w:lineRule="auto"/>
              <w:ind w:left="102"/>
            </w:pPr>
            <w:r>
              <w:rPr>
                <w:spacing w:val="-2"/>
              </w:rPr>
              <w:t>A0602</w:t>
            </w:r>
            <w:r>
              <w:rPr>
                <w:spacing w:val="-22"/>
              </w:rPr>
              <w:t xml:space="preserve"> </w:t>
            </w:r>
            <w:r>
              <w:rPr>
                <w:spacing w:val="-2"/>
              </w:rPr>
              <w:t>台、桌类</w:t>
            </w:r>
          </w:p>
        </w:tc>
        <w:tc>
          <w:tcPr>
            <w:tcW w:w="2324" w:type="dxa"/>
          </w:tcPr>
          <w:p w14:paraId="08C563DF">
            <w:pPr>
              <w:pStyle w:val="734"/>
              <w:spacing w:before="65" w:line="220" w:lineRule="auto"/>
              <w:ind w:left="103"/>
            </w:pPr>
            <w:r>
              <w:rPr>
                <w:spacing w:val="-1"/>
              </w:rPr>
              <w:t>A060201</w:t>
            </w:r>
            <w:r>
              <w:rPr>
                <w:spacing w:val="-29"/>
              </w:rPr>
              <w:t xml:space="preserve"> </w:t>
            </w:r>
            <w:r>
              <w:rPr>
                <w:spacing w:val="-1"/>
              </w:rPr>
              <w:t>钢木台、桌类</w:t>
            </w:r>
          </w:p>
        </w:tc>
        <w:tc>
          <w:tcPr>
            <w:tcW w:w="1956" w:type="dxa"/>
          </w:tcPr>
          <w:p w14:paraId="179524ED">
            <w:pPr>
              <w:rPr>
                <w:rFonts w:ascii="Arial"/>
              </w:rPr>
            </w:pPr>
          </w:p>
        </w:tc>
        <w:tc>
          <w:tcPr>
            <w:tcW w:w="3081" w:type="dxa"/>
          </w:tcPr>
          <w:p w14:paraId="4FB65371">
            <w:pPr>
              <w:pStyle w:val="734"/>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670F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tcPr>
          <w:p w14:paraId="7E4FD8CF">
            <w:pPr>
              <w:rPr>
                <w:rFonts w:ascii="Arial"/>
              </w:rPr>
            </w:pPr>
          </w:p>
        </w:tc>
        <w:tc>
          <w:tcPr>
            <w:tcW w:w="1343" w:type="dxa"/>
            <w:vMerge w:val="continue"/>
            <w:tcBorders>
              <w:top w:val="nil"/>
              <w:bottom w:val="nil"/>
            </w:tcBorders>
          </w:tcPr>
          <w:p w14:paraId="583D72C3">
            <w:pPr>
              <w:rPr>
                <w:rFonts w:ascii="Arial"/>
              </w:rPr>
            </w:pPr>
          </w:p>
        </w:tc>
        <w:tc>
          <w:tcPr>
            <w:tcW w:w="2324" w:type="dxa"/>
          </w:tcPr>
          <w:p w14:paraId="48687C87">
            <w:pPr>
              <w:pStyle w:val="734"/>
              <w:spacing w:before="65" w:line="220" w:lineRule="auto"/>
              <w:ind w:left="103"/>
            </w:pPr>
            <w:r>
              <w:rPr>
                <w:spacing w:val="-1"/>
              </w:rPr>
              <w:t>A060205</w:t>
            </w:r>
            <w:r>
              <w:rPr>
                <w:spacing w:val="-29"/>
              </w:rPr>
              <w:t xml:space="preserve"> </w:t>
            </w:r>
            <w:r>
              <w:rPr>
                <w:spacing w:val="-1"/>
              </w:rPr>
              <w:t>木制台、桌类</w:t>
            </w:r>
          </w:p>
        </w:tc>
        <w:tc>
          <w:tcPr>
            <w:tcW w:w="1956" w:type="dxa"/>
          </w:tcPr>
          <w:p w14:paraId="6B7E3124">
            <w:pPr>
              <w:rPr>
                <w:rFonts w:ascii="Arial"/>
              </w:rPr>
            </w:pPr>
          </w:p>
        </w:tc>
        <w:tc>
          <w:tcPr>
            <w:tcW w:w="3081" w:type="dxa"/>
          </w:tcPr>
          <w:p w14:paraId="633013B5">
            <w:pPr>
              <w:pStyle w:val="734"/>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4146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774D4BE2">
            <w:pPr>
              <w:rPr>
                <w:rFonts w:ascii="Arial"/>
              </w:rPr>
            </w:pPr>
          </w:p>
        </w:tc>
        <w:tc>
          <w:tcPr>
            <w:tcW w:w="1343" w:type="dxa"/>
            <w:vMerge w:val="continue"/>
            <w:tcBorders>
              <w:top w:val="nil"/>
            </w:tcBorders>
          </w:tcPr>
          <w:p w14:paraId="6B650E2B">
            <w:pPr>
              <w:rPr>
                <w:rFonts w:ascii="Arial"/>
              </w:rPr>
            </w:pPr>
          </w:p>
        </w:tc>
        <w:tc>
          <w:tcPr>
            <w:tcW w:w="2324" w:type="dxa"/>
          </w:tcPr>
          <w:p w14:paraId="1EDD6535">
            <w:pPr>
              <w:pStyle w:val="734"/>
              <w:spacing w:before="66" w:line="220" w:lineRule="auto"/>
              <w:ind w:left="103"/>
            </w:pPr>
            <w:r>
              <w:rPr>
                <w:spacing w:val="-1"/>
              </w:rPr>
              <w:t>A060299</w:t>
            </w:r>
            <w:r>
              <w:rPr>
                <w:spacing w:val="-29"/>
              </w:rPr>
              <w:t xml:space="preserve"> </w:t>
            </w:r>
            <w:r>
              <w:rPr>
                <w:spacing w:val="-1"/>
              </w:rPr>
              <w:t>其他台、桌类</w:t>
            </w:r>
          </w:p>
        </w:tc>
        <w:tc>
          <w:tcPr>
            <w:tcW w:w="1956" w:type="dxa"/>
          </w:tcPr>
          <w:p w14:paraId="2E807726">
            <w:pPr>
              <w:rPr>
                <w:rFonts w:ascii="Arial"/>
              </w:rPr>
            </w:pPr>
          </w:p>
        </w:tc>
        <w:tc>
          <w:tcPr>
            <w:tcW w:w="3081" w:type="dxa"/>
          </w:tcPr>
          <w:p w14:paraId="1167BEEE">
            <w:pPr>
              <w:pStyle w:val="734"/>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9F1D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2DBDBAB0">
            <w:pPr>
              <w:pStyle w:val="734"/>
              <w:spacing w:before="94" w:line="184" w:lineRule="auto"/>
              <w:ind w:left="128"/>
            </w:pPr>
            <w:r>
              <w:rPr>
                <w:spacing w:val="-10"/>
              </w:rPr>
              <w:t>18</w:t>
            </w:r>
          </w:p>
        </w:tc>
        <w:tc>
          <w:tcPr>
            <w:tcW w:w="1343" w:type="dxa"/>
            <w:vMerge w:val="restart"/>
            <w:tcBorders>
              <w:bottom w:val="nil"/>
            </w:tcBorders>
          </w:tcPr>
          <w:p w14:paraId="62AFBFF0">
            <w:pPr>
              <w:pStyle w:val="734"/>
              <w:spacing w:before="66" w:line="220" w:lineRule="auto"/>
              <w:ind w:left="102"/>
            </w:pPr>
            <w:r>
              <w:rPr>
                <w:spacing w:val="-1"/>
              </w:rPr>
              <w:t>A0603</w:t>
            </w:r>
            <w:r>
              <w:rPr>
                <w:spacing w:val="-36"/>
              </w:rPr>
              <w:t xml:space="preserve"> </w:t>
            </w:r>
            <w:r>
              <w:rPr>
                <w:spacing w:val="-1"/>
              </w:rPr>
              <w:t>椅凳类</w:t>
            </w:r>
          </w:p>
        </w:tc>
        <w:tc>
          <w:tcPr>
            <w:tcW w:w="2324" w:type="dxa"/>
          </w:tcPr>
          <w:p w14:paraId="0B633767">
            <w:pPr>
              <w:pStyle w:val="734"/>
              <w:spacing w:before="66" w:line="220" w:lineRule="auto"/>
              <w:ind w:left="103"/>
            </w:pPr>
            <w:r>
              <w:rPr>
                <w:spacing w:val="-1"/>
              </w:rPr>
              <w:t>A060301</w:t>
            </w:r>
            <w:r>
              <w:rPr>
                <w:spacing w:val="-46"/>
              </w:rPr>
              <w:t xml:space="preserve"> </w:t>
            </w:r>
            <w:r>
              <w:rPr>
                <w:spacing w:val="-1"/>
              </w:rPr>
              <w:t>金属骨架为主的椅凳类</w:t>
            </w:r>
          </w:p>
        </w:tc>
        <w:tc>
          <w:tcPr>
            <w:tcW w:w="1956" w:type="dxa"/>
          </w:tcPr>
          <w:p w14:paraId="78511C64">
            <w:pPr>
              <w:rPr>
                <w:rFonts w:ascii="Arial"/>
              </w:rPr>
            </w:pPr>
          </w:p>
        </w:tc>
        <w:tc>
          <w:tcPr>
            <w:tcW w:w="3081" w:type="dxa"/>
          </w:tcPr>
          <w:p w14:paraId="5ABB2E73">
            <w:pPr>
              <w:pStyle w:val="734"/>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8CC5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tcPr>
          <w:p w14:paraId="2CEC34C3">
            <w:pPr>
              <w:rPr>
                <w:rFonts w:ascii="Arial"/>
              </w:rPr>
            </w:pPr>
          </w:p>
        </w:tc>
        <w:tc>
          <w:tcPr>
            <w:tcW w:w="1343" w:type="dxa"/>
            <w:vMerge w:val="continue"/>
            <w:tcBorders>
              <w:top w:val="nil"/>
              <w:bottom w:val="nil"/>
            </w:tcBorders>
          </w:tcPr>
          <w:p w14:paraId="7CB0DA0E">
            <w:pPr>
              <w:rPr>
                <w:rFonts w:ascii="Arial"/>
              </w:rPr>
            </w:pPr>
          </w:p>
        </w:tc>
        <w:tc>
          <w:tcPr>
            <w:tcW w:w="2324" w:type="dxa"/>
          </w:tcPr>
          <w:p w14:paraId="27AA3449">
            <w:pPr>
              <w:pStyle w:val="734"/>
              <w:spacing w:before="66" w:line="220" w:lineRule="auto"/>
              <w:ind w:left="103"/>
            </w:pPr>
            <w:r>
              <w:rPr>
                <w:spacing w:val="-1"/>
              </w:rPr>
              <w:t>A060302</w:t>
            </w:r>
            <w:r>
              <w:rPr>
                <w:spacing w:val="-29"/>
              </w:rPr>
              <w:t xml:space="preserve"> </w:t>
            </w:r>
            <w:r>
              <w:rPr>
                <w:spacing w:val="-1"/>
              </w:rPr>
              <w:t>木骨架为主的椅凳类</w:t>
            </w:r>
          </w:p>
        </w:tc>
        <w:tc>
          <w:tcPr>
            <w:tcW w:w="1956" w:type="dxa"/>
          </w:tcPr>
          <w:p w14:paraId="47A4AF42">
            <w:pPr>
              <w:rPr>
                <w:rFonts w:ascii="Arial"/>
              </w:rPr>
            </w:pPr>
          </w:p>
        </w:tc>
        <w:tc>
          <w:tcPr>
            <w:tcW w:w="3081" w:type="dxa"/>
          </w:tcPr>
          <w:p w14:paraId="13E44F8B">
            <w:pPr>
              <w:pStyle w:val="734"/>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610D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120445D5">
            <w:pPr>
              <w:rPr>
                <w:rFonts w:ascii="Arial"/>
              </w:rPr>
            </w:pPr>
          </w:p>
        </w:tc>
        <w:tc>
          <w:tcPr>
            <w:tcW w:w="1343" w:type="dxa"/>
            <w:vMerge w:val="continue"/>
            <w:tcBorders>
              <w:top w:val="nil"/>
            </w:tcBorders>
          </w:tcPr>
          <w:p w14:paraId="48F7C43C">
            <w:pPr>
              <w:rPr>
                <w:rFonts w:ascii="Arial"/>
              </w:rPr>
            </w:pPr>
          </w:p>
        </w:tc>
        <w:tc>
          <w:tcPr>
            <w:tcW w:w="2324" w:type="dxa"/>
          </w:tcPr>
          <w:p w14:paraId="6430130D">
            <w:pPr>
              <w:pStyle w:val="734"/>
              <w:spacing w:before="67" w:line="220" w:lineRule="auto"/>
              <w:ind w:left="103"/>
            </w:pPr>
            <w:r>
              <w:rPr>
                <w:spacing w:val="-1"/>
              </w:rPr>
              <w:t>A060399</w:t>
            </w:r>
            <w:r>
              <w:rPr>
                <w:spacing w:val="-33"/>
              </w:rPr>
              <w:t xml:space="preserve"> </w:t>
            </w:r>
            <w:r>
              <w:rPr>
                <w:spacing w:val="-1"/>
              </w:rPr>
              <w:t>其他椅凳类</w:t>
            </w:r>
          </w:p>
        </w:tc>
        <w:tc>
          <w:tcPr>
            <w:tcW w:w="1956" w:type="dxa"/>
          </w:tcPr>
          <w:p w14:paraId="2357D116">
            <w:pPr>
              <w:rPr>
                <w:rFonts w:ascii="Arial"/>
              </w:rPr>
            </w:pPr>
          </w:p>
        </w:tc>
        <w:tc>
          <w:tcPr>
            <w:tcW w:w="3081" w:type="dxa"/>
          </w:tcPr>
          <w:p w14:paraId="7AFCFA07">
            <w:pPr>
              <w:pStyle w:val="734"/>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C242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5E4FAD60">
            <w:pPr>
              <w:pStyle w:val="734"/>
              <w:spacing w:before="95" w:line="184" w:lineRule="auto"/>
              <w:ind w:left="128"/>
            </w:pPr>
            <w:r>
              <w:rPr>
                <w:spacing w:val="-10"/>
              </w:rPr>
              <w:t>19</w:t>
            </w:r>
          </w:p>
        </w:tc>
        <w:tc>
          <w:tcPr>
            <w:tcW w:w="1343" w:type="dxa"/>
          </w:tcPr>
          <w:p w14:paraId="31BB2E84">
            <w:pPr>
              <w:pStyle w:val="734"/>
              <w:spacing w:before="67" w:line="220" w:lineRule="auto"/>
              <w:ind w:left="102"/>
            </w:pPr>
            <w:r>
              <w:rPr>
                <w:spacing w:val="-1"/>
              </w:rPr>
              <w:t>A0604</w:t>
            </w:r>
            <w:r>
              <w:rPr>
                <w:spacing w:val="-35"/>
              </w:rPr>
              <w:t xml:space="preserve"> </w:t>
            </w:r>
            <w:r>
              <w:rPr>
                <w:spacing w:val="-1"/>
              </w:rPr>
              <w:t>沙发类</w:t>
            </w:r>
          </w:p>
        </w:tc>
        <w:tc>
          <w:tcPr>
            <w:tcW w:w="2324" w:type="dxa"/>
          </w:tcPr>
          <w:p w14:paraId="74F45458">
            <w:pPr>
              <w:pStyle w:val="734"/>
              <w:spacing w:before="67" w:line="220" w:lineRule="auto"/>
              <w:ind w:left="103"/>
            </w:pPr>
            <w:r>
              <w:rPr>
                <w:spacing w:val="-1"/>
              </w:rPr>
              <w:t>A060499</w:t>
            </w:r>
            <w:r>
              <w:rPr>
                <w:spacing w:val="-33"/>
              </w:rPr>
              <w:t xml:space="preserve"> </w:t>
            </w:r>
            <w:r>
              <w:rPr>
                <w:spacing w:val="-1"/>
              </w:rPr>
              <w:t>其他沙发类</w:t>
            </w:r>
          </w:p>
        </w:tc>
        <w:tc>
          <w:tcPr>
            <w:tcW w:w="1956" w:type="dxa"/>
          </w:tcPr>
          <w:p w14:paraId="5C549E5E">
            <w:pPr>
              <w:rPr>
                <w:rFonts w:ascii="Arial"/>
              </w:rPr>
            </w:pPr>
          </w:p>
        </w:tc>
        <w:tc>
          <w:tcPr>
            <w:tcW w:w="3081" w:type="dxa"/>
          </w:tcPr>
          <w:p w14:paraId="354C534B">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D07F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211BF575">
            <w:pPr>
              <w:pStyle w:val="734"/>
              <w:spacing w:before="96" w:line="183" w:lineRule="auto"/>
              <w:ind w:left="116"/>
            </w:pPr>
            <w:r>
              <w:rPr>
                <w:spacing w:val="-4"/>
              </w:rPr>
              <w:t>20</w:t>
            </w:r>
          </w:p>
        </w:tc>
        <w:tc>
          <w:tcPr>
            <w:tcW w:w="1343" w:type="dxa"/>
            <w:vMerge w:val="restart"/>
            <w:tcBorders>
              <w:bottom w:val="nil"/>
            </w:tcBorders>
          </w:tcPr>
          <w:p w14:paraId="48A44A3E">
            <w:pPr>
              <w:pStyle w:val="734"/>
              <w:spacing w:before="67" w:line="220" w:lineRule="auto"/>
              <w:ind w:left="193"/>
            </w:pPr>
            <w:r>
              <w:rPr>
                <w:spacing w:val="-1"/>
              </w:rPr>
              <w:t>A0605</w:t>
            </w:r>
            <w:r>
              <w:rPr>
                <w:spacing w:val="-36"/>
              </w:rPr>
              <w:t xml:space="preserve"> </w:t>
            </w:r>
            <w:r>
              <w:rPr>
                <w:spacing w:val="-1"/>
              </w:rPr>
              <w:t>柜类</w:t>
            </w:r>
          </w:p>
        </w:tc>
        <w:tc>
          <w:tcPr>
            <w:tcW w:w="2324" w:type="dxa"/>
          </w:tcPr>
          <w:p w14:paraId="61C103F7">
            <w:pPr>
              <w:pStyle w:val="734"/>
              <w:spacing w:before="67" w:line="220" w:lineRule="auto"/>
              <w:ind w:left="103"/>
            </w:pPr>
            <w:r>
              <w:rPr>
                <w:spacing w:val="-1"/>
              </w:rPr>
              <w:t>A060501</w:t>
            </w:r>
            <w:r>
              <w:rPr>
                <w:spacing w:val="-33"/>
              </w:rPr>
              <w:t xml:space="preserve"> </w:t>
            </w:r>
            <w:r>
              <w:rPr>
                <w:spacing w:val="-1"/>
              </w:rPr>
              <w:t>木质柜类</w:t>
            </w:r>
          </w:p>
        </w:tc>
        <w:tc>
          <w:tcPr>
            <w:tcW w:w="1956" w:type="dxa"/>
          </w:tcPr>
          <w:p w14:paraId="44C1F398">
            <w:pPr>
              <w:rPr>
                <w:rFonts w:ascii="Arial"/>
              </w:rPr>
            </w:pPr>
          </w:p>
        </w:tc>
        <w:tc>
          <w:tcPr>
            <w:tcW w:w="3081" w:type="dxa"/>
          </w:tcPr>
          <w:p w14:paraId="5FAAF864">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2BCF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767EFFD0">
            <w:pPr>
              <w:rPr>
                <w:rFonts w:ascii="Arial"/>
              </w:rPr>
            </w:pPr>
          </w:p>
        </w:tc>
        <w:tc>
          <w:tcPr>
            <w:tcW w:w="1343" w:type="dxa"/>
            <w:vMerge w:val="continue"/>
            <w:tcBorders>
              <w:top w:val="nil"/>
              <w:bottom w:val="nil"/>
            </w:tcBorders>
          </w:tcPr>
          <w:p w14:paraId="0128C81A">
            <w:pPr>
              <w:rPr>
                <w:rFonts w:ascii="Arial"/>
              </w:rPr>
            </w:pPr>
          </w:p>
        </w:tc>
        <w:tc>
          <w:tcPr>
            <w:tcW w:w="2324" w:type="dxa"/>
          </w:tcPr>
          <w:p w14:paraId="1491328A">
            <w:pPr>
              <w:pStyle w:val="734"/>
              <w:spacing w:before="67" w:line="220" w:lineRule="auto"/>
              <w:ind w:left="103"/>
            </w:pPr>
            <w:r>
              <w:rPr>
                <w:spacing w:val="-1"/>
              </w:rPr>
              <w:t>A060503</w:t>
            </w:r>
            <w:r>
              <w:rPr>
                <w:spacing w:val="-32"/>
              </w:rPr>
              <w:t xml:space="preserve"> </w:t>
            </w:r>
            <w:r>
              <w:rPr>
                <w:spacing w:val="-1"/>
              </w:rPr>
              <w:t>金属质柜类</w:t>
            </w:r>
          </w:p>
        </w:tc>
        <w:tc>
          <w:tcPr>
            <w:tcW w:w="1956" w:type="dxa"/>
          </w:tcPr>
          <w:p w14:paraId="214C883D">
            <w:pPr>
              <w:rPr>
                <w:rFonts w:ascii="Arial"/>
              </w:rPr>
            </w:pPr>
          </w:p>
        </w:tc>
        <w:tc>
          <w:tcPr>
            <w:tcW w:w="3081" w:type="dxa"/>
          </w:tcPr>
          <w:p w14:paraId="101362AB">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F186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36203ABE">
            <w:pPr>
              <w:rPr>
                <w:rFonts w:ascii="Arial"/>
              </w:rPr>
            </w:pPr>
          </w:p>
        </w:tc>
        <w:tc>
          <w:tcPr>
            <w:tcW w:w="1343" w:type="dxa"/>
            <w:vMerge w:val="continue"/>
            <w:tcBorders>
              <w:top w:val="nil"/>
            </w:tcBorders>
          </w:tcPr>
          <w:p w14:paraId="0D7A489E">
            <w:pPr>
              <w:rPr>
                <w:rFonts w:ascii="Arial"/>
              </w:rPr>
            </w:pPr>
          </w:p>
        </w:tc>
        <w:tc>
          <w:tcPr>
            <w:tcW w:w="2324" w:type="dxa"/>
          </w:tcPr>
          <w:p w14:paraId="274094B7">
            <w:pPr>
              <w:pStyle w:val="734"/>
              <w:spacing w:before="67" w:line="220" w:lineRule="auto"/>
              <w:ind w:left="103"/>
            </w:pPr>
            <w:r>
              <w:rPr>
                <w:spacing w:val="-1"/>
              </w:rPr>
              <w:t>A060599</w:t>
            </w:r>
            <w:r>
              <w:rPr>
                <w:spacing w:val="-33"/>
              </w:rPr>
              <w:t xml:space="preserve"> </w:t>
            </w:r>
            <w:r>
              <w:rPr>
                <w:spacing w:val="-1"/>
              </w:rPr>
              <w:t>其他柜类</w:t>
            </w:r>
          </w:p>
        </w:tc>
        <w:tc>
          <w:tcPr>
            <w:tcW w:w="1956" w:type="dxa"/>
          </w:tcPr>
          <w:p w14:paraId="7395F69C">
            <w:pPr>
              <w:rPr>
                <w:rFonts w:ascii="Arial"/>
              </w:rPr>
            </w:pPr>
          </w:p>
        </w:tc>
        <w:tc>
          <w:tcPr>
            <w:tcW w:w="3081" w:type="dxa"/>
          </w:tcPr>
          <w:p w14:paraId="5B22BF79">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0431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465DF9BF">
            <w:pPr>
              <w:pStyle w:val="734"/>
              <w:spacing w:before="94" w:line="184" w:lineRule="auto"/>
              <w:ind w:left="116"/>
            </w:pPr>
            <w:r>
              <w:rPr>
                <w:spacing w:val="-4"/>
              </w:rPr>
              <w:t>21</w:t>
            </w:r>
          </w:p>
        </w:tc>
        <w:tc>
          <w:tcPr>
            <w:tcW w:w="1343" w:type="dxa"/>
            <w:vMerge w:val="restart"/>
            <w:tcBorders>
              <w:bottom w:val="nil"/>
            </w:tcBorders>
          </w:tcPr>
          <w:p w14:paraId="1E42E17E">
            <w:pPr>
              <w:pStyle w:val="734"/>
              <w:spacing w:before="67" w:line="220" w:lineRule="auto"/>
              <w:ind w:left="102"/>
            </w:pPr>
            <w:r>
              <w:rPr>
                <w:spacing w:val="-1"/>
              </w:rPr>
              <w:t>A0606</w:t>
            </w:r>
            <w:r>
              <w:rPr>
                <w:spacing w:val="-35"/>
              </w:rPr>
              <w:t xml:space="preserve"> </w:t>
            </w:r>
            <w:r>
              <w:rPr>
                <w:spacing w:val="-1"/>
              </w:rPr>
              <w:t>架类</w:t>
            </w:r>
          </w:p>
        </w:tc>
        <w:tc>
          <w:tcPr>
            <w:tcW w:w="2324" w:type="dxa"/>
          </w:tcPr>
          <w:p w14:paraId="06D14EBB">
            <w:pPr>
              <w:pStyle w:val="734"/>
              <w:spacing w:before="67" w:line="220" w:lineRule="auto"/>
              <w:ind w:left="103"/>
            </w:pPr>
            <w:r>
              <w:rPr>
                <w:spacing w:val="-1"/>
              </w:rPr>
              <w:t>A060601</w:t>
            </w:r>
            <w:r>
              <w:rPr>
                <w:spacing w:val="-33"/>
              </w:rPr>
              <w:t xml:space="preserve"> </w:t>
            </w:r>
            <w:r>
              <w:rPr>
                <w:spacing w:val="-1"/>
              </w:rPr>
              <w:t>木质架类</w:t>
            </w:r>
          </w:p>
        </w:tc>
        <w:tc>
          <w:tcPr>
            <w:tcW w:w="1956" w:type="dxa"/>
          </w:tcPr>
          <w:p w14:paraId="26C61901">
            <w:pPr>
              <w:rPr>
                <w:rFonts w:ascii="Arial"/>
              </w:rPr>
            </w:pPr>
          </w:p>
        </w:tc>
        <w:tc>
          <w:tcPr>
            <w:tcW w:w="3081" w:type="dxa"/>
          </w:tcPr>
          <w:p w14:paraId="18B9F044">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2E8EF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19C8AA9C">
            <w:pPr>
              <w:rPr>
                <w:rFonts w:ascii="Arial"/>
              </w:rPr>
            </w:pPr>
          </w:p>
        </w:tc>
        <w:tc>
          <w:tcPr>
            <w:tcW w:w="1343" w:type="dxa"/>
            <w:vMerge w:val="continue"/>
            <w:tcBorders>
              <w:top w:val="nil"/>
            </w:tcBorders>
          </w:tcPr>
          <w:p w14:paraId="4245D1A7">
            <w:pPr>
              <w:rPr>
                <w:rFonts w:ascii="Arial"/>
              </w:rPr>
            </w:pPr>
          </w:p>
        </w:tc>
        <w:tc>
          <w:tcPr>
            <w:tcW w:w="2324" w:type="dxa"/>
          </w:tcPr>
          <w:p w14:paraId="0B88C93D">
            <w:pPr>
              <w:pStyle w:val="734"/>
              <w:spacing w:before="67" w:line="220" w:lineRule="auto"/>
              <w:ind w:left="103"/>
            </w:pPr>
            <w:r>
              <w:rPr>
                <w:spacing w:val="-1"/>
              </w:rPr>
              <w:t>A060602</w:t>
            </w:r>
            <w:r>
              <w:rPr>
                <w:spacing w:val="-32"/>
              </w:rPr>
              <w:t xml:space="preserve"> </w:t>
            </w:r>
            <w:r>
              <w:rPr>
                <w:spacing w:val="-1"/>
              </w:rPr>
              <w:t>金属质架类</w:t>
            </w:r>
          </w:p>
        </w:tc>
        <w:tc>
          <w:tcPr>
            <w:tcW w:w="1956" w:type="dxa"/>
          </w:tcPr>
          <w:p w14:paraId="199CED46">
            <w:pPr>
              <w:rPr>
                <w:rFonts w:ascii="Arial"/>
              </w:rPr>
            </w:pPr>
          </w:p>
        </w:tc>
        <w:tc>
          <w:tcPr>
            <w:tcW w:w="3081" w:type="dxa"/>
          </w:tcPr>
          <w:p w14:paraId="34474E2D">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6155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3D236FCC">
            <w:pPr>
              <w:pStyle w:val="734"/>
              <w:spacing w:before="96" w:line="183" w:lineRule="auto"/>
              <w:ind w:left="116"/>
            </w:pPr>
            <w:r>
              <w:rPr>
                <w:spacing w:val="-4"/>
              </w:rPr>
              <w:t>22</w:t>
            </w:r>
          </w:p>
        </w:tc>
        <w:tc>
          <w:tcPr>
            <w:tcW w:w="1343" w:type="dxa"/>
            <w:vMerge w:val="restart"/>
            <w:tcBorders>
              <w:bottom w:val="nil"/>
            </w:tcBorders>
          </w:tcPr>
          <w:p w14:paraId="1384C8B1">
            <w:pPr>
              <w:pStyle w:val="734"/>
              <w:spacing w:before="67" w:line="220" w:lineRule="auto"/>
              <w:ind w:left="102"/>
            </w:pPr>
            <w:r>
              <w:rPr>
                <w:spacing w:val="-1"/>
              </w:rPr>
              <w:t>A0607</w:t>
            </w:r>
            <w:r>
              <w:rPr>
                <w:spacing w:val="-35"/>
              </w:rPr>
              <w:t xml:space="preserve"> </w:t>
            </w:r>
            <w:r>
              <w:rPr>
                <w:spacing w:val="-1"/>
              </w:rPr>
              <w:t>屏风类</w:t>
            </w:r>
          </w:p>
        </w:tc>
        <w:tc>
          <w:tcPr>
            <w:tcW w:w="2324" w:type="dxa"/>
          </w:tcPr>
          <w:p w14:paraId="6813F122">
            <w:pPr>
              <w:pStyle w:val="734"/>
              <w:spacing w:before="67" w:line="220" w:lineRule="auto"/>
              <w:ind w:left="103"/>
            </w:pPr>
            <w:r>
              <w:rPr>
                <w:spacing w:val="-1"/>
              </w:rPr>
              <w:t>A060701</w:t>
            </w:r>
            <w:r>
              <w:rPr>
                <w:spacing w:val="-33"/>
              </w:rPr>
              <w:t xml:space="preserve"> </w:t>
            </w:r>
            <w:r>
              <w:rPr>
                <w:spacing w:val="-1"/>
              </w:rPr>
              <w:t>木质屏风类</w:t>
            </w:r>
          </w:p>
        </w:tc>
        <w:tc>
          <w:tcPr>
            <w:tcW w:w="1956" w:type="dxa"/>
          </w:tcPr>
          <w:p w14:paraId="6016A674">
            <w:pPr>
              <w:rPr>
                <w:rFonts w:ascii="Arial"/>
              </w:rPr>
            </w:pPr>
          </w:p>
        </w:tc>
        <w:tc>
          <w:tcPr>
            <w:tcW w:w="3081" w:type="dxa"/>
          </w:tcPr>
          <w:p w14:paraId="5FFC88B4">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CB45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2B9329CF">
            <w:pPr>
              <w:rPr>
                <w:rFonts w:ascii="Arial"/>
              </w:rPr>
            </w:pPr>
          </w:p>
        </w:tc>
        <w:tc>
          <w:tcPr>
            <w:tcW w:w="1343" w:type="dxa"/>
            <w:vMerge w:val="continue"/>
            <w:tcBorders>
              <w:top w:val="nil"/>
            </w:tcBorders>
          </w:tcPr>
          <w:p w14:paraId="47B7B20E">
            <w:pPr>
              <w:rPr>
                <w:rFonts w:ascii="Arial"/>
              </w:rPr>
            </w:pPr>
          </w:p>
        </w:tc>
        <w:tc>
          <w:tcPr>
            <w:tcW w:w="2324" w:type="dxa"/>
          </w:tcPr>
          <w:p w14:paraId="6D36A457">
            <w:pPr>
              <w:pStyle w:val="734"/>
              <w:spacing w:before="67" w:line="220" w:lineRule="auto"/>
              <w:ind w:left="103"/>
            </w:pPr>
            <w:r>
              <w:rPr>
                <w:spacing w:val="-1"/>
              </w:rPr>
              <w:t>A060702</w:t>
            </w:r>
            <w:r>
              <w:rPr>
                <w:spacing w:val="-32"/>
              </w:rPr>
              <w:t xml:space="preserve"> </w:t>
            </w:r>
            <w:r>
              <w:rPr>
                <w:spacing w:val="-1"/>
              </w:rPr>
              <w:t>金属质屏风类</w:t>
            </w:r>
          </w:p>
        </w:tc>
        <w:tc>
          <w:tcPr>
            <w:tcW w:w="1956" w:type="dxa"/>
          </w:tcPr>
          <w:p w14:paraId="644B94F7">
            <w:pPr>
              <w:rPr>
                <w:rFonts w:ascii="Arial"/>
              </w:rPr>
            </w:pPr>
          </w:p>
        </w:tc>
        <w:tc>
          <w:tcPr>
            <w:tcW w:w="3081" w:type="dxa"/>
          </w:tcPr>
          <w:p w14:paraId="429EAF35">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B3AD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0DA77A9C">
            <w:pPr>
              <w:pStyle w:val="734"/>
              <w:spacing w:before="95" w:line="183" w:lineRule="auto"/>
              <w:ind w:left="116"/>
            </w:pPr>
            <w:r>
              <w:rPr>
                <w:spacing w:val="-4"/>
              </w:rPr>
              <w:t>23</w:t>
            </w:r>
          </w:p>
        </w:tc>
        <w:tc>
          <w:tcPr>
            <w:tcW w:w="1343" w:type="dxa"/>
          </w:tcPr>
          <w:p w14:paraId="6D17785A">
            <w:pPr>
              <w:pStyle w:val="734"/>
              <w:spacing w:before="67" w:line="220" w:lineRule="auto"/>
              <w:ind w:left="102"/>
            </w:pPr>
            <w:r>
              <w:rPr>
                <w:spacing w:val="-1"/>
              </w:rPr>
              <w:t>A060804</w:t>
            </w:r>
            <w:r>
              <w:rPr>
                <w:spacing w:val="-32"/>
              </w:rPr>
              <w:t xml:space="preserve"> </w:t>
            </w:r>
            <w:r>
              <w:rPr>
                <w:spacing w:val="-1"/>
              </w:rPr>
              <w:t>水池</w:t>
            </w:r>
          </w:p>
        </w:tc>
        <w:tc>
          <w:tcPr>
            <w:tcW w:w="2324" w:type="dxa"/>
          </w:tcPr>
          <w:p w14:paraId="3871120D">
            <w:pPr>
              <w:rPr>
                <w:rFonts w:ascii="Arial"/>
              </w:rPr>
            </w:pPr>
          </w:p>
        </w:tc>
        <w:tc>
          <w:tcPr>
            <w:tcW w:w="1956" w:type="dxa"/>
          </w:tcPr>
          <w:p w14:paraId="64CE5237">
            <w:pPr>
              <w:rPr>
                <w:rFonts w:ascii="Arial"/>
              </w:rPr>
            </w:pPr>
          </w:p>
        </w:tc>
        <w:tc>
          <w:tcPr>
            <w:tcW w:w="3081" w:type="dxa"/>
          </w:tcPr>
          <w:p w14:paraId="5A34EB7C">
            <w:pPr>
              <w:pStyle w:val="734"/>
              <w:spacing w:before="66" w:line="219" w:lineRule="auto"/>
              <w:ind w:left="109"/>
            </w:pPr>
            <w:r>
              <w:rPr>
                <w:spacing w:val="-1"/>
              </w:rPr>
              <w:t>HJ/T296</w:t>
            </w:r>
            <w:r>
              <w:rPr>
                <w:spacing w:val="-34"/>
              </w:rPr>
              <w:t xml:space="preserve"> </w:t>
            </w:r>
            <w:r>
              <w:rPr>
                <w:spacing w:val="-1"/>
              </w:rPr>
              <w:t>卫生陶瓷</w:t>
            </w:r>
          </w:p>
        </w:tc>
      </w:tr>
      <w:tr w14:paraId="6FDCA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5B3B40A7">
            <w:pPr>
              <w:pStyle w:val="734"/>
              <w:spacing w:before="96" w:line="183" w:lineRule="auto"/>
              <w:ind w:left="116"/>
            </w:pPr>
            <w:r>
              <w:rPr>
                <w:spacing w:val="-4"/>
              </w:rPr>
              <w:t>24</w:t>
            </w:r>
          </w:p>
        </w:tc>
        <w:tc>
          <w:tcPr>
            <w:tcW w:w="1343" w:type="dxa"/>
          </w:tcPr>
          <w:p w14:paraId="0B2C1EDD">
            <w:pPr>
              <w:pStyle w:val="734"/>
              <w:spacing w:before="67" w:line="220" w:lineRule="auto"/>
              <w:ind w:left="102"/>
            </w:pPr>
            <w:r>
              <w:rPr>
                <w:spacing w:val="-1"/>
              </w:rPr>
              <w:t>A060805</w:t>
            </w:r>
            <w:r>
              <w:rPr>
                <w:spacing w:val="-33"/>
              </w:rPr>
              <w:t xml:space="preserve"> </w:t>
            </w:r>
            <w:r>
              <w:rPr>
                <w:spacing w:val="-1"/>
              </w:rPr>
              <w:t>便器</w:t>
            </w:r>
          </w:p>
        </w:tc>
        <w:tc>
          <w:tcPr>
            <w:tcW w:w="2324" w:type="dxa"/>
          </w:tcPr>
          <w:p w14:paraId="36A8AFBF">
            <w:pPr>
              <w:rPr>
                <w:rFonts w:ascii="Arial"/>
              </w:rPr>
            </w:pPr>
          </w:p>
        </w:tc>
        <w:tc>
          <w:tcPr>
            <w:tcW w:w="1956" w:type="dxa"/>
          </w:tcPr>
          <w:p w14:paraId="006AF35B">
            <w:pPr>
              <w:rPr>
                <w:rFonts w:ascii="Arial"/>
              </w:rPr>
            </w:pPr>
          </w:p>
        </w:tc>
        <w:tc>
          <w:tcPr>
            <w:tcW w:w="3081" w:type="dxa"/>
          </w:tcPr>
          <w:p w14:paraId="220689AE">
            <w:pPr>
              <w:pStyle w:val="734"/>
              <w:spacing w:before="67" w:line="219" w:lineRule="auto"/>
              <w:ind w:left="109"/>
            </w:pPr>
            <w:r>
              <w:rPr>
                <w:spacing w:val="-1"/>
              </w:rPr>
              <w:t>HJ/T296</w:t>
            </w:r>
            <w:r>
              <w:rPr>
                <w:spacing w:val="-34"/>
              </w:rPr>
              <w:t xml:space="preserve"> </w:t>
            </w:r>
            <w:r>
              <w:rPr>
                <w:spacing w:val="-1"/>
              </w:rPr>
              <w:t>卫生陶瓷</w:t>
            </w:r>
          </w:p>
        </w:tc>
      </w:tr>
      <w:tr w14:paraId="214C3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7EA7D0EA">
            <w:pPr>
              <w:pStyle w:val="734"/>
              <w:spacing w:before="96" w:line="183" w:lineRule="auto"/>
              <w:ind w:left="116"/>
            </w:pPr>
            <w:r>
              <w:rPr>
                <w:spacing w:val="-4"/>
              </w:rPr>
              <w:t>25</w:t>
            </w:r>
          </w:p>
        </w:tc>
        <w:tc>
          <w:tcPr>
            <w:tcW w:w="1343" w:type="dxa"/>
          </w:tcPr>
          <w:p w14:paraId="07068DBC">
            <w:pPr>
              <w:pStyle w:val="734"/>
              <w:spacing w:before="67" w:line="220" w:lineRule="auto"/>
              <w:ind w:left="102"/>
            </w:pPr>
            <w:r>
              <w:rPr>
                <w:spacing w:val="-1"/>
              </w:rPr>
              <w:t>A060806</w:t>
            </w:r>
            <w:r>
              <w:rPr>
                <w:spacing w:val="-32"/>
              </w:rPr>
              <w:t xml:space="preserve"> </w:t>
            </w:r>
            <w:r>
              <w:rPr>
                <w:spacing w:val="-1"/>
              </w:rPr>
              <w:t>水嘴</w:t>
            </w:r>
          </w:p>
        </w:tc>
        <w:tc>
          <w:tcPr>
            <w:tcW w:w="2324" w:type="dxa"/>
          </w:tcPr>
          <w:p w14:paraId="217807FE">
            <w:pPr>
              <w:rPr>
                <w:rFonts w:ascii="Arial"/>
              </w:rPr>
            </w:pPr>
          </w:p>
        </w:tc>
        <w:tc>
          <w:tcPr>
            <w:tcW w:w="1956" w:type="dxa"/>
          </w:tcPr>
          <w:p w14:paraId="14D75293">
            <w:pPr>
              <w:rPr>
                <w:rFonts w:ascii="Arial"/>
              </w:rPr>
            </w:pPr>
          </w:p>
        </w:tc>
        <w:tc>
          <w:tcPr>
            <w:tcW w:w="3081" w:type="dxa"/>
          </w:tcPr>
          <w:p w14:paraId="238786D4">
            <w:pPr>
              <w:pStyle w:val="734"/>
              <w:spacing w:before="67" w:line="219" w:lineRule="auto"/>
              <w:ind w:left="109"/>
            </w:pPr>
            <w:r>
              <w:rPr>
                <w:spacing w:val="-1"/>
              </w:rPr>
              <w:t>HJ/T411</w:t>
            </w:r>
            <w:r>
              <w:rPr>
                <w:spacing w:val="-34"/>
              </w:rPr>
              <w:t xml:space="preserve"> </w:t>
            </w:r>
            <w:r>
              <w:rPr>
                <w:spacing w:val="-1"/>
              </w:rPr>
              <w:t>水嘴</w:t>
            </w:r>
          </w:p>
        </w:tc>
      </w:tr>
      <w:tr w14:paraId="2F271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045BBFB2">
            <w:pPr>
              <w:pStyle w:val="734"/>
              <w:spacing w:before="95" w:line="183" w:lineRule="auto"/>
              <w:ind w:left="116"/>
            </w:pPr>
            <w:r>
              <w:rPr>
                <w:spacing w:val="-4"/>
              </w:rPr>
              <w:t>26</w:t>
            </w:r>
          </w:p>
        </w:tc>
        <w:tc>
          <w:tcPr>
            <w:tcW w:w="1343" w:type="dxa"/>
          </w:tcPr>
          <w:p w14:paraId="4ED5C144">
            <w:pPr>
              <w:pStyle w:val="734"/>
              <w:spacing w:before="67" w:line="221" w:lineRule="auto"/>
              <w:ind w:left="102"/>
            </w:pPr>
            <w:r>
              <w:rPr>
                <w:spacing w:val="-1"/>
              </w:rPr>
              <w:t>A0609</w:t>
            </w:r>
            <w:r>
              <w:rPr>
                <w:spacing w:val="-34"/>
              </w:rPr>
              <w:t xml:space="preserve"> </w:t>
            </w:r>
            <w:r>
              <w:rPr>
                <w:spacing w:val="-1"/>
              </w:rPr>
              <w:t>组合家具</w:t>
            </w:r>
          </w:p>
        </w:tc>
        <w:tc>
          <w:tcPr>
            <w:tcW w:w="2324" w:type="dxa"/>
          </w:tcPr>
          <w:p w14:paraId="796430FB">
            <w:pPr>
              <w:rPr>
                <w:rFonts w:ascii="Arial"/>
              </w:rPr>
            </w:pPr>
          </w:p>
        </w:tc>
        <w:tc>
          <w:tcPr>
            <w:tcW w:w="1956" w:type="dxa"/>
          </w:tcPr>
          <w:p w14:paraId="13B800E0">
            <w:pPr>
              <w:rPr>
                <w:rFonts w:ascii="Arial"/>
              </w:rPr>
            </w:pPr>
          </w:p>
        </w:tc>
        <w:tc>
          <w:tcPr>
            <w:tcW w:w="3081" w:type="dxa"/>
          </w:tcPr>
          <w:p w14:paraId="1506563D">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FE7C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090B84AD">
            <w:pPr>
              <w:pStyle w:val="734"/>
              <w:spacing w:before="96" w:line="183" w:lineRule="auto"/>
              <w:ind w:left="116"/>
            </w:pPr>
            <w:r>
              <w:rPr>
                <w:spacing w:val="-4"/>
              </w:rPr>
              <w:t>27</w:t>
            </w:r>
          </w:p>
        </w:tc>
        <w:tc>
          <w:tcPr>
            <w:tcW w:w="1343" w:type="dxa"/>
          </w:tcPr>
          <w:p w14:paraId="19ED92E7">
            <w:pPr>
              <w:pStyle w:val="734"/>
              <w:spacing w:before="68" w:line="282" w:lineRule="auto"/>
              <w:ind w:left="108" w:right="106" w:hanging="6"/>
            </w:pPr>
            <w:r>
              <w:rPr>
                <w:spacing w:val="4"/>
              </w:rPr>
              <w:t>A0610</w:t>
            </w:r>
            <w:r>
              <w:rPr>
                <w:spacing w:val="31"/>
              </w:rPr>
              <w:t xml:space="preserve"> </w:t>
            </w:r>
            <w:r>
              <w:rPr>
                <w:spacing w:val="4"/>
              </w:rPr>
              <w:t>家用家具</w:t>
            </w:r>
            <w:r>
              <w:rPr>
                <w:spacing w:val="-2"/>
              </w:rPr>
              <w:t>零配件</w:t>
            </w:r>
          </w:p>
        </w:tc>
        <w:tc>
          <w:tcPr>
            <w:tcW w:w="2324" w:type="dxa"/>
          </w:tcPr>
          <w:p w14:paraId="4A296848">
            <w:pPr>
              <w:rPr>
                <w:rFonts w:ascii="Arial"/>
              </w:rPr>
            </w:pPr>
          </w:p>
        </w:tc>
        <w:tc>
          <w:tcPr>
            <w:tcW w:w="1956" w:type="dxa"/>
          </w:tcPr>
          <w:p w14:paraId="31926D1F">
            <w:pPr>
              <w:rPr>
                <w:rFonts w:ascii="Arial"/>
              </w:rPr>
            </w:pPr>
          </w:p>
        </w:tc>
        <w:tc>
          <w:tcPr>
            <w:tcW w:w="3081" w:type="dxa"/>
          </w:tcPr>
          <w:p w14:paraId="5971055E">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00584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tcPr>
          <w:p w14:paraId="5B0E429F">
            <w:pPr>
              <w:pStyle w:val="734"/>
              <w:spacing w:before="99" w:line="183" w:lineRule="auto"/>
              <w:ind w:left="116"/>
            </w:pPr>
            <w:r>
              <w:rPr>
                <w:spacing w:val="-4"/>
              </w:rPr>
              <w:t>28</w:t>
            </w:r>
          </w:p>
        </w:tc>
        <w:tc>
          <w:tcPr>
            <w:tcW w:w="1343" w:type="dxa"/>
          </w:tcPr>
          <w:p w14:paraId="4D1EB16A">
            <w:pPr>
              <w:pStyle w:val="734"/>
              <w:spacing w:before="71" w:line="282" w:lineRule="auto"/>
              <w:ind w:left="109" w:right="106" w:hanging="7"/>
            </w:pPr>
            <w:r>
              <w:rPr>
                <w:spacing w:val="4"/>
              </w:rPr>
              <w:t>A0699</w:t>
            </w:r>
            <w:r>
              <w:rPr>
                <w:spacing w:val="31"/>
              </w:rPr>
              <w:t xml:space="preserve"> </w:t>
            </w:r>
            <w:r>
              <w:rPr>
                <w:spacing w:val="4"/>
              </w:rPr>
              <w:t>其他家具</w:t>
            </w:r>
            <w:r>
              <w:rPr>
                <w:spacing w:val="-3"/>
              </w:rPr>
              <w:t>用具</w:t>
            </w:r>
          </w:p>
        </w:tc>
        <w:tc>
          <w:tcPr>
            <w:tcW w:w="2324" w:type="dxa"/>
          </w:tcPr>
          <w:p w14:paraId="2D891FAD">
            <w:pPr>
              <w:rPr>
                <w:rFonts w:ascii="Arial"/>
              </w:rPr>
            </w:pPr>
          </w:p>
        </w:tc>
        <w:tc>
          <w:tcPr>
            <w:tcW w:w="1956" w:type="dxa"/>
          </w:tcPr>
          <w:p w14:paraId="00910678">
            <w:pPr>
              <w:rPr>
                <w:rFonts w:ascii="Arial"/>
              </w:rPr>
            </w:pPr>
          </w:p>
        </w:tc>
        <w:tc>
          <w:tcPr>
            <w:tcW w:w="3081" w:type="dxa"/>
          </w:tcPr>
          <w:p w14:paraId="56B1DC2B">
            <w:pPr>
              <w:pStyle w:val="734"/>
              <w:spacing w:before="70"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E60C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56D27EC8">
            <w:pPr>
              <w:pStyle w:val="734"/>
              <w:spacing w:before="96" w:line="183" w:lineRule="auto"/>
              <w:ind w:left="116"/>
            </w:pPr>
            <w:r>
              <w:rPr>
                <w:spacing w:val="-4"/>
              </w:rPr>
              <w:t>29</w:t>
            </w:r>
          </w:p>
        </w:tc>
        <w:tc>
          <w:tcPr>
            <w:tcW w:w="1343" w:type="dxa"/>
          </w:tcPr>
          <w:p w14:paraId="6456A6BB">
            <w:pPr>
              <w:pStyle w:val="734"/>
              <w:spacing w:before="69" w:line="284" w:lineRule="auto"/>
              <w:ind w:left="111" w:right="106" w:hanging="9"/>
            </w:pPr>
            <w:r>
              <w:rPr>
                <w:spacing w:val="-7"/>
              </w:rPr>
              <w:t>A070101</w:t>
            </w:r>
            <w:r>
              <w:rPr>
                <w:spacing w:val="-36"/>
              </w:rPr>
              <w:t xml:space="preserve"> </w:t>
            </w:r>
            <w:r>
              <w:rPr>
                <w:spacing w:val="-7"/>
              </w:rPr>
              <w:t>棉、化纤</w:t>
            </w:r>
            <w:r>
              <w:t xml:space="preserve"> </w:t>
            </w:r>
            <w:r>
              <w:rPr>
                <w:spacing w:val="-2"/>
              </w:rPr>
              <w:t>纺织及印染原料</w:t>
            </w:r>
          </w:p>
        </w:tc>
        <w:tc>
          <w:tcPr>
            <w:tcW w:w="2324" w:type="dxa"/>
          </w:tcPr>
          <w:p w14:paraId="6B47479F">
            <w:pPr>
              <w:rPr>
                <w:rFonts w:ascii="Arial"/>
              </w:rPr>
            </w:pPr>
          </w:p>
        </w:tc>
        <w:tc>
          <w:tcPr>
            <w:tcW w:w="1956" w:type="dxa"/>
          </w:tcPr>
          <w:p w14:paraId="289389FC">
            <w:pPr>
              <w:rPr>
                <w:rFonts w:ascii="Arial"/>
              </w:rPr>
            </w:pPr>
          </w:p>
        </w:tc>
        <w:tc>
          <w:tcPr>
            <w:tcW w:w="3081" w:type="dxa"/>
          </w:tcPr>
          <w:p w14:paraId="3F215FB0">
            <w:pPr>
              <w:pStyle w:val="734"/>
              <w:spacing w:before="67" w:line="219" w:lineRule="auto"/>
              <w:ind w:left="109"/>
            </w:pPr>
            <w:r>
              <w:rPr>
                <w:spacing w:val="-1"/>
              </w:rPr>
              <w:t>HJ2546</w:t>
            </w:r>
            <w:r>
              <w:rPr>
                <w:spacing w:val="-34"/>
              </w:rPr>
              <w:t xml:space="preserve"> </w:t>
            </w:r>
            <w:r>
              <w:rPr>
                <w:spacing w:val="-1"/>
              </w:rPr>
              <w:t>纺织产品</w:t>
            </w:r>
          </w:p>
        </w:tc>
      </w:tr>
      <w:tr w14:paraId="59F93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10" w:type="dxa"/>
          </w:tcPr>
          <w:p w14:paraId="61A3FF8A">
            <w:pPr>
              <w:pStyle w:val="734"/>
              <w:spacing w:before="96" w:line="183" w:lineRule="auto"/>
              <w:ind w:left="118"/>
            </w:pPr>
            <w:r>
              <w:rPr>
                <w:spacing w:val="-5"/>
              </w:rPr>
              <w:t>30</w:t>
            </w:r>
          </w:p>
        </w:tc>
        <w:tc>
          <w:tcPr>
            <w:tcW w:w="1343" w:type="dxa"/>
          </w:tcPr>
          <w:p w14:paraId="6B8F384F">
            <w:pPr>
              <w:pStyle w:val="734"/>
              <w:spacing w:before="69" w:line="296" w:lineRule="auto"/>
              <w:ind w:left="109" w:right="106" w:hanging="7"/>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324" w:type="dxa"/>
          </w:tcPr>
          <w:p w14:paraId="70700D1B">
            <w:pPr>
              <w:rPr>
                <w:rFonts w:ascii="Arial"/>
              </w:rPr>
            </w:pPr>
          </w:p>
        </w:tc>
        <w:tc>
          <w:tcPr>
            <w:tcW w:w="1956" w:type="dxa"/>
          </w:tcPr>
          <w:p w14:paraId="15B3BFEB">
            <w:pPr>
              <w:rPr>
                <w:rFonts w:ascii="Arial"/>
              </w:rPr>
            </w:pPr>
          </w:p>
        </w:tc>
        <w:tc>
          <w:tcPr>
            <w:tcW w:w="3081" w:type="dxa"/>
          </w:tcPr>
          <w:p w14:paraId="2BD65EA2">
            <w:pPr>
              <w:pStyle w:val="734"/>
              <w:spacing w:before="67" w:line="219" w:lineRule="auto"/>
              <w:ind w:left="109"/>
            </w:pPr>
            <w:r>
              <w:rPr>
                <w:spacing w:val="-2"/>
              </w:rPr>
              <w:t>HJ410</w:t>
            </w:r>
            <w:r>
              <w:rPr>
                <w:spacing w:val="-27"/>
              </w:rPr>
              <w:t xml:space="preserve"> </w:t>
            </w:r>
            <w:r>
              <w:rPr>
                <w:spacing w:val="-2"/>
              </w:rPr>
              <w:t>文化用纸</w:t>
            </w:r>
          </w:p>
        </w:tc>
      </w:tr>
      <w:tr w14:paraId="6FC79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tcPr>
          <w:p w14:paraId="481488C3">
            <w:pPr>
              <w:pStyle w:val="734"/>
              <w:spacing w:before="91" w:line="184" w:lineRule="auto"/>
              <w:ind w:left="118"/>
            </w:pPr>
            <w:r>
              <w:rPr>
                <w:spacing w:val="-5"/>
              </w:rPr>
              <w:t>31</w:t>
            </w:r>
          </w:p>
        </w:tc>
        <w:tc>
          <w:tcPr>
            <w:tcW w:w="1343" w:type="dxa"/>
          </w:tcPr>
          <w:p w14:paraId="56CF7642">
            <w:pPr>
              <w:pStyle w:val="734"/>
              <w:spacing w:before="64" w:line="296" w:lineRule="auto"/>
              <w:ind w:left="109" w:right="106" w:hanging="7"/>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324" w:type="dxa"/>
          </w:tcPr>
          <w:p w14:paraId="6FF89E83">
            <w:pPr>
              <w:rPr>
                <w:rFonts w:ascii="Arial"/>
              </w:rPr>
            </w:pPr>
          </w:p>
        </w:tc>
        <w:tc>
          <w:tcPr>
            <w:tcW w:w="1956" w:type="dxa"/>
          </w:tcPr>
          <w:p w14:paraId="2FE5EDF1">
            <w:pPr>
              <w:rPr>
                <w:rFonts w:ascii="Arial"/>
              </w:rPr>
            </w:pPr>
          </w:p>
        </w:tc>
        <w:tc>
          <w:tcPr>
            <w:tcW w:w="3081" w:type="dxa"/>
          </w:tcPr>
          <w:p w14:paraId="22E61530">
            <w:pPr>
              <w:pStyle w:val="734"/>
              <w:spacing w:before="63" w:line="219" w:lineRule="auto"/>
              <w:ind w:left="109"/>
            </w:pPr>
            <w:r>
              <w:rPr>
                <w:spacing w:val="-1"/>
              </w:rPr>
              <w:t>HJ/T413</w:t>
            </w:r>
            <w:r>
              <w:rPr>
                <w:spacing w:val="-34"/>
              </w:rPr>
              <w:t xml:space="preserve"> </w:t>
            </w:r>
            <w:r>
              <w:rPr>
                <w:spacing w:val="-1"/>
              </w:rPr>
              <w:t>再生鼓粉盒</w:t>
            </w:r>
          </w:p>
        </w:tc>
      </w:tr>
      <w:tr w14:paraId="366D5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10" w:type="dxa"/>
            <w:vMerge w:val="restart"/>
            <w:tcBorders>
              <w:bottom w:val="nil"/>
            </w:tcBorders>
          </w:tcPr>
          <w:p w14:paraId="56C7B864">
            <w:pPr>
              <w:pStyle w:val="734"/>
              <w:spacing w:before="93" w:line="183" w:lineRule="auto"/>
              <w:ind w:left="118"/>
            </w:pPr>
            <w:r>
              <w:rPr>
                <w:spacing w:val="-5"/>
              </w:rPr>
              <w:t>32</w:t>
            </w:r>
          </w:p>
        </w:tc>
        <w:tc>
          <w:tcPr>
            <w:tcW w:w="1343" w:type="dxa"/>
            <w:vMerge w:val="restart"/>
            <w:tcBorders>
              <w:bottom w:val="nil"/>
            </w:tcBorders>
          </w:tcPr>
          <w:p w14:paraId="46F9BA9B">
            <w:pPr>
              <w:pStyle w:val="734"/>
              <w:spacing w:before="64" w:line="219" w:lineRule="auto"/>
              <w:ind w:left="102"/>
            </w:pPr>
            <w:r>
              <w:rPr>
                <w:spacing w:val="-1"/>
              </w:rPr>
              <w:t>A100203</w:t>
            </w:r>
            <w:r>
              <w:rPr>
                <w:spacing w:val="-33"/>
              </w:rPr>
              <w:t xml:space="preserve"> </w:t>
            </w:r>
            <w:r>
              <w:rPr>
                <w:spacing w:val="-1"/>
              </w:rPr>
              <w:t>人造板</w:t>
            </w:r>
          </w:p>
        </w:tc>
        <w:tc>
          <w:tcPr>
            <w:tcW w:w="2324" w:type="dxa"/>
          </w:tcPr>
          <w:p w14:paraId="7578A3D2">
            <w:pPr>
              <w:pStyle w:val="734"/>
              <w:spacing w:before="64" w:line="219" w:lineRule="auto"/>
              <w:ind w:left="103"/>
            </w:pPr>
            <w:r>
              <w:rPr>
                <w:spacing w:val="-1"/>
              </w:rPr>
              <w:t>A10020301</w:t>
            </w:r>
            <w:r>
              <w:rPr>
                <w:spacing w:val="-32"/>
              </w:rPr>
              <w:t xml:space="preserve"> </w:t>
            </w:r>
            <w:r>
              <w:rPr>
                <w:spacing w:val="-1"/>
              </w:rPr>
              <w:t>胶合板</w:t>
            </w:r>
          </w:p>
        </w:tc>
        <w:tc>
          <w:tcPr>
            <w:tcW w:w="1956" w:type="dxa"/>
          </w:tcPr>
          <w:p w14:paraId="3031B57D">
            <w:pPr>
              <w:rPr>
                <w:rFonts w:ascii="Arial"/>
              </w:rPr>
            </w:pPr>
          </w:p>
        </w:tc>
        <w:tc>
          <w:tcPr>
            <w:tcW w:w="3081" w:type="dxa"/>
          </w:tcPr>
          <w:p w14:paraId="7E0C3C2C">
            <w:pPr>
              <w:pStyle w:val="734"/>
              <w:spacing w:before="64" w:line="219" w:lineRule="auto"/>
              <w:ind w:left="109"/>
            </w:pPr>
            <w:r>
              <w:rPr>
                <w:spacing w:val="-1"/>
              </w:rPr>
              <w:t>HJ571</w:t>
            </w:r>
            <w:r>
              <w:rPr>
                <w:spacing w:val="-34"/>
              </w:rPr>
              <w:t xml:space="preserve"> </w:t>
            </w:r>
            <w:r>
              <w:rPr>
                <w:spacing w:val="-1"/>
              </w:rPr>
              <w:t>人造板及其制品</w:t>
            </w:r>
          </w:p>
        </w:tc>
      </w:tr>
      <w:tr w14:paraId="670E7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1B399353">
            <w:pPr>
              <w:rPr>
                <w:rFonts w:ascii="Arial"/>
              </w:rPr>
            </w:pPr>
          </w:p>
        </w:tc>
        <w:tc>
          <w:tcPr>
            <w:tcW w:w="1343" w:type="dxa"/>
            <w:vMerge w:val="continue"/>
            <w:tcBorders>
              <w:top w:val="nil"/>
              <w:bottom w:val="nil"/>
            </w:tcBorders>
          </w:tcPr>
          <w:p w14:paraId="0AD5A408">
            <w:pPr>
              <w:rPr>
                <w:rFonts w:ascii="Arial"/>
              </w:rPr>
            </w:pPr>
          </w:p>
        </w:tc>
        <w:tc>
          <w:tcPr>
            <w:tcW w:w="2324" w:type="dxa"/>
          </w:tcPr>
          <w:p w14:paraId="41028852">
            <w:pPr>
              <w:pStyle w:val="734"/>
              <w:spacing w:before="65" w:line="219" w:lineRule="auto"/>
              <w:ind w:left="103"/>
            </w:pPr>
            <w:r>
              <w:rPr>
                <w:spacing w:val="-1"/>
              </w:rPr>
              <w:t>A10020302</w:t>
            </w:r>
            <w:r>
              <w:rPr>
                <w:spacing w:val="-30"/>
              </w:rPr>
              <w:t xml:space="preserve"> </w:t>
            </w:r>
            <w:r>
              <w:rPr>
                <w:spacing w:val="-1"/>
              </w:rPr>
              <w:t>纤维板</w:t>
            </w:r>
          </w:p>
        </w:tc>
        <w:tc>
          <w:tcPr>
            <w:tcW w:w="1956" w:type="dxa"/>
          </w:tcPr>
          <w:p w14:paraId="19347B39">
            <w:pPr>
              <w:rPr>
                <w:rFonts w:ascii="Arial"/>
              </w:rPr>
            </w:pPr>
          </w:p>
        </w:tc>
        <w:tc>
          <w:tcPr>
            <w:tcW w:w="3081" w:type="dxa"/>
          </w:tcPr>
          <w:p w14:paraId="0D67ED7C">
            <w:pPr>
              <w:pStyle w:val="734"/>
              <w:spacing w:before="64" w:line="219" w:lineRule="auto"/>
              <w:ind w:left="109"/>
            </w:pPr>
            <w:r>
              <w:rPr>
                <w:spacing w:val="-1"/>
              </w:rPr>
              <w:t>HJ571</w:t>
            </w:r>
            <w:r>
              <w:rPr>
                <w:spacing w:val="-34"/>
              </w:rPr>
              <w:t xml:space="preserve"> </w:t>
            </w:r>
            <w:r>
              <w:rPr>
                <w:spacing w:val="-1"/>
              </w:rPr>
              <w:t>人造板及其制品</w:t>
            </w:r>
          </w:p>
        </w:tc>
      </w:tr>
      <w:tr w14:paraId="5066D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30B42157">
            <w:pPr>
              <w:rPr>
                <w:rFonts w:ascii="Arial"/>
              </w:rPr>
            </w:pPr>
          </w:p>
        </w:tc>
        <w:tc>
          <w:tcPr>
            <w:tcW w:w="1343" w:type="dxa"/>
            <w:vMerge w:val="continue"/>
            <w:tcBorders>
              <w:top w:val="nil"/>
              <w:bottom w:val="nil"/>
            </w:tcBorders>
          </w:tcPr>
          <w:p w14:paraId="096FD655">
            <w:pPr>
              <w:rPr>
                <w:rFonts w:ascii="Arial"/>
              </w:rPr>
            </w:pPr>
          </w:p>
        </w:tc>
        <w:tc>
          <w:tcPr>
            <w:tcW w:w="2324" w:type="dxa"/>
          </w:tcPr>
          <w:p w14:paraId="227E388C">
            <w:pPr>
              <w:pStyle w:val="734"/>
              <w:spacing w:before="65" w:line="219" w:lineRule="auto"/>
              <w:ind w:left="103"/>
            </w:pPr>
            <w:r>
              <w:rPr>
                <w:spacing w:val="-1"/>
              </w:rPr>
              <w:t>A10020303</w:t>
            </w:r>
            <w:r>
              <w:rPr>
                <w:spacing w:val="-32"/>
              </w:rPr>
              <w:t xml:space="preserve"> </w:t>
            </w:r>
            <w:r>
              <w:rPr>
                <w:spacing w:val="-1"/>
              </w:rPr>
              <w:t>刨花板</w:t>
            </w:r>
          </w:p>
        </w:tc>
        <w:tc>
          <w:tcPr>
            <w:tcW w:w="1956" w:type="dxa"/>
          </w:tcPr>
          <w:p w14:paraId="5F4C1924">
            <w:pPr>
              <w:rPr>
                <w:rFonts w:ascii="Arial"/>
              </w:rPr>
            </w:pPr>
          </w:p>
        </w:tc>
        <w:tc>
          <w:tcPr>
            <w:tcW w:w="3081" w:type="dxa"/>
          </w:tcPr>
          <w:p w14:paraId="056D6275">
            <w:pPr>
              <w:pStyle w:val="734"/>
              <w:spacing w:before="64" w:line="219" w:lineRule="auto"/>
              <w:ind w:left="109"/>
            </w:pPr>
            <w:r>
              <w:rPr>
                <w:spacing w:val="-1"/>
              </w:rPr>
              <w:t>HJ571</w:t>
            </w:r>
            <w:r>
              <w:rPr>
                <w:spacing w:val="-34"/>
              </w:rPr>
              <w:t xml:space="preserve"> </w:t>
            </w:r>
            <w:r>
              <w:rPr>
                <w:spacing w:val="-1"/>
              </w:rPr>
              <w:t>人造板及其制品</w:t>
            </w:r>
          </w:p>
        </w:tc>
      </w:tr>
      <w:tr w14:paraId="032E9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14512E2D">
            <w:pPr>
              <w:rPr>
                <w:rFonts w:ascii="Arial"/>
              </w:rPr>
            </w:pPr>
          </w:p>
        </w:tc>
        <w:tc>
          <w:tcPr>
            <w:tcW w:w="1343" w:type="dxa"/>
            <w:vMerge w:val="continue"/>
            <w:tcBorders>
              <w:top w:val="nil"/>
              <w:bottom w:val="nil"/>
            </w:tcBorders>
          </w:tcPr>
          <w:p w14:paraId="09653E88">
            <w:pPr>
              <w:rPr>
                <w:rFonts w:ascii="Arial"/>
              </w:rPr>
            </w:pPr>
          </w:p>
        </w:tc>
        <w:tc>
          <w:tcPr>
            <w:tcW w:w="2324" w:type="dxa"/>
          </w:tcPr>
          <w:p w14:paraId="0C1C9424">
            <w:pPr>
              <w:pStyle w:val="734"/>
              <w:spacing w:before="68" w:line="219" w:lineRule="auto"/>
              <w:ind w:left="103"/>
            </w:pPr>
            <w:r>
              <w:rPr>
                <w:spacing w:val="-1"/>
              </w:rPr>
              <w:t>A10020304</w:t>
            </w:r>
            <w:r>
              <w:rPr>
                <w:spacing w:val="-31"/>
              </w:rPr>
              <w:t xml:space="preserve"> </w:t>
            </w:r>
            <w:r>
              <w:rPr>
                <w:spacing w:val="-1"/>
              </w:rPr>
              <w:t>细木工板</w:t>
            </w:r>
          </w:p>
        </w:tc>
        <w:tc>
          <w:tcPr>
            <w:tcW w:w="1956" w:type="dxa"/>
          </w:tcPr>
          <w:p w14:paraId="3F6BED6A">
            <w:pPr>
              <w:rPr>
                <w:rFonts w:ascii="Arial"/>
              </w:rPr>
            </w:pPr>
          </w:p>
        </w:tc>
        <w:tc>
          <w:tcPr>
            <w:tcW w:w="3081" w:type="dxa"/>
          </w:tcPr>
          <w:p w14:paraId="2A7FC829">
            <w:pPr>
              <w:pStyle w:val="734"/>
              <w:spacing w:before="67" w:line="219" w:lineRule="auto"/>
              <w:ind w:left="109"/>
            </w:pPr>
            <w:r>
              <w:rPr>
                <w:spacing w:val="-1"/>
              </w:rPr>
              <w:t>HJ571</w:t>
            </w:r>
            <w:r>
              <w:rPr>
                <w:spacing w:val="-34"/>
              </w:rPr>
              <w:t xml:space="preserve"> </w:t>
            </w:r>
            <w:r>
              <w:rPr>
                <w:spacing w:val="-1"/>
              </w:rPr>
              <w:t>人造板及其制品</w:t>
            </w:r>
          </w:p>
        </w:tc>
      </w:tr>
      <w:tr w14:paraId="10807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2EB3F7FF">
            <w:pPr>
              <w:rPr>
                <w:rFonts w:ascii="Arial"/>
              </w:rPr>
            </w:pPr>
          </w:p>
        </w:tc>
        <w:tc>
          <w:tcPr>
            <w:tcW w:w="1343" w:type="dxa"/>
            <w:vMerge w:val="continue"/>
            <w:tcBorders>
              <w:top w:val="nil"/>
            </w:tcBorders>
          </w:tcPr>
          <w:p w14:paraId="493DCAA7">
            <w:pPr>
              <w:rPr>
                <w:rFonts w:ascii="Arial"/>
              </w:rPr>
            </w:pPr>
          </w:p>
        </w:tc>
        <w:tc>
          <w:tcPr>
            <w:tcW w:w="2324" w:type="dxa"/>
          </w:tcPr>
          <w:p w14:paraId="6294516A">
            <w:pPr>
              <w:pStyle w:val="734"/>
              <w:spacing w:before="65" w:line="219" w:lineRule="auto"/>
              <w:ind w:left="103"/>
            </w:pPr>
            <w:r>
              <w:rPr>
                <w:spacing w:val="-1"/>
              </w:rPr>
              <w:t>A10020399</w:t>
            </w:r>
            <w:r>
              <w:rPr>
                <w:spacing w:val="-31"/>
              </w:rPr>
              <w:t xml:space="preserve"> </w:t>
            </w:r>
            <w:r>
              <w:rPr>
                <w:spacing w:val="-1"/>
              </w:rPr>
              <w:t>其他人造板</w:t>
            </w:r>
          </w:p>
        </w:tc>
        <w:tc>
          <w:tcPr>
            <w:tcW w:w="1956" w:type="dxa"/>
          </w:tcPr>
          <w:p w14:paraId="6F044D29">
            <w:pPr>
              <w:rPr>
                <w:rFonts w:ascii="Arial"/>
              </w:rPr>
            </w:pPr>
          </w:p>
        </w:tc>
        <w:tc>
          <w:tcPr>
            <w:tcW w:w="3081" w:type="dxa"/>
          </w:tcPr>
          <w:p w14:paraId="13110F30">
            <w:pPr>
              <w:pStyle w:val="734"/>
              <w:spacing w:before="64" w:line="219" w:lineRule="auto"/>
              <w:ind w:left="109"/>
            </w:pPr>
            <w:r>
              <w:rPr>
                <w:spacing w:val="-1"/>
              </w:rPr>
              <w:t>HJ571</w:t>
            </w:r>
            <w:r>
              <w:rPr>
                <w:spacing w:val="-34"/>
              </w:rPr>
              <w:t xml:space="preserve"> </w:t>
            </w:r>
            <w:r>
              <w:rPr>
                <w:spacing w:val="-1"/>
              </w:rPr>
              <w:t>人造板及其制品</w:t>
            </w:r>
          </w:p>
        </w:tc>
      </w:tr>
      <w:tr w14:paraId="66F1F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10" w:type="dxa"/>
            <w:vMerge w:val="restart"/>
            <w:tcBorders>
              <w:bottom w:val="nil"/>
            </w:tcBorders>
          </w:tcPr>
          <w:p w14:paraId="2A685343">
            <w:pPr>
              <w:pStyle w:val="734"/>
              <w:spacing w:before="93" w:line="183" w:lineRule="auto"/>
              <w:ind w:left="118"/>
            </w:pPr>
            <w:r>
              <w:rPr>
                <w:spacing w:val="-5"/>
              </w:rPr>
              <w:t>33</w:t>
            </w:r>
          </w:p>
        </w:tc>
        <w:tc>
          <w:tcPr>
            <w:tcW w:w="1343" w:type="dxa"/>
            <w:vMerge w:val="restart"/>
            <w:tcBorders>
              <w:bottom w:val="nil"/>
            </w:tcBorders>
          </w:tcPr>
          <w:p w14:paraId="7F4F01BC">
            <w:pPr>
              <w:pStyle w:val="734"/>
              <w:spacing w:before="65" w:line="305" w:lineRule="auto"/>
              <w:ind w:left="109" w:right="108" w:hanging="7"/>
            </w:pPr>
            <w:r>
              <w:rPr>
                <w:spacing w:val="3"/>
              </w:rPr>
              <w:t>A100204</w:t>
            </w:r>
            <w:r>
              <w:rPr>
                <w:spacing w:val="34"/>
              </w:rPr>
              <w:t xml:space="preserve"> </w:t>
            </w:r>
            <w:r>
              <w:rPr>
                <w:spacing w:val="3"/>
              </w:rPr>
              <w:t>二次加</w:t>
            </w:r>
            <w:r>
              <w:rPr>
                <w:spacing w:val="-2"/>
              </w:rPr>
              <w:t>工材,相关板材</w:t>
            </w:r>
          </w:p>
        </w:tc>
        <w:tc>
          <w:tcPr>
            <w:tcW w:w="2324" w:type="dxa"/>
          </w:tcPr>
          <w:p w14:paraId="150285AE">
            <w:pPr>
              <w:pStyle w:val="734"/>
              <w:spacing w:before="65" w:line="219" w:lineRule="auto"/>
              <w:ind w:left="103"/>
            </w:pPr>
            <w:r>
              <w:rPr>
                <w:spacing w:val="-1"/>
              </w:rPr>
              <w:t>A10020404</w:t>
            </w:r>
            <w:r>
              <w:rPr>
                <w:spacing w:val="-28"/>
              </w:rPr>
              <w:t xml:space="preserve"> </w:t>
            </w:r>
            <w:r>
              <w:rPr>
                <w:spacing w:val="-1"/>
              </w:rPr>
              <w:t>人造板表面装饰板</w:t>
            </w:r>
          </w:p>
        </w:tc>
        <w:tc>
          <w:tcPr>
            <w:tcW w:w="1956" w:type="dxa"/>
          </w:tcPr>
          <w:p w14:paraId="1CCF2BC5">
            <w:pPr>
              <w:rPr>
                <w:rFonts w:ascii="Arial"/>
              </w:rPr>
            </w:pPr>
          </w:p>
        </w:tc>
        <w:tc>
          <w:tcPr>
            <w:tcW w:w="3081" w:type="dxa"/>
          </w:tcPr>
          <w:p w14:paraId="52CEE9F3">
            <w:pPr>
              <w:pStyle w:val="734"/>
              <w:spacing w:before="64" w:line="219" w:lineRule="auto"/>
              <w:ind w:left="109"/>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55B5B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tcPr>
          <w:p w14:paraId="6AAE2860">
            <w:pPr>
              <w:rPr>
                <w:rFonts w:ascii="Arial"/>
              </w:rPr>
            </w:pPr>
          </w:p>
        </w:tc>
        <w:tc>
          <w:tcPr>
            <w:tcW w:w="1343" w:type="dxa"/>
            <w:vMerge w:val="continue"/>
            <w:tcBorders>
              <w:top w:val="nil"/>
            </w:tcBorders>
          </w:tcPr>
          <w:p w14:paraId="364FEC47">
            <w:pPr>
              <w:rPr>
                <w:rFonts w:ascii="Arial"/>
              </w:rPr>
            </w:pPr>
          </w:p>
        </w:tc>
        <w:tc>
          <w:tcPr>
            <w:tcW w:w="2324" w:type="dxa"/>
          </w:tcPr>
          <w:p w14:paraId="33282DDF">
            <w:pPr>
              <w:pStyle w:val="734"/>
              <w:spacing w:before="67" w:line="284" w:lineRule="auto"/>
              <w:ind w:left="113" w:right="107" w:hanging="10"/>
            </w:pPr>
            <w:r>
              <w:rPr>
                <w:spacing w:val="5"/>
              </w:rPr>
              <w:t>A10020404</w:t>
            </w:r>
            <w:r>
              <w:rPr>
                <w:spacing w:val="30"/>
              </w:rPr>
              <w:t xml:space="preserve"> </w:t>
            </w:r>
            <w:r>
              <w:rPr>
                <w:spacing w:val="5"/>
              </w:rPr>
              <w:t>人造板表面装饰板</w:t>
            </w:r>
            <w:r>
              <w:t xml:space="preserve"> </w:t>
            </w:r>
            <w:r>
              <w:rPr>
                <w:spacing w:val="-3"/>
              </w:rPr>
              <w:t>（地板）</w:t>
            </w:r>
          </w:p>
        </w:tc>
        <w:tc>
          <w:tcPr>
            <w:tcW w:w="1956" w:type="dxa"/>
          </w:tcPr>
          <w:p w14:paraId="277481D4">
            <w:pPr>
              <w:rPr>
                <w:rFonts w:ascii="Arial"/>
              </w:rPr>
            </w:pPr>
          </w:p>
        </w:tc>
        <w:tc>
          <w:tcPr>
            <w:tcW w:w="3081" w:type="dxa"/>
          </w:tcPr>
          <w:p w14:paraId="3BA5763C">
            <w:pPr>
              <w:pStyle w:val="734"/>
              <w:spacing w:before="67" w:line="219" w:lineRule="auto"/>
              <w:ind w:left="109"/>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52A44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37F77506">
            <w:pPr>
              <w:pStyle w:val="734"/>
              <w:spacing w:before="93" w:line="183" w:lineRule="auto"/>
              <w:ind w:left="118"/>
            </w:pPr>
            <w:r>
              <w:rPr>
                <w:spacing w:val="-5"/>
              </w:rPr>
              <w:t>34</w:t>
            </w:r>
          </w:p>
        </w:tc>
        <w:tc>
          <w:tcPr>
            <w:tcW w:w="1343" w:type="dxa"/>
          </w:tcPr>
          <w:p w14:paraId="2B513FAC">
            <w:pPr>
              <w:pStyle w:val="734"/>
              <w:spacing w:before="66" w:line="283" w:lineRule="auto"/>
              <w:ind w:left="107" w:right="108" w:hanging="5"/>
            </w:pPr>
            <w:r>
              <w:rPr>
                <w:spacing w:val="3"/>
              </w:rPr>
              <w:t>A100301</w:t>
            </w:r>
            <w:r>
              <w:rPr>
                <w:spacing w:val="34"/>
              </w:rPr>
              <w:t xml:space="preserve"> </w:t>
            </w:r>
            <w:r>
              <w:rPr>
                <w:spacing w:val="3"/>
              </w:rPr>
              <w:t>水泥熟</w:t>
            </w:r>
            <w:r>
              <w:rPr>
                <w:spacing w:val="-2"/>
              </w:rPr>
              <w:t>料及水泥</w:t>
            </w:r>
          </w:p>
        </w:tc>
        <w:tc>
          <w:tcPr>
            <w:tcW w:w="2324" w:type="dxa"/>
          </w:tcPr>
          <w:p w14:paraId="670470D0">
            <w:pPr>
              <w:pStyle w:val="734"/>
              <w:spacing w:before="65" w:line="220" w:lineRule="auto"/>
              <w:ind w:left="103"/>
            </w:pPr>
            <w:r>
              <w:rPr>
                <w:spacing w:val="-1"/>
              </w:rPr>
              <w:t>A10030102</w:t>
            </w:r>
            <w:r>
              <w:rPr>
                <w:spacing w:val="-31"/>
              </w:rPr>
              <w:t xml:space="preserve"> </w:t>
            </w:r>
            <w:r>
              <w:rPr>
                <w:spacing w:val="-1"/>
              </w:rPr>
              <w:t>水泥</w:t>
            </w:r>
          </w:p>
        </w:tc>
        <w:tc>
          <w:tcPr>
            <w:tcW w:w="1956" w:type="dxa"/>
          </w:tcPr>
          <w:p w14:paraId="3068D8C5">
            <w:pPr>
              <w:rPr>
                <w:rFonts w:ascii="Arial"/>
              </w:rPr>
            </w:pPr>
          </w:p>
        </w:tc>
        <w:tc>
          <w:tcPr>
            <w:tcW w:w="3081" w:type="dxa"/>
          </w:tcPr>
          <w:p w14:paraId="4150C50C">
            <w:pPr>
              <w:pStyle w:val="734"/>
              <w:spacing w:before="64" w:line="219" w:lineRule="auto"/>
              <w:ind w:left="109"/>
            </w:pPr>
            <w:r>
              <w:rPr>
                <w:spacing w:val="-1"/>
              </w:rPr>
              <w:t>HJ2519</w:t>
            </w:r>
            <w:r>
              <w:rPr>
                <w:spacing w:val="-34"/>
              </w:rPr>
              <w:t xml:space="preserve"> </w:t>
            </w:r>
            <w:r>
              <w:rPr>
                <w:spacing w:val="-1"/>
              </w:rPr>
              <w:t>水泥</w:t>
            </w:r>
          </w:p>
        </w:tc>
      </w:tr>
      <w:tr w14:paraId="5EB2B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028A1E52">
            <w:pPr>
              <w:pStyle w:val="734"/>
              <w:spacing w:before="94" w:line="183" w:lineRule="auto"/>
              <w:ind w:left="118"/>
            </w:pPr>
            <w:r>
              <w:rPr>
                <w:spacing w:val="-5"/>
              </w:rPr>
              <w:t>35</w:t>
            </w:r>
          </w:p>
        </w:tc>
        <w:tc>
          <w:tcPr>
            <w:tcW w:w="1343" w:type="dxa"/>
          </w:tcPr>
          <w:p w14:paraId="07B9EEF5">
            <w:pPr>
              <w:pStyle w:val="734"/>
              <w:spacing w:before="66" w:line="283" w:lineRule="auto"/>
              <w:ind w:left="106" w:right="108" w:hanging="4"/>
            </w:pPr>
            <w:r>
              <w:rPr>
                <w:spacing w:val="3"/>
              </w:rPr>
              <w:t>A100303</w:t>
            </w:r>
            <w:r>
              <w:rPr>
                <w:spacing w:val="34"/>
              </w:rPr>
              <w:t xml:space="preserve"> </w:t>
            </w:r>
            <w:r>
              <w:rPr>
                <w:spacing w:val="3"/>
              </w:rPr>
              <w:t>水泥混</w:t>
            </w:r>
            <w:r>
              <w:rPr>
                <w:spacing w:val="-2"/>
              </w:rPr>
              <w:t>凝土制品</w:t>
            </w:r>
          </w:p>
        </w:tc>
        <w:tc>
          <w:tcPr>
            <w:tcW w:w="2324" w:type="dxa"/>
          </w:tcPr>
          <w:p w14:paraId="0310E535">
            <w:pPr>
              <w:pStyle w:val="734"/>
              <w:spacing w:before="65" w:line="221" w:lineRule="auto"/>
              <w:ind w:left="103"/>
            </w:pPr>
            <w:r>
              <w:rPr>
                <w:spacing w:val="-1"/>
              </w:rPr>
              <w:t>A10030301</w:t>
            </w:r>
            <w:r>
              <w:rPr>
                <w:spacing w:val="-30"/>
              </w:rPr>
              <w:t xml:space="preserve"> </w:t>
            </w:r>
            <w:r>
              <w:rPr>
                <w:spacing w:val="-1"/>
              </w:rPr>
              <w:t>商品混凝土</w:t>
            </w:r>
          </w:p>
        </w:tc>
        <w:tc>
          <w:tcPr>
            <w:tcW w:w="1956" w:type="dxa"/>
          </w:tcPr>
          <w:p w14:paraId="3A35CF34">
            <w:pPr>
              <w:rPr>
                <w:rFonts w:ascii="Arial"/>
              </w:rPr>
            </w:pPr>
          </w:p>
        </w:tc>
        <w:tc>
          <w:tcPr>
            <w:tcW w:w="3081" w:type="dxa"/>
          </w:tcPr>
          <w:p w14:paraId="3D5AC7E0">
            <w:pPr>
              <w:pStyle w:val="734"/>
              <w:spacing w:before="65" w:line="219" w:lineRule="auto"/>
              <w:ind w:left="109"/>
            </w:pPr>
            <w:r>
              <w:rPr>
                <w:spacing w:val="-1"/>
              </w:rPr>
              <w:t>HJ/T412</w:t>
            </w:r>
            <w:r>
              <w:rPr>
                <w:spacing w:val="-34"/>
              </w:rPr>
              <w:t xml:space="preserve"> </w:t>
            </w:r>
            <w:r>
              <w:rPr>
                <w:spacing w:val="-1"/>
              </w:rPr>
              <w:t>预拌混凝土</w:t>
            </w:r>
          </w:p>
        </w:tc>
      </w:tr>
      <w:tr w14:paraId="67E6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096F88DF">
            <w:pPr>
              <w:pStyle w:val="734"/>
              <w:spacing w:before="94" w:line="183" w:lineRule="auto"/>
              <w:ind w:left="118"/>
            </w:pPr>
            <w:r>
              <w:rPr>
                <w:spacing w:val="-5"/>
              </w:rPr>
              <w:t>36</w:t>
            </w:r>
          </w:p>
        </w:tc>
        <w:tc>
          <w:tcPr>
            <w:tcW w:w="1343" w:type="dxa"/>
            <w:vMerge w:val="restart"/>
            <w:tcBorders>
              <w:bottom w:val="nil"/>
            </w:tcBorders>
          </w:tcPr>
          <w:p w14:paraId="16E28704">
            <w:pPr>
              <w:pStyle w:val="734"/>
              <w:spacing w:before="65" w:line="307" w:lineRule="auto"/>
              <w:ind w:left="111" w:right="108" w:hanging="9"/>
            </w:pPr>
            <w:r>
              <w:rPr>
                <w:spacing w:val="3"/>
              </w:rPr>
              <w:t>A100304</w:t>
            </w:r>
            <w:r>
              <w:rPr>
                <w:spacing w:val="35"/>
              </w:rPr>
              <w:t xml:space="preserve"> </w:t>
            </w:r>
            <w:r>
              <w:rPr>
                <w:spacing w:val="3"/>
              </w:rPr>
              <w:t>纤维增</w:t>
            </w:r>
            <w:r>
              <w:rPr>
                <w:spacing w:val="-2"/>
              </w:rPr>
              <w:t>强水泥制品</w:t>
            </w:r>
          </w:p>
        </w:tc>
        <w:tc>
          <w:tcPr>
            <w:tcW w:w="2324" w:type="dxa"/>
          </w:tcPr>
          <w:p w14:paraId="0B625A2E">
            <w:pPr>
              <w:pStyle w:val="734"/>
              <w:spacing w:before="66" w:line="219" w:lineRule="auto"/>
              <w:ind w:left="103"/>
            </w:pPr>
            <w:r>
              <w:rPr>
                <w:spacing w:val="-1"/>
              </w:rPr>
              <w:t>A10030402</w:t>
            </w:r>
            <w:r>
              <w:rPr>
                <w:spacing w:val="-28"/>
              </w:rPr>
              <w:t xml:space="preserve"> </w:t>
            </w:r>
            <w:r>
              <w:rPr>
                <w:spacing w:val="-1"/>
              </w:rPr>
              <w:t>纤维增强硅酸钙板</w:t>
            </w:r>
          </w:p>
        </w:tc>
        <w:tc>
          <w:tcPr>
            <w:tcW w:w="1956" w:type="dxa"/>
          </w:tcPr>
          <w:p w14:paraId="572A5340">
            <w:pPr>
              <w:rPr>
                <w:rFonts w:ascii="Arial"/>
              </w:rPr>
            </w:pPr>
          </w:p>
        </w:tc>
        <w:tc>
          <w:tcPr>
            <w:tcW w:w="3081" w:type="dxa"/>
          </w:tcPr>
          <w:p w14:paraId="0DC8B577">
            <w:pPr>
              <w:pStyle w:val="734"/>
              <w:spacing w:before="66" w:line="219" w:lineRule="auto"/>
              <w:ind w:left="109"/>
            </w:pPr>
            <w:r>
              <w:rPr>
                <w:spacing w:val="-1"/>
              </w:rPr>
              <w:t>HJ/T223</w:t>
            </w:r>
            <w:r>
              <w:rPr>
                <w:spacing w:val="-33"/>
              </w:rPr>
              <w:t xml:space="preserve"> </w:t>
            </w:r>
            <w:r>
              <w:rPr>
                <w:spacing w:val="-1"/>
              </w:rPr>
              <w:t>轻质墙体板材</w:t>
            </w:r>
          </w:p>
        </w:tc>
      </w:tr>
      <w:tr w14:paraId="0CDA4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08981713">
            <w:pPr>
              <w:rPr>
                <w:rFonts w:ascii="Arial"/>
              </w:rPr>
            </w:pPr>
          </w:p>
        </w:tc>
        <w:tc>
          <w:tcPr>
            <w:tcW w:w="1343" w:type="dxa"/>
            <w:vMerge w:val="continue"/>
            <w:tcBorders>
              <w:top w:val="nil"/>
            </w:tcBorders>
          </w:tcPr>
          <w:p w14:paraId="4DB9FB89">
            <w:pPr>
              <w:rPr>
                <w:rFonts w:ascii="Arial"/>
              </w:rPr>
            </w:pPr>
          </w:p>
        </w:tc>
        <w:tc>
          <w:tcPr>
            <w:tcW w:w="2324" w:type="dxa"/>
          </w:tcPr>
          <w:p w14:paraId="72F3831E">
            <w:pPr>
              <w:pStyle w:val="734"/>
              <w:spacing w:before="66" w:line="220" w:lineRule="auto"/>
              <w:ind w:left="103"/>
            </w:pPr>
            <w:r>
              <w:rPr>
                <w:spacing w:val="-1"/>
              </w:rPr>
              <w:t>A10030403</w:t>
            </w:r>
            <w:r>
              <w:rPr>
                <w:spacing w:val="-45"/>
              </w:rPr>
              <w:t xml:space="preserve"> </w:t>
            </w:r>
            <w:r>
              <w:rPr>
                <w:spacing w:val="-1"/>
              </w:rPr>
              <w:t>无石棉纤维水泥制品</w:t>
            </w:r>
          </w:p>
        </w:tc>
        <w:tc>
          <w:tcPr>
            <w:tcW w:w="1956" w:type="dxa"/>
          </w:tcPr>
          <w:p w14:paraId="02FA19A0">
            <w:pPr>
              <w:rPr>
                <w:rFonts w:ascii="Arial"/>
              </w:rPr>
            </w:pPr>
          </w:p>
        </w:tc>
        <w:tc>
          <w:tcPr>
            <w:tcW w:w="3081" w:type="dxa"/>
          </w:tcPr>
          <w:p w14:paraId="4FB5CF30">
            <w:pPr>
              <w:pStyle w:val="734"/>
              <w:spacing w:before="66" w:line="219" w:lineRule="auto"/>
              <w:ind w:left="109"/>
            </w:pPr>
            <w:r>
              <w:rPr>
                <w:spacing w:val="-1"/>
              </w:rPr>
              <w:t>HJ/T223</w:t>
            </w:r>
            <w:r>
              <w:rPr>
                <w:spacing w:val="-33"/>
              </w:rPr>
              <w:t xml:space="preserve"> </w:t>
            </w:r>
            <w:r>
              <w:rPr>
                <w:spacing w:val="-1"/>
              </w:rPr>
              <w:t>轻质墙体板材</w:t>
            </w:r>
          </w:p>
        </w:tc>
      </w:tr>
      <w:tr w14:paraId="06D54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2D519E6C">
            <w:pPr>
              <w:pStyle w:val="734"/>
              <w:spacing w:before="95" w:line="183" w:lineRule="auto"/>
              <w:ind w:left="118"/>
            </w:pPr>
            <w:r>
              <w:rPr>
                <w:spacing w:val="-5"/>
              </w:rPr>
              <w:t>37</w:t>
            </w:r>
          </w:p>
        </w:tc>
        <w:tc>
          <w:tcPr>
            <w:tcW w:w="1343" w:type="dxa"/>
            <w:vMerge w:val="restart"/>
            <w:tcBorders>
              <w:bottom w:val="nil"/>
            </w:tcBorders>
          </w:tcPr>
          <w:p w14:paraId="2F3772F9">
            <w:pPr>
              <w:pStyle w:val="734"/>
              <w:spacing w:before="67" w:line="306" w:lineRule="auto"/>
              <w:ind w:left="109" w:right="108" w:hanging="7"/>
            </w:pPr>
            <w:r>
              <w:rPr>
                <w:spacing w:val="3"/>
              </w:rPr>
              <w:t>A100305</w:t>
            </w:r>
            <w:r>
              <w:rPr>
                <w:spacing w:val="34"/>
              </w:rPr>
              <w:t xml:space="preserve"> </w:t>
            </w:r>
            <w:r>
              <w:rPr>
                <w:spacing w:val="3"/>
              </w:rPr>
              <w:t>轻质建</w:t>
            </w:r>
            <w:r>
              <w:rPr>
                <w:spacing w:val="-2"/>
              </w:rPr>
              <w:t>筑材料及制品</w:t>
            </w:r>
          </w:p>
        </w:tc>
        <w:tc>
          <w:tcPr>
            <w:tcW w:w="2324" w:type="dxa"/>
          </w:tcPr>
          <w:p w14:paraId="7D4276D9">
            <w:pPr>
              <w:pStyle w:val="734"/>
              <w:spacing w:before="67" w:line="219" w:lineRule="auto"/>
              <w:ind w:left="103"/>
            </w:pPr>
            <w:r>
              <w:rPr>
                <w:spacing w:val="-1"/>
              </w:rPr>
              <w:t>A10030501</w:t>
            </w:r>
            <w:r>
              <w:rPr>
                <w:spacing w:val="-32"/>
              </w:rPr>
              <w:t xml:space="preserve"> </w:t>
            </w:r>
            <w:r>
              <w:rPr>
                <w:spacing w:val="-1"/>
              </w:rPr>
              <w:t>石膏板</w:t>
            </w:r>
          </w:p>
        </w:tc>
        <w:tc>
          <w:tcPr>
            <w:tcW w:w="1956" w:type="dxa"/>
          </w:tcPr>
          <w:p w14:paraId="79D64C1A">
            <w:pPr>
              <w:rPr>
                <w:rFonts w:ascii="Arial"/>
              </w:rPr>
            </w:pPr>
          </w:p>
        </w:tc>
        <w:tc>
          <w:tcPr>
            <w:tcW w:w="3081" w:type="dxa"/>
          </w:tcPr>
          <w:p w14:paraId="2D328997">
            <w:pPr>
              <w:pStyle w:val="734"/>
              <w:spacing w:before="66" w:line="219" w:lineRule="auto"/>
              <w:ind w:left="109"/>
            </w:pPr>
            <w:r>
              <w:rPr>
                <w:spacing w:val="-1"/>
              </w:rPr>
              <w:t>HJ/T223</w:t>
            </w:r>
            <w:r>
              <w:rPr>
                <w:spacing w:val="-33"/>
              </w:rPr>
              <w:t xml:space="preserve"> </w:t>
            </w:r>
            <w:r>
              <w:rPr>
                <w:spacing w:val="-1"/>
              </w:rPr>
              <w:t>轻质墙体板材</w:t>
            </w:r>
          </w:p>
        </w:tc>
      </w:tr>
      <w:tr w14:paraId="1DA96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10" w:type="dxa"/>
            <w:vMerge w:val="continue"/>
            <w:tcBorders>
              <w:top w:val="nil"/>
            </w:tcBorders>
          </w:tcPr>
          <w:p w14:paraId="3E389E7E">
            <w:pPr>
              <w:rPr>
                <w:rFonts w:ascii="Arial"/>
              </w:rPr>
            </w:pPr>
          </w:p>
        </w:tc>
        <w:tc>
          <w:tcPr>
            <w:tcW w:w="1343" w:type="dxa"/>
            <w:vMerge w:val="continue"/>
            <w:tcBorders>
              <w:top w:val="nil"/>
            </w:tcBorders>
          </w:tcPr>
          <w:p w14:paraId="1D25133B">
            <w:pPr>
              <w:rPr>
                <w:rFonts w:ascii="Arial"/>
              </w:rPr>
            </w:pPr>
          </w:p>
        </w:tc>
        <w:tc>
          <w:tcPr>
            <w:tcW w:w="2324" w:type="dxa"/>
          </w:tcPr>
          <w:p w14:paraId="325F6E8A">
            <w:pPr>
              <w:pStyle w:val="734"/>
              <w:spacing w:before="66" w:line="219" w:lineRule="auto"/>
              <w:ind w:left="103"/>
            </w:pPr>
            <w:r>
              <w:rPr>
                <w:spacing w:val="-1"/>
              </w:rPr>
              <w:t>A10030503</w:t>
            </w:r>
            <w:r>
              <w:rPr>
                <w:spacing w:val="-30"/>
              </w:rPr>
              <w:t xml:space="preserve"> </w:t>
            </w:r>
            <w:r>
              <w:rPr>
                <w:spacing w:val="-1"/>
              </w:rPr>
              <w:t>轻质隔墙条板</w:t>
            </w:r>
          </w:p>
        </w:tc>
        <w:tc>
          <w:tcPr>
            <w:tcW w:w="1956" w:type="dxa"/>
          </w:tcPr>
          <w:p w14:paraId="12206F24">
            <w:pPr>
              <w:rPr>
                <w:rFonts w:ascii="Arial"/>
              </w:rPr>
            </w:pPr>
          </w:p>
        </w:tc>
        <w:tc>
          <w:tcPr>
            <w:tcW w:w="3081" w:type="dxa"/>
          </w:tcPr>
          <w:p w14:paraId="015464BD">
            <w:pPr>
              <w:pStyle w:val="734"/>
              <w:spacing w:before="66" w:line="219" w:lineRule="auto"/>
              <w:ind w:left="109"/>
            </w:pPr>
            <w:r>
              <w:rPr>
                <w:spacing w:val="-1"/>
              </w:rPr>
              <w:t>HJ/T223</w:t>
            </w:r>
            <w:r>
              <w:rPr>
                <w:spacing w:val="-33"/>
              </w:rPr>
              <w:t xml:space="preserve"> </w:t>
            </w:r>
            <w:r>
              <w:rPr>
                <w:spacing w:val="-1"/>
              </w:rPr>
              <w:t>轻质墙体板材</w:t>
            </w:r>
          </w:p>
        </w:tc>
      </w:tr>
      <w:tr w14:paraId="0A0FB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066F3152">
            <w:pPr>
              <w:pStyle w:val="734"/>
              <w:spacing w:before="95" w:line="183" w:lineRule="auto"/>
              <w:ind w:left="118"/>
            </w:pPr>
            <w:r>
              <w:rPr>
                <w:spacing w:val="-5"/>
              </w:rPr>
              <w:t>38</w:t>
            </w:r>
          </w:p>
        </w:tc>
        <w:tc>
          <w:tcPr>
            <w:tcW w:w="1343" w:type="dxa"/>
            <w:vMerge w:val="restart"/>
            <w:tcBorders>
              <w:bottom w:val="nil"/>
            </w:tcBorders>
          </w:tcPr>
          <w:p w14:paraId="72C3CE6C">
            <w:pPr>
              <w:pStyle w:val="734"/>
              <w:spacing w:before="66" w:line="307" w:lineRule="auto"/>
              <w:ind w:left="111" w:right="108" w:hanging="9"/>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324" w:type="dxa"/>
          </w:tcPr>
          <w:p w14:paraId="5CD2ED32">
            <w:pPr>
              <w:pStyle w:val="734"/>
              <w:spacing w:before="66" w:line="221" w:lineRule="auto"/>
              <w:ind w:left="103"/>
            </w:pPr>
            <w:r>
              <w:rPr>
                <w:spacing w:val="-1"/>
              </w:rPr>
              <w:t>A10030701</w:t>
            </w:r>
            <w:r>
              <w:rPr>
                <w:spacing w:val="-30"/>
              </w:rPr>
              <w:t xml:space="preserve"> </w:t>
            </w:r>
            <w:r>
              <w:rPr>
                <w:spacing w:val="-1"/>
              </w:rPr>
              <w:t>瓷质砖</w:t>
            </w:r>
          </w:p>
        </w:tc>
        <w:tc>
          <w:tcPr>
            <w:tcW w:w="1956" w:type="dxa"/>
          </w:tcPr>
          <w:p w14:paraId="22E2853C">
            <w:pPr>
              <w:rPr>
                <w:rFonts w:ascii="Arial"/>
              </w:rPr>
            </w:pPr>
          </w:p>
        </w:tc>
        <w:tc>
          <w:tcPr>
            <w:tcW w:w="3081" w:type="dxa"/>
          </w:tcPr>
          <w:p w14:paraId="671E221D">
            <w:pPr>
              <w:pStyle w:val="734"/>
              <w:spacing w:before="66" w:line="219" w:lineRule="auto"/>
              <w:ind w:left="109"/>
            </w:pPr>
            <w:r>
              <w:rPr>
                <w:spacing w:val="-2"/>
              </w:rPr>
              <w:t>HJ/T297</w:t>
            </w:r>
            <w:r>
              <w:rPr>
                <w:spacing w:val="-22"/>
              </w:rPr>
              <w:t xml:space="preserve"> </w:t>
            </w:r>
            <w:r>
              <w:rPr>
                <w:spacing w:val="-2"/>
              </w:rPr>
              <w:t>陶瓷砖</w:t>
            </w:r>
          </w:p>
        </w:tc>
      </w:tr>
      <w:tr w14:paraId="08200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1731CF5F">
            <w:pPr>
              <w:rPr>
                <w:rFonts w:ascii="Arial"/>
              </w:rPr>
            </w:pPr>
          </w:p>
        </w:tc>
        <w:tc>
          <w:tcPr>
            <w:tcW w:w="1343" w:type="dxa"/>
            <w:vMerge w:val="continue"/>
            <w:tcBorders>
              <w:top w:val="nil"/>
              <w:bottom w:val="nil"/>
            </w:tcBorders>
          </w:tcPr>
          <w:p w14:paraId="6CED1D24">
            <w:pPr>
              <w:rPr>
                <w:rFonts w:ascii="Arial"/>
              </w:rPr>
            </w:pPr>
          </w:p>
        </w:tc>
        <w:tc>
          <w:tcPr>
            <w:tcW w:w="2324" w:type="dxa"/>
          </w:tcPr>
          <w:p w14:paraId="5F83DFAB">
            <w:pPr>
              <w:pStyle w:val="734"/>
              <w:spacing w:before="66" w:line="221" w:lineRule="auto"/>
              <w:ind w:left="103"/>
            </w:pPr>
            <w:r>
              <w:t>A10030704 炻质砖</w:t>
            </w:r>
          </w:p>
        </w:tc>
        <w:tc>
          <w:tcPr>
            <w:tcW w:w="1956" w:type="dxa"/>
          </w:tcPr>
          <w:p w14:paraId="61288B0C">
            <w:pPr>
              <w:rPr>
                <w:rFonts w:ascii="Arial"/>
              </w:rPr>
            </w:pPr>
          </w:p>
        </w:tc>
        <w:tc>
          <w:tcPr>
            <w:tcW w:w="3081" w:type="dxa"/>
          </w:tcPr>
          <w:p w14:paraId="6B6B22B9">
            <w:pPr>
              <w:pStyle w:val="734"/>
              <w:spacing w:before="66" w:line="219" w:lineRule="auto"/>
              <w:ind w:left="109"/>
            </w:pPr>
            <w:r>
              <w:rPr>
                <w:spacing w:val="-2"/>
              </w:rPr>
              <w:t>HJ/T297</w:t>
            </w:r>
            <w:r>
              <w:rPr>
                <w:spacing w:val="-22"/>
              </w:rPr>
              <w:t xml:space="preserve"> </w:t>
            </w:r>
            <w:r>
              <w:rPr>
                <w:spacing w:val="-2"/>
              </w:rPr>
              <w:t>陶瓷砖</w:t>
            </w:r>
          </w:p>
        </w:tc>
      </w:tr>
      <w:tr w14:paraId="1A15F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5064C299">
            <w:pPr>
              <w:rPr>
                <w:rFonts w:ascii="Arial"/>
              </w:rPr>
            </w:pPr>
          </w:p>
        </w:tc>
        <w:tc>
          <w:tcPr>
            <w:tcW w:w="1343" w:type="dxa"/>
            <w:vMerge w:val="continue"/>
            <w:tcBorders>
              <w:top w:val="nil"/>
              <w:bottom w:val="nil"/>
            </w:tcBorders>
          </w:tcPr>
          <w:p w14:paraId="448A56C7">
            <w:pPr>
              <w:rPr>
                <w:rFonts w:ascii="Arial"/>
              </w:rPr>
            </w:pPr>
          </w:p>
        </w:tc>
        <w:tc>
          <w:tcPr>
            <w:tcW w:w="2324" w:type="dxa"/>
          </w:tcPr>
          <w:p w14:paraId="0A2FD90D">
            <w:pPr>
              <w:pStyle w:val="734"/>
              <w:spacing w:before="66" w:line="221" w:lineRule="auto"/>
              <w:ind w:left="103"/>
            </w:pPr>
            <w:r>
              <w:rPr>
                <w:spacing w:val="-2"/>
              </w:rPr>
              <w:t>A10030705</w:t>
            </w:r>
            <w:r>
              <w:rPr>
                <w:spacing w:val="-17"/>
              </w:rPr>
              <w:t xml:space="preserve"> </w:t>
            </w:r>
            <w:r>
              <w:rPr>
                <w:spacing w:val="-2"/>
              </w:rPr>
              <w:t>陶质砖</w:t>
            </w:r>
          </w:p>
        </w:tc>
        <w:tc>
          <w:tcPr>
            <w:tcW w:w="1956" w:type="dxa"/>
          </w:tcPr>
          <w:p w14:paraId="68A68982">
            <w:pPr>
              <w:rPr>
                <w:rFonts w:ascii="Arial"/>
              </w:rPr>
            </w:pPr>
          </w:p>
        </w:tc>
        <w:tc>
          <w:tcPr>
            <w:tcW w:w="3081" w:type="dxa"/>
          </w:tcPr>
          <w:p w14:paraId="57F62C7F">
            <w:pPr>
              <w:pStyle w:val="734"/>
              <w:spacing w:before="66" w:line="219" w:lineRule="auto"/>
              <w:ind w:left="109"/>
            </w:pPr>
            <w:r>
              <w:rPr>
                <w:spacing w:val="-2"/>
              </w:rPr>
              <w:t>HJ/T297</w:t>
            </w:r>
            <w:r>
              <w:rPr>
                <w:spacing w:val="-22"/>
              </w:rPr>
              <w:t xml:space="preserve"> </w:t>
            </w:r>
            <w:r>
              <w:rPr>
                <w:spacing w:val="-2"/>
              </w:rPr>
              <w:t>陶瓷砖</w:t>
            </w:r>
          </w:p>
        </w:tc>
      </w:tr>
      <w:tr w14:paraId="65BBB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56A65253">
            <w:pPr>
              <w:rPr>
                <w:rFonts w:ascii="Arial"/>
              </w:rPr>
            </w:pPr>
          </w:p>
        </w:tc>
        <w:tc>
          <w:tcPr>
            <w:tcW w:w="1343" w:type="dxa"/>
            <w:vMerge w:val="continue"/>
            <w:tcBorders>
              <w:top w:val="nil"/>
            </w:tcBorders>
          </w:tcPr>
          <w:p w14:paraId="45B117D0">
            <w:pPr>
              <w:rPr>
                <w:rFonts w:ascii="Arial"/>
              </w:rPr>
            </w:pPr>
          </w:p>
        </w:tc>
        <w:tc>
          <w:tcPr>
            <w:tcW w:w="2324" w:type="dxa"/>
          </w:tcPr>
          <w:p w14:paraId="35EB625A">
            <w:pPr>
              <w:pStyle w:val="734"/>
              <w:spacing w:before="66" w:line="221" w:lineRule="auto"/>
              <w:ind w:left="103"/>
            </w:pPr>
            <w:r>
              <w:t>A10030799 其他建筑陶瓷制品</w:t>
            </w:r>
          </w:p>
        </w:tc>
        <w:tc>
          <w:tcPr>
            <w:tcW w:w="1956" w:type="dxa"/>
          </w:tcPr>
          <w:p w14:paraId="2228DDBB">
            <w:pPr>
              <w:rPr>
                <w:rFonts w:ascii="Arial"/>
              </w:rPr>
            </w:pPr>
          </w:p>
        </w:tc>
        <w:tc>
          <w:tcPr>
            <w:tcW w:w="3081" w:type="dxa"/>
          </w:tcPr>
          <w:p w14:paraId="14CF09E8">
            <w:pPr>
              <w:pStyle w:val="734"/>
              <w:spacing w:before="66" w:line="219" w:lineRule="auto"/>
              <w:ind w:left="109"/>
            </w:pPr>
            <w:r>
              <w:rPr>
                <w:spacing w:val="-2"/>
              </w:rPr>
              <w:t>HJ/T297</w:t>
            </w:r>
            <w:r>
              <w:rPr>
                <w:spacing w:val="-22"/>
              </w:rPr>
              <w:t xml:space="preserve"> </w:t>
            </w:r>
            <w:r>
              <w:rPr>
                <w:spacing w:val="-2"/>
              </w:rPr>
              <w:t>陶瓷砖</w:t>
            </w:r>
          </w:p>
        </w:tc>
      </w:tr>
      <w:tr w14:paraId="48495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tcPr>
          <w:p w14:paraId="6DFD5361">
            <w:pPr>
              <w:pStyle w:val="734"/>
              <w:spacing w:before="95" w:line="183" w:lineRule="auto"/>
              <w:ind w:left="118"/>
            </w:pPr>
            <w:r>
              <w:rPr>
                <w:spacing w:val="-5"/>
              </w:rPr>
              <w:t>39</w:t>
            </w:r>
          </w:p>
        </w:tc>
        <w:tc>
          <w:tcPr>
            <w:tcW w:w="1343" w:type="dxa"/>
            <w:vMerge w:val="restart"/>
            <w:tcBorders>
              <w:bottom w:val="nil"/>
            </w:tcBorders>
          </w:tcPr>
          <w:p w14:paraId="2A74A3EE">
            <w:pPr>
              <w:pStyle w:val="734"/>
              <w:spacing w:before="66" w:line="306" w:lineRule="auto"/>
              <w:ind w:left="109" w:right="108" w:hanging="7"/>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324" w:type="dxa"/>
          </w:tcPr>
          <w:p w14:paraId="57C1A652">
            <w:pPr>
              <w:pStyle w:val="734"/>
              <w:spacing w:before="66" w:line="283" w:lineRule="auto"/>
              <w:ind w:left="110" w:right="107" w:hanging="7"/>
            </w:pPr>
            <w:r>
              <w:rPr>
                <w:spacing w:val="-1"/>
              </w:rPr>
              <w:t>A10030901</w:t>
            </w:r>
            <w:r>
              <w:rPr>
                <w:spacing w:val="-47"/>
              </w:rPr>
              <w:t xml:space="preserve"> </w:t>
            </w:r>
            <w:r>
              <w:rPr>
                <w:spacing w:val="-1"/>
              </w:rPr>
              <w:t>沥青和改性沥青防水</w:t>
            </w:r>
            <w:r>
              <w:t xml:space="preserve"> </w:t>
            </w:r>
            <w:r>
              <w:rPr>
                <w:spacing w:val="-3"/>
              </w:rPr>
              <w:t>卷材</w:t>
            </w:r>
          </w:p>
        </w:tc>
        <w:tc>
          <w:tcPr>
            <w:tcW w:w="1956" w:type="dxa"/>
          </w:tcPr>
          <w:p w14:paraId="3B166EDB">
            <w:pPr>
              <w:rPr>
                <w:rFonts w:ascii="Arial"/>
              </w:rPr>
            </w:pPr>
          </w:p>
        </w:tc>
        <w:tc>
          <w:tcPr>
            <w:tcW w:w="3081" w:type="dxa"/>
          </w:tcPr>
          <w:p w14:paraId="66A7A3F1">
            <w:pPr>
              <w:pStyle w:val="734"/>
              <w:spacing w:before="66" w:line="219" w:lineRule="auto"/>
              <w:ind w:left="109"/>
            </w:pPr>
            <w:r>
              <w:rPr>
                <w:spacing w:val="-2"/>
              </w:rPr>
              <w:t>HJ455</w:t>
            </w:r>
            <w:r>
              <w:rPr>
                <w:spacing w:val="-25"/>
              </w:rPr>
              <w:t xml:space="preserve"> </w:t>
            </w:r>
            <w:r>
              <w:rPr>
                <w:spacing w:val="-2"/>
              </w:rPr>
              <w:t>防水卷材</w:t>
            </w:r>
          </w:p>
        </w:tc>
      </w:tr>
      <w:tr w14:paraId="0193D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400EA43E">
            <w:pPr>
              <w:rPr>
                <w:rFonts w:ascii="Arial"/>
              </w:rPr>
            </w:pPr>
          </w:p>
        </w:tc>
        <w:tc>
          <w:tcPr>
            <w:tcW w:w="1343" w:type="dxa"/>
            <w:vMerge w:val="continue"/>
            <w:tcBorders>
              <w:top w:val="nil"/>
              <w:bottom w:val="nil"/>
            </w:tcBorders>
          </w:tcPr>
          <w:p w14:paraId="0CBFB97D">
            <w:pPr>
              <w:rPr>
                <w:rFonts w:ascii="Arial"/>
              </w:rPr>
            </w:pPr>
          </w:p>
        </w:tc>
        <w:tc>
          <w:tcPr>
            <w:tcW w:w="2324" w:type="dxa"/>
          </w:tcPr>
          <w:p w14:paraId="323BB785">
            <w:pPr>
              <w:pStyle w:val="734"/>
              <w:spacing w:before="67" w:line="219" w:lineRule="auto"/>
              <w:ind w:left="103"/>
            </w:pPr>
            <w:r>
              <w:rPr>
                <w:spacing w:val="-2"/>
              </w:rPr>
              <w:t>A10030903</w:t>
            </w:r>
            <w:r>
              <w:rPr>
                <w:spacing w:val="36"/>
              </w:rPr>
              <w:t xml:space="preserve"> </w:t>
            </w:r>
            <w:r>
              <w:rPr>
                <w:spacing w:val="-2"/>
              </w:rPr>
              <w:t>自粘防水卷材</w:t>
            </w:r>
          </w:p>
        </w:tc>
        <w:tc>
          <w:tcPr>
            <w:tcW w:w="1956" w:type="dxa"/>
          </w:tcPr>
          <w:p w14:paraId="37FC2B41">
            <w:pPr>
              <w:rPr>
                <w:rFonts w:ascii="Arial"/>
              </w:rPr>
            </w:pPr>
          </w:p>
        </w:tc>
        <w:tc>
          <w:tcPr>
            <w:tcW w:w="3081" w:type="dxa"/>
          </w:tcPr>
          <w:p w14:paraId="60143075">
            <w:pPr>
              <w:pStyle w:val="734"/>
              <w:spacing w:before="66" w:line="219" w:lineRule="auto"/>
              <w:ind w:left="109"/>
            </w:pPr>
            <w:r>
              <w:rPr>
                <w:spacing w:val="-2"/>
              </w:rPr>
              <w:t>HJ455</w:t>
            </w:r>
            <w:r>
              <w:rPr>
                <w:spacing w:val="-25"/>
              </w:rPr>
              <w:t xml:space="preserve"> </w:t>
            </w:r>
            <w:r>
              <w:rPr>
                <w:spacing w:val="-2"/>
              </w:rPr>
              <w:t>防水卷材</w:t>
            </w:r>
          </w:p>
        </w:tc>
      </w:tr>
      <w:tr w14:paraId="42E5B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tcBorders>
          </w:tcPr>
          <w:p w14:paraId="2071DAB3">
            <w:pPr>
              <w:rPr>
                <w:rFonts w:ascii="Arial"/>
              </w:rPr>
            </w:pPr>
          </w:p>
        </w:tc>
        <w:tc>
          <w:tcPr>
            <w:tcW w:w="1343" w:type="dxa"/>
            <w:vMerge w:val="continue"/>
            <w:tcBorders>
              <w:top w:val="nil"/>
            </w:tcBorders>
          </w:tcPr>
          <w:p w14:paraId="4ADFDBA5">
            <w:pPr>
              <w:rPr>
                <w:rFonts w:ascii="Arial"/>
              </w:rPr>
            </w:pPr>
          </w:p>
        </w:tc>
        <w:tc>
          <w:tcPr>
            <w:tcW w:w="2324" w:type="dxa"/>
          </w:tcPr>
          <w:p w14:paraId="08FA2D63">
            <w:pPr>
              <w:pStyle w:val="734"/>
              <w:spacing w:before="66" w:line="283" w:lineRule="auto"/>
              <w:ind w:left="108" w:right="102" w:hanging="5"/>
            </w:pPr>
            <w:r>
              <w:rPr>
                <w:spacing w:val="-2"/>
              </w:rPr>
              <w:t>A10030906</w:t>
            </w:r>
            <w:r>
              <w:rPr>
                <w:spacing w:val="-24"/>
              </w:rPr>
              <w:t xml:space="preserve"> </w:t>
            </w:r>
            <w:r>
              <w:rPr>
                <w:spacing w:val="-2"/>
              </w:rPr>
              <w:t>高分子防水卷（片）</w:t>
            </w:r>
            <w:r>
              <w:t xml:space="preserve"> 材</w:t>
            </w:r>
          </w:p>
        </w:tc>
        <w:tc>
          <w:tcPr>
            <w:tcW w:w="1956" w:type="dxa"/>
          </w:tcPr>
          <w:p w14:paraId="00ABE212">
            <w:pPr>
              <w:rPr>
                <w:rFonts w:ascii="Arial"/>
              </w:rPr>
            </w:pPr>
          </w:p>
        </w:tc>
        <w:tc>
          <w:tcPr>
            <w:tcW w:w="3081" w:type="dxa"/>
          </w:tcPr>
          <w:p w14:paraId="5D0C7B5E">
            <w:pPr>
              <w:pStyle w:val="734"/>
              <w:spacing w:before="66" w:line="219" w:lineRule="auto"/>
              <w:ind w:left="109"/>
            </w:pPr>
            <w:r>
              <w:rPr>
                <w:spacing w:val="-2"/>
              </w:rPr>
              <w:t>HJ455</w:t>
            </w:r>
            <w:r>
              <w:rPr>
                <w:spacing w:val="-25"/>
              </w:rPr>
              <w:t xml:space="preserve"> </w:t>
            </w:r>
            <w:r>
              <w:rPr>
                <w:spacing w:val="-2"/>
              </w:rPr>
              <w:t>防水卷材</w:t>
            </w:r>
          </w:p>
        </w:tc>
      </w:tr>
      <w:tr w14:paraId="7CDF4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tcPr>
          <w:p w14:paraId="01166A43">
            <w:pPr>
              <w:pStyle w:val="734"/>
              <w:spacing w:before="95" w:line="183" w:lineRule="auto"/>
              <w:ind w:left="114"/>
            </w:pPr>
            <w:r>
              <w:rPr>
                <w:spacing w:val="-3"/>
              </w:rPr>
              <w:t>40</w:t>
            </w:r>
          </w:p>
        </w:tc>
        <w:tc>
          <w:tcPr>
            <w:tcW w:w="1343" w:type="dxa"/>
            <w:vMerge w:val="restart"/>
            <w:tcBorders>
              <w:bottom w:val="nil"/>
            </w:tcBorders>
          </w:tcPr>
          <w:p w14:paraId="53F73B52">
            <w:pPr>
              <w:pStyle w:val="734"/>
              <w:spacing w:before="68" w:line="311" w:lineRule="auto"/>
              <w:ind w:left="106" w:right="106" w:hanging="4"/>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324" w:type="dxa"/>
          </w:tcPr>
          <w:p w14:paraId="4EAB8E5C">
            <w:pPr>
              <w:pStyle w:val="734"/>
              <w:spacing w:before="68" w:line="282" w:lineRule="auto"/>
              <w:ind w:left="108" w:right="107" w:hanging="5"/>
              <w:rPr>
                <w:lang w:eastAsia="zh-CN"/>
              </w:rPr>
            </w:pPr>
            <w:r>
              <w:rPr>
                <w:spacing w:val="6"/>
                <w:lang w:eastAsia="zh-CN"/>
              </w:rPr>
              <w:t>A10031001 矿物绝热和吸声材</w:t>
            </w:r>
            <w:r>
              <w:rPr>
                <w:spacing w:val="7"/>
                <w:lang w:eastAsia="zh-CN"/>
              </w:rPr>
              <w:t xml:space="preserve"> </w:t>
            </w:r>
            <w:r>
              <w:rPr>
                <w:lang w:eastAsia="zh-CN"/>
              </w:rPr>
              <w:t>料</w:t>
            </w:r>
          </w:p>
        </w:tc>
        <w:tc>
          <w:tcPr>
            <w:tcW w:w="1956" w:type="dxa"/>
          </w:tcPr>
          <w:p w14:paraId="26812EFF">
            <w:pPr>
              <w:rPr>
                <w:rFonts w:ascii="Arial"/>
              </w:rPr>
            </w:pPr>
          </w:p>
        </w:tc>
        <w:tc>
          <w:tcPr>
            <w:tcW w:w="3081" w:type="dxa"/>
          </w:tcPr>
          <w:p w14:paraId="44F4C2BB">
            <w:pPr>
              <w:pStyle w:val="734"/>
              <w:spacing w:before="67" w:line="219" w:lineRule="auto"/>
              <w:ind w:left="109"/>
            </w:pPr>
            <w:r>
              <w:rPr>
                <w:spacing w:val="-1"/>
              </w:rPr>
              <w:t>HJ/T223</w:t>
            </w:r>
            <w:r>
              <w:rPr>
                <w:spacing w:val="-33"/>
              </w:rPr>
              <w:t xml:space="preserve"> </w:t>
            </w:r>
            <w:r>
              <w:rPr>
                <w:spacing w:val="-1"/>
              </w:rPr>
              <w:t>轻质墙体板材</w:t>
            </w:r>
          </w:p>
        </w:tc>
      </w:tr>
      <w:tr w14:paraId="2FD52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1DD1C622">
            <w:pPr>
              <w:rPr>
                <w:rFonts w:ascii="Arial"/>
              </w:rPr>
            </w:pPr>
          </w:p>
        </w:tc>
        <w:tc>
          <w:tcPr>
            <w:tcW w:w="1343" w:type="dxa"/>
            <w:vMerge w:val="continue"/>
            <w:tcBorders>
              <w:top w:val="nil"/>
            </w:tcBorders>
          </w:tcPr>
          <w:p w14:paraId="13AAC1EC">
            <w:pPr>
              <w:rPr>
                <w:rFonts w:ascii="Arial"/>
              </w:rPr>
            </w:pPr>
          </w:p>
        </w:tc>
        <w:tc>
          <w:tcPr>
            <w:tcW w:w="2324" w:type="dxa"/>
          </w:tcPr>
          <w:p w14:paraId="18DE3DB9">
            <w:pPr>
              <w:pStyle w:val="734"/>
              <w:spacing w:before="68" w:line="219" w:lineRule="auto"/>
              <w:ind w:left="103"/>
            </w:pPr>
            <w:r>
              <w:rPr>
                <w:spacing w:val="-1"/>
              </w:rPr>
              <w:t>A10031002</w:t>
            </w:r>
            <w:r>
              <w:rPr>
                <w:spacing w:val="-30"/>
              </w:rPr>
              <w:t xml:space="preserve"> </w:t>
            </w:r>
            <w:r>
              <w:rPr>
                <w:spacing w:val="-1"/>
              </w:rPr>
              <w:t>矿物材料制品</w:t>
            </w:r>
          </w:p>
        </w:tc>
        <w:tc>
          <w:tcPr>
            <w:tcW w:w="1956" w:type="dxa"/>
          </w:tcPr>
          <w:p w14:paraId="20F2A485">
            <w:pPr>
              <w:rPr>
                <w:rFonts w:ascii="Arial"/>
              </w:rPr>
            </w:pPr>
          </w:p>
        </w:tc>
        <w:tc>
          <w:tcPr>
            <w:tcW w:w="3081" w:type="dxa"/>
          </w:tcPr>
          <w:p w14:paraId="179E52A4">
            <w:pPr>
              <w:pStyle w:val="734"/>
              <w:spacing w:before="67" w:line="219" w:lineRule="auto"/>
              <w:ind w:left="109"/>
            </w:pPr>
            <w:r>
              <w:rPr>
                <w:spacing w:val="-1"/>
              </w:rPr>
              <w:t>HJ/T223</w:t>
            </w:r>
            <w:r>
              <w:rPr>
                <w:spacing w:val="-33"/>
              </w:rPr>
              <w:t xml:space="preserve"> </w:t>
            </w:r>
            <w:r>
              <w:rPr>
                <w:spacing w:val="-1"/>
              </w:rPr>
              <w:t>轻质墙体板材</w:t>
            </w:r>
          </w:p>
        </w:tc>
      </w:tr>
      <w:tr w14:paraId="67974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201DE82B">
            <w:pPr>
              <w:pStyle w:val="734"/>
              <w:spacing w:before="95" w:line="184" w:lineRule="auto"/>
              <w:ind w:left="114"/>
            </w:pPr>
            <w:r>
              <w:rPr>
                <w:spacing w:val="-3"/>
              </w:rPr>
              <w:t>41</w:t>
            </w:r>
          </w:p>
        </w:tc>
        <w:tc>
          <w:tcPr>
            <w:tcW w:w="1343" w:type="dxa"/>
          </w:tcPr>
          <w:p w14:paraId="36607EA2">
            <w:pPr>
              <w:pStyle w:val="734"/>
              <w:spacing w:before="68" w:line="282" w:lineRule="auto"/>
              <w:ind w:left="109" w:right="108" w:hanging="7"/>
            </w:pPr>
            <w:r>
              <w:rPr>
                <w:spacing w:val="3"/>
              </w:rPr>
              <w:t>A100601</w:t>
            </w:r>
            <w:r>
              <w:rPr>
                <w:spacing w:val="34"/>
              </w:rPr>
              <w:t xml:space="preserve"> </w:t>
            </w:r>
            <w:r>
              <w:rPr>
                <w:spacing w:val="3"/>
              </w:rPr>
              <w:t>功能性</w:t>
            </w:r>
            <w:r>
              <w:t xml:space="preserve"> </w:t>
            </w:r>
            <w:r>
              <w:rPr>
                <w:spacing w:val="-2"/>
              </w:rPr>
              <w:t>建筑涂料</w:t>
            </w:r>
          </w:p>
        </w:tc>
        <w:tc>
          <w:tcPr>
            <w:tcW w:w="2324" w:type="dxa"/>
          </w:tcPr>
          <w:p w14:paraId="2EE6CB7E">
            <w:pPr>
              <w:rPr>
                <w:rFonts w:ascii="Arial"/>
              </w:rPr>
            </w:pPr>
          </w:p>
        </w:tc>
        <w:tc>
          <w:tcPr>
            <w:tcW w:w="1956" w:type="dxa"/>
          </w:tcPr>
          <w:p w14:paraId="671974EA">
            <w:pPr>
              <w:rPr>
                <w:rFonts w:ascii="Arial"/>
              </w:rPr>
            </w:pPr>
          </w:p>
        </w:tc>
        <w:tc>
          <w:tcPr>
            <w:tcW w:w="3081" w:type="dxa"/>
          </w:tcPr>
          <w:p w14:paraId="56A73489">
            <w:pPr>
              <w:pStyle w:val="734"/>
              <w:spacing w:before="67" w:line="219" w:lineRule="auto"/>
              <w:ind w:left="109"/>
            </w:pPr>
            <w:r>
              <w:rPr>
                <w:spacing w:val="-1"/>
              </w:rPr>
              <w:t>HJ2537</w:t>
            </w:r>
            <w:r>
              <w:rPr>
                <w:spacing w:val="-34"/>
              </w:rPr>
              <w:t xml:space="preserve"> </w:t>
            </w:r>
            <w:r>
              <w:rPr>
                <w:spacing w:val="-1"/>
              </w:rPr>
              <w:t>水性涂料</w:t>
            </w:r>
          </w:p>
        </w:tc>
      </w:tr>
      <w:tr w14:paraId="0912F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32367942">
            <w:pPr>
              <w:pStyle w:val="734"/>
              <w:spacing w:before="97" w:line="183" w:lineRule="auto"/>
              <w:ind w:left="114"/>
            </w:pPr>
            <w:r>
              <w:rPr>
                <w:spacing w:val="-3"/>
              </w:rPr>
              <w:t>42</w:t>
            </w:r>
          </w:p>
        </w:tc>
        <w:tc>
          <w:tcPr>
            <w:tcW w:w="1343" w:type="dxa"/>
          </w:tcPr>
          <w:p w14:paraId="6ED6A3D4">
            <w:pPr>
              <w:pStyle w:val="734"/>
              <w:spacing w:before="69" w:line="284" w:lineRule="auto"/>
              <w:ind w:left="109" w:right="106" w:firstLine="84"/>
            </w:pPr>
            <w:r>
              <w:rPr>
                <w:spacing w:val="-1"/>
              </w:rPr>
              <w:t>A100399</w:t>
            </w:r>
            <w:r>
              <w:rPr>
                <w:spacing w:val="-15"/>
              </w:rPr>
              <w:t xml:space="preserve"> </w:t>
            </w:r>
            <w:r>
              <w:rPr>
                <w:spacing w:val="-1"/>
              </w:rPr>
              <w:t>其他非</w:t>
            </w:r>
            <w:r>
              <w:t xml:space="preserve"> </w:t>
            </w:r>
            <w:r>
              <w:rPr>
                <w:spacing w:val="-2"/>
              </w:rPr>
              <w:t>金属矿物制品</w:t>
            </w:r>
          </w:p>
        </w:tc>
        <w:tc>
          <w:tcPr>
            <w:tcW w:w="2324" w:type="dxa"/>
          </w:tcPr>
          <w:p w14:paraId="3B57E777">
            <w:pPr>
              <w:pStyle w:val="734"/>
              <w:spacing w:before="68" w:line="219" w:lineRule="auto"/>
              <w:ind w:left="103"/>
            </w:pPr>
            <w:r>
              <w:rPr>
                <w:spacing w:val="-1"/>
              </w:rPr>
              <w:t>A10039901</w:t>
            </w:r>
            <w:r>
              <w:rPr>
                <w:spacing w:val="-45"/>
              </w:rPr>
              <w:t xml:space="preserve"> </w:t>
            </w:r>
            <w:r>
              <w:rPr>
                <w:spacing w:val="-1"/>
              </w:rPr>
              <w:t>其他非金属建筑材料</w:t>
            </w:r>
          </w:p>
        </w:tc>
        <w:tc>
          <w:tcPr>
            <w:tcW w:w="1956" w:type="dxa"/>
          </w:tcPr>
          <w:p w14:paraId="365785FD">
            <w:pPr>
              <w:rPr>
                <w:rFonts w:ascii="Arial"/>
              </w:rPr>
            </w:pPr>
          </w:p>
        </w:tc>
        <w:tc>
          <w:tcPr>
            <w:tcW w:w="3081" w:type="dxa"/>
          </w:tcPr>
          <w:p w14:paraId="56BC18DF">
            <w:pPr>
              <w:pStyle w:val="734"/>
              <w:spacing w:before="68" w:line="219" w:lineRule="auto"/>
              <w:ind w:left="109"/>
            </w:pPr>
            <w:r>
              <w:rPr>
                <w:spacing w:val="-2"/>
              </w:rPr>
              <w:t>HJ456</w:t>
            </w:r>
            <w:r>
              <w:rPr>
                <w:spacing w:val="-23"/>
              </w:rPr>
              <w:t xml:space="preserve"> </w:t>
            </w:r>
            <w:r>
              <w:rPr>
                <w:spacing w:val="-2"/>
              </w:rPr>
              <w:t>刚性防水材料</w:t>
            </w:r>
          </w:p>
        </w:tc>
      </w:tr>
      <w:tr w14:paraId="42235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vMerge w:val="restart"/>
            <w:tcBorders>
              <w:bottom w:val="nil"/>
            </w:tcBorders>
          </w:tcPr>
          <w:p w14:paraId="3733579C">
            <w:pPr>
              <w:pStyle w:val="734"/>
              <w:spacing w:before="96" w:line="183" w:lineRule="auto"/>
              <w:ind w:left="114"/>
            </w:pPr>
            <w:r>
              <w:rPr>
                <w:spacing w:val="-3"/>
              </w:rPr>
              <w:t>43</w:t>
            </w:r>
          </w:p>
        </w:tc>
        <w:tc>
          <w:tcPr>
            <w:tcW w:w="1343" w:type="dxa"/>
            <w:vMerge w:val="restart"/>
            <w:tcBorders>
              <w:bottom w:val="nil"/>
            </w:tcBorders>
          </w:tcPr>
          <w:p w14:paraId="47B4DE81">
            <w:pPr>
              <w:pStyle w:val="734"/>
              <w:spacing w:before="68" w:line="307" w:lineRule="auto"/>
              <w:ind w:left="107" w:right="108" w:hanging="5"/>
            </w:pPr>
            <w:r>
              <w:rPr>
                <w:spacing w:val="3"/>
              </w:rPr>
              <w:t>A100602</w:t>
            </w:r>
            <w:r>
              <w:rPr>
                <w:spacing w:val="34"/>
              </w:rPr>
              <w:t xml:space="preserve"> </w:t>
            </w:r>
            <w:r>
              <w:rPr>
                <w:spacing w:val="3"/>
              </w:rPr>
              <w:t>墙面涂</w:t>
            </w:r>
            <w:r>
              <w:t xml:space="preserve"> 料</w:t>
            </w:r>
          </w:p>
        </w:tc>
        <w:tc>
          <w:tcPr>
            <w:tcW w:w="2324" w:type="dxa"/>
          </w:tcPr>
          <w:p w14:paraId="00C8C4BF">
            <w:pPr>
              <w:pStyle w:val="734"/>
              <w:spacing w:before="69" w:line="284" w:lineRule="auto"/>
              <w:ind w:left="108" w:right="107" w:hanging="5"/>
            </w:pPr>
            <w:r>
              <w:rPr>
                <w:spacing w:val="-1"/>
              </w:rPr>
              <w:t>A10060202</w:t>
            </w:r>
            <w:r>
              <w:rPr>
                <w:spacing w:val="-47"/>
              </w:rPr>
              <w:t xml:space="preserve"> </w:t>
            </w:r>
            <w:r>
              <w:rPr>
                <w:spacing w:val="-1"/>
              </w:rPr>
              <w:t>合成树脂乳液内墙涂</w:t>
            </w:r>
            <w:r>
              <w:t xml:space="preserve"> 料</w:t>
            </w:r>
          </w:p>
        </w:tc>
        <w:tc>
          <w:tcPr>
            <w:tcW w:w="1956" w:type="dxa"/>
          </w:tcPr>
          <w:p w14:paraId="31308A9C">
            <w:pPr>
              <w:rPr>
                <w:rFonts w:ascii="Arial"/>
              </w:rPr>
            </w:pPr>
          </w:p>
        </w:tc>
        <w:tc>
          <w:tcPr>
            <w:tcW w:w="3081" w:type="dxa"/>
          </w:tcPr>
          <w:p w14:paraId="2E42577E">
            <w:pPr>
              <w:pStyle w:val="734"/>
              <w:spacing w:before="67" w:line="219" w:lineRule="auto"/>
              <w:ind w:left="109"/>
            </w:pPr>
            <w:r>
              <w:rPr>
                <w:spacing w:val="-1"/>
              </w:rPr>
              <w:t>HJ2537</w:t>
            </w:r>
            <w:r>
              <w:rPr>
                <w:spacing w:val="-34"/>
              </w:rPr>
              <w:t xml:space="preserve"> </w:t>
            </w:r>
            <w:r>
              <w:rPr>
                <w:spacing w:val="-1"/>
              </w:rPr>
              <w:t>水性涂料</w:t>
            </w:r>
          </w:p>
        </w:tc>
      </w:tr>
      <w:tr w14:paraId="00F4B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bottom w:val="nil"/>
            </w:tcBorders>
          </w:tcPr>
          <w:p w14:paraId="60446C34">
            <w:pPr>
              <w:rPr>
                <w:rFonts w:ascii="Arial"/>
              </w:rPr>
            </w:pPr>
          </w:p>
        </w:tc>
        <w:tc>
          <w:tcPr>
            <w:tcW w:w="1343" w:type="dxa"/>
            <w:vMerge w:val="continue"/>
            <w:tcBorders>
              <w:top w:val="nil"/>
              <w:bottom w:val="nil"/>
            </w:tcBorders>
          </w:tcPr>
          <w:p w14:paraId="3BF7E2C1">
            <w:pPr>
              <w:rPr>
                <w:rFonts w:ascii="Arial"/>
              </w:rPr>
            </w:pPr>
          </w:p>
        </w:tc>
        <w:tc>
          <w:tcPr>
            <w:tcW w:w="2324" w:type="dxa"/>
          </w:tcPr>
          <w:p w14:paraId="2FC2D41D">
            <w:pPr>
              <w:pStyle w:val="734"/>
              <w:spacing w:before="64" w:line="284" w:lineRule="auto"/>
              <w:ind w:left="108" w:right="107" w:hanging="5"/>
            </w:pPr>
            <w:r>
              <w:rPr>
                <w:spacing w:val="-1"/>
              </w:rPr>
              <w:t>A10060203</w:t>
            </w:r>
            <w:r>
              <w:rPr>
                <w:spacing w:val="-47"/>
              </w:rPr>
              <w:t xml:space="preserve"> </w:t>
            </w:r>
            <w:r>
              <w:rPr>
                <w:spacing w:val="-1"/>
              </w:rPr>
              <w:t>合成树脂乳液外墙涂</w:t>
            </w:r>
            <w:r>
              <w:t xml:space="preserve"> 料</w:t>
            </w:r>
          </w:p>
        </w:tc>
        <w:tc>
          <w:tcPr>
            <w:tcW w:w="1956" w:type="dxa"/>
          </w:tcPr>
          <w:p w14:paraId="605039BF">
            <w:pPr>
              <w:rPr>
                <w:rFonts w:ascii="Arial"/>
              </w:rPr>
            </w:pPr>
          </w:p>
        </w:tc>
        <w:tc>
          <w:tcPr>
            <w:tcW w:w="3081" w:type="dxa"/>
          </w:tcPr>
          <w:p w14:paraId="00C42CBB">
            <w:pPr>
              <w:pStyle w:val="734"/>
              <w:spacing w:before="63" w:line="219" w:lineRule="auto"/>
              <w:ind w:left="109"/>
            </w:pPr>
            <w:r>
              <w:rPr>
                <w:spacing w:val="-1"/>
              </w:rPr>
              <w:t>HJ2537</w:t>
            </w:r>
            <w:r>
              <w:rPr>
                <w:spacing w:val="-34"/>
              </w:rPr>
              <w:t xml:space="preserve"> </w:t>
            </w:r>
            <w:r>
              <w:rPr>
                <w:spacing w:val="-1"/>
              </w:rPr>
              <w:t>水性涂料</w:t>
            </w:r>
          </w:p>
        </w:tc>
      </w:tr>
      <w:tr w14:paraId="44A58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tcBorders>
          </w:tcPr>
          <w:p w14:paraId="47C3649A">
            <w:pPr>
              <w:rPr>
                <w:rFonts w:ascii="Arial"/>
              </w:rPr>
            </w:pPr>
          </w:p>
        </w:tc>
        <w:tc>
          <w:tcPr>
            <w:tcW w:w="1343" w:type="dxa"/>
            <w:vMerge w:val="continue"/>
            <w:tcBorders>
              <w:top w:val="nil"/>
            </w:tcBorders>
          </w:tcPr>
          <w:p w14:paraId="2DF73A2E">
            <w:pPr>
              <w:rPr>
                <w:rFonts w:ascii="Arial"/>
              </w:rPr>
            </w:pPr>
          </w:p>
        </w:tc>
        <w:tc>
          <w:tcPr>
            <w:tcW w:w="2324" w:type="dxa"/>
          </w:tcPr>
          <w:p w14:paraId="007FB3DB">
            <w:pPr>
              <w:pStyle w:val="734"/>
              <w:spacing w:before="64" w:line="221" w:lineRule="auto"/>
              <w:ind w:left="103"/>
            </w:pPr>
            <w:r>
              <w:rPr>
                <w:spacing w:val="-1"/>
              </w:rPr>
              <w:t>A10060299</w:t>
            </w:r>
            <w:r>
              <w:rPr>
                <w:spacing w:val="-30"/>
              </w:rPr>
              <w:t xml:space="preserve"> </w:t>
            </w:r>
            <w:r>
              <w:rPr>
                <w:spacing w:val="-1"/>
              </w:rPr>
              <w:t>其他墙面涂料</w:t>
            </w:r>
          </w:p>
        </w:tc>
        <w:tc>
          <w:tcPr>
            <w:tcW w:w="1956" w:type="dxa"/>
          </w:tcPr>
          <w:p w14:paraId="3E23946D">
            <w:pPr>
              <w:rPr>
                <w:rFonts w:ascii="Arial"/>
              </w:rPr>
            </w:pPr>
          </w:p>
        </w:tc>
        <w:tc>
          <w:tcPr>
            <w:tcW w:w="3081" w:type="dxa"/>
          </w:tcPr>
          <w:p w14:paraId="7601F874">
            <w:pPr>
              <w:pStyle w:val="734"/>
              <w:spacing w:before="64" w:line="219" w:lineRule="auto"/>
              <w:ind w:left="109"/>
            </w:pPr>
            <w:r>
              <w:rPr>
                <w:spacing w:val="-1"/>
              </w:rPr>
              <w:t>HJ2537</w:t>
            </w:r>
            <w:r>
              <w:rPr>
                <w:spacing w:val="-34"/>
              </w:rPr>
              <w:t xml:space="preserve"> </w:t>
            </w:r>
            <w:r>
              <w:rPr>
                <w:spacing w:val="-1"/>
              </w:rPr>
              <w:t>水性涂料</w:t>
            </w:r>
          </w:p>
        </w:tc>
      </w:tr>
      <w:tr w14:paraId="0F865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1CCBE2DA">
            <w:pPr>
              <w:pStyle w:val="734"/>
              <w:spacing w:before="93" w:line="183" w:lineRule="auto"/>
              <w:ind w:left="114"/>
            </w:pPr>
            <w:r>
              <w:rPr>
                <w:spacing w:val="-3"/>
              </w:rPr>
              <w:t>44</w:t>
            </w:r>
          </w:p>
        </w:tc>
        <w:tc>
          <w:tcPr>
            <w:tcW w:w="1343" w:type="dxa"/>
          </w:tcPr>
          <w:p w14:paraId="54CA8363">
            <w:pPr>
              <w:pStyle w:val="734"/>
              <w:spacing w:before="66" w:line="283" w:lineRule="auto"/>
              <w:ind w:left="107" w:right="108" w:hanging="5"/>
            </w:pPr>
            <w:r>
              <w:rPr>
                <w:spacing w:val="2"/>
              </w:rPr>
              <w:t>A100604</w:t>
            </w:r>
            <w:r>
              <w:rPr>
                <w:spacing w:val="44"/>
              </w:rPr>
              <w:t xml:space="preserve"> </w:t>
            </w:r>
            <w:r>
              <w:rPr>
                <w:spacing w:val="2"/>
              </w:rPr>
              <w:t>防水涂</w:t>
            </w:r>
            <w:r>
              <w:t xml:space="preserve"> 料</w:t>
            </w:r>
          </w:p>
        </w:tc>
        <w:tc>
          <w:tcPr>
            <w:tcW w:w="2324" w:type="dxa"/>
          </w:tcPr>
          <w:p w14:paraId="781F3DA9">
            <w:pPr>
              <w:pStyle w:val="734"/>
              <w:spacing w:before="65" w:line="220" w:lineRule="auto"/>
              <w:ind w:left="103"/>
            </w:pPr>
            <w:r>
              <w:rPr>
                <w:spacing w:val="-1"/>
              </w:rPr>
              <w:t>A10060499</w:t>
            </w:r>
            <w:r>
              <w:rPr>
                <w:spacing w:val="-30"/>
              </w:rPr>
              <w:t xml:space="preserve"> </w:t>
            </w:r>
            <w:r>
              <w:rPr>
                <w:spacing w:val="-1"/>
              </w:rPr>
              <w:t>其他防水涂料</w:t>
            </w:r>
          </w:p>
        </w:tc>
        <w:tc>
          <w:tcPr>
            <w:tcW w:w="1956" w:type="dxa"/>
          </w:tcPr>
          <w:p w14:paraId="618D6E49">
            <w:pPr>
              <w:rPr>
                <w:rFonts w:ascii="Arial"/>
              </w:rPr>
            </w:pPr>
          </w:p>
        </w:tc>
        <w:tc>
          <w:tcPr>
            <w:tcW w:w="3081" w:type="dxa"/>
          </w:tcPr>
          <w:p w14:paraId="09CCC3F5">
            <w:pPr>
              <w:pStyle w:val="734"/>
              <w:spacing w:before="65" w:line="219" w:lineRule="auto"/>
              <w:ind w:left="109"/>
            </w:pPr>
            <w:r>
              <w:rPr>
                <w:spacing w:val="-1"/>
              </w:rPr>
              <w:t>HJ2537</w:t>
            </w:r>
            <w:r>
              <w:rPr>
                <w:spacing w:val="-34"/>
              </w:rPr>
              <w:t xml:space="preserve"> </w:t>
            </w:r>
            <w:r>
              <w:rPr>
                <w:spacing w:val="-1"/>
              </w:rPr>
              <w:t>水性涂料</w:t>
            </w:r>
          </w:p>
        </w:tc>
      </w:tr>
      <w:tr w14:paraId="424F2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2F735BDD">
            <w:pPr>
              <w:pStyle w:val="734"/>
              <w:spacing w:before="94" w:line="183" w:lineRule="auto"/>
              <w:ind w:left="114"/>
            </w:pPr>
            <w:r>
              <w:rPr>
                <w:spacing w:val="-3"/>
              </w:rPr>
              <w:t>45</w:t>
            </w:r>
          </w:p>
        </w:tc>
        <w:tc>
          <w:tcPr>
            <w:tcW w:w="1343" w:type="dxa"/>
          </w:tcPr>
          <w:p w14:paraId="7797E720">
            <w:pPr>
              <w:pStyle w:val="734"/>
              <w:spacing w:before="66" w:line="283" w:lineRule="auto"/>
              <w:ind w:left="109" w:right="108" w:hanging="7"/>
            </w:pPr>
            <w:r>
              <w:rPr>
                <w:spacing w:val="3"/>
              </w:rPr>
              <w:t>A100699</w:t>
            </w:r>
            <w:r>
              <w:rPr>
                <w:spacing w:val="34"/>
              </w:rPr>
              <w:t xml:space="preserve"> </w:t>
            </w:r>
            <w:r>
              <w:rPr>
                <w:spacing w:val="3"/>
              </w:rPr>
              <w:t>其他建</w:t>
            </w:r>
            <w:r>
              <w:rPr>
                <w:spacing w:val="-2"/>
              </w:rPr>
              <w:t>筑涂料</w:t>
            </w:r>
          </w:p>
        </w:tc>
        <w:tc>
          <w:tcPr>
            <w:tcW w:w="2324" w:type="dxa"/>
          </w:tcPr>
          <w:p w14:paraId="198ABF86">
            <w:pPr>
              <w:rPr>
                <w:rFonts w:ascii="Arial"/>
              </w:rPr>
            </w:pPr>
          </w:p>
        </w:tc>
        <w:tc>
          <w:tcPr>
            <w:tcW w:w="1956" w:type="dxa"/>
          </w:tcPr>
          <w:p w14:paraId="7AE225C2">
            <w:pPr>
              <w:rPr>
                <w:rFonts w:ascii="Arial"/>
              </w:rPr>
            </w:pPr>
          </w:p>
        </w:tc>
        <w:tc>
          <w:tcPr>
            <w:tcW w:w="3081" w:type="dxa"/>
          </w:tcPr>
          <w:p w14:paraId="50CF7884">
            <w:pPr>
              <w:pStyle w:val="734"/>
              <w:spacing w:before="65" w:line="219" w:lineRule="auto"/>
              <w:ind w:left="109"/>
            </w:pPr>
            <w:r>
              <w:rPr>
                <w:spacing w:val="-1"/>
              </w:rPr>
              <w:t>HJ2537</w:t>
            </w:r>
            <w:r>
              <w:rPr>
                <w:spacing w:val="-34"/>
              </w:rPr>
              <w:t xml:space="preserve"> </w:t>
            </w:r>
            <w:r>
              <w:rPr>
                <w:spacing w:val="-1"/>
              </w:rPr>
              <w:t>水性涂料</w:t>
            </w:r>
          </w:p>
        </w:tc>
      </w:tr>
      <w:tr w14:paraId="02EED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10" w:type="dxa"/>
          </w:tcPr>
          <w:p w14:paraId="72D68485">
            <w:pPr>
              <w:pStyle w:val="734"/>
              <w:spacing w:before="95" w:line="183" w:lineRule="auto"/>
              <w:ind w:left="114"/>
            </w:pPr>
            <w:r>
              <w:rPr>
                <w:spacing w:val="-3"/>
              </w:rPr>
              <w:t>46</w:t>
            </w:r>
          </w:p>
        </w:tc>
        <w:tc>
          <w:tcPr>
            <w:tcW w:w="1343" w:type="dxa"/>
          </w:tcPr>
          <w:p w14:paraId="2AA6E392">
            <w:pPr>
              <w:pStyle w:val="734"/>
              <w:spacing w:before="66" w:line="222" w:lineRule="auto"/>
              <w:ind w:left="102"/>
            </w:pPr>
            <w:r>
              <w:rPr>
                <w:spacing w:val="-8"/>
              </w:rPr>
              <w:t>A100701</w:t>
            </w:r>
            <w:r>
              <w:rPr>
                <w:spacing w:val="-12"/>
              </w:rPr>
              <w:t xml:space="preserve"> </w:t>
            </w:r>
            <w:r>
              <w:rPr>
                <w:spacing w:val="-8"/>
              </w:rPr>
              <w:t>门、门槛</w:t>
            </w:r>
          </w:p>
        </w:tc>
        <w:tc>
          <w:tcPr>
            <w:tcW w:w="2324" w:type="dxa"/>
          </w:tcPr>
          <w:p w14:paraId="5F751840">
            <w:pPr>
              <w:rPr>
                <w:rFonts w:ascii="Arial"/>
              </w:rPr>
            </w:pPr>
          </w:p>
        </w:tc>
        <w:tc>
          <w:tcPr>
            <w:tcW w:w="1956" w:type="dxa"/>
          </w:tcPr>
          <w:p w14:paraId="2A3042A4">
            <w:pPr>
              <w:rPr>
                <w:rFonts w:ascii="Arial"/>
              </w:rPr>
            </w:pPr>
          </w:p>
        </w:tc>
        <w:tc>
          <w:tcPr>
            <w:tcW w:w="3081" w:type="dxa"/>
          </w:tcPr>
          <w:p w14:paraId="18795CEE">
            <w:pPr>
              <w:pStyle w:val="734"/>
              <w:spacing w:before="66" w:line="219" w:lineRule="auto"/>
              <w:ind w:left="109"/>
              <w:rPr>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13442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1FD3D632">
            <w:pPr>
              <w:pStyle w:val="734"/>
              <w:spacing w:before="95" w:line="183" w:lineRule="auto"/>
              <w:ind w:left="114"/>
            </w:pPr>
            <w:r>
              <w:rPr>
                <w:spacing w:val="-3"/>
              </w:rPr>
              <w:t>47</w:t>
            </w:r>
          </w:p>
        </w:tc>
        <w:tc>
          <w:tcPr>
            <w:tcW w:w="1343" w:type="dxa"/>
          </w:tcPr>
          <w:p w14:paraId="1CCCFC4F">
            <w:pPr>
              <w:pStyle w:val="734"/>
              <w:spacing w:before="66" w:line="221" w:lineRule="auto"/>
              <w:ind w:left="102"/>
            </w:pPr>
            <w:r>
              <w:rPr>
                <w:spacing w:val="-1"/>
              </w:rPr>
              <w:t>A100702</w:t>
            </w:r>
            <w:r>
              <w:rPr>
                <w:spacing w:val="-24"/>
              </w:rPr>
              <w:t xml:space="preserve"> </w:t>
            </w:r>
            <w:r>
              <w:rPr>
                <w:spacing w:val="-1"/>
              </w:rPr>
              <w:t>窗</w:t>
            </w:r>
          </w:p>
        </w:tc>
        <w:tc>
          <w:tcPr>
            <w:tcW w:w="2324" w:type="dxa"/>
          </w:tcPr>
          <w:p w14:paraId="7EF81965">
            <w:pPr>
              <w:rPr>
                <w:rFonts w:ascii="Arial"/>
              </w:rPr>
            </w:pPr>
          </w:p>
        </w:tc>
        <w:tc>
          <w:tcPr>
            <w:tcW w:w="1956" w:type="dxa"/>
          </w:tcPr>
          <w:p w14:paraId="0EF32876">
            <w:pPr>
              <w:rPr>
                <w:rFonts w:ascii="Arial"/>
              </w:rPr>
            </w:pPr>
          </w:p>
        </w:tc>
        <w:tc>
          <w:tcPr>
            <w:tcW w:w="3081" w:type="dxa"/>
          </w:tcPr>
          <w:p w14:paraId="2163F895">
            <w:pPr>
              <w:pStyle w:val="734"/>
              <w:spacing w:before="66" w:line="219" w:lineRule="auto"/>
              <w:ind w:left="109"/>
            </w:pPr>
            <w:r>
              <w:rPr>
                <w:spacing w:val="-1"/>
              </w:rPr>
              <w:t>HJ/T237</w:t>
            </w:r>
            <w:r>
              <w:rPr>
                <w:spacing w:val="-33"/>
              </w:rPr>
              <w:t xml:space="preserve"> </w:t>
            </w:r>
            <w:r>
              <w:rPr>
                <w:spacing w:val="-1"/>
              </w:rPr>
              <w:t>塑料门窗</w:t>
            </w:r>
          </w:p>
        </w:tc>
      </w:tr>
      <w:tr w14:paraId="6615E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10" w:type="dxa"/>
          </w:tcPr>
          <w:p w14:paraId="39351B32">
            <w:pPr>
              <w:pStyle w:val="734"/>
              <w:spacing w:before="98" w:line="183" w:lineRule="auto"/>
              <w:ind w:left="114"/>
            </w:pPr>
            <w:r>
              <w:rPr>
                <w:spacing w:val="-3"/>
              </w:rPr>
              <w:t>48</w:t>
            </w:r>
          </w:p>
        </w:tc>
        <w:tc>
          <w:tcPr>
            <w:tcW w:w="1343" w:type="dxa"/>
          </w:tcPr>
          <w:p w14:paraId="456115D8">
            <w:pPr>
              <w:pStyle w:val="734"/>
              <w:spacing w:before="70" w:line="282" w:lineRule="auto"/>
              <w:ind w:left="109" w:right="106" w:hanging="7"/>
            </w:pPr>
            <w:r>
              <w:rPr>
                <w:spacing w:val="-8"/>
              </w:rPr>
              <w:t>A170108</w:t>
            </w:r>
            <w:r>
              <w:rPr>
                <w:spacing w:val="-25"/>
              </w:rPr>
              <w:t xml:space="preserve"> </w:t>
            </w:r>
            <w:r>
              <w:rPr>
                <w:spacing w:val="-8"/>
              </w:rPr>
              <w:t>涂料（建</w:t>
            </w:r>
            <w:r>
              <w:t xml:space="preserve"> </w:t>
            </w:r>
            <w:r>
              <w:rPr>
                <w:spacing w:val="-2"/>
              </w:rPr>
              <w:t>筑涂料除外）</w:t>
            </w:r>
          </w:p>
        </w:tc>
        <w:tc>
          <w:tcPr>
            <w:tcW w:w="2324" w:type="dxa"/>
          </w:tcPr>
          <w:p w14:paraId="388FE0A7">
            <w:pPr>
              <w:rPr>
                <w:rFonts w:ascii="Arial"/>
              </w:rPr>
            </w:pPr>
          </w:p>
        </w:tc>
        <w:tc>
          <w:tcPr>
            <w:tcW w:w="1956" w:type="dxa"/>
          </w:tcPr>
          <w:p w14:paraId="02AA30B4">
            <w:pPr>
              <w:rPr>
                <w:rFonts w:ascii="Arial"/>
              </w:rPr>
            </w:pPr>
          </w:p>
        </w:tc>
        <w:tc>
          <w:tcPr>
            <w:tcW w:w="3081" w:type="dxa"/>
          </w:tcPr>
          <w:p w14:paraId="561B082F">
            <w:pPr>
              <w:pStyle w:val="734"/>
              <w:spacing w:before="69" w:line="219" w:lineRule="auto"/>
              <w:ind w:left="109"/>
            </w:pPr>
            <w:r>
              <w:rPr>
                <w:spacing w:val="-1"/>
              </w:rPr>
              <w:t>HJ2537</w:t>
            </w:r>
            <w:r>
              <w:rPr>
                <w:spacing w:val="-34"/>
              </w:rPr>
              <w:t xml:space="preserve"> </w:t>
            </w:r>
            <w:r>
              <w:rPr>
                <w:spacing w:val="-1"/>
              </w:rPr>
              <w:t>水性涂料</w:t>
            </w:r>
          </w:p>
        </w:tc>
      </w:tr>
      <w:tr w14:paraId="2E1A2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71260A5B">
            <w:pPr>
              <w:pStyle w:val="734"/>
              <w:spacing w:before="96" w:line="183" w:lineRule="auto"/>
              <w:ind w:left="114"/>
            </w:pPr>
            <w:r>
              <w:rPr>
                <w:spacing w:val="-3"/>
              </w:rPr>
              <w:t>49</w:t>
            </w:r>
          </w:p>
        </w:tc>
        <w:tc>
          <w:tcPr>
            <w:tcW w:w="1343" w:type="dxa"/>
          </w:tcPr>
          <w:p w14:paraId="5B683C45">
            <w:pPr>
              <w:pStyle w:val="734"/>
              <w:spacing w:before="68" w:line="282" w:lineRule="auto"/>
              <w:ind w:left="109" w:right="108" w:hanging="7"/>
            </w:pPr>
            <w:r>
              <w:rPr>
                <w:spacing w:val="3"/>
              </w:rPr>
              <w:t>A170112</w:t>
            </w:r>
            <w:r>
              <w:rPr>
                <w:spacing w:val="34"/>
              </w:rPr>
              <w:t xml:space="preserve"> </w:t>
            </w:r>
            <w:r>
              <w:rPr>
                <w:spacing w:val="3"/>
              </w:rPr>
              <w:t>密封用</w:t>
            </w:r>
            <w:r>
              <w:t xml:space="preserve"> </w:t>
            </w:r>
            <w:r>
              <w:rPr>
                <w:spacing w:val="-2"/>
              </w:rPr>
              <w:t>填料及类似品</w:t>
            </w:r>
          </w:p>
        </w:tc>
        <w:tc>
          <w:tcPr>
            <w:tcW w:w="2324" w:type="dxa"/>
          </w:tcPr>
          <w:p w14:paraId="48DCFC9B">
            <w:pPr>
              <w:rPr>
                <w:rFonts w:ascii="Arial"/>
              </w:rPr>
            </w:pPr>
          </w:p>
        </w:tc>
        <w:tc>
          <w:tcPr>
            <w:tcW w:w="1956" w:type="dxa"/>
          </w:tcPr>
          <w:p w14:paraId="60D3A278">
            <w:pPr>
              <w:rPr>
                <w:rFonts w:ascii="Arial"/>
              </w:rPr>
            </w:pPr>
          </w:p>
        </w:tc>
        <w:tc>
          <w:tcPr>
            <w:tcW w:w="3081" w:type="dxa"/>
          </w:tcPr>
          <w:p w14:paraId="320CBF78">
            <w:pPr>
              <w:pStyle w:val="734"/>
              <w:spacing w:before="67" w:line="219" w:lineRule="auto"/>
              <w:ind w:left="109"/>
            </w:pPr>
            <w:r>
              <w:rPr>
                <w:spacing w:val="-1"/>
              </w:rPr>
              <w:t>HJ2541</w:t>
            </w:r>
            <w:r>
              <w:rPr>
                <w:spacing w:val="-35"/>
              </w:rPr>
              <w:t xml:space="preserve"> </w:t>
            </w:r>
            <w:r>
              <w:rPr>
                <w:spacing w:val="-1"/>
              </w:rPr>
              <w:t>胶粘剂</w:t>
            </w:r>
          </w:p>
        </w:tc>
      </w:tr>
      <w:tr w14:paraId="1CB86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3CFCC2A1">
            <w:pPr>
              <w:pStyle w:val="734"/>
              <w:spacing w:before="97" w:line="183" w:lineRule="auto"/>
              <w:ind w:left="118"/>
            </w:pPr>
            <w:r>
              <w:rPr>
                <w:spacing w:val="-5"/>
              </w:rPr>
              <w:t>50</w:t>
            </w:r>
          </w:p>
        </w:tc>
        <w:tc>
          <w:tcPr>
            <w:tcW w:w="1343" w:type="dxa"/>
          </w:tcPr>
          <w:p w14:paraId="47C36C29">
            <w:pPr>
              <w:pStyle w:val="734"/>
              <w:spacing w:before="69" w:line="284" w:lineRule="auto"/>
              <w:ind w:left="122" w:right="108" w:hanging="20"/>
            </w:pPr>
            <w:r>
              <w:rPr>
                <w:spacing w:val="3"/>
              </w:rPr>
              <w:t>A180201</w:t>
            </w:r>
            <w:r>
              <w:rPr>
                <w:spacing w:val="34"/>
              </w:rPr>
              <w:t xml:space="preserve"> </w:t>
            </w:r>
            <w:r>
              <w:rPr>
                <w:spacing w:val="3"/>
              </w:rPr>
              <w:t>塑料制</w:t>
            </w:r>
            <w:r>
              <w:t xml:space="preserve"> 品</w:t>
            </w:r>
          </w:p>
        </w:tc>
        <w:tc>
          <w:tcPr>
            <w:tcW w:w="2324" w:type="dxa"/>
          </w:tcPr>
          <w:p w14:paraId="2F193A49">
            <w:pPr>
              <w:rPr>
                <w:rFonts w:ascii="Arial"/>
              </w:rPr>
            </w:pPr>
          </w:p>
        </w:tc>
        <w:tc>
          <w:tcPr>
            <w:tcW w:w="1956" w:type="dxa"/>
          </w:tcPr>
          <w:p w14:paraId="75DDD0BE">
            <w:pPr>
              <w:rPr>
                <w:rFonts w:ascii="Arial"/>
              </w:rPr>
            </w:pPr>
          </w:p>
        </w:tc>
        <w:tc>
          <w:tcPr>
            <w:tcW w:w="3081" w:type="dxa"/>
          </w:tcPr>
          <w:p w14:paraId="599DFB23">
            <w:pPr>
              <w:pStyle w:val="734"/>
              <w:spacing w:before="69" w:line="284" w:lineRule="auto"/>
              <w:ind w:left="113" w:right="104" w:hanging="4"/>
            </w:pPr>
            <w:r>
              <w:t>HJ/T226 建筑用塑料管材/HJ/</w:t>
            </w:r>
            <w:r>
              <w:rPr>
                <w:spacing w:val="-1"/>
              </w:rPr>
              <w:t>T231 再生塑</w:t>
            </w:r>
            <w:r>
              <w:t xml:space="preserve"> </w:t>
            </w:r>
            <w:r>
              <w:rPr>
                <w:spacing w:val="-2"/>
              </w:rPr>
              <w:t>料制品</w:t>
            </w:r>
          </w:p>
        </w:tc>
      </w:tr>
    </w:tbl>
    <w:p w14:paraId="684CB9D6">
      <w:pPr>
        <w:spacing w:line="91" w:lineRule="auto"/>
        <w:rPr>
          <w:rFonts w:ascii="Arial"/>
          <w:sz w:val="2"/>
        </w:rPr>
      </w:pPr>
    </w:p>
    <w:p w14:paraId="62823D80">
      <w:pPr>
        <w:jc w:val="left"/>
        <w:rPr>
          <w:rFonts w:hAnsi="宋体"/>
          <w:b/>
          <w:bCs/>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14:paraId="64FF9D2A">
      <w:pPr>
        <w:adjustRightInd w:val="0"/>
        <w:spacing w:line="400" w:lineRule="exact"/>
        <w:ind w:firstLine="422" w:firstLineChars="200"/>
        <w:jc w:val="left"/>
        <w:textAlignment w:val="baseline"/>
        <w:rPr>
          <w:rFonts w:hAnsi="宋体"/>
          <w:b/>
          <w:bCs/>
        </w:rPr>
        <w:sectPr>
          <w:pgSz w:w="11906" w:h="16838"/>
          <w:pgMar w:top="1440" w:right="567" w:bottom="1440" w:left="850" w:header="850" w:footer="992" w:gutter="0"/>
          <w:cols w:space="0" w:num="1"/>
          <w:docGrid w:linePitch="312" w:charSpace="0"/>
        </w:sectPr>
      </w:pPr>
    </w:p>
    <w:p w14:paraId="3C0C34C7">
      <w:pPr>
        <w:tabs>
          <w:tab w:val="left" w:pos="3055"/>
        </w:tabs>
        <w:jc w:val="left"/>
        <w:rPr>
          <w:rFonts w:hAnsi="宋体"/>
          <w:b/>
          <w:bCs/>
        </w:rPr>
      </w:pPr>
    </w:p>
    <w:p w14:paraId="3B5197C6">
      <w:pPr>
        <w:pStyle w:val="31"/>
        <w:rPr>
          <w:rFonts w:hAnsi="宋体"/>
          <w:b/>
          <w:bCs/>
        </w:rPr>
      </w:pPr>
    </w:p>
    <w:p w14:paraId="44386CD5">
      <w:pPr>
        <w:rPr>
          <w:rFonts w:hAnsi="宋体"/>
          <w:b/>
          <w:bCs/>
        </w:rPr>
      </w:pPr>
    </w:p>
    <w:p w14:paraId="43B4026B">
      <w:pPr>
        <w:pStyle w:val="31"/>
        <w:rPr>
          <w:rFonts w:hAnsi="宋体"/>
          <w:b/>
          <w:bCs/>
        </w:rPr>
      </w:pPr>
    </w:p>
    <w:p w14:paraId="6BCD90F2">
      <w:pPr>
        <w:rPr>
          <w:rFonts w:hAnsi="宋体"/>
          <w:b/>
          <w:bCs/>
        </w:rPr>
      </w:pPr>
    </w:p>
    <w:p w14:paraId="483E7818">
      <w:pPr>
        <w:pStyle w:val="31"/>
        <w:rPr>
          <w:rFonts w:hAnsi="宋体"/>
          <w:b/>
          <w:bCs/>
        </w:rPr>
      </w:pPr>
    </w:p>
    <w:p w14:paraId="1F920504">
      <w:pPr>
        <w:rPr>
          <w:rFonts w:hAnsi="宋体"/>
          <w:b/>
          <w:bCs/>
        </w:rPr>
      </w:pPr>
    </w:p>
    <w:p w14:paraId="3FD72B31">
      <w:pPr>
        <w:pStyle w:val="31"/>
        <w:rPr>
          <w:rFonts w:hAnsi="宋体"/>
          <w:b/>
          <w:bCs/>
        </w:rPr>
      </w:pPr>
    </w:p>
    <w:p w14:paraId="3CA0CE3E">
      <w:pPr>
        <w:rPr>
          <w:rFonts w:hAnsi="宋体"/>
          <w:b/>
          <w:bCs/>
        </w:rPr>
      </w:pPr>
    </w:p>
    <w:p w14:paraId="7AD4EEEB">
      <w:pPr>
        <w:rPr>
          <w:b/>
          <w:sz w:val="24"/>
        </w:rPr>
      </w:pPr>
    </w:p>
    <w:p w14:paraId="55DEB238">
      <w:pPr>
        <w:rPr>
          <w:b/>
          <w:sz w:val="24"/>
        </w:rPr>
      </w:pPr>
    </w:p>
    <w:p w14:paraId="5B67EA21">
      <w:pPr>
        <w:rPr>
          <w:b/>
          <w:sz w:val="24"/>
        </w:rPr>
      </w:pPr>
    </w:p>
    <w:p w14:paraId="3C8DE162">
      <w:pPr>
        <w:rPr>
          <w:b/>
          <w:sz w:val="24"/>
        </w:rPr>
      </w:pPr>
    </w:p>
    <w:p w14:paraId="2A0C4DEF">
      <w:pPr>
        <w:rPr>
          <w:b/>
          <w:sz w:val="24"/>
        </w:rPr>
      </w:pPr>
    </w:p>
    <w:p w14:paraId="3516A1CB">
      <w:pPr>
        <w:rPr>
          <w:b/>
          <w:sz w:val="24"/>
        </w:rPr>
      </w:pPr>
    </w:p>
    <w:p w14:paraId="4049A5AA">
      <w:pPr>
        <w:rPr>
          <w:b/>
          <w:sz w:val="24"/>
        </w:rPr>
      </w:pPr>
    </w:p>
    <w:p w14:paraId="64653815">
      <w:pPr>
        <w:rPr>
          <w:b/>
          <w:sz w:val="24"/>
        </w:rPr>
      </w:pPr>
    </w:p>
    <w:p w14:paraId="1A2568DB">
      <w:pPr>
        <w:rPr>
          <w:b/>
          <w:sz w:val="24"/>
        </w:rPr>
      </w:pPr>
    </w:p>
    <w:p w14:paraId="28344A44">
      <w:pPr>
        <w:rPr>
          <w:b/>
          <w:sz w:val="24"/>
        </w:rPr>
      </w:pPr>
    </w:p>
    <w:p w14:paraId="7911C8B9">
      <w:pPr>
        <w:pStyle w:val="3"/>
        <w:jc w:val="center"/>
        <w:rPr>
          <w:rFonts w:ascii="仿宋_GB2312" w:eastAsia="仿宋_GB2312"/>
          <w:b w:val="0"/>
          <w:bCs w:val="0"/>
          <w:sz w:val="32"/>
          <w:szCs w:val="32"/>
        </w:rPr>
      </w:pPr>
      <w:bookmarkStart w:id="69" w:name="_Toc497578453"/>
      <w:bookmarkStart w:id="70" w:name="_Toc21458"/>
      <w:r>
        <w:rPr>
          <w:rFonts w:hint="eastAsia"/>
          <w:sz w:val="30"/>
          <w:szCs w:val="30"/>
        </w:rPr>
        <w:t>第五章 合同主要条款格式及广西壮族自治区政府采购项目合同验收书格式</w:t>
      </w:r>
      <w:bookmarkEnd w:id="69"/>
      <w:bookmarkEnd w:id="70"/>
    </w:p>
    <w:p w14:paraId="3A4E5FFD">
      <w:pPr>
        <w:snapToGrid w:val="0"/>
        <w:jc w:val="center"/>
        <w:rPr>
          <w:rFonts w:ascii="仿宋_GB2312" w:hAnsi="华文中宋" w:eastAsia="仿宋_GB2312"/>
          <w:bCs/>
          <w:sz w:val="32"/>
          <w:szCs w:val="32"/>
        </w:rPr>
      </w:pPr>
    </w:p>
    <w:p w14:paraId="6BC52D45">
      <w:pPr>
        <w:snapToGrid w:val="0"/>
        <w:jc w:val="center"/>
        <w:rPr>
          <w:rFonts w:ascii="仿宋_GB2312" w:hAnsi="华文中宋" w:eastAsia="仿宋_GB2312"/>
          <w:bCs/>
          <w:sz w:val="32"/>
          <w:szCs w:val="32"/>
        </w:rPr>
      </w:pPr>
    </w:p>
    <w:p w14:paraId="0666B166">
      <w:pPr>
        <w:snapToGrid w:val="0"/>
        <w:jc w:val="center"/>
        <w:rPr>
          <w:rFonts w:ascii="仿宋_GB2312" w:hAnsi="华文中宋" w:eastAsia="仿宋_GB2312"/>
          <w:bCs/>
          <w:sz w:val="32"/>
          <w:szCs w:val="32"/>
        </w:rPr>
      </w:pPr>
    </w:p>
    <w:p w14:paraId="2CB036F3">
      <w:pPr>
        <w:snapToGrid w:val="0"/>
        <w:jc w:val="center"/>
        <w:rPr>
          <w:rFonts w:ascii="仿宋_GB2312" w:hAnsi="华文中宋" w:eastAsia="仿宋_GB2312"/>
          <w:bCs/>
          <w:sz w:val="32"/>
          <w:szCs w:val="32"/>
        </w:rPr>
      </w:pPr>
    </w:p>
    <w:p w14:paraId="7F38D826">
      <w:pPr>
        <w:snapToGrid w:val="0"/>
        <w:jc w:val="center"/>
        <w:rPr>
          <w:rFonts w:ascii="仿宋_GB2312" w:hAnsi="华文中宋" w:eastAsia="仿宋_GB2312"/>
          <w:bCs/>
          <w:sz w:val="32"/>
          <w:szCs w:val="32"/>
        </w:rPr>
      </w:pPr>
    </w:p>
    <w:p w14:paraId="42C91BC5">
      <w:pPr>
        <w:snapToGrid w:val="0"/>
        <w:jc w:val="center"/>
        <w:rPr>
          <w:rFonts w:ascii="仿宋_GB2312" w:hAnsi="华文中宋" w:eastAsia="仿宋_GB2312"/>
          <w:bCs/>
          <w:sz w:val="32"/>
          <w:szCs w:val="32"/>
        </w:rPr>
      </w:pPr>
    </w:p>
    <w:p w14:paraId="383B390C">
      <w:pPr>
        <w:snapToGrid w:val="0"/>
        <w:jc w:val="center"/>
        <w:rPr>
          <w:rFonts w:ascii="仿宋_GB2312" w:hAnsi="华文中宋" w:eastAsia="仿宋_GB2312"/>
          <w:bCs/>
          <w:sz w:val="32"/>
          <w:szCs w:val="32"/>
        </w:rPr>
      </w:pPr>
    </w:p>
    <w:p w14:paraId="53084B17">
      <w:pPr>
        <w:snapToGrid w:val="0"/>
        <w:rPr>
          <w:rFonts w:ascii="仿宋_GB2312" w:hAnsi="华文中宋" w:eastAsia="仿宋_GB2312"/>
          <w:bCs/>
          <w:sz w:val="32"/>
          <w:szCs w:val="32"/>
        </w:rPr>
      </w:pPr>
    </w:p>
    <w:p w14:paraId="00358102">
      <w:pPr>
        <w:snapToGrid w:val="0"/>
        <w:rPr>
          <w:rFonts w:ascii="仿宋_GB2312" w:hAnsi="华文中宋" w:eastAsia="仿宋_GB2312"/>
          <w:bCs/>
          <w:sz w:val="32"/>
          <w:szCs w:val="32"/>
        </w:rPr>
      </w:pPr>
    </w:p>
    <w:p w14:paraId="1FA2E06D">
      <w:pPr>
        <w:snapToGrid w:val="0"/>
        <w:jc w:val="left"/>
        <w:rPr>
          <w:rFonts w:ascii="仿宋_GB2312" w:eastAsia="仿宋_GB2312"/>
          <w:b/>
          <w:color w:val="FF0000"/>
          <w:sz w:val="24"/>
        </w:rPr>
      </w:pPr>
      <w:r>
        <w:rPr>
          <w:rFonts w:hint="eastAsia" w:ascii="仿宋_GB2312" w:eastAsia="仿宋_GB2312"/>
          <w:b/>
          <w:sz w:val="24"/>
        </w:rPr>
        <w:br w:type="page"/>
      </w:r>
      <w:bookmarkStart w:id="71" w:name="_Hlk93681122"/>
    </w:p>
    <w:p w14:paraId="46888001">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r>
        <w:rPr>
          <w:rFonts w:ascii="仿宋_GB2312" w:eastAsia="仿宋_GB2312"/>
          <w:b/>
          <w:sz w:val="24"/>
        </w:rPr>
        <w:t>非中小企业</w:t>
      </w:r>
      <w:r>
        <w:rPr>
          <w:rFonts w:hint="eastAsia" w:ascii="仿宋_GB2312" w:eastAsia="仿宋_GB2312"/>
          <w:b/>
          <w:sz w:val="24"/>
        </w:rPr>
        <w:t>预留合同。</w:t>
      </w:r>
    </w:p>
    <w:p w14:paraId="7DA37662">
      <w:pPr>
        <w:pStyle w:val="26"/>
        <w:spacing w:line="400" w:lineRule="exact"/>
        <w:jc w:val="left"/>
        <w:rPr>
          <w:b/>
          <w:sz w:val="32"/>
        </w:rPr>
      </w:pPr>
    </w:p>
    <w:p w14:paraId="03018D82">
      <w:pPr>
        <w:snapToGrid w:val="0"/>
        <w:jc w:val="center"/>
        <w:rPr>
          <w:rFonts w:ascii="仿宋_GB2312" w:hAnsi="宋体" w:eastAsia="仿宋_GB2312"/>
          <w:b/>
          <w:bCs/>
          <w:sz w:val="44"/>
          <w:szCs w:val="44"/>
        </w:rPr>
      </w:pPr>
      <w:r>
        <w:rPr>
          <w:rFonts w:hint="eastAsia" w:ascii="仿宋_GB2312" w:hAnsi="宋体" w:eastAsia="仿宋_GB2312"/>
          <w:b/>
          <w:bCs/>
          <w:sz w:val="44"/>
          <w:szCs w:val="44"/>
        </w:rPr>
        <w:t>政府采购合同</w:t>
      </w:r>
    </w:p>
    <w:p w14:paraId="6D9E6A19">
      <w:pPr>
        <w:snapToGrid w:val="0"/>
        <w:jc w:val="center"/>
        <w:rPr>
          <w:rFonts w:ascii="仿宋_GB2312" w:hAnsi="宋体" w:eastAsia="仿宋_GB2312"/>
          <w:b/>
          <w:bCs/>
          <w:sz w:val="36"/>
          <w:szCs w:val="36"/>
        </w:rPr>
      </w:pPr>
      <w:r>
        <w:rPr>
          <w:rFonts w:hint="eastAsia" w:ascii="仿宋_GB2312" w:hAnsi="宋体" w:eastAsia="仿宋_GB2312"/>
          <w:b/>
          <w:bCs/>
          <w:sz w:val="36"/>
          <w:szCs w:val="36"/>
        </w:rPr>
        <w:t>（一般货物类）</w:t>
      </w:r>
    </w:p>
    <w:p w14:paraId="715931EC">
      <w:pPr>
        <w:wordWrap w:val="0"/>
        <w:snapToGrid w:val="0"/>
        <w:jc w:val="right"/>
        <w:rPr>
          <w:rFonts w:ascii="仿宋_GB2312" w:hAnsi="宋体" w:eastAsia="仿宋_GB2312"/>
          <w:bCs/>
          <w:sz w:val="24"/>
          <w:u w:val="single"/>
        </w:rPr>
      </w:pPr>
      <w:r>
        <w:rPr>
          <w:rFonts w:hint="eastAsia" w:ascii="仿宋_GB2312" w:hAnsi="宋体" w:eastAsia="仿宋_GB2312"/>
          <w:bCs/>
          <w:sz w:val="24"/>
        </w:rPr>
        <w:t xml:space="preserve">合同编号：            </w:t>
      </w:r>
    </w:p>
    <w:p w14:paraId="05DD30C9">
      <w:pPr>
        <w:snapToGrid w:val="0"/>
        <w:rPr>
          <w:rFonts w:ascii="仿宋_GB2312" w:hAnsi="宋体" w:eastAsia="仿宋_GB2312"/>
          <w:sz w:val="24"/>
        </w:rPr>
      </w:pPr>
    </w:p>
    <w:p w14:paraId="11A540DA">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0BB596A8">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50616BFE">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4478DB9F">
      <w:pPr>
        <w:snapToGrid w:val="0"/>
        <w:spacing w:line="320" w:lineRule="exact"/>
        <w:ind w:right="-470" w:rightChars="-224" w:firstLine="480" w:firstLineChars="200"/>
        <w:rPr>
          <w:rFonts w:ascii="仿宋_GB2312" w:hAnsi="宋体" w:eastAsia="仿宋_GB2312"/>
          <w:sz w:val="24"/>
        </w:rPr>
      </w:pPr>
      <w:r>
        <w:rPr>
          <w:rFonts w:hint="eastAsia" w:ascii="仿宋_GB2312" w:hAnsi="宋体" w:eastAsia="仿宋_GB2312"/>
          <w:sz w:val="24"/>
        </w:rPr>
        <w:t>根据《中华人民共和国政府采购法》、《</w:t>
      </w:r>
      <w:r>
        <w:rPr>
          <w:rFonts w:hint="eastAsia" w:ascii="仿宋_GB2312" w:eastAsia="仿宋_GB2312"/>
          <w:sz w:val="24"/>
        </w:rPr>
        <w:t>中华人民共和国民法典</w:t>
      </w:r>
      <w:r>
        <w:rPr>
          <w:rFonts w:hint="eastAsia" w:ascii="仿宋_GB2312" w:hAnsi="宋体" w:eastAsia="仿宋_GB2312"/>
          <w:sz w:val="24"/>
        </w:rPr>
        <w:t>》等法律、法规规定，按照</w:t>
      </w:r>
      <w:r>
        <w:rPr>
          <w:rFonts w:hint="eastAsia" w:ascii="仿宋_GB2312" w:eastAsia="仿宋_GB2312"/>
          <w:sz w:val="24"/>
        </w:rPr>
        <w:t>招标文件规定条款和中标人投标文件和</w:t>
      </w:r>
      <w:r>
        <w:rPr>
          <w:rFonts w:hint="eastAsia" w:ascii="仿宋_GB2312" w:hAnsi="宋体" w:eastAsia="仿宋_GB2312"/>
          <w:sz w:val="24"/>
        </w:rPr>
        <w:t>承诺，甲乙双方签订本合同。</w:t>
      </w:r>
    </w:p>
    <w:p w14:paraId="6B8E2F43">
      <w:pPr>
        <w:snapToGrid w:val="0"/>
        <w:spacing w:line="320" w:lineRule="exact"/>
        <w:ind w:right="-470" w:rightChars="-224" w:firstLine="482" w:firstLineChars="200"/>
        <w:rPr>
          <w:rFonts w:ascii="仿宋_GB2312" w:hAnsi="宋体" w:eastAsia="仿宋_GB2312"/>
          <w:b/>
          <w:sz w:val="24"/>
        </w:rPr>
      </w:pPr>
      <w:r>
        <w:rPr>
          <w:rFonts w:hint="eastAsia" w:ascii="仿宋_GB2312" w:eastAsia="仿宋_GB2312"/>
          <w:b/>
          <w:sz w:val="24"/>
        </w:rPr>
        <w:t xml:space="preserve"> </w:t>
      </w:r>
      <w:r>
        <w:rPr>
          <w:rFonts w:hint="eastAsia" w:ascii="仿宋_GB2312" w:hAnsi="宋体" w:eastAsia="仿宋_GB2312"/>
          <w:b/>
          <w:sz w:val="24"/>
        </w:rPr>
        <w:t>第一条　合同标的</w:t>
      </w:r>
    </w:p>
    <w:p w14:paraId="48B808A3">
      <w:pPr>
        <w:snapToGrid w:val="0"/>
        <w:spacing w:line="320" w:lineRule="exact"/>
        <w:ind w:right="-470" w:rightChars="-224" w:firstLine="480" w:firstLineChars="200"/>
        <w:rPr>
          <w:rFonts w:ascii="仿宋_GB2312" w:hAnsi="宋体" w:eastAsia="仿宋_GB2312"/>
          <w:sz w:val="24"/>
        </w:rPr>
      </w:pPr>
      <w:r>
        <w:rPr>
          <w:rFonts w:hint="eastAsia" w:ascii="仿宋_GB2312" w:hAnsi="宋体" w:eastAsia="仿宋_GB2312"/>
          <w:sz w:val="24"/>
        </w:rPr>
        <w:t>1.供货一览表</w:t>
      </w:r>
    </w:p>
    <w:tbl>
      <w:tblPr>
        <w:tblStyle w:val="49"/>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1DD9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20" w:hRule="atLeast"/>
        </w:trPr>
        <w:tc>
          <w:tcPr>
            <w:tcW w:w="636" w:type="dxa"/>
            <w:vAlign w:val="center"/>
          </w:tcPr>
          <w:p w14:paraId="57303340">
            <w:pPr>
              <w:snapToGrid w:val="0"/>
              <w:spacing w:line="320" w:lineRule="exact"/>
              <w:jc w:val="center"/>
              <w:rPr>
                <w:rFonts w:ascii="仿宋_GB2312" w:hAnsi="宋体" w:eastAsia="仿宋_GB2312"/>
                <w:sz w:val="24"/>
              </w:rPr>
            </w:pPr>
            <w:r>
              <w:rPr>
                <w:rFonts w:hint="eastAsia" w:ascii="仿宋_GB2312" w:hAnsi="宋体" w:eastAsia="仿宋_GB2312"/>
                <w:sz w:val="24"/>
              </w:rPr>
              <w:t>序号</w:t>
            </w:r>
          </w:p>
        </w:tc>
        <w:tc>
          <w:tcPr>
            <w:tcW w:w="1207" w:type="dxa"/>
            <w:vAlign w:val="center"/>
          </w:tcPr>
          <w:p w14:paraId="6F2AF683">
            <w:pPr>
              <w:snapToGrid w:val="0"/>
              <w:spacing w:line="320" w:lineRule="exact"/>
              <w:jc w:val="center"/>
              <w:rPr>
                <w:rFonts w:ascii="仿宋_GB2312" w:hAnsi="宋体" w:eastAsia="仿宋_GB2312"/>
                <w:sz w:val="24"/>
              </w:rPr>
            </w:pPr>
            <w:r>
              <w:rPr>
                <w:rFonts w:hint="eastAsia" w:ascii="仿宋_GB2312" w:hAnsi="宋体" w:eastAsia="仿宋_GB2312"/>
                <w:sz w:val="24"/>
              </w:rPr>
              <w:t>产品名称</w:t>
            </w:r>
          </w:p>
        </w:tc>
        <w:tc>
          <w:tcPr>
            <w:tcW w:w="1134" w:type="dxa"/>
            <w:vAlign w:val="center"/>
          </w:tcPr>
          <w:p w14:paraId="5E3FFEBE">
            <w:pPr>
              <w:snapToGrid w:val="0"/>
              <w:spacing w:line="320" w:lineRule="exact"/>
              <w:jc w:val="center"/>
              <w:rPr>
                <w:rFonts w:ascii="仿宋_GB2312" w:hAnsi="宋体" w:eastAsia="仿宋_GB2312"/>
                <w:sz w:val="24"/>
              </w:rPr>
            </w:pPr>
            <w:r>
              <w:rPr>
                <w:rFonts w:hint="eastAsia" w:ascii="仿宋_GB2312" w:hAnsi="宋体" w:eastAsia="仿宋_GB2312"/>
                <w:sz w:val="24"/>
              </w:rPr>
              <w:t>商标品牌</w:t>
            </w:r>
          </w:p>
        </w:tc>
        <w:tc>
          <w:tcPr>
            <w:tcW w:w="1037" w:type="dxa"/>
            <w:vAlign w:val="center"/>
          </w:tcPr>
          <w:p w14:paraId="581CA24D">
            <w:pPr>
              <w:snapToGrid w:val="0"/>
              <w:spacing w:line="320" w:lineRule="exact"/>
              <w:jc w:val="center"/>
              <w:rPr>
                <w:rFonts w:ascii="仿宋_GB2312" w:hAnsi="宋体" w:eastAsia="仿宋_GB2312"/>
                <w:sz w:val="24"/>
              </w:rPr>
            </w:pPr>
            <w:r>
              <w:rPr>
                <w:rFonts w:hint="eastAsia" w:ascii="仿宋_GB2312" w:hAnsi="宋体" w:eastAsia="仿宋_GB2312"/>
                <w:sz w:val="24"/>
              </w:rPr>
              <w:t>规格型号</w:t>
            </w:r>
          </w:p>
        </w:tc>
        <w:tc>
          <w:tcPr>
            <w:tcW w:w="1161" w:type="dxa"/>
            <w:vAlign w:val="center"/>
          </w:tcPr>
          <w:p w14:paraId="5D8B57A9">
            <w:pPr>
              <w:snapToGrid w:val="0"/>
              <w:spacing w:line="320" w:lineRule="exact"/>
              <w:jc w:val="center"/>
              <w:rPr>
                <w:rFonts w:ascii="仿宋_GB2312" w:hAnsi="宋体" w:eastAsia="仿宋_GB2312"/>
                <w:sz w:val="24"/>
              </w:rPr>
            </w:pPr>
            <w:r>
              <w:rPr>
                <w:rFonts w:hint="eastAsia" w:ascii="仿宋_GB2312" w:hAnsi="宋体" w:eastAsia="仿宋_GB2312"/>
                <w:sz w:val="24"/>
              </w:rPr>
              <w:t>生产厂家</w:t>
            </w:r>
          </w:p>
        </w:tc>
        <w:tc>
          <w:tcPr>
            <w:tcW w:w="903" w:type="dxa"/>
            <w:vAlign w:val="center"/>
          </w:tcPr>
          <w:p w14:paraId="45AED99E">
            <w:pPr>
              <w:snapToGrid w:val="0"/>
              <w:spacing w:line="320" w:lineRule="exact"/>
              <w:jc w:val="center"/>
              <w:rPr>
                <w:rFonts w:ascii="仿宋_GB2312" w:hAnsi="宋体" w:eastAsia="仿宋_GB2312"/>
                <w:sz w:val="24"/>
              </w:rPr>
            </w:pPr>
            <w:r>
              <w:rPr>
                <w:rFonts w:hint="eastAsia" w:ascii="仿宋_GB2312" w:hAnsi="宋体" w:eastAsia="仿宋_GB2312"/>
                <w:sz w:val="24"/>
              </w:rPr>
              <w:t>数量</w:t>
            </w:r>
          </w:p>
        </w:tc>
        <w:tc>
          <w:tcPr>
            <w:tcW w:w="892" w:type="dxa"/>
            <w:vAlign w:val="center"/>
          </w:tcPr>
          <w:p w14:paraId="5FDF5977">
            <w:pPr>
              <w:snapToGrid w:val="0"/>
              <w:spacing w:line="320" w:lineRule="exact"/>
              <w:jc w:val="center"/>
              <w:rPr>
                <w:rFonts w:ascii="仿宋_GB2312" w:hAnsi="宋体" w:eastAsia="仿宋_GB2312"/>
                <w:sz w:val="24"/>
              </w:rPr>
            </w:pPr>
            <w:r>
              <w:rPr>
                <w:rFonts w:hint="eastAsia" w:ascii="仿宋_GB2312" w:hAnsi="宋体" w:eastAsia="仿宋_GB2312"/>
                <w:sz w:val="24"/>
              </w:rPr>
              <w:t>单位</w:t>
            </w:r>
          </w:p>
        </w:tc>
        <w:tc>
          <w:tcPr>
            <w:tcW w:w="1422" w:type="dxa"/>
            <w:vAlign w:val="center"/>
          </w:tcPr>
          <w:p w14:paraId="1678069F">
            <w:pPr>
              <w:snapToGrid w:val="0"/>
              <w:spacing w:line="320" w:lineRule="exact"/>
              <w:jc w:val="center"/>
              <w:rPr>
                <w:rFonts w:ascii="仿宋_GB2312" w:hAnsi="宋体" w:eastAsia="仿宋_GB2312"/>
                <w:sz w:val="24"/>
              </w:rPr>
            </w:pPr>
            <w:r>
              <w:rPr>
                <w:rFonts w:hint="eastAsia" w:ascii="仿宋_GB2312" w:hAnsi="宋体" w:eastAsia="仿宋_GB2312"/>
                <w:sz w:val="24"/>
              </w:rPr>
              <w:t>单价（元）</w:t>
            </w:r>
          </w:p>
        </w:tc>
        <w:tc>
          <w:tcPr>
            <w:tcW w:w="1418" w:type="dxa"/>
            <w:vAlign w:val="center"/>
          </w:tcPr>
          <w:p w14:paraId="15A2B3D1">
            <w:pPr>
              <w:snapToGrid w:val="0"/>
              <w:spacing w:line="320" w:lineRule="exact"/>
              <w:jc w:val="center"/>
              <w:rPr>
                <w:rFonts w:ascii="仿宋_GB2312" w:hAnsi="宋体" w:eastAsia="仿宋_GB2312"/>
                <w:sz w:val="24"/>
              </w:rPr>
            </w:pPr>
            <w:r>
              <w:rPr>
                <w:rFonts w:hint="eastAsia" w:ascii="仿宋_GB2312" w:hAnsi="宋体" w:eastAsia="仿宋_GB2312"/>
                <w:sz w:val="24"/>
              </w:rPr>
              <w:t>金额（元）</w:t>
            </w:r>
          </w:p>
        </w:tc>
      </w:tr>
      <w:tr w14:paraId="7616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2CAC06D9">
            <w:pPr>
              <w:snapToGrid w:val="0"/>
              <w:spacing w:line="320" w:lineRule="exact"/>
              <w:jc w:val="center"/>
              <w:rPr>
                <w:rFonts w:ascii="仿宋_GB2312" w:hAnsi="宋体" w:eastAsia="仿宋_GB2312"/>
                <w:sz w:val="24"/>
              </w:rPr>
            </w:pPr>
            <w:r>
              <w:rPr>
                <w:rFonts w:hint="eastAsia" w:ascii="仿宋_GB2312" w:hAnsi="宋体" w:eastAsia="仿宋_GB2312"/>
                <w:sz w:val="24"/>
              </w:rPr>
              <w:t>1</w:t>
            </w:r>
          </w:p>
        </w:tc>
        <w:tc>
          <w:tcPr>
            <w:tcW w:w="1207" w:type="dxa"/>
            <w:vAlign w:val="center"/>
          </w:tcPr>
          <w:p w14:paraId="5E8F79F0">
            <w:pPr>
              <w:snapToGrid w:val="0"/>
              <w:spacing w:line="320" w:lineRule="exact"/>
              <w:jc w:val="center"/>
              <w:rPr>
                <w:rFonts w:ascii="仿宋_GB2312" w:hAnsi="宋体" w:eastAsia="仿宋_GB2312"/>
                <w:sz w:val="24"/>
              </w:rPr>
            </w:pPr>
          </w:p>
        </w:tc>
        <w:tc>
          <w:tcPr>
            <w:tcW w:w="1134" w:type="dxa"/>
            <w:vAlign w:val="center"/>
          </w:tcPr>
          <w:p w14:paraId="4145D47D">
            <w:pPr>
              <w:snapToGrid w:val="0"/>
              <w:spacing w:line="320" w:lineRule="exact"/>
              <w:jc w:val="center"/>
              <w:rPr>
                <w:rFonts w:ascii="仿宋_GB2312" w:hAnsi="宋体" w:eastAsia="仿宋_GB2312"/>
                <w:sz w:val="24"/>
              </w:rPr>
            </w:pPr>
          </w:p>
        </w:tc>
        <w:tc>
          <w:tcPr>
            <w:tcW w:w="1037" w:type="dxa"/>
            <w:vAlign w:val="center"/>
          </w:tcPr>
          <w:p w14:paraId="2EF59342">
            <w:pPr>
              <w:snapToGrid w:val="0"/>
              <w:spacing w:line="320" w:lineRule="exact"/>
              <w:jc w:val="center"/>
              <w:rPr>
                <w:rFonts w:ascii="仿宋_GB2312" w:hAnsi="宋体" w:eastAsia="仿宋_GB2312"/>
                <w:sz w:val="24"/>
              </w:rPr>
            </w:pPr>
          </w:p>
        </w:tc>
        <w:tc>
          <w:tcPr>
            <w:tcW w:w="1161" w:type="dxa"/>
            <w:vAlign w:val="center"/>
          </w:tcPr>
          <w:p w14:paraId="1E1F0845">
            <w:pPr>
              <w:snapToGrid w:val="0"/>
              <w:spacing w:line="320" w:lineRule="exact"/>
              <w:jc w:val="center"/>
              <w:rPr>
                <w:rFonts w:ascii="仿宋_GB2312" w:hAnsi="宋体" w:eastAsia="仿宋_GB2312"/>
                <w:sz w:val="24"/>
              </w:rPr>
            </w:pPr>
          </w:p>
        </w:tc>
        <w:tc>
          <w:tcPr>
            <w:tcW w:w="903" w:type="dxa"/>
            <w:vAlign w:val="center"/>
          </w:tcPr>
          <w:p w14:paraId="278D08DF">
            <w:pPr>
              <w:snapToGrid w:val="0"/>
              <w:spacing w:line="320" w:lineRule="exact"/>
              <w:jc w:val="center"/>
              <w:rPr>
                <w:rFonts w:ascii="仿宋_GB2312" w:hAnsi="宋体" w:eastAsia="仿宋_GB2312"/>
                <w:sz w:val="24"/>
              </w:rPr>
            </w:pPr>
          </w:p>
        </w:tc>
        <w:tc>
          <w:tcPr>
            <w:tcW w:w="892" w:type="dxa"/>
            <w:vAlign w:val="center"/>
          </w:tcPr>
          <w:p w14:paraId="689A29A0">
            <w:pPr>
              <w:snapToGrid w:val="0"/>
              <w:spacing w:line="320" w:lineRule="exact"/>
              <w:jc w:val="center"/>
              <w:rPr>
                <w:rFonts w:ascii="仿宋_GB2312" w:hAnsi="宋体" w:eastAsia="仿宋_GB2312"/>
                <w:sz w:val="24"/>
              </w:rPr>
            </w:pPr>
          </w:p>
        </w:tc>
        <w:tc>
          <w:tcPr>
            <w:tcW w:w="1422" w:type="dxa"/>
            <w:vAlign w:val="center"/>
          </w:tcPr>
          <w:p w14:paraId="7D3BDE6D">
            <w:pPr>
              <w:snapToGrid w:val="0"/>
              <w:spacing w:line="320" w:lineRule="exact"/>
              <w:jc w:val="center"/>
              <w:rPr>
                <w:rFonts w:ascii="仿宋_GB2312" w:hAnsi="宋体" w:eastAsia="仿宋_GB2312"/>
                <w:sz w:val="24"/>
              </w:rPr>
            </w:pPr>
          </w:p>
        </w:tc>
        <w:tc>
          <w:tcPr>
            <w:tcW w:w="1418" w:type="dxa"/>
            <w:vAlign w:val="center"/>
          </w:tcPr>
          <w:p w14:paraId="7CD0ECBC">
            <w:pPr>
              <w:snapToGrid w:val="0"/>
              <w:spacing w:line="320" w:lineRule="exact"/>
              <w:jc w:val="center"/>
              <w:rPr>
                <w:rFonts w:ascii="仿宋_GB2312" w:hAnsi="宋体" w:eastAsia="仿宋_GB2312"/>
                <w:sz w:val="24"/>
              </w:rPr>
            </w:pPr>
          </w:p>
        </w:tc>
      </w:tr>
      <w:tr w14:paraId="21D7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6980359F">
            <w:pPr>
              <w:snapToGrid w:val="0"/>
              <w:spacing w:line="320" w:lineRule="exact"/>
              <w:jc w:val="center"/>
              <w:rPr>
                <w:rFonts w:ascii="仿宋_GB2312" w:hAnsi="宋体" w:eastAsia="仿宋_GB2312"/>
                <w:sz w:val="24"/>
              </w:rPr>
            </w:pPr>
            <w:r>
              <w:rPr>
                <w:rFonts w:hint="eastAsia" w:ascii="仿宋_GB2312" w:hAnsi="宋体" w:eastAsia="仿宋_GB2312"/>
                <w:sz w:val="24"/>
              </w:rPr>
              <w:t>2</w:t>
            </w:r>
          </w:p>
        </w:tc>
        <w:tc>
          <w:tcPr>
            <w:tcW w:w="1207" w:type="dxa"/>
            <w:vAlign w:val="center"/>
          </w:tcPr>
          <w:p w14:paraId="76960992">
            <w:pPr>
              <w:snapToGrid w:val="0"/>
              <w:spacing w:line="320" w:lineRule="exact"/>
              <w:jc w:val="center"/>
              <w:rPr>
                <w:rFonts w:ascii="仿宋_GB2312" w:hAnsi="宋体" w:eastAsia="仿宋_GB2312"/>
                <w:sz w:val="24"/>
              </w:rPr>
            </w:pPr>
          </w:p>
        </w:tc>
        <w:tc>
          <w:tcPr>
            <w:tcW w:w="1134" w:type="dxa"/>
            <w:vAlign w:val="center"/>
          </w:tcPr>
          <w:p w14:paraId="74FA2D0F">
            <w:pPr>
              <w:snapToGrid w:val="0"/>
              <w:spacing w:line="320" w:lineRule="exact"/>
              <w:jc w:val="center"/>
              <w:rPr>
                <w:rFonts w:ascii="仿宋_GB2312" w:hAnsi="宋体" w:eastAsia="仿宋_GB2312"/>
                <w:sz w:val="24"/>
              </w:rPr>
            </w:pPr>
          </w:p>
        </w:tc>
        <w:tc>
          <w:tcPr>
            <w:tcW w:w="1037" w:type="dxa"/>
            <w:vAlign w:val="center"/>
          </w:tcPr>
          <w:p w14:paraId="3C9F7E94">
            <w:pPr>
              <w:snapToGrid w:val="0"/>
              <w:spacing w:line="320" w:lineRule="exact"/>
              <w:jc w:val="center"/>
              <w:rPr>
                <w:rFonts w:ascii="仿宋_GB2312" w:hAnsi="宋体" w:eastAsia="仿宋_GB2312"/>
                <w:sz w:val="24"/>
              </w:rPr>
            </w:pPr>
          </w:p>
        </w:tc>
        <w:tc>
          <w:tcPr>
            <w:tcW w:w="1161" w:type="dxa"/>
            <w:vAlign w:val="center"/>
          </w:tcPr>
          <w:p w14:paraId="4DC7BD6B">
            <w:pPr>
              <w:snapToGrid w:val="0"/>
              <w:spacing w:line="320" w:lineRule="exact"/>
              <w:jc w:val="center"/>
              <w:rPr>
                <w:rFonts w:ascii="仿宋_GB2312" w:hAnsi="宋体" w:eastAsia="仿宋_GB2312"/>
                <w:sz w:val="24"/>
              </w:rPr>
            </w:pPr>
          </w:p>
        </w:tc>
        <w:tc>
          <w:tcPr>
            <w:tcW w:w="903" w:type="dxa"/>
            <w:vAlign w:val="center"/>
          </w:tcPr>
          <w:p w14:paraId="02BAA0EB">
            <w:pPr>
              <w:snapToGrid w:val="0"/>
              <w:spacing w:line="320" w:lineRule="exact"/>
              <w:jc w:val="center"/>
              <w:rPr>
                <w:rFonts w:ascii="仿宋_GB2312" w:hAnsi="宋体" w:eastAsia="仿宋_GB2312"/>
                <w:sz w:val="24"/>
              </w:rPr>
            </w:pPr>
          </w:p>
        </w:tc>
        <w:tc>
          <w:tcPr>
            <w:tcW w:w="892" w:type="dxa"/>
            <w:vAlign w:val="center"/>
          </w:tcPr>
          <w:p w14:paraId="4CBC1230">
            <w:pPr>
              <w:snapToGrid w:val="0"/>
              <w:spacing w:line="320" w:lineRule="exact"/>
              <w:jc w:val="center"/>
              <w:rPr>
                <w:rFonts w:ascii="仿宋_GB2312" w:hAnsi="宋体" w:eastAsia="仿宋_GB2312"/>
                <w:sz w:val="24"/>
              </w:rPr>
            </w:pPr>
          </w:p>
        </w:tc>
        <w:tc>
          <w:tcPr>
            <w:tcW w:w="1422" w:type="dxa"/>
            <w:vAlign w:val="center"/>
          </w:tcPr>
          <w:p w14:paraId="6612ABD5">
            <w:pPr>
              <w:snapToGrid w:val="0"/>
              <w:spacing w:line="320" w:lineRule="exact"/>
              <w:jc w:val="center"/>
              <w:rPr>
                <w:rFonts w:ascii="仿宋_GB2312" w:hAnsi="宋体" w:eastAsia="仿宋_GB2312"/>
                <w:sz w:val="24"/>
              </w:rPr>
            </w:pPr>
          </w:p>
        </w:tc>
        <w:tc>
          <w:tcPr>
            <w:tcW w:w="1418" w:type="dxa"/>
            <w:vAlign w:val="center"/>
          </w:tcPr>
          <w:p w14:paraId="7556E68A">
            <w:pPr>
              <w:snapToGrid w:val="0"/>
              <w:spacing w:line="320" w:lineRule="exact"/>
              <w:jc w:val="center"/>
              <w:rPr>
                <w:rFonts w:ascii="仿宋_GB2312" w:hAnsi="宋体" w:eastAsia="仿宋_GB2312"/>
                <w:sz w:val="24"/>
              </w:rPr>
            </w:pPr>
          </w:p>
        </w:tc>
      </w:tr>
      <w:tr w14:paraId="5EB9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55D9E787">
            <w:pPr>
              <w:snapToGrid w:val="0"/>
              <w:spacing w:line="320" w:lineRule="exact"/>
              <w:jc w:val="center"/>
              <w:rPr>
                <w:rFonts w:ascii="仿宋_GB2312" w:hAnsi="宋体" w:eastAsia="仿宋_GB2312"/>
                <w:sz w:val="24"/>
              </w:rPr>
            </w:pPr>
            <w:r>
              <w:rPr>
                <w:rFonts w:hint="eastAsia" w:ascii="仿宋_GB2312" w:hAnsi="宋体" w:eastAsia="仿宋_GB2312"/>
                <w:sz w:val="24"/>
              </w:rPr>
              <w:t>……</w:t>
            </w:r>
          </w:p>
        </w:tc>
        <w:tc>
          <w:tcPr>
            <w:tcW w:w="1207" w:type="dxa"/>
            <w:vAlign w:val="center"/>
          </w:tcPr>
          <w:p w14:paraId="239406DA">
            <w:pPr>
              <w:snapToGrid w:val="0"/>
              <w:spacing w:line="320" w:lineRule="exact"/>
              <w:jc w:val="center"/>
              <w:rPr>
                <w:rFonts w:ascii="仿宋_GB2312" w:hAnsi="宋体" w:eastAsia="仿宋_GB2312"/>
                <w:sz w:val="24"/>
              </w:rPr>
            </w:pPr>
          </w:p>
        </w:tc>
        <w:tc>
          <w:tcPr>
            <w:tcW w:w="1134" w:type="dxa"/>
            <w:vAlign w:val="center"/>
          </w:tcPr>
          <w:p w14:paraId="00D7A6C0">
            <w:pPr>
              <w:snapToGrid w:val="0"/>
              <w:spacing w:line="320" w:lineRule="exact"/>
              <w:jc w:val="center"/>
              <w:rPr>
                <w:rFonts w:ascii="仿宋_GB2312" w:hAnsi="宋体" w:eastAsia="仿宋_GB2312"/>
                <w:sz w:val="24"/>
              </w:rPr>
            </w:pPr>
          </w:p>
        </w:tc>
        <w:tc>
          <w:tcPr>
            <w:tcW w:w="1037" w:type="dxa"/>
            <w:vAlign w:val="center"/>
          </w:tcPr>
          <w:p w14:paraId="6C24C726">
            <w:pPr>
              <w:snapToGrid w:val="0"/>
              <w:spacing w:line="320" w:lineRule="exact"/>
              <w:jc w:val="center"/>
              <w:rPr>
                <w:rFonts w:ascii="仿宋_GB2312" w:hAnsi="宋体" w:eastAsia="仿宋_GB2312"/>
                <w:sz w:val="24"/>
              </w:rPr>
            </w:pPr>
          </w:p>
        </w:tc>
        <w:tc>
          <w:tcPr>
            <w:tcW w:w="1161" w:type="dxa"/>
            <w:vAlign w:val="center"/>
          </w:tcPr>
          <w:p w14:paraId="59F8EDDF">
            <w:pPr>
              <w:snapToGrid w:val="0"/>
              <w:spacing w:line="320" w:lineRule="exact"/>
              <w:jc w:val="center"/>
              <w:rPr>
                <w:rFonts w:ascii="仿宋_GB2312" w:hAnsi="宋体" w:eastAsia="仿宋_GB2312"/>
                <w:sz w:val="24"/>
              </w:rPr>
            </w:pPr>
          </w:p>
        </w:tc>
        <w:tc>
          <w:tcPr>
            <w:tcW w:w="903" w:type="dxa"/>
            <w:vAlign w:val="center"/>
          </w:tcPr>
          <w:p w14:paraId="3DCA6D23">
            <w:pPr>
              <w:snapToGrid w:val="0"/>
              <w:spacing w:line="320" w:lineRule="exact"/>
              <w:jc w:val="center"/>
              <w:rPr>
                <w:rFonts w:ascii="仿宋_GB2312" w:hAnsi="宋体" w:eastAsia="仿宋_GB2312"/>
                <w:sz w:val="24"/>
              </w:rPr>
            </w:pPr>
          </w:p>
        </w:tc>
        <w:tc>
          <w:tcPr>
            <w:tcW w:w="892" w:type="dxa"/>
            <w:vAlign w:val="center"/>
          </w:tcPr>
          <w:p w14:paraId="19C9AB7D">
            <w:pPr>
              <w:snapToGrid w:val="0"/>
              <w:spacing w:line="320" w:lineRule="exact"/>
              <w:jc w:val="center"/>
              <w:rPr>
                <w:rFonts w:ascii="仿宋_GB2312" w:hAnsi="宋体" w:eastAsia="仿宋_GB2312"/>
                <w:sz w:val="24"/>
              </w:rPr>
            </w:pPr>
          </w:p>
        </w:tc>
        <w:tc>
          <w:tcPr>
            <w:tcW w:w="1422" w:type="dxa"/>
            <w:vAlign w:val="center"/>
          </w:tcPr>
          <w:p w14:paraId="68C490BB">
            <w:pPr>
              <w:snapToGrid w:val="0"/>
              <w:spacing w:line="320" w:lineRule="exact"/>
              <w:jc w:val="center"/>
              <w:rPr>
                <w:rFonts w:ascii="仿宋_GB2312" w:hAnsi="宋体" w:eastAsia="仿宋_GB2312"/>
                <w:sz w:val="24"/>
              </w:rPr>
            </w:pPr>
          </w:p>
        </w:tc>
        <w:tc>
          <w:tcPr>
            <w:tcW w:w="1418" w:type="dxa"/>
            <w:vAlign w:val="center"/>
          </w:tcPr>
          <w:p w14:paraId="57F14A39">
            <w:pPr>
              <w:snapToGrid w:val="0"/>
              <w:spacing w:line="320" w:lineRule="exact"/>
              <w:jc w:val="center"/>
              <w:rPr>
                <w:rFonts w:ascii="仿宋_GB2312" w:hAnsi="宋体" w:eastAsia="仿宋_GB2312"/>
                <w:sz w:val="24"/>
              </w:rPr>
            </w:pPr>
          </w:p>
        </w:tc>
      </w:tr>
      <w:tr w14:paraId="3F5B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44A40BE">
            <w:pPr>
              <w:snapToGrid w:val="0"/>
              <w:spacing w:line="320" w:lineRule="exact"/>
              <w:jc w:val="center"/>
              <w:rPr>
                <w:rFonts w:ascii="仿宋_GB2312" w:hAnsi="宋体" w:eastAsia="仿宋_GB2312"/>
                <w:sz w:val="24"/>
              </w:rPr>
            </w:pPr>
            <w:r>
              <w:rPr>
                <w:rFonts w:hint="eastAsia" w:ascii="仿宋_GB2312" w:hAnsi="宋体" w:eastAsia="仿宋_GB2312"/>
                <w:sz w:val="24"/>
              </w:rPr>
              <w:t>N</w:t>
            </w:r>
          </w:p>
        </w:tc>
        <w:tc>
          <w:tcPr>
            <w:tcW w:w="1207" w:type="dxa"/>
            <w:vAlign w:val="center"/>
          </w:tcPr>
          <w:p w14:paraId="2FA2720C">
            <w:pPr>
              <w:snapToGrid w:val="0"/>
              <w:spacing w:line="320" w:lineRule="exact"/>
              <w:jc w:val="center"/>
              <w:rPr>
                <w:rFonts w:ascii="仿宋_GB2312" w:hAnsi="宋体" w:eastAsia="仿宋_GB2312"/>
                <w:sz w:val="24"/>
              </w:rPr>
            </w:pPr>
          </w:p>
        </w:tc>
        <w:tc>
          <w:tcPr>
            <w:tcW w:w="1134" w:type="dxa"/>
            <w:vAlign w:val="center"/>
          </w:tcPr>
          <w:p w14:paraId="05FDF29B">
            <w:pPr>
              <w:snapToGrid w:val="0"/>
              <w:spacing w:line="320" w:lineRule="exact"/>
              <w:jc w:val="center"/>
              <w:rPr>
                <w:rFonts w:ascii="仿宋_GB2312" w:hAnsi="宋体" w:eastAsia="仿宋_GB2312"/>
                <w:sz w:val="24"/>
              </w:rPr>
            </w:pPr>
          </w:p>
        </w:tc>
        <w:tc>
          <w:tcPr>
            <w:tcW w:w="1037" w:type="dxa"/>
            <w:vAlign w:val="center"/>
          </w:tcPr>
          <w:p w14:paraId="7A50D948">
            <w:pPr>
              <w:snapToGrid w:val="0"/>
              <w:spacing w:line="320" w:lineRule="exact"/>
              <w:jc w:val="center"/>
              <w:rPr>
                <w:rFonts w:ascii="仿宋_GB2312" w:hAnsi="宋体" w:eastAsia="仿宋_GB2312"/>
                <w:sz w:val="24"/>
              </w:rPr>
            </w:pPr>
          </w:p>
        </w:tc>
        <w:tc>
          <w:tcPr>
            <w:tcW w:w="1161" w:type="dxa"/>
            <w:vAlign w:val="center"/>
          </w:tcPr>
          <w:p w14:paraId="0AAC891C">
            <w:pPr>
              <w:snapToGrid w:val="0"/>
              <w:spacing w:line="320" w:lineRule="exact"/>
              <w:jc w:val="center"/>
              <w:rPr>
                <w:rFonts w:ascii="仿宋_GB2312" w:hAnsi="宋体" w:eastAsia="仿宋_GB2312"/>
                <w:sz w:val="24"/>
              </w:rPr>
            </w:pPr>
          </w:p>
        </w:tc>
        <w:tc>
          <w:tcPr>
            <w:tcW w:w="903" w:type="dxa"/>
            <w:vAlign w:val="center"/>
          </w:tcPr>
          <w:p w14:paraId="1814A4A8">
            <w:pPr>
              <w:snapToGrid w:val="0"/>
              <w:spacing w:line="320" w:lineRule="exact"/>
              <w:jc w:val="center"/>
              <w:rPr>
                <w:rFonts w:ascii="仿宋_GB2312" w:hAnsi="宋体" w:eastAsia="仿宋_GB2312"/>
                <w:sz w:val="24"/>
              </w:rPr>
            </w:pPr>
          </w:p>
        </w:tc>
        <w:tc>
          <w:tcPr>
            <w:tcW w:w="892" w:type="dxa"/>
            <w:vAlign w:val="center"/>
          </w:tcPr>
          <w:p w14:paraId="6AFD7E52">
            <w:pPr>
              <w:snapToGrid w:val="0"/>
              <w:spacing w:line="320" w:lineRule="exact"/>
              <w:jc w:val="center"/>
              <w:rPr>
                <w:rFonts w:ascii="仿宋_GB2312" w:hAnsi="宋体" w:eastAsia="仿宋_GB2312"/>
                <w:sz w:val="24"/>
              </w:rPr>
            </w:pPr>
          </w:p>
        </w:tc>
        <w:tc>
          <w:tcPr>
            <w:tcW w:w="1422" w:type="dxa"/>
            <w:vAlign w:val="center"/>
          </w:tcPr>
          <w:p w14:paraId="19E3FFF6">
            <w:pPr>
              <w:snapToGrid w:val="0"/>
              <w:spacing w:line="320" w:lineRule="exact"/>
              <w:jc w:val="center"/>
              <w:rPr>
                <w:rFonts w:ascii="仿宋_GB2312" w:hAnsi="宋体" w:eastAsia="仿宋_GB2312"/>
                <w:sz w:val="24"/>
              </w:rPr>
            </w:pPr>
          </w:p>
        </w:tc>
        <w:tc>
          <w:tcPr>
            <w:tcW w:w="1418" w:type="dxa"/>
            <w:vAlign w:val="center"/>
          </w:tcPr>
          <w:p w14:paraId="5ADF30B2">
            <w:pPr>
              <w:snapToGrid w:val="0"/>
              <w:spacing w:line="320" w:lineRule="exact"/>
              <w:jc w:val="center"/>
              <w:rPr>
                <w:rFonts w:ascii="仿宋_GB2312" w:hAnsi="宋体" w:eastAsia="仿宋_GB2312"/>
                <w:sz w:val="24"/>
              </w:rPr>
            </w:pPr>
          </w:p>
        </w:tc>
      </w:tr>
      <w:tr w14:paraId="4D8C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46F55A0F">
            <w:pPr>
              <w:snapToGrid w:val="0"/>
              <w:spacing w:line="320" w:lineRule="exact"/>
              <w:rPr>
                <w:rFonts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2F06348C">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1C1A99E8">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第二条　质量保证</w:t>
      </w:r>
    </w:p>
    <w:p w14:paraId="438F11DA">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1.乙方所提供的货物型号、技术规格、技术参数等质量必须与招投标文件和承诺相一致。乙方提供的节能和环保产品必须是列入政府采购清单的产品。</w:t>
      </w:r>
    </w:p>
    <w:p w14:paraId="62ACB75A">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1702EBC3">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第三条　权利保证</w:t>
      </w:r>
    </w:p>
    <w:p w14:paraId="661B592D">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4238FC2C">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1F2F023F">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975F1B1">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6CC60617">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第四条　包装和运输</w:t>
      </w:r>
    </w:p>
    <w:p w14:paraId="03E484B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70C30FCD">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064230B3">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3452F501">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第五条　交付和验收</w:t>
      </w:r>
    </w:p>
    <w:p w14:paraId="6D8E071F">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7CB40F58">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22BD9024">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5D4F8194">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4.甲方应当在到货（安装、调试完）后七个工作日内进行验收，逾期不验收的，乙方可视同验收合格。验收合格后由甲乙双方签署货物验收单并加盖采购单位公章，甲乙双方各执一份。</w:t>
      </w:r>
    </w:p>
    <w:p w14:paraId="4E2AF61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612EA1D9">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5503DA19">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第六条　安装和培训</w:t>
      </w:r>
    </w:p>
    <w:p w14:paraId="0FD2C9E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1.甲方应提供必要安装条件（如场地、电源、水源等）。</w:t>
      </w:r>
    </w:p>
    <w:p w14:paraId="24975338">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5C6051B3">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第七条  售后服务</w:t>
      </w:r>
    </w:p>
    <w:p w14:paraId="762B2F5E">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71C52633">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335778E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3DC4F713">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4.售后服务、保修时间从项目整体验收合格之日起计算。</w:t>
      </w:r>
    </w:p>
    <w:p w14:paraId="48477B9A">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第八条　付款方式</w:t>
      </w:r>
    </w:p>
    <w:p w14:paraId="795DABC4">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199382D4">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2.资金性质：财政性资金。</w:t>
      </w:r>
    </w:p>
    <w:p w14:paraId="4B0EC5F9">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3.付款方式：财政性资金按财政国库集中支付规定程序办理。货物验收合格正常使用后    工作日支付合同总金额的</w:t>
      </w:r>
      <w:r>
        <w:rPr>
          <w:rFonts w:hint="eastAsia" w:ascii="仿宋_GB2312" w:hAnsi="宋体" w:eastAsia="仿宋_GB2312"/>
          <w:sz w:val="24"/>
          <w:u w:val="single"/>
        </w:rPr>
        <w:t xml:space="preserve">        </w:t>
      </w:r>
      <w:r>
        <w:rPr>
          <w:rFonts w:hint="eastAsia" w:ascii="仿宋_GB2312" w:hAnsi="宋体" w:eastAsia="仿宋_GB2312"/>
          <w:sz w:val="24"/>
        </w:rPr>
        <w:t>%。</w:t>
      </w:r>
    </w:p>
    <w:p w14:paraId="10CDBBD3">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第九条  税费</w:t>
      </w:r>
    </w:p>
    <w:p w14:paraId="3FAB4360">
      <w:pPr>
        <w:snapToGrid w:val="0"/>
        <w:spacing w:line="276" w:lineRule="auto"/>
        <w:ind w:firstLine="480" w:firstLineChars="200"/>
        <w:rPr>
          <w:rFonts w:ascii="仿宋_GB2312" w:hAnsi="宋体" w:eastAsia="仿宋_GB2312"/>
          <w:sz w:val="24"/>
        </w:rPr>
      </w:pPr>
      <w:r>
        <w:rPr>
          <w:rFonts w:hint="eastAsia" w:ascii="仿宋_GB2312" w:hAnsi="宋体" w:eastAsia="仿宋_GB2312"/>
          <w:sz w:val="24"/>
        </w:rPr>
        <w:t>本合同执行中相关的一切税费均由乙方负担。</w:t>
      </w:r>
    </w:p>
    <w:p w14:paraId="28449CC8">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第十条  质量保证及售后服务</w:t>
      </w:r>
    </w:p>
    <w:p w14:paraId="6B3F7580">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7C8BAF53">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15D1FEDD">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⑵贬值处理：由甲乙双方合议定价。</w:t>
      </w:r>
    </w:p>
    <w:p w14:paraId="342B1391">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739A6CC0">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064B021B">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069C7F22">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3CC5ED1B">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第十一条  调试和验收</w:t>
      </w:r>
    </w:p>
    <w:p w14:paraId="1025EFAA">
      <w:pPr>
        <w:snapToGrid w:val="0"/>
        <w:spacing w:line="360" w:lineRule="exact"/>
        <w:ind w:right="-611" w:rightChars="-291" w:firstLine="480" w:firstLineChars="200"/>
        <w:jc w:val="left"/>
        <w:rPr>
          <w:rFonts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1A6811D8">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25815114">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6D103C49">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4.对技术复杂的货物，甲方应请国家认可的专业检测机构参与初步验收及最终验收，并由其出具质量检测报告。</w:t>
      </w:r>
    </w:p>
    <w:p w14:paraId="22E5BC6D">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627A5778">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第十二条  货物包装、发运及运输</w:t>
      </w:r>
    </w:p>
    <w:p w14:paraId="0A7A8770">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19AA9C4C">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413AC376">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06695405">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4.货物在交付甲方前发生的风险均由乙方负责。</w:t>
      </w:r>
    </w:p>
    <w:p w14:paraId="11C9089B">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685BCC0B">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第十三条 违约责任</w:t>
      </w:r>
    </w:p>
    <w:p w14:paraId="24AFA281">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00FA06E8">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12E7B62B">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3.因包装、运输引起的货物损坏，按质量不合格处理。</w:t>
      </w:r>
    </w:p>
    <w:p w14:paraId="5E4458D3">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天对方有权解除合同，违约方承担因此给对方造成的经济损失；甲方延期付货款的，每天向乙方偿付延期货款额3‰滞纳金，但滞纳金累计不得超过延期货款额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14:paraId="7F108DBF">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391AE0E8">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5732FC52">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7.其它违约行为按违约货款额5%收取违约金并赔偿经济损失。</w:t>
      </w:r>
    </w:p>
    <w:p w14:paraId="5A06C009">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第十四条 不可抗力事件处理</w:t>
      </w:r>
    </w:p>
    <w:p w14:paraId="500208D6">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7919E556">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71800E26">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58ABB606">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第十五条  合同争议解决</w:t>
      </w:r>
    </w:p>
    <w:p w14:paraId="4E72E583">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28DBAA8F">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14:paraId="0E2AECDF">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3.诉讼期间，本合同继续履行。</w:t>
      </w:r>
    </w:p>
    <w:p w14:paraId="1FCDCDFA">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第十六条  合同生效及其它</w:t>
      </w:r>
    </w:p>
    <w:p w14:paraId="3563B4AE">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1.合同经双方法定代表人或授权代表签字并加盖单位公章后生效。</w:t>
      </w:r>
    </w:p>
    <w:p w14:paraId="4D174E47">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1222D62F">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第十七条　合同的变更、终止与转让</w:t>
      </w:r>
    </w:p>
    <w:p w14:paraId="5D7F7B2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7EA36159">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5CDA94A8">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第十八条　签订本合同依据</w:t>
      </w:r>
    </w:p>
    <w:p w14:paraId="4885DEA7">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1.政府采购招标文件；</w:t>
      </w:r>
    </w:p>
    <w:p w14:paraId="52BB7C8A">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2.乙方提供的采购投标（或应答）文件；</w:t>
      </w:r>
    </w:p>
    <w:p w14:paraId="7DA5AC18">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3.投标承诺书；</w:t>
      </w:r>
    </w:p>
    <w:p w14:paraId="57C81F7C">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4.中标或成交通知书。</w:t>
      </w:r>
    </w:p>
    <w:p w14:paraId="336CC12C">
      <w:pPr>
        <w:snapToGrid w:val="0"/>
        <w:spacing w:line="360" w:lineRule="exact"/>
        <w:ind w:right="-754" w:rightChars="-359" w:firstLine="482" w:firstLineChars="200"/>
        <w:rPr>
          <w:rFonts w:ascii="仿宋_GB2312" w:hAnsi="宋体" w:eastAsia="仿宋_GB2312"/>
          <w:sz w:val="24"/>
        </w:rPr>
      </w:pPr>
      <w:r>
        <w:rPr>
          <w:rFonts w:hint="eastAsia" w:ascii="仿宋_GB2312" w:hAnsi="宋体" w:eastAsia="仿宋_GB2312"/>
          <w:b/>
          <w:sz w:val="24"/>
        </w:rPr>
        <w:t>第十九条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9"/>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43AA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6E3B88C0">
            <w:pPr>
              <w:snapToGrid w:val="0"/>
              <w:spacing w:line="320" w:lineRule="exact"/>
              <w:rPr>
                <w:rFonts w:ascii="仿宋_GB2312" w:eastAsia="仿宋_GB2312"/>
                <w:sz w:val="24"/>
              </w:rPr>
            </w:pPr>
            <w:r>
              <w:rPr>
                <w:rFonts w:hint="eastAsia" w:ascii="仿宋_GB2312" w:eastAsia="仿宋_GB2312"/>
                <w:sz w:val="24"/>
              </w:rPr>
              <w:t xml:space="preserve">甲方（章）           </w:t>
            </w:r>
          </w:p>
          <w:p w14:paraId="7CFA30CC">
            <w:pPr>
              <w:snapToGrid w:val="0"/>
              <w:spacing w:line="320" w:lineRule="exact"/>
              <w:ind w:firstLine="480" w:firstLineChars="200"/>
              <w:rPr>
                <w:rFonts w:ascii="仿宋_GB2312" w:eastAsia="仿宋_GB2312"/>
                <w:sz w:val="24"/>
              </w:rPr>
            </w:pPr>
          </w:p>
          <w:p w14:paraId="252EF67A">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15B25D3F">
            <w:pPr>
              <w:snapToGrid w:val="0"/>
              <w:spacing w:line="320" w:lineRule="exact"/>
              <w:rPr>
                <w:rFonts w:ascii="仿宋_GB2312" w:eastAsia="仿宋_GB2312"/>
                <w:sz w:val="24"/>
              </w:rPr>
            </w:pPr>
            <w:r>
              <w:rPr>
                <w:rFonts w:hint="eastAsia" w:ascii="仿宋_GB2312" w:eastAsia="仿宋_GB2312"/>
                <w:sz w:val="24"/>
              </w:rPr>
              <w:t xml:space="preserve">乙方（章）              </w:t>
            </w:r>
          </w:p>
          <w:p w14:paraId="76AFF2D4">
            <w:pPr>
              <w:snapToGrid w:val="0"/>
              <w:spacing w:line="320" w:lineRule="exact"/>
              <w:ind w:firstLine="480" w:firstLineChars="200"/>
              <w:rPr>
                <w:rFonts w:ascii="仿宋_GB2312" w:eastAsia="仿宋_GB2312"/>
                <w:sz w:val="24"/>
              </w:rPr>
            </w:pPr>
          </w:p>
          <w:p w14:paraId="5703B104">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0B36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097A4518">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32B95674">
            <w:pPr>
              <w:snapToGrid w:val="0"/>
              <w:spacing w:line="320" w:lineRule="exact"/>
              <w:rPr>
                <w:rFonts w:ascii="仿宋_GB2312" w:eastAsia="仿宋_GB2312"/>
                <w:sz w:val="24"/>
              </w:rPr>
            </w:pPr>
            <w:r>
              <w:rPr>
                <w:rFonts w:hint="eastAsia" w:ascii="仿宋_GB2312" w:eastAsia="仿宋_GB2312"/>
                <w:sz w:val="24"/>
              </w:rPr>
              <w:t>单位地址：</w:t>
            </w:r>
          </w:p>
        </w:tc>
      </w:tr>
      <w:tr w14:paraId="38DC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40B968F9">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23FCEB54">
            <w:pPr>
              <w:snapToGrid w:val="0"/>
              <w:spacing w:line="320" w:lineRule="exact"/>
              <w:rPr>
                <w:rFonts w:ascii="仿宋_GB2312" w:eastAsia="仿宋_GB2312"/>
                <w:sz w:val="24"/>
              </w:rPr>
            </w:pPr>
            <w:r>
              <w:rPr>
                <w:rFonts w:hint="eastAsia" w:ascii="仿宋_GB2312" w:eastAsia="仿宋_GB2312"/>
                <w:sz w:val="24"/>
              </w:rPr>
              <w:t>法定代表人：</w:t>
            </w:r>
          </w:p>
        </w:tc>
      </w:tr>
      <w:tr w14:paraId="6E64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09706EB8">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3954343A">
            <w:pPr>
              <w:snapToGrid w:val="0"/>
              <w:spacing w:line="320" w:lineRule="exact"/>
              <w:rPr>
                <w:rFonts w:ascii="仿宋_GB2312" w:eastAsia="仿宋_GB2312"/>
                <w:sz w:val="24"/>
              </w:rPr>
            </w:pPr>
            <w:r>
              <w:rPr>
                <w:rFonts w:hint="eastAsia" w:ascii="仿宋_GB2312" w:eastAsia="仿宋_GB2312"/>
                <w:sz w:val="24"/>
              </w:rPr>
              <w:t>委托代理人：</w:t>
            </w:r>
          </w:p>
        </w:tc>
      </w:tr>
      <w:tr w14:paraId="69C6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1EF9C711">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6F56A360">
            <w:pPr>
              <w:snapToGrid w:val="0"/>
              <w:spacing w:line="320" w:lineRule="exact"/>
              <w:rPr>
                <w:rFonts w:ascii="仿宋_GB2312" w:eastAsia="仿宋_GB2312"/>
                <w:sz w:val="24"/>
              </w:rPr>
            </w:pPr>
            <w:r>
              <w:rPr>
                <w:rFonts w:hint="eastAsia" w:ascii="仿宋_GB2312" w:eastAsia="仿宋_GB2312"/>
                <w:sz w:val="24"/>
              </w:rPr>
              <w:t>电    话：</w:t>
            </w:r>
          </w:p>
        </w:tc>
      </w:tr>
      <w:tr w14:paraId="337A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018234EB">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7B34CBC6">
            <w:pPr>
              <w:snapToGrid w:val="0"/>
              <w:spacing w:line="320" w:lineRule="exact"/>
              <w:rPr>
                <w:rFonts w:ascii="仿宋_GB2312" w:eastAsia="仿宋_GB2312"/>
                <w:sz w:val="24"/>
              </w:rPr>
            </w:pPr>
            <w:r>
              <w:rPr>
                <w:rFonts w:hint="eastAsia" w:ascii="仿宋_GB2312" w:eastAsia="仿宋_GB2312"/>
                <w:sz w:val="24"/>
              </w:rPr>
              <w:t>电子邮箱：</w:t>
            </w:r>
          </w:p>
        </w:tc>
      </w:tr>
      <w:tr w14:paraId="4A2A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76A14059">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232E817B">
            <w:pPr>
              <w:snapToGrid w:val="0"/>
              <w:spacing w:line="320" w:lineRule="exact"/>
              <w:rPr>
                <w:rFonts w:ascii="仿宋_GB2312" w:eastAsia="仿宋_GB2312"/>
                <w:sz w:val="24"/>
              </w:rPr>
            </w:pPr>
            <w:r>
              <w:rPr>
                <w:rFonts w:hint="eastAsia" w:ascii="仿宋_GB2312" w:eastAsia="仿宋_GB2312"/>
                <w:sz w:val="24"/>
              </w:rPr>
              <w:t>开户银行：</w:t>
            </w:r>
          </w:p>
        </w:tc>
      </w:tr>
      <w:tr w14:paraId="459A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4C7E67E8">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2864FF15">
            <w:pPr>
              <w:snapToGrid w:val="0"/>
              <w:spacing w:line="320" w:lineRule="exact"/>
              <w:rPr>
                <w:rFonts w:ascii="仿宋_GB2312" w:eastAsia="仿宋_GB2312"/>
                <w:sz w:val="24"/>
              </w:rPr>
            </w:pPr>
            <w:r>
              <w:rPr>
                <w:rFonts w:hint="eastAsia" w:ascii="仿宋_GB2312" w:eastAsia="仿宋_GB2312"/>
                <w:sz w:val="24"/>
              </w:rPr>
              <w:t>账    号：</w:t>
            </w:r>
          </w:p>
        </w:tc>
      </w:tr>
      <w:tr w14:paraId="64AB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552A2BDD">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4DE1A609">
            <w:pPr>
              <w:snapToGrid w:val="0"/>
              <w:spacing w:line="320" w:lineRule="exact"/>
              <w:rPr>
                <w:rFonts w:ascii="仿宋_GB2312" w:eastAsia="仿宋_GB2312"/>
                <w:sz w:val="24"/>
              </w:rPr>
            </w:pPr>
            <w:r>
              <w:rPr>
                <w:rFonts w:hint="eastAsia" w:ascii="仿宋_GB2312" w:eastAsia="仿宋_GB2312"/>
                <w:sz w:val="24"/>
              </w:rPr>
              <w:t>邮政编码：</w:t>
            </w:r>
          </w:p>
        </w:tc>
      </w:tr>
      <w:tr w14:paraId="1455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2223253E">
            <w:pPr>
              <w:snapToGrid w:val="0"/>
              <w:spacing w:line="320" w:lineRule="exact"/>
              <w:rPr>
                <w:rFonts w:ascii="仿宋_GB2312" w:eastAsia="仿宋_GB2312"/>
                <w:sz w:val="24"/>
              </w:rPr>
            </w:pPr>
            <w:r>
              <w:rPr>
                <w:rFonts w:hint="eastAsia" w:ascii="仿宋_GB2312" w:eastAsia="仿宋_GB2312"/>
                <w:sz w:val="24"/>
              </w:rPr>
              <w:t>经办人：</w:t>
            </w:r>
          </w:p>
          <w:p w14:paraId="39588794">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416E6003">
      <w:pPr>
        <w:spacing w:line="360" w:lineRule="exact"/>
        <w:ind w:left="420" w:leftChars="200" w:firstLine="360" w:firstLineChars="150"/>
        <w:jc w:val="left"/>
        <w:rPr>
          <w:rFonts w:ascii="仿宋_GB2312" w:eastAsia="仿宋_GB2312"/>
          <w:sz w:val="24"/>
        </w:rPr>
      </w:pPr>
    </w:p>
    <w:p w14:paraId="4266291C">
      <w:pPr>
        <w:snapToGrid w:val="0"/>
        <w:jc w:val="center"/>
        <w:rPr>
          <w:rFonts w:ascii="仿宋_GB2312" w:eastAsia="仿宋_GB2312"/>
          <w:b/>
          <w:sz w:val="28"/>
          <w:szCs w:val="28"/>
        </w:rPr>
      </w:pPr>
    </w:p>
    <w:p w14:paraId="6443DEBA">
      <w:pPr>
        <w:snapToGrid w:val="0"/>
        <w:jc w:val="center"/>
        <w:rPr>
          <w:rFonts w:ascii="仿宋_GB2312" w:eastAsia="仿宋_GB2312"/>
          <w:b/>
          <w:sz w:val="28"/>
          <w:szCs w:val="28"/>
        </w:rPr>
      </w:pPr>
    </w:p>
    <w:p w14:paraId="1AC47152">
      <w:pPr>
        <w:snapToGrid w:val="0"/>
        <w:jc w:val="center"/>
        <w:rPr>
          <w:rFonts w:ascii="仿宋_GB2312" w:eastAsia="仿宋_GB2312"/>
          <w:b/>
          <w:sz w:val="28"/>
          <w:szCs w:val="28"/>
        </w:rPr>
      </w:pPr>
    </w:p>
    <w:p w14:paraId="7D3C11E7">
      <w:pPr>
        <w:snapToGrid w:val="0"/>
        <w:jc w:val="center"/>
        <w:rPr>
          <w:rFonts w:ascii="仿宋_GB2312" w:eastAsia="仿宋_GB2312"/>
          <w:b/>
          <w:sz w:val="28"/>
          <w:szCs w:val="28"/>
        </w:rPr>
      </w:pPr>
    </w:p>
    <w:p w14:paraId="0487D730">
      <w:pPr>
        <w:snapToGrid w:val="0"/>
        <w:jc w:val="center"/>
        <w:rPr>
          <w:rFonts w:ascii="仿宋_GB2312" w:eastAsia="仿宋_GB2312"/>
          <w:b/>
          <w:sz w:val="28"/>
          <w:szCs w:val="28"/>
        </w:rPr>
      </w:pPr>
    </w:p>
    <w:p w14:paraId="6A57011C">
      <w:pPr>
        <w:snapToGrid w:val="0"/>
        <w:jc w:val="center"/>
        <w:rPr>
          <w:rFonts w:ascii="仿宋_GB2312" w:eastAsia="仿宋_GB2312"/>
          <w:b/>
          <w:sz w:val="28"/>
          <w:szCs w:val="28"/>
        </w:rPr>
      </w:pPr>
    </w:p>
    <w:p w14:paraId="26D2839D">
      <w:pPr>
        <w:snapToGrid w:val="0"/>
        <w:jc w:val="center"/>
        <w:rPr>
          <w:rFonts w:ascii="仿宋_GB2312" w:eastAsia="仿宋_GB2312"/>
          <w:b/>
          <w:sz w:val="28"/>
          <w:szCs w:val="28"/>
        </w:rPr>
      </w:pPr>
    </w:p>
    <w:p w14:paraId="750FDBD9">
      <w:pPr>
        <w:snapToGrid w:val="0"/>
        <w:jc w:val="center"/>
        <w:rPr>
          <w:rFonts w:ascii="仿宋_GB2312" w:eastAsia="仿宋_GB2312"/>
          <w:b/>
          <w:sz w:val="28"/>
          <w:szCs w:val="28"/>
        </w:rPr>
      </w:pPr>
    </w:p>
    <w:p w14:paraId="7C720E69">
      <w:pPr>
        <w:snapToGrid w:val="0"/>
        <w:jc w:val="center"/>
        <w:rPr>
          <w:rFonts w:ascii="仿宋_GB2312" w:eastAsia="仿宋_GB2312"/>
          <w:b/>
          <w:sz w:val="28"/>
          <w:szCs w:val="28"/>
        </w:rPr>
      </w:pPr>
    </w:p>
    <w:p w14:paraId="3E9FD8A4">
      <w:pPr>
        <w:snapToGrid w:val="0"/>
        <w:jc w:val="center"/>
        <w:rPr>
          <w:rFonts w:ascii="仿宋_GB2312" w:eastAsia="仿宋_GB2312"/>
          <w:b/>
          <w:sz w:val="28"/>
          <w:szCs w:val="28"/>
        </w:rPr>
      </w:pPr>
    </w:p>
    <w:p w14:paraId="1546E738">
      <w:pPr>
        <w:snapToGrid w:val="0"/>
        <w:jc w:val="center"/>
        <w:rPr>
          <w:rFonts w:ascii="仿宋_GB2312" w:eastAsia="仿宋_GB2312"/>
          <w:b/>
          <w:sz w:val="28"/>
          <w:szCs w:val="28"/>
        </w:rPr>
      </w:pPr>
    </w:p>
    <w:p w14:paraId="5C210870">
      <w:pPr>
        <w:snapToGrid w:val="0"/>
        <w:jc w:val="center"/>
        <w:rPr>
          <w:rFonts w:ascii="仿宋_GB2312" w:eastAsia="仿宋_GB2312"/>
          <w:b/>
          <w:sz w:val="28"/>
          <w:szCs w:val="28"/>
        </w:rPr>
      </w:pPr>
    </w:p>
    <w:p w14:paraId="7A4D9A42">
      <w:pPr>
        <w:snapToGrid w:val="0"/>
        <w:jc w:val="center"/>
        <w:rPr>
          <w:rFonts w:ascii="仿宋_GB2312" w:eastAsia="仿宋_GB2312"/>
          <w:b/>
          <w:sz w:val="28"/>
          <w:szCs w:val="28"/>
        </w:rPr>
      </w:pPr>
    </w:p>
    <w:p w14:paraId="0E23D38F">
      <w:pPr>
        <w:snapToGrid w:val="0"/>
        <w:jc w:val="center"/>
        <w:rPr>
          <w:rFonts w:ascii="仿宋_GB2312" w:eastAsia="仿宋_GB2312"/>
          <w:b/>
          <w:sz w:val="28"/>
          <w:szCs w:val="28"/>
        </w:rPr>
      </w:pPr>
    </w:p>
    <w:p w14:paraId="0F77D8EA">
      <w:pPr>
        <w:snapToGrid w:val="0"/>
        <w:jc w:val="center"/>
        <w:rPr>
          <w:rFonts w:ascii="仿宋_GB2312" w:eastAsia="仿宋_GB2312"/>
          <w:b/>
          <w:sz w:val="28"/>
          <w:szCs w:val="28"/>
        </w:rPr>
      </w:pPr>
    </w:p>
    <w:p w14:paraId="03C932D2">
      <w:pPr>
        <w:snapToGrid w:val="0"/>
        <w:jc w:val="center"/>
        <w:rPr>
          <w:rFonts w:ascii="仿宋_GB2312" w:eastAsia="仿宋_GB2312"/>
          <w:b/>
          <w:sz w:val="28"/>
          <w:szCs w:val="28"/>
        </w:rPr>
      </w:pPr>
    </w:p>
    <w:p w14:paraId="58AF6367">
      <w:pPr>
        <w:snapToGrid w:val="0"/>
        <w:jc w:val="center"/>
        <w:rPr>
          <w:rFonts w:ascii="仿宋_GB2312" w:eastAsia="仿宋_GB2312"/>
          <w:b/>
          <w:sz w:val="28"/>
          <w:szCs w:val="28"/>
        </w:rPr>
      </w:pPr>
    </w:p>
    <w:p w14:paraId="5B853A56">
      <w:pPr>
        <w:snapToGrid w:val="0"/>
        <w:jc w:val="center"/>
        <w:rPr>
          <w:rFonts w:ascii="仿宋_GB2312" w:eastAsia="仿宋_GB2312"/>
          <w:b/>
          <w:sz w:val="28"/>
          <w:szCs w:val="28"/>
        </w:rPr>
      </w:pPr>
      <w:r>
        <w:rPr>
          <w:rFonts w:hint="eastAsia" w:ascii="仿宋_GB2312" w:eastAsia="仿宋_GB2312"/>
          <w:b/>
          <w:sz w:val="28"/>
          <w:szCs w:val="28"/>
        </w:rPr>
        <w:t>合 同 附 件</w:t>
      </w:r>
    </w:p>
    <w:p w14:paraId="211BDFDE">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9"/>
        <w:tblW w:w="9072" w:type="dxa"/>
        <w:tblInd w:w="108" w:type="dxa"/>
        <w:tblLayout w:type="fixed"/>
        <w:tblCellMar>
          <w:top w:w="0" w:type="dxa"/>
          <w:left w:w="108" w:type="dxa"/>
          <w:bottom w:w="0" w:type="dxa"/>
          <w:right w:w="108" w:type="dxa"/>
        </w:tblCellMar>
      </w:tblPr>
      <w:tblGrid>
        <w:gridCol w:w="4678"/>
        <w:gridCol w:w="4394"/>
      </w:tblGrid>
      <w:tr w14:paraId="4295DC6E">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45680D55">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43D44CDF">
            <w:pPr>
              <w:snapToGrid w:val="0"/>
              <w:spacing w:line="276" w:lineRule="auto"/>
              <w:rPr>
                <w:rFonts w:ascii="仿宋_GB2312" w:eastAsia="仿宋_GB2312"/>
                <w:sz w:val="24"/>
              </w:rPr>
            </w:pPr>
            <w:r>
              <w:rPr>
                <w:rFonts w:hint="eastAsia" w:ascii="仿宋_GB2312" w:eastAsia="仿宋_GB2312"/>
                <w:sz w:val="24"/>
              </w:rPr>
              <w:t xml:space="preserve">    </w:t>
            </w:r>
          </w:p>
        </w:tc>
      </w:tr>
      <w:tr w14:paraId="03DC73E6">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0A364480">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5EEEA27D">
            <w:pPr>
              <w:snapToGrid w:val="0"/>
              <w:spacing w:line="276" w:lineRule="auto"/>
              <w:rPr>
                <w:rFonts w:ascii="仿宋_GB2312" w:eastAsia="仿宋_GB2312"/>
                <w:sz w:val="24"/>
              </w:rPr>
            </w:pPr>
            <w:r>
              <w:rPr>
                <w:rFonts w:hint="eastAsia" w:ascii="仿宋_GB2312" w:eastAsia="仿宋_GB2312"/>
                <w:sz w:val="24"/>
              </w:rPr>
              <w:t xml:space="preserve">    </w:t>
            </w:r>
          </w:p>
        </w:tc>
      </w:tr>
      <w:tr w14:paraId="1EA0D46D">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3B56F3E7">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11D7CB59">
            <w:pPr>
              <w:snapToGrid w:val="0"/>
              <w:spacing w:line="276" w:lineRule="auto"/>
              <w:rPr>
                <w:rFonts w:ascii="仿宋_GB2312" w:eastAsia="仿宋_GB2312"/>
                <w:sz w:val="24"/>
              </w:rPr>
            </w:pPr>
            <w:r>
              <w:rPr>
                <w:rFonts w:hint="eastAsia" w:ascii="仿宋_GB2312" w:eastAsia="仿宋_GB2312"/>
                <w:sz w:val="24"/>
              </w:rPr>
              <w:t xml:space="preserve">    </w:t>
            </w:r>
          </w:p>
        </w:tc>
      </w:tr>
      <w:tr w14:paraId="42046F12">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1B020AD4">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38662774">
            <w:pPr>
              <w:snapToGrid w:val="0"/>
              <w:rPr>
                <w:rFonts w:ascii="仿宋_GB2312" w:eastAsia="仿宋_GB2312"/>
                <w:sz w:val="24"/>
              </w:rPr>
            </w:pPr>
          </w:p>
        </w:tc>
      </w:tr>
      <w:tr w14:paraId="1B252E49">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3F25EEE3">
            <w:pPr>
              <w:snapToGrid w:val="0"/>
              <w:spacing w:line="276" w:lineRule="auto"/>
              <w:rPr>
                <w:rFonts w:ascii="仿宋_GB2312" w:eastAsia="仿宋_GB2312"/>
                <w:sz w:val="24"/>
              </w:rPr>
            </w:pPr>
            <w:r>
              <w:rPr>
                <w:rFonts w:hint="eastAsia" w:ascii="仿宋_GB2312" w:eastAsia="仿宋_GB2312"/>
                <w:sz w:val="24"/>
              </w:rPr>
              <w:t>甲方（章）</w:t>
            </w:r>
          </w:p>
          <w:p w14:paraId="2D4A6324">
            <w:pPr>
              <w:snapToGrid w:val="0"/>
              <w:spacing w:line="276" w:lineRule="auto"/>
              <w:ind w:firstLine="480" w:firstLineChars="200"/>
              <w:rPr>
                <w:rFonts w:ascii="仿宋_GB2312" w:eastAsia="仿宋_GB2312"/>
                <w:sz w:val="24"/>
              </w:rPr>
            </w:pPr>
          </w:p>
          <w:p w14:paraId="19CA2C67">
            <w:pPr>
              <w:snapToGrid w:val="0"/>
              <w:spacing w:line="276" w:lineRule="auto"/>
              <w:ind w:firstLine="480" w:firstLineChars="200"/>
              <w:rPr>
                <w:rFonts w:ascii="仿宋_GB2312" w:eastAsia="仿宋_GB2312"/>
                <w:sz w:val="24"/>
              </w:rPr>
            </w:pPr>
          </w:p>
          <w:p w14:paraId="7C163A77">
            <w:pPr>
              <w:snapToGrid w:val="0"/>
              <w:spacing w:line="276" w:lineRule="auto"/>
              <w:ind w:firstLine="480" w:firstLineChars="200"/>
              <w:rPr>
                <w:rFonts w:ascii="仿宋_GB2312" w:eastAsia="仿宋_GB2312"/>
                <w:sz w:val="24"/>
              </w:rPr>
            </w:pPr>
          </w:p>
          <w:p w14:paraId="7BCDD945">
            <w:pPr>
              <w:snapToGrid w:val="0"/>
              <w:spacing w:line="276" w:lineRule="auto"/>
              <w:ind w:firstLine="480" w:firstLineChars="200"/>
              <w:rPr>
                <w:rFonts w:ascii="仿宋_GB2312" w:eastAsia="仿宋_GB2312"/>
                <w:sz w:val="24"/>
              </w:rPr>
            </w:pPr>
          </w:p>
          <w:p w14:paraId="23151797">
            <w:pPr>
              <w:snapToGrid w:val="0"/>
              <w:spacing w:line="276" w:lineRule="auto"/>
              <w:ind w:firstLine="480" w:firstLineChars="200"/>
              <w:rPr>
                <w:rFonts w:ascii="仿宋_GB2312" w:eastAsia="仿宋_GB2312"/>
                <w:sz w:val="24"/>
              </w:rPr>
            </w:pPr>
          </w:p>
          <w:p w14:paraId="7B36C881">
            <w:pPr>
              <w:snapToGrid w:val="0"/>
              <w:spacing w:line="276" w:lineRule="auto"/>
              <w:ind w:firstLine="480" w:firstLineChars="200"/>
              <w:rPr>
                <w:rFonts w:ascii="仿宋_GB2312" w:eastAsia="仿宋_GB2312"/>
                <w:sz w:val="24"/>
              </w:rPr>
            </w:pPr>
          </w:p>
          <w:p w14:paraId="7FB6F618">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290BF307">
            <w:pPr>
              <w:snapToGrid w:val="0"/>
              <w:spacing w:line="276" w:lineRule="auto"/>
              <w:rPr>
                <w:rFonts w:ascii="仿宋_GB2312" w:eastAsia="仿宋_GB2312"/>
                <w:sz w:val="24"/>
              </w:rPr>
            </w:pPr>
            <w:r>
              <w:rPr>
                <w:rFonts w:hint="eastAsia" w:ascii="仿宋_GB2312" w:eastAsia="仿宋_GB2312"/>
                <w:sz w:val="24"/>
              </w:rPr>
              <w:t>乙方（章）</w:t>
            </w:r>
          </w:p>
          <w:p w14:paraId="4A771435">
            <w:pPr>
              <w:snapToGrid w:val="0"/>
              <w:spacing w:line="276" w:lineRule="auto"/>
              <w:ind w:firstLine="480" w:firstLineChars="200"/>
              <w:rPr>
                <w:rFonts w:ascii="仿宋_GB2312" w:eastAsia="仿宋_GB2312"/>
                <w:sz w:val="24"/>
              </w:rPr>
            </w:pPr>
          </w:p>
          <w:p w14:paraId="554F05BA">
            <w:pPr>
              <w:snapToGrid w:val="0"/>
              <w:spacing w:line="276" w:lineRule="auto"/>
              <w:ind w:firstLine="480" w:firstLineChars="200"/>
              <w:rPr>
                <w:rFonts w:ascii="仿宋_GB2312" w:eastAsia="仿宋_GB2312"/>
                <w:sz w:val="24"/>
              </w:rPr>
            </w:pPr>
          </w:p>
          <w:p w14:paraId="539B8D8E">
            <w:pPr>
              <w:snapToGrid w:val="0"/>
              <w:spacing w:line="276" w:lineRule="auto"/>
              <w:ind w:firstLine="480" w:firstLineChars="200"/>
              <w:rPr>
                <w:rFonts w:ascii="仿宋_GB2312" w:eastAsia="仿宋_GB2312"/>
                <w:sz w:val="24"/>
              </w:rPr>
            </w:pPr>
          </w:p>
          <w:p w14:paraId="11926A63">
            <w:pPr>
              <w:snapToGrid w:val="0"/>
              <w:spacing w:line="276" w:lineRule="auto"/>
              <w:ind w:firstLine="480" w:firstLineChars="200"/>
              <w:rPr>
                <w:rFonts w:ascii="仿宋_GB2312" w:eastAsia="仿宋_GB2312"/>
                <w:sz w:val="24"/>
              </w:rPr>
            </w:pPr>
          </w:p>
          <w:p w14:paraId="39081DB9">
            <w:pPr>
              <w:snapToGrid w:val="0"/>
              <w:spacing w:line="276" w:lineRule="auto"/>
              <w:ind w:firstLine="480" w:firstLineChars="200"/>
              <w:rPr>
                <w:rFonts w:ascii="仿宋_GB2312" w:eastAsia="仿宋_GB2312"/>
                <w:sz w:val="24"/>
              </w:rPr>
            </w:pPr>
          </w:p>
          <w:p w14:paraId="0769202C">
            <w:pPr>
              <w:snapToGrid w:val="0"/>
              <w:spacing w:line="276" w:lineRule="auto"/>
              <w:ind w:firstLine="480" w:firstLineChars="200"/>
              <w:rPr>
                <w:rFonts w:ascii="仿宋_GB2312" w:eastAsia="仿宋_GB2312"/>
                <w:sz w:val="24"/>
              </w:rPr>
            </w:pPr>
          </w:p>
          <w:p w14:paraId="6703E2EB">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10CD2533">
      <w:pPr>
        <w:snapToGrid w:val="0"/>
        <w:ind w:firstLine="480" w:firstLineChars="200"/>
        <w:rPr>
          <w:rFonts w:ascii="仿宋_GB2312" w:eastAsia="仿宋_GB2312"/>
          <w:color w:val="FF0000"/>
          <w:sz w:val="24"/>
        </w:rPr>
        <w:sectPr>
          <w:pgSz w:w="11906" w:h="16838"/>
          <w:pgMar w:top="1440" w:right="1440" w:bottom="1440" w:left="1440" w:header="851" w:footer="992" w:gutter="0"/>
          <w:cols w:space="720" w:num="1"/>
          <w:docGrid w:linePitch="312" w:charSpace="0"/>
        </w:sectPr>
      </w:pPr>
      <w:r>
        <w:rPr>
          <w:rFonts w:hint="eastAsia" w:ascii="仿宋_GB2312" w:eastAsia="仿宋_GB2312"/>
          <w:sz w:val="24"/>
        </w:rPr>
        <w:t>注：售后服务事项填不下时可另加附页</w:t>
      </w:r>
    </w:p>
    <w:p w14:paraId="0B7B4DCB">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14641C1F">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3D89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5F978DA7">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542228F1">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4038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016C36B">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6453D4E8">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F1BBDD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664EE115">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7B1DC5C1">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00ED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53F569AF">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08E442D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37E49A3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57FC98E7">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1082B1DC">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A3B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43A45B2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1349001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29473E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442E4133">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3D881FDD">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B38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3B89411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1B94009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17E7F29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3852016A">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3D0D1DB1">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BC2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132F266A">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12E16E1A">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6D499AC2">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55E2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40A35AE5">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0746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7CA7DDAB">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4EEFE0B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638C55B2">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19C0749E">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8EA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3AB17107">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4449DC9B">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60A0EF96">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1914400F">
            <w:pPr>
              <w:widowControl/>
              <w:snapToGrid w:val="0"/>
              <w:spacing w:before="100" w:beforeAutospacing="1" w:after="100" w:afterAutospacing="1" w:line="320" w:lineRule="atLeast"/>
              <w:ind w:firstLine="2"/>
              <w:jc w:val="left"/>
              <w:rPr>
                <w:rFonts w:ascii="仿宋_GB2312" w:eastAsia="仿宋_GB2312"/>
                <w:kern w:val="0"/>
                <w:szCs w:val="21"/>
              </w:rPr>
            </w:pPr>
          </w:p>
        </w:tc>
      </w:tr>
      <w:tr w14:paraId="4E11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0FE0AF89">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39BACB2D">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1434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067F09D3">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52A8A284">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2A6F8B01">
            <w:pPr>
              <w:widowControl/>
              <w:snapToGrid w:val="0"/>
              <w:spacing w:before="100" w:beforeAutospacing="1" w:after="100" w:afterAutospacing="1" w:line="320" w:lineRule="atLeast"/>
              <w:jc w:val="left"/>
              <w:rPr>
                <w:rFonts w:ascii="仿宋_GB2312" w:eastAsia="仿宋_GB2312"/>
                <w:kern w:val="0"/>
                <w:szCs w:val="21"/>
              </w:rPr>
            </w:pPr>
          </w:p>
        </w:tc>
      </w:tr>
      <w:tr w14:paraId="1D8B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3B0C9611">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6CE5D7B9">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4891D456">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06C3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133C2E2B">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5AEA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2570C075">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7194220A">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6D1F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7F0CD48D">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2A432640">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618DB4FE">
      <w:pPr>
        <w:spacing w:line="276" w:lineRule="auto"/>
        <w:jc w:val="left"/>
        <w:rPr>
          <w:rFonts w:ascii="仿宋_GB2312" w:hAnsi="华文中宋" w:eastAsia="仿宋_GB2312"/>
          <w:bCs/>
          <w:szCs w:val="21"/>
        </w:rPr>
      </w:pPr>
    </w:p>
    <w:p w14:paraId="146564E5">
      <w:pPr>
        <w:spacing w:line="276" w:lineRule="auto"/>
        <w:jc w:val="left"/>
        <w:rPr>
          <w:rFonts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71"/>
    <w:p w14:paraId="10DC58E5">
      <w:pPr>
        <w:snapToGrid w:val="0"/>
        <w:jc w:val="left"/>
        <w:rPr>
          <w:rFonts w:ascii="仿宋_GB2312" w:hAnsi="华文中宋" w:eastAsia="仿宋_GB2312"/>
          <w:b/>
          <w:szCs w:val="21"/>
        </w:rPr>
      </w:pPr>
    </w:p>
    <w:p w14:paraId="704B0967">
      <w:pPr>
        <w:spacing w:line="276" w:lineRule="auto"/>
        <w:jc w:val="center"/>
        <w:rPr>
          <w:rFonts w:ascii="仿宋_GB2312" w:hAnsi="华文中宋" w:eastAsia="仿宋_GB2312"/>
          <w:bCs/>
          <w:sz w:val="32"/>
          <w:szCs w:val="32"/>
        </w:rPr>
      </w:pPr>
    </w:p>
    <w:p w14:paraId="09B4A7D0">
      <w:pPr>
        <w:spacing w:line="276" w:lineRule="auto"/>
        <w:jc w:val="center"/>
        <w:rPr>
          <w:rFonts w:ascii="仿宋_GB2312" w:hAnsi="华文中宋" w:eastAsia="仿宋_GB2312"/>
          <w:bCs/>
          <w:sz w:val="32"/>
          <w:szCs w:val="32"/>
        </w:rPr>
      </w:pPr>
    </w:p>
    <w:p w14:paraId="72967F8C">
      <w:pPr>
        <w:spacing w:line="276" w:lineRule="auto"/>
        <w:jc w:val="center"/>
        <w:rPr>
          <w:rFonts w:ascii="仿宋_GB2312" w:hAnsi="华文中宋" w:eastAsia="仿宋_GB2312"/>
          <w:bCs/>
          <w:sz w:val="32"/>
          <w:szCs w:val="32"/>
        </w:rPr>
      </w:pPr>
    </w:p>
    <w:p w14:paraId="12A8056A">
      <w:pPr>
        <w:spacing w:line="276" w:lineRule="auto"/>
        <w:jc w:val="center"/>
        <w:rPr>
          <w:rFonts w:ascii="仿宋_GB2312" w:hAnsi="华文中宋" w:eastAsia="仿宋_GB2312"/>
          <w:bCs/>
          <w:sz w:val="32"/>
          <w:szCs w:val="32"/>
        </w:rPr>
      </w:pPr>
    </w:p>
    <w:p w14:paraId="609FD39D">
      <w:pPr>
        <w:spacing w:line="276" w:lineRule="auto"/>
        <w:jc w:val="center"/>
        <w:rPr>
          <w:rFonts w:ascii="仿宋_GB2312" w:hAnsi="华文中宋" w:eastAsia="仿宋_GB2312"/>
          <w:bCs/>
          <w:sz w:val="32"/>
          <w:szCs w:val="32"/>
        </w:rPr>
      </w:pPr>
    </w:p>
    <w:sectPr>
      <w:footerReference r:id="rId13"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90D514D-F3C8-437F-87E6-841290863A77}"/>
  </w:font>
  <w:font w:name="黑体">
    <w:panose1 w:val="02010609060101010101"/>
    <w:charset w:val="86"/>
    <w:family w:val="auto"/>
    <w:pitch w:val="default"/>
    <w:sig w:usb0="800002BF" w:usb1="38CF7CFA" w:usb2="00000016" w:usb3="00000000" w:csb0="00040001" w:csb1="00000000"/>
    <w:embedRegular r:id="rId2" w:fontKey="{2074CEC2-456F-4843-BC14-4DD4E8A1AC9F}"/>
  </w:font>
  <w:font w:name="Courier New">
    <w:panose1 w:val="02070309020205020404"/>
    <w:charset w:val="01"/>
    <w:family w:val="modern"/>
    <w:pitch w:val="default"/>
    <w:sig w:usb0="E0002AFF" w:usb1="C0007843" w:usb2="00000009" w:usb3="00000000" w:csb0="400001FF" w:csb1="FFFF0000"/>
    <w:embedRegular r:id="rId3" w:fontKey="{C80CBE40-ABFC-4775-8433-6B9D1134C1B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D4838261-98C5-4A29-86F4-EFB6EA835178}"/>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3D57D0D6-35BB-4E10-9BDC-8F2CF47795D2}"/>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embedRegular r:id="rId6" w:fontKey="{0E89D5CB-7E46-4A3B-920B-49D5A2256AE0}"/>
  </w:font>
  <w:font w:name="楷体">
    <w:panose1 w:val="02010609060101010101"/>
    <w:charset w:val="86"/>
    <w:family w:val="modern"/>
    <w:pitch w:val="default"/>
    <w:sig w:usb0="800002BF" w:usb1="38CF7CFA" w:usb2="00000016" w:usb3="00000000" w:csb0="00040001" w:csb1="00000000"/>
    <w:embedRegular r:id="rId7" w:fontKey="{5976CFEE-72F9-4B33-8F4D-84D24401491D}"/>
  </w:font>
  <w:font w:name="等线 Light">
    <w:altName w:val="宋体"/>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A00002BF" w:usb1="38CF7CFA" w:usb2="00000016" w:usb3="00000000" w:csb0="0004000F" w:csb1="00000000"/>
    <w:embedRegular r:id="rId8" w:fontKey="{40C7974D-CC71-48DA-A3C4-29E7D05F78FB}"/>
  </w:font>
  <w:font w:name="华文新魏">
    <w:panose1 w:val="02010800040101010101"/>
    <w:charset w:val="86"/>
    <w:family w:val="auto"/>
    <w:pitch w:val="default"/>
    <w:sig w:usb0="00000001" w:usb1="080F0000" w:usb2="00000000" w:usb3="00000000" w:csb0="00040000" w:csb1="00000000"/>
    <w:embedRegular r:id="rId9" w:fontKey="{CA5EAB26-D95B-41E4-A493-5ABD5FDCB33A}"/>
  </w:font>
  <w:font w:name="华文中宋">
    <w:panose1 w:val="02010600040101010101"/>
    <w:charset w:val="86"/>
    <w:family w:val="auto"/>
    <w:pitch w:val="default"/>
    <w:sig w:usb0="00000287" w:usb1="080F0000" w:usb2="00000000" w:usb3="00000000" w:csb0="0004009F" w:csb1="DFD70000"/>
    <w:embedRegular r:id="rId10" w:fontKey="{30771179-0110-4467-AEDC-C05D76133CF0}"/>
  </w:font>
  <w:font w:name="仿宋">
    <w:panose1 w:val="02010609060101010101"/>
    <w:charset w:val="86"/>
    <w:family w:val="modern"/>
    <w:pitch w:val="default"/>
    <w:sig w:usb0="800002BF" w:usb1="38CF7CFA" w:usb2="00000016" w:usb3="00000000" w:csb0="00040001" w:csb1="00000000"/>
    <w:embedRegular r:id="rId11" w:fontKey="{81604D91-E203-4EC3-854B-23464B1D6443}"/>
  </w:font>
  <w:font w:name="Helvetica">
    <w:altName w:val="Arial"/>
    <w:panose1 w:val="020B0604020202020204"/>
    <w:charset w:val="00"/>
    <w:family w:val="swiss"/>
    <w:pitch w:val="default"/>
    <w:sig w:usb0="00000000" w:usb1="00000000" w:usb2="00000000" w:usb3="00000000" w:csb0="00000001" w:csb1="00000000"/>
    <w:embedRegular r:id="rId12" w:fontKey="{90E710D9-8051-4BCA-A0C9-F4A92DB0C963}"/>
  </w:font>
  <w:font w:name="微软雅黑">
    <w:panose1 w:val="020B0503020204020204"/>
    <w:charset w:val="86"/>
    <w:family w:val="swiss"/>
    <w:pitch w:val="default"/>
    <w:sig w:usb0="80000287" w:usb1="280F3C52" w:usb2="00000016" w:usb3="00000000" w:csb0="0004001F" w:csb1="00000000"/>
    <w:embedRegular r:id="rId13" w:fontKey="{3DAA82E3-3AE2-4418-BCB8-61872DE844FD}"/>
  </w:font>
  <w:font w:name="等线">
    <w:panose1 w:val="02010600030101010101"/>
    <w:charset w:val="86"/>
    <w:family w:val="auto"/>
    <w:pitch w:val="default"/>
    <w:sig w:usb0="A00002BF" w:usb1="38CF7CFA" w:usb2="00000016" w:usb3="00000000" w:csb0="0004000F" w:csb1="00000000"/>
    <w:embedRegular r:id="rId14" w:fontKey="{AB2B526E-2D01-4249-A6EC-A5108100D135}"/>
  </w:font>
  <w:font w:name="WPSEMBED1">
    <w:panose1 w:val="02010600030101010101"/>
    <w:charset w:val="86"/>
    <w:family w:val="auto"/>
    <w:pitch w:val="default"/>
    <w:sig w:usb0="A00002BF" w:usb1="38CF7CFA" w:usb2="00000016" w:usb3="00000000" w:csb0="0004000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7B549">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p w14:paraId="414261C6"/>
  <w:p w14:paraId="2AADC1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37C1A">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3D506">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p w14:paraId="20204F67"/>
  <w:p w14:paraId="1292E9F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1F392">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E8C05">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72</w:t>
    </w:r>
    <w:r>
      <w:rPr>
        <w:rFonts w:hint="eastAsia"/>
      </w:rPr>
      <w:fldChar w:fldCharType="end"/>
    </w:r>
  </w:p>
  <w:p w14:paraId="0EFE75F5"/>
  <w:p w14:paraId="52FFFF2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690ED">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64417">
    <w:pPr>
      <w:pStyle w:val="31"/>
      <w:jc w:val="center"/>
    </w:pPr>
    <w:r>
      <w:rPr>
        <w:rFonts w:hint="eastAsia"/>
      </w:rPr>
      <w:fldChar w:fldCharType="begin"/>
    </w:r>
    <w:r>
      <w:rPr>
        <w:rFonts w:hint="eastAsia"/>
      </w:rPr>
      <w:instrText xml:space="preserve"> PAGE  \* MERGEFORMAT </w:instrText>
    </w:r>
    <w:r>
      <w:rPr>
        <w:rFonts w:hint="eastAsia"/>
      </w:rPr>
      <w:fldChar w:fldCharType="separate"/>
    </w:r>
    <w:r>
      <w:t>133</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7C2EF567">
      <w:pPr>
        <w:pStyle w:val="36"/>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ED12B">
    <w:pPr>
      <w:pStyle w:val="32"/>
      <w:jc w:val="right"/>
      <w:rPr>
        <w:b/>
        <w:color w:val="000000"/>
      </w:rPr>
    </w:pPr>
    <w:r>
      <w:rPr>
        <w:rFonts w:hint="eastAsia"/>
        <w:b/>
      </w:rPr>
      <w:pict>
        <v:shape id="_x0000_s2051" o:spid="_x0000_s2051" o:spt="136" type="#_x0000_t136" style="position:absolute;left:0pt;margin-left:0pt;margin-top:0pt;height:1.5pt;width:15pt;visibility:hidden;z-index:251659264;mso-width-relative:page;mso-height-relative:page;" coordsize="21600,21600">
          <v:path/>
          <v:fill focussize="0,0"/>
          <v:stroke/>
          <v:imagedata o:title=""/>
          <o:lock v:ext="edit"/>
          <v:textpath on="t" fitshape="t" fitpath="t" trim="t" xscale="f" string="227933    2025-12-10" style="font-family:宋体;font-size:1pt;v-text-align:center;"/>
        </v:shape>
      </w:pict>
    </w:r>
    <w:r>
      <w:rPr>
        <w:rFonts w:hint="eastAsia"/>
        <w:b/>
      </w:rPr>
      <w:t xml:space="preserve">柳州市公安局视频专网设备采购（LZZC2025-G1-990970-LZSZ）   </w:t>
    </w:r>
    <w:r>
      <w:rPr>
        <w:rFonts w:hint="eastAsia"/>
        <w:b/>
        <w: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BF3DD">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68D85">
    <w:pPr>
      <w:pStyle w:val="3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02"/>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zNTMyMGVkNWM5ZjJkZmYyZWM2NTFjMDUyYjVjMWUifQ=="/>
  </w:docVars>
  <w:rsids>
    <w:rsidRoot w:val="00172A27"/>
    <w:rsid w:val="00000098"/>
    <w:rsid w:val="00000235"/>
    <w:rsid w:val="00000BE6"/>
    <w:rsid w:val="00000F70"/>
    <w:rsid w:val="00001419"/>
    <w:rsid w:val="00001E3D"/>
    <w:rsid w:val="0000234F"/>
    <w:rsid w:val="00002B91"/>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1D18"/>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1F18"/>
    <w:rsid w:val="0003256E"/>
    <w:rsid w:val="00033017"/>
    <w:rsid w:val="00033587"/>
    <w:rsid w:val="00033A5E"/>
    <w:rsid w:val="000345B3"/>
    <w:rsid w:val="0003560F"/>
    <w:rsid w:val="00035DE8"/>
    <w:rsid w:val="00036947"/>
    <w:rsid w:val="00036DAE"/>
    <w:rsid w:val="00036F4B"/>
    <w:rsid w:val="000374B1"/>
    <w:rsid w:val="00037959"/>
    <w:rsid w:val="00040330"/>
    <w:rsid w:val="0004035E"/>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46C"/>
    <w:rsid w:val="00054E25"/>
    <w:rsid w:val="000557F4"/>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813"/>
    <w:rsid w:val="000A2980"/>
    <w:rsid w:val="000A3B7B"/>
    <w:rsid w:val="000A3D56"/>
    <w:rsid w:val="000A4485"/>
    <w:rsid w:val="000A4A59"/>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0E8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75"/>
    <w:rsid w:val="0010348F"/>
    <w:rsid w:val="001034A6"/>
    <w:rsid w:val="0010388D"/>
    <w:rsid w:val="00103D5A"/>
    <w:rsid w:val="00104C63"/>
    <w:rsid w:val="0010686F"/>
    <w:rsid w:val="0010717F"/>
    <w:rsid w:val="00107881"/>
    <w:rsid w:val="001106E1"/>
    <w:rsid w:val="0011175F"/>
    <w:rsid w:val="00111A85"/>
    <w:rsid w:val="00112086"/>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3378"/>
    <w:rsid w:val="0012444B"/>
    <w:rsid w:val="00125976"/>
    <w:rsid w:val="00126A2C"/>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203"/>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365"/>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70A"/>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535"/>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2F0"/>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C793A"/>
    <w:rsid w:val="001D00FF"/>
    <w:rsid w:val="001D07EE"/>
    <w:rsid w:val="001D1126"/>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0B25"/>
    <w:rsid w:val="001F18BC"/>
    <w:rsid w:val="001F22E9"/>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4F89"/>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4B9"/>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DD0"/>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17AA"/>
    <w:rsid w:val="002621B7"/>
    <w:rsid w:val="00262474"/>
    <w:rsid w:val="0026287B"/>
    <w:rsid w:val="002638A0"/>
    <w:rsid w:val="0026494F"/>
    <w:rsid w:val="0026552A"/>
    <w:rsid w:val="00265F0B"/>
    <w:rsid w:val="002662E2"/>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6C0E"/>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6464"/>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E3E"/>
    <w:rsid w:val="002B04FA"/>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1F9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B5"/>
    <w:rsid w:val="002D4484"/>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8F1"/>
    <w:rsid w:val="002F525A"/>
    <w:rsid w:val="002F63F7"/>
    <w:rsid w:val="002F673E"/>
    <w:rsid w:val="002F6A83"/>
    <w:rsid w:val="002F6B17"/>
    <w:rsid w:val="002F6C21"/>
    <w:rsid w:val="002F784D"/>
    <w:rsid w:val="002F79BD"/>
    <w:rsid w:val="002F7AE1"/>
    <w:rsid w:val="00300AFD"/>
    <w:rsid w:val="00300DB7"/>
    <w:rsid w:val="0030136E"/>
    <w:rsid w:val="00301CB4"/>
    <w:rsid w:val="00302DFC"/>
    <w:rsid w:val="00303698"/>
    <w:rsid w:val="00303ADC"/>
    <w:rsid w:val="00304059"/>
    <w:rsid w:val="00304365"/>
    <w:rsid w:val="003048E6"/>
    <w:rsid w:val="00304BBD"/>
    <w:rsid w:val="003057E9"/>
    <w:rsid w:val="003060EE"/>
    <w:rsid w:val="00306620"/>
    <w:rsid w:val="0030793E"/>
    <w:rsid w:val="00307A8B"/>
    <w:rsid w:val="00307EA1"/>
    <w:rsid w:val="003117F4"/>
    <w:rsid w:val="00312163"/>
    <w:rsid w:val="003139BB"/>
    <w:rsid w:val="00313E9A"/>
    <w:rsid w:val="0031504C"/>
    <w:rsid w:val="00315844"/>
    <w:rsid w:val="00315F6E"/>
    <w:rsid w:val="0031611E"/>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503"/>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6D9"/>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6DC6"/>
    <w:rsid w:val="00377E67"/>
    <w:rsid w:val="00380066"/>
    <w:rsid w:val="00380744"/>
    <w:rsid w:val="00380E79"/>
    <w:rsid w:val="003810C1"/>
    <w:rsid w:val="00382074"/>
    <w:rsid w:val="0038216B"/>
    <w:rsid w:val="00382B18"/>
    <w:rsid w:val="003834EA"/>
    <w:rsid w:val="00383C28"/>
    <w:rsid w:val="00383F4C"/>
    <w:rsid w:val="00384D20"/>
    <w:rsid w:val="00384DD1"/>
    <w:rsid w:val="003879C8"/>
    <w:rsid w:val="003901F7"/>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892"/>
    <w:rsid w:val="003A3B0B"/>
    <w:rsid w:val="003A3B16"/>
    <w:rsid w:val="003A3B82"/>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C23"/>
    <w:rsid w:val="003C3065"/>
    <w:rsid w:val="003C337C"/>
    <w:rsid w:val="003C37FB"/>
    <w:rsid w:val="003C4227"/>
    <w:rsid w:val="003C447F"/>
    <w:rsid w:val="003C5DFF"/>
    <w:rsid w:val="003C7001"/>
    <w:rsid w:val="003C7968"/>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1E27"/>
    <w:rsid w:val="003E248D"/>
    <w:rsid w:val="003E24F5"/>
    <w:rsid w:val="003E2AF3"/>
    <w:rsid w:val="003E3EA4"/>
    <w:rsid w:val="003E4B1F"/>
    <w:rsid w:val="003E4E9A"/>
    <w:rsid w:val="003E4FB4"/>
    <w:rsid w:val="003E5172"/>
    <w:rsid w:val="003E558E"/>
    <w:rsid w:val="003E5FB0"/>
    <w:rsid w:val="003E7092"/>
    <w:rsid w:val="003E7A0A"/>
    <w:rsid w:val="003E7C9F"/>
    <w:rsid w:val="003F0342"/>
    <w:rsid w:val="003F19F9"/>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4B40"/>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5712"/>
    <w:rsid w:val="00445946"/>
    <w:rsid w:val="00445EB6"/>
    <w:rsid w:val="00446193"/>
    <w:rsid w:val="00446D6F"/>
    <w:rsid w:val="00447543"/>
    <w:rsid w:val="0044795B"/>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8AE"/>
    <w:rsid w:val="00463A20"/>
    <w:rsid w:val="004641B4"/>
    <w:rsid w:val="004643CB"/>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5DF9"/>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0FA"/>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4B9"/>
    <w:rsid w:val="00541613"/>
    <w:rsid w:val="00541C96"/>
    <w:rsid w:val="0054231D"/>
    <w:rsid w:val="0054235F"/>
    <w:rsid w:val="00542ED6"/>
    <w:rsid w:val="00543C4A"/>
    <w:rsid w:val="005453C4"/>
    <w:rsid w:val="00545B71"/>
    <w:rsid w:val="00546081"/>
    <w:rsid w:val="0054668E"/>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97892"/>
    <w:rsid w:val="005A066E"/>
    <w:rsid w:val="005A0726"/>
    <w:rsid w:val="005A1CD3"/>
    <w:rsid w:val="005A2123"/>
    <w:rsid w:val="005A2A9F"/>
    <w:rsid w:val="005A36E8"/>
    <w:rsid w:val="005A42A9"/>
    <w:rsid w:val="005A46A4"/>
    <w:rsid w:val="005A499F"/>
    <w:rsid w:val="005A5775"/>
    <w:rsid w:val="005A58C2"/>
    <w:rsid w:val="005A58E7"/>
    <w:rsid w:val="005A6146"/>
    <w:rsid w:val="005A7297"/>
    <w:rsid w:val="005B042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696"/>
    <w:rsid w:val="005C7C43"/>
    <w:rsid w:val="005D04AA"/>
    <w:rsid w:val="005D0ADC"/>
    <w:rsid w:val="005D0C07"/>
    <w:rsid w:val="005D11DB"/>
    <w:rsid w:val="005D156E"/>
    <w:rsid w:val="005D1E89"/>
    <w:rsid w:val="005D2586"/>
    <w:rsid w:val="005D3826"/>
    <w:rsid w:val="005D3AC6"/>
    <w:rsid w:val="005D3B26"/>
    <w:rsid w:val="005D3B3A"/>
    <w:rsid w:val="005D488A"/>
    <w:rsid w:val="005D5566"/>
    <w:rsid w:val="005D670B"/>
    <w:rsid w:val="005D6884"/>
    <w:rsid w:val="005D7B57"/>
    <w:rsid w:val="005D7E7F"/>
    <w:rsid w:val="005E11AB"/>
    <w:rsid w:val="005E1E32"/>
    <w:rsid w:val="005E2090"/>
    <w:rsid w:val="005E2679"/>
    <w:rsid w:val="005E2D86"/>
    <w:rsid w:val="005E4429"/>
    <w:rsid w:val="005E49D1"/>
    <w:rsid w:val="005E4AA7"/>
    <w:rsid w:val="005E5292"/>
    <w:rsid w:val="005E54B7"/>
    <w:rsid w:val="005E6232"/>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1A8"/>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503"/>
    <w:rsid w:val="00606682"/>
    <w:rsid w:val="00607EFC"/>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67B"/>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5689"/>
    <w:rsid w:val="0064611C"/>
    <w:rsid w:val="00646459"/>
    <w:rsid w:val="00646CC8"/>
    <w:rsid w:val="00646D32"/>
    <w:rsid w:val="00647AAF"/>
    <w:rsid w:val="00647BAE"/>
    <w:rsid w:val="00647D60"/>
    <w:rsid w:val="006500D3"/>
    <w:rsid w:val="00652715"/>
    <w:rsid w:val="006528A8"/>
    <w:rsid w:val="0065292D"/>
    <w:rsid w:val="00654583"/>
    <w:rsid w:val="00654A3B"/>
    <w:rsid w:val="00655053"/>
    <w:rsid w:val="006550DB"/>
    <w:rsid w:val="00656319"/>
    <w:rsid w:val="00656323"/>
    <w:rsid w:val="006563EF"/>
    <w:rsid w:val="006565E1"/>
    <w:rsid w:val="00656E6F"/>
    <w:rsid w:val="00657364"/>
    <w:rsid w:val="00657D37"/>
    <w:rsid w:val="00661C30"/>
    <w:rsid w:val="00661E30"/>
    <w:rsid w:val="00661F03"/>
    <w:rsid w:val="006625D6"/>
    <w:rsid w:val="00662B6C"/>
    <w:rsid w:val="00662C71"/>
    <w:rsid w:val="006637F7"/>
    <w:rsid w:val="00663A61"/>
    <w:rsid w:val="00663D31"/>
    <w:rsid w:val="0066443D"/>
    <w:rsid w:val="006644E7"/>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970"/>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265"/>
    <w:rsid w:val="006D13B7"/>
    <w:rsid w:val="006D15E4"/>
    <w:rsid w:val="006D16E9"/>
    <w:rsid w:val="006D1E6E"/>
    <w:rsid w:val="006D24AC"/>
    <w:rsid w:val="006D3E35"/>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3981"/>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3C0E"/>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1752"/>
    <w:rsid w:val="00791BC1"/>
    <w:rsid w:val="00791C9A"/>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51BC"/>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5A84"/>
    <w:rsid w:val="007C62E5"/>
    <w:rsid w:val="007C6402"/>
    <w:rsid w:val="007C64E5"/>
    <w:rsid w:val="007C6C62"/>
    <w:rsid w:val="007C7147"/>
    <w:rsid w:val="007C74EB"/>
    <w:rsid w:val="007C7766"/>
    <w:rsid w:val="007C7F65"/>
    <w:rsid w:val="007D00B3"/>
    <w:rsid w:val="007D0FBC"/>
    <w:rsid w:val="007D2808"/>
    <w:rsid w:val="007D4481"/>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2524"/>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6BB"/>
    <w:rsid w:val="00815EC1"/>
    <w:rsid w:val="0081663E"/>
    <w:rsid w:val="008170ED"/>
    <w:rsid w:val="0081774A"/>
    <w:rsid w:val="00817AC1"/>
    <w:rsid w:val="00820319"/>
    <w:rsid w:val="00821095"/>
    <w:rsid w:val="00821846"/>
    <w:rsid w:val="00821F92"/>
    <w:rsid w:val="0082354E"/>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56BB"/>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77A7"/>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5719"/>
    <w:rsid w:val="008862AB"/>
    <w:rsid w:val="00886C02"/>
    <w:rsid w:val="00886FDE"/>
    <w:rsid w:val="008877E3"/>
    <w:rsid w:val="00887EE5"/>
    <w:rsid w:val="008904CC"/>
    <w:rsid w:val="00891656"/>
    <w:rsid w:val="00891D6A"/>
    <w:rsid w:val="00892192"/>
    <w:rsid w:val="00892E96"/>
    <w:rsid w:val="0089334C"/>
    <w:rsid w:val="00893A90"/>
    <w:rsid w:val="00894448"/>
    <w:rsid w:val="00895325"/>
    <w:rsid w:val="00895880"/>
    <w:rsid w:val="00896850"/>
    <w:rsid w:val="00897696"/>
    <w:rsid w:val="00897F3C"/>
    <w:rsid w:val="008A01AC"/>
    <w:rsid w:val="008A032B"/>
    <w:rsid w:val="008A0588"/>
    <w:rsid w:val="008A0675"/>
    <w:rsid w:val="008A1C13"/>
    <w:rsid w:val="008A1C6B"/>
    <w:rsid w:val="008A2FEE"/>
    <w:rsid w:val="008A3860"/>
    <w:rsid w:val="008A4550"/>
    <w:rsid w:val="008A5309"/>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09"/>
    <w:rsid w:val="008B3FAB"/>
    <w:rsid w:val="008B4221"/>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4E8C"/>
    <w:rsid w:val="008C6827"/>
    <w:rsid w:val="008C7F51"/>
    <w:rsid w:val="008D00B8"/>
    <w:rsid w:val="008D0B93"/>
    <w:rsid w:val="008D1BB8"/>
    <w:rsid w:val="008D2442"/>
    <w:rsid w:val="008D26C6"/>
    <w:rsid w:val="008D2D5F"/>
    <w:rsid w:val="008D3077"/>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4046"/>
    <w:rsid w:val="008F454D"/>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1783"/>
    <w:rsid w:val="0091236E"/>
    <w:rsid w:val="00912376"/>
    <w:rsid w:val="009125EC"/>
    <w:rsid w:val="00912E3F"/>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5BC4"/>
    <w:rsid w:val="00927DA2"/>
    <w:rsid w:val="0093003C"/>
    <w:rsid w:val="0093027C"/>
    <w:rsid w:val="00930312"/>
    <w:rsid w:val="00930E00"/>
    <w:rsid w:val="0093186F"/>
    <w:rsid w:val="0093187D"/>
    <w:rsid w:val="00931E46"/>
    <w:rsid w:val="00932276"/>
    <w:rsid w:val="0093244B"/>
    <w:rsid w:val="00932479"/>
    <w:rsid w:val="00932B5D"/>
    <w:rsid w:val="00932D82"/>
    <w:rsid w:val="009337DD"/>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6DB9"/>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69C"/>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97D30"/>
    <w:rsid w:val="009A0A8D"/>
    <w:rsid w:val="009A0FED"/>
    <w:rsid w:val="009A331B"/>
    <w:rsid w:val="009A33C9"/>
    <w:rsid w:val="009A3B85"/>
    <w:rsid w:val="009A4F28"/>
    <w:rsid w:val="009A65AB"/>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2A3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1E2"/>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3A37"/>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F5"/>
    <w:rsid w:val="00A5574B"/>
    <w:rsid w:val="00A558A3"/>
    <w:rsid w:val="00A5649F"/>
    <w:rsid w:val="00A57B74"/>
    <w:rsid w:val="00A60840"/>
    <w:rsid w:val="00A61353"/>
    <w:rsid w:val="00A613CB"/>
    <w:rsid w:val="00A61658"/>
    <w:rsid w:val="00A61988"/>
    <w:rsid w:val="00A620BE"/>
    <w:rsid w:val="00A6223C"/>
    <w:rsid w:val="00A62C9A"/>
    <w:rsid w:val="00A63994"/>
    <w:rsid w:val="00A6416B"/>
    <w:rsid w:val="00A64209"/>
    <w:rsid w:val="00A64BF3"/>
    <w:rsid w:val="00A65023"/>
    <w:rsid w:val="00A65EBC"/>
    <w:rsid w:val="00A66872"/>
    <w:rsid w:val="00A67543"/>
    <w:rsid w:val="00A67DA8"/>
    <w:rsid w:val="00A70BC9"/>
    <w:rsid w:val="00A7122E"/>
    <w:rsid w:val="00A7215B"/>
    <w:rsid w:val="00A729A2"/>
    <w:rsid w:val="00A729E9"/>
    <w:rsid w:val="00A72EAD"/>
    <w:rsid w:val="00A72ECC"/>
    <w:rsid w:val="00A72FED"/>
    <w:rsid w:val="00A73AA4"/>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166"/>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5F8C"/>
    <w:rsid w:val="00AB60BB"/>
    <w:rsid w:val="00AB638F"/>
    <w:rsid w:val="00AB64E3"/>
    <w:rsid w:val="00AB6657"/>
    <w:rsid w:val="00AB6A83"/>
    <w:rsid w:val="00AB6C28"/>
    <w:rsid w:val="00AC00A0"/>
    <w:rsid w:val="00AC153D"/>
    <w:rsid w:val="00AC1815"/>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41B"/>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1BFA"/>
    <w:rsid w:val="00AF2B7F"/>
    <w:rsid w:val="00AF2BDF"/>
    <w:rsid w:val="00AF3736"/>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4736"/>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23"/>
    <w:rsid w:val="00B42131"/>
    <w:rsid w:val="00B42BB8"/>
    <w:rsid w:val="00B43244"/>
    <w:rsid w:val="00B438DB"/>
    <w:rsid w:val="00B4446E"/>
    <w:rsid w:val="00B444EF"/>
    <w:rsid w:val="00B446E8"/>
    <w:rsid w:val="00B4489B"/>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B3A"/>
    <w:rsid w:val="00B53E20"/>
    <w:rsid w:val="00B54214"/>
    <w:rsid w:val="00B5443F"/>
    <w:rsid w:val="00B55076"/>
    <w:rsid w:val="00B551F1"/>
    <w:rsid w:val="00B55276"/>
    <w:rsid w:val="00B576E5"/>
    <w:rsid w:val="00B578E7"/>
    <w:rsid w:val="00B60087"/>
    <w:rsid w:val="00B606FD"/>
    <w:rsid w:val="00B60A98"/>
    <w:rsid w:val="00B60CE9"/>
    <w:rsid w:val="00B60EAA"/>
    <w:rsid w:val="00B60FB9"/>
    <w:rsid w:val="00B61874"/>
    <w:rsid w:val="00B63743"/>
    <w:rsid w:val="00B63B26"/>
    <w:rsid w:val="00B64AA3"/>
    <w:rsid w:val="00B64BE5"/>
    <w:rsid w:val="00B64D94"/>
    <w:rsid w:val="00B65B2A"/>
    <w:rsid w:val="00B65B9B"/>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667"/>
    <w:rsid w:val="00B81BE4"/>
    <w:rsid w:val="00B82593"/>
    <w:rsid w:val="00B82CED"/>
    <w:rsid w:val="00B82EA6"/>
    <w:rsid w:val="00B8319D"/>
    <w:rsid w:val="00B83356"/>
    <w:rsid w:val="00B8339C"/>
    <w:rsid w:val="00B838B8"/>
    <w:rsid w:val="00B839B8"/>
    <w:rsid w:val="00B83ABA"/>
    <w:rsid w:val="00B83B34"/>
    <w:rsid w:val="00B83B7E"/>
    <w:rsid w:val="00B83E26"/>
    <w:rsid w:val="00B8412A"/>
    <w:rsid w:val="00B845E4"/>
    <w:rsid w:val="00B85388"/>
    <w:rsid w:val="00B85F90"/>
    <w:rsid w:val="00B86322"/>
    <w:rsid w:val="00B8760D"/>
    <w:rsid w:val="00B87AD9"/>
    <w:rsid w:val="00B91880"/>
    <w:rsid w:val="00B918B2"/>
    <w:rsid w:val="00B91FCE"/>
    <w:rsid w:val="00B9214C"/>
    <w:rsid w:val="00B9274B"/>
    <w:rsid w:val="00B929A3"/>
    <w:rsid w:val="00B938AF"/>
    <w:rsid w:val="00B9393C"/>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74B"/>
    <w:rsid w:val="00BC2828"/>
    <w:rsid w:val="00BC4076"/>
    <w:rsid w:val="00BC4853"/>
    <w:rsid w:val="00BC4857"/>
    <w:rsid w:val="00BC4984"/>
    <w:rsid w:val="00BC612D"/>
    <w:rsid w:val="00BC62A4"/>
    <w:rsid w:val="00BC69AD"/>
    <w:rsid w:val="00BC69C2"/>
    <w:rsid w:val="00BC6BEE"/>
    <w:rsid w:val="00BC6E90"/>
    <w:rsid w:val="00BC70CF"/>
    <w:rsid w:val="00BC7100"/>
    <w:rsid w:val="00BC7419"/>
    <w:rsid w:val="00BC7766"/>
    <w:rsid w:val="00BD0683"/>
    <w:rsid w:val="00BD07A7"/>
    <w:rsid w:val="00BD0BBB"/>
    <w:rsid w:val="00BD0F2E"/>
    <w:rsid w:val="00BD12B5"/>
    <w:rsid w:val="00BD2B81"/>
    <w:rsid w:val="00BD36C4"/>
    <w:rsid w:val="00BD414F"/>
    <w:rsid w:val="00BD4363"/>
    <w:rsid w:val="00BD54AA"/>
    <w:rsid w:val="00BD5B1D"/>
    <w:rsid w:val="00BD5D12"/>
    <w:rsid w:val="00BD607B"/>
    <w:rsid w:val="00BD61A1"/>
    <w:rsid w:val="00BD65C3"/>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5FFD"/>
    <w:rsid w:val="00BE6BA2"/>
    <w:rsid w:val="00BE6FCE"/>
    <w:rsid w:val="00BE7828"/>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96F"/>
    <w:rsid w:val="00C21F0C"/>
    <w:rsid w:val="00C23DD4"/>
    <w:rsid w:val="00C24103"/>
    <w:rsid w:val="00C24AE7"/>
    <w:rsid w:val="00C24F15"/>
    <w:rsid w:val="00C2644B"/>
    <w:rsid w:val="00C264BE"/>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2F5E"/>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663C"/>
    <w:rsid w:val="00C67EB4"/>
    <w:rsid w:val="00C7019F"/>
    <w:rsid w:val="00C70204"/>
    <w:rsid w:val="00C704D4"/>
    <w:rsid w:val="00C70FC4"/>
    <w:rsid w:val="00C72DC8"/>
    <w:rsid w:val="00C742A6"/>
    <w:rsid w:val="00C75683"/>
    <w:rsid w:val="00C75805"/>
    <w:rsid w:val="00C75F22"/>
    <w:rsid w:val="00C765D7"/>
    <w:rsid w:val="00C76886"/>
    <w:rsid w:val="00C774C0"/>
    <w:rsid w:val="00C775E3"/>
    <w:rsid w:val="00C816BD"/>
    <w:rsid w:val="00C819CD"/>
    <w:rsid w:val="00C81AFE"/>
    <w:rsid w:val="00C81C9C"/>
    <w:rsid w:val="00C8235E"/>
    <w:rsid w:val="00C823F0"/>
    <w:rsid w:val="00C8272D"/>
    <w:rsid w:val="00C82DA1"/>
    <w:rsid w:val="00C8309E"/>
    <w:rsid w:val="00C8348D"/>
    <w:rsid w:val="00C83BC0"/>
    <w:rsid w:val="00C83C9F"/>
    <w:rsid w:val="00C84F2F"/>
    <w:rsid w:val="00C85AEC"/>
    <w:rsid w:val="00C86095"/>
    <w:rsid w:val="00C86470"/>
    <w:rsid w:val="00C8681A"/>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C06"/>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875"/>
    <w:rsid w:val="00CD6E6B"/>
    <w:rsid w:val="00CE05E7"/>
    <w:rsid w:val="00CE09B9"/>
    <w:rsid w:val="00CE0CF3"/>
    <w:rsid w:val="00CE1391"/>
    <w:rsid w:val="00CE16CB"/>
    <w:rsid w:val="00CE1F2E"/>
    <w:rsid w:val="00CE2CFA"/>
    <w:rsid w:val="00CE3282"/>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3A32"/>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930"/>
    <w:rsid w:val="00D92B52"/>
    <w:rsid w:val="00D933A0"/>
    <w:rsid w:val="00D93D9F"/>
    <w:rsid w:val="00D9417B"/>
    <w:rsid w:val="00D9514A"/>
    <w:rsid w:val="00D95237"/>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2A"/>
    <w:rsid w:val="00DB39E7"/>
    <w:rsid w:val="00DB3C8B"/>
    <w:rsid w:val="00DB3DED"/>
    <w:rsid w:val="00DB4339"/>
    <w:rsid w:val="00DB4403"/>
    <w:rsid w:val="00DB46F3"/>
    <w:rsid w:val="00DB4771"/>
    <w:rsid w:val="00DB5454"/>
    <w:rsid w:val="00DB56F0"/>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66A"/>
    <w:rsid w:val="00E20C40"/>
    <w:rsid w:val="00E20FCA"/>
    <w:rsid w:val="00E210A9"/>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BC7"/>
    <w:rsid w:val="00E33BFF"/>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67C7"/>
    <w:rsid w:val="00E576D5"/>
    <w:rsid w:val="00E578AD"/>
    <w:rsid w:val="00E57EEE"/>
    <w:rsid w:val="00E60A23"/>
    <w:rsid w:val="00E60E7B"/>
    <w:rsid w:val="00E614C0"/>
    <w:rsid w:val="00E6198F"/>
    <w:rsid w:val="00E62375"/>
    <w:rsid w:val="00E62639"/>
    <w:rsid w:val="00E62BDD"/>
    <w:rsid w:val="00E63A9B"/>
    <w:rsid w:val="00E645B5"/>
    <w:rsid w:val="00E64B5A"/>
    <w:rsid w:val="00E64BDC"/>
    <w:rsid w:val="00E65D30"/>
    <w:rsid w:val="00E6650C"/>
    <w:rsid w:val="00E66844"/>
    <w:rsid w:val="00E66B28"/>
    <w:rsid w:val="00E66BB9"/>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07F"/>
    <w:rsid w:val="00E8120E"/>
    <w:rsid w:val="00E81324"/>
    <w:rsid w:val="00E8135A"/>
    <w:rsid w:val="00E81929"/>
    <w:rsid w:val="00E819A6"/>
    <w:rsid w:val="00E82980"/>
    <w:rsid w:val="00E82D8D"/>
    <w:rsid w:val="00E83808"/>
    <w:rsid w:val="00E8399A"/>
    <w:rsid w:val="00E84326"/>
    <w:rsid w:val="00E84EF6"/>
    <w:rsid w:val="00E86766"/>
    <w:rsid w:val="00E86AB6"/>
    <w:rsid w:val="00E86C55"/>
    <w:rsid w:val="00E876DA"/>
    <w:rsid w:val="00E87F51"/>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3F72"/>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0601"/>
    <w:rsid w:val="00F010BE"/>
    <w:rsid w:val="00F01153"/>
    <w:rsid w:val="00F01782"/>
    <w:rsid w:val="00F02377"/>
    <w:rsid w:val="00F03005"/>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3F30"/>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1AA7"/>
    <w:rsid w:val="00F323BA"/>
    <w:rsid w:val="00F32A9F"/>
    <w:rsid w:val="00F32E91"/>
    <w:rsid w:val="00F32F8E"/>
    <w:rsid w:val="00F334B3"/>
    <w:rsid w:val="00F3396F"/>
    <w:rsid w:val="00F34180"/>
    <w:rsid w:val="00F3485A"/>
    <w:rsid w:val="00F354D2"/>
    <w:rsid w:val="00F35CFA"/>
    <w:rsid w:val="00F35DDE"/>
    <w:rsid w:val="00F37225"/>
    <w:rsid w:val="00F37507"/>
    <w:rsid w:val="00F375C1"/>
    <w:rsid w:val="00F377D2"/>
    <w:rsid w:val="00F40D35"/>
    <w:rsid w:val="00F40DF0"/>
    <w:rsid w:val="00F416DB"/>
    <w:rsid w:val="00F4294B"/>
    <w:rsid w:val="00F42AC7"/>
    <w:rsid w:val="00F43A1D"/>
    <w:rsid w:val="00F43FDE"/>
    <w:rsid w:val="00F44464"/>
    <w:rsid w:val="00F44D7F"/>
    <w:rsid w:val="00F45366"/>
    <w:rsid w:val="00F45957"/>
    <w:rsid w:val="00F46254"/>
    <w:rsid w:val="00F463F2"/>
    <w:rsid w:val="00F46E85"/>
    <w:rsid w:val="00F46FE8"/>
    <w:rsid w:val="00F472AD"/>
    <w:rsid w:val="00F50CB8"/>
    <w:rsid w:val="00F51438"/>
    <w:rsid w:val="00F520F2"/>
    <w:rsid w:val="00F529AC"/>
    <w:rsid w:val="00F52E24"/>
    <w:rsid w:val="00F5349F"/>
    <w:rsid w:val="00F545A5"/>
    <w:rsid w:val="00F5491A"/>
    <w:rsid w:val="00F54E80"/>
    <w:rsid w:val="00F54FE5"/>
    <w:rsid w:val="00F55192"/>
    <w:rsid w:val="00F5548D"/>
    <w:rsid w:val="00F55B92"/>
    <w:rsid w:val="00F55F2B"/>
    <w:rsid w:val="00F5602F"/>
    <w:rsid w:val="00F5618F"/>
    <w:rsid w:val="00F56467"/>
    <w:rsid w:val="00F56617"/>
    <w:rsid w:val="00F567E9"/>
    <w:rsid w:val="00F56D9C"/>
    <w:rsid w:val="00F573CE"/>
    <w:rsid w:val="00F5795C"/>
    <w:rsid w:val="00F57DD5"/>
    <w:rsid w:val="00F600A7"/>
    <w:rsid w:val="00F60102"/>
    <w:rsid w:val="00F61663"/>
    <w:rsid w:val="00F617CE"/>
    <w:rsid w:val="00F62482"/>
    <w:rsid w:val="00F62D9E"/>
    <w:rsid w:val="00F6324B"/>
    <w:rsid w:val="00F63CA9"/>
    <w:rsid w:val="00F64D94"/>
    <w:rsid w:val="00F65044"/>
    <w:rsid w:val="00F6537E"/>
    <w:rsid w:val="00F67028"/>
    <w:rsid w:val="00F670A3"/>
    <w:rsid w:val="00F67AA8"/>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63A"/>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DA4"/>
    <w:rsid w:val="00FA0FC8"/>
    <w:rsid w:val="00FA1D2B"/>
    <w:rsid w:val="00FA2A35"/>
    <w:rsid w:val="00FA355E"/>
    <w:rsid w:val="00FA467C"/>
    <w:rsid w:val="00FA5436"/>
    <w:rsid w:val="00FA54AB"/>
    <w:rsid w:val="00FA583E"/>
    <w:rsid w:val="00FA5869"/>
    <w:rsid w:val="00FA6818"/>
    <w:rsid w:val="00FA77B6"/>
    <w:rsid w:val="00FB03C5"/>
    <w:rsid w:val="00FB06E5"/>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594"/>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0FA6"/>
    <w:rsid w:val="00FD270A"/>
    <w:rsid w:val="00FD37C1"/>
    <w:rsid w:val="00FD472E"/>
    <w:rsid w:val="00FD4CE1"/>
    <w:rsid w:val="00FD5D35"/>
    <w:rsid w:val="00FD6183"/>
    <w:rsid w:val="00FE19EC"/>
    <w:rsid w:val="00FE1C43"/>
    <w:rsid w:val="00FE26F3"/>
    <w:rsid w:val="00FE2A42"/>
    <w:rsid w:val="00FE3CB6"/>
    <w:rsid w:val="00FE3D8C"/>
    <w:rsid w:val="00FE430E"/>
    <w:rsid w:val="00FE4642"/>
    <w:rsid w:val="00FE65BC"/>
    <w:rsid w:val="00FE6FDE"/>
    <w:rsid w:val="00FE7DC9"/>
    <w:rsid w:val="00FF0198"/>
    <w:rsid w:val="00FF0C52"/>
    <w:rsid w:val="00FF0DED"/>
    <w:rsid w:val="00FF1926"/>
    <w:rsid w:val="00FF330C"/>
    <w:rsid w:val="00FF5DBA"/>
    <w:rsid w:val="00FF6696"/>
    <w:rsid w:val="00FF7ADC"/>
    <w:rsid w:val="00FF7B2C"/>
    <w:rsid w:val="01184357"/>
    <w:rsid w:val="01230692"/>
    <w:rsid w:val="016247FA"/>
    <w:rsid w:val="01745EE6"/>
    <w:rsid w:val="018326A3"/>
    <w:rsid w:val="018B32D0"/>
    <w:rsid w:val="01A06A8F"/>
    <w:rsid w:val="01AA7D1B"/>
    <w:rsid w:val="01B34253"/>
    <w:rsid w:val="01C6622B"/>
    <w:rsid w:val="01E07CD8"/>
    <w:rsid w:val="01EA671C"/>
    <w:rsid w:val="021673DB"/>
    <w:rsid w:val="022353B4"/>
    <w:rsid w:val="0227136C"/>
    <w:rsid w:val="022A3557"/>
    <w:rsid w:val="023973BF"/>
    <w:rsid w:val="024A56F5"/>
    <w:rsid w:val="02512AEE"/>
    <w:rsid w:val="026E0F2B"/>
    <w:rsid w:val="027A2F04"/>
    <w:rsid w:val="02845B9C"/>
    <w:rsid w:val="028D1B0F"/>
    <w:rsid w:val="02B1196D"/>
    <w:rsid w:val="02C47A2F"/>
    <w:rsid w:val="02DD55DA"/>
    <w:rsid w:val="02E62FD5"/>
    <w:rsid w:val="032A676A"/>
    <w:rsid w:val="032D7D27"/>
    <w:rsid w:val="03415224"/>
    <w:rsid w:val="03847CD4"/>
    <w:rsid w:val="03DE5472"/>
    <w:rsid w:val="03E32C2B"/>
    <w:rsid w:val="03E45FEA"/>
    <w:rsid w:val="03F375BC"/>
    <w:rsid w:val="044C3505"/>
    <w:rsid w:val="04551879"/>
    <w:rsid w:val="04704D33"/>
    <w:rsid w:val="047713FB"/>
    <w:rsid w:val="049525BD"/>
    <w:rsid w:val="049B0E95"/>
    <w:rsid w:val="04B35139"/>
    <w:rsid w:val="04C65B16"/>
    <w:rsid w:val="04E8137C"/>
    <w:rsid w:val="05184748"/>
    <w:rsid w:val="053A77BB"/>
    <w:rsid w:val="055B55D2"/>
    <w:rsid w:val="0575038F"/>
    <w:rsid w:val="05DD7507"/>
    <w:rsid w:val="05EF6D50"/>
    <w:rsid w:val="05FD666C"/>
    <w:rsid w:val="05FE680E"/>
    <w:rsid w:val="0606587C"/>
    <w:rsid w:val="060824FF"/>
    <w:rsid w:val="06293014"/>
    <w:rsid w:val="063F11B9"/>
    <w:rsid w:val="06562220"/>
    <w:rsid w:val="06B12657"/>
    <w:rsid w:val="070C0CAE"/>
    <w:rsid w:val="072A1650"/>
    <w:rsid w:val="072C420B"/>
    <w:rsid w:val="07725961"/>
    <w:rsid w:val="07831861"/>
    <w:rsid w:val="078F59E9"/>
    <w:rsid w:val="079F1B8B"/>
    <w:rsid w:val="07CD74CD"/>
    <w:rsid w:val="07CF37B1"/>
    <w:rsid w:val="07D653C6"/>
    <w:rsid w:val="07DC6755"/>
    <w:rsid w:val="07E04069"/>
    <w:rsid w:val="08101121"/>
    <w:rsid w:val="083945D9"/>
    <w:rsid w:val="08397703"/>
    <w:rsid w:val="084F0A2F"/>
    <w:rsid w:val="087A1F0C"/>
    <w:rsid w:val="08A14F57"/>
    <w:rsid w:val="08EE742E"/>
    <w:rsid w:val="091326A6"/>
    <w:rsid w:val="09275B42"/>
    <w:rsid w:val="093F62BF"/>
    <w:rsid w:val="09403496"/>
    <w:rsid w:val="09547520"/>
    <w:rsid w:val="09697C1D"/>
    <w:rsid w:val="09796E68"/>
    <w:rsid w:val="09CA6EA6"/>
    <w:rsid w:val="0A2A087D"/>
    <w:rsid w:val="0A2B7D2A"/>
    <w:rsid w:val="0A333843"/>
    <w:rsid w:val="0A57260B"/>
    <w:rsid w:val="0A946823"/>
    <w:rsid w:val="0ACC1410"/>
    <w:rsid w:val="0B083D6B"/>
    <w:rsid w:val="0B141F1A"/>
    <w:rsid w:val="0B6573F2"/>
    <w:rsid w:val="0B995089"/>
    <w:rsid w:val="0BB958B8"/>
    <w:rsid w:val="0BC663BC"/>
    <w:rsid w:val="0BD537C3"/>
    <w:rsid w:val="0BD92474"/>
    <w:rsid w:val="0C14470F"/>
    <w:rsid w:val="0C321039"/>
    <w:rsid w:val="0C53621A"/>
    <w:rsid w:val="0C600AAB"/>
    <w:rsid w:val="0C650670"/>
    <w:rsid w:val="0C6718D3"/>
    <w:rsid w:val="0C721F3B"/>
    <w:rsid w:val="0C960695"/>
    <w:rsid w:val="0CA5180B"/>
    <w:rsid w:val="0CBB6E0D"/>
    <w:rsid w:val="0CC74046"/>
    <w:rsid w:val="0D5A60C0"/>
    <w:rsid w:val="0D674D12"/>
    <w:rsid w:val="0DCA115E"/>
    <w:rsid w:val="0E115C8A"/>
    <w:rsid w:val="0E4629E7"/>
    <w:rsid w:val="0E484B44"/>
    <w:rsid w:val="0E9C4E0F"/>
    <w:rsid w:val="0EA30700"/>
    <w:rsid w:val="0EB31142"/>
    <w:rsid w:val="0EBF7200"/>
    <w:rsid w:val="0EFDFC0E"/>
    <w:rsid w:val="0F006A20"/>
    <w:rsid w:val="0F07024F"/>
    <w:rsid w:val="0F095504"/>
    <w:rsid w:val="0F3B2473"/>
    <w:rsid w:val="0F534BB2"/>
    <w:rsid w:val="0FA963EE"/>
    <w:rsid w:val="0FBA74F6"/>
    <w:rsid w:val="0FC1695C"/>
    <w:rsid w:val="0FC3085C"/>
    <w:rsid w:val="0FC63E7A"/>
    <w:rsid w:val="0FE20946"/>
    <w:rsid w:val="10044A9B"/>
    <w:rsid w:val="10111F7C"/>
    <w:rsid w:val="10227186"/>
    <w:rsid w:val="1023263D"/>
    <w:rsid w:val="102E1623"/>
    <w:rsid w:val="103F47E8"/>
    <w:rsid w:val="104F1744"/>
    <w:rsid w:val="106016F3"/>
    <w:rsid w:val="10620267"/>
    <w:rsid w:val="107F2524"/>
    <w:rsid w:val="10861BA8"/>
    <w:rsid w:val="1094132B"/>
    <w:rsid w:val="10A52D12"/>
    <w:rsid w:val="10A56E7C"/>
    <w:rsid w:val="10B408DD"/>
    <w:rsid w:val="10E243C3"/>
    <w:rsid w:val="10FF2C9A"/>
    <w:rsid w:val="11203590"/>
    <w:rsid w:val="11402F73"/>
    <w:rsid w:val="11454713"/>
    <w:rsid w:val="114F5A4E"/>
    <w:rsid w:val="11612A9E"/>
    <w:rsid w:val="119A3B84"/>
    <w:rsid w:val="119F0F1F"/>
    <w:rsid w:val="11B85B3D"/>
    <w:rsid w:val="121572D4"/>
    <w:rsid w:val="122D30DF"/>
    <w:rsid w:val="123F625E"/>
    <w:rsid w:val="125C471A"/>
    <w:rsid w:val="12671F77"/>
    <w:rsid w:val="127A0FCA"/>
    <w:rsid w:val="127E4ECB"/>
    <w:rsid w:val="12BD152A"/>
    <w:rsid w:val="12EF1953"/>
    <w:rsid w:val="12F67447"/>
    <w:rsid w:val="130324BB"/>
    <w:rsid w:val="13177D05"/>
    <w:rsid w:val="131A0221"/>
    <w:rsid w:val="132077BC"/>
    <w:rsid w:val="1335429C"/>
    <w:rsid w:val="13540009"/>
    <w:rsid w:val="13574E7D"/>
    <w:rsid w:val="141D2C0B"/>
    <w:rsid w:val="14957781"/>
    <w:rsid w:val="14D479D2"/>
    <w:rsid w:val="14F81437"/>
    <w:rsid w:val="156C5731"/>
    <w:rsid w:val="1593631A"/>
    <w:rsid w:val="160E7A2C"/>
    <w:rsid w:val="16103820"/>
    <w:rsid w:val="161B6B1A"/>
    <w:rsid w:val="16263110"/>
    <w:rsid w:val="167A18E7"/>
    <w:rsid w:val="1699712B"/>
    <w:rsid w:val="16B761A1"/>
    <w:rsid w:val="16C62AAA"/>
    <w:rsid w:val="16DF1001"/>
    <w:rsid w:val="1711684A"/>
    <w:rsid w:val="172D41B6"/>
    <w:rsid w:val="173516EA"/>
    <w:rsid w:val="173D7D0F"/>
    <w:rsid w:val="178766DD"/>
    <w:rsid w:val="17965F21"/>
    <w:rsid w:val="17D404BB"/>
    <w:rsid w:val="17D70079"/>
    <w:rsid w:val="17EC4251"/>
    <w:rsid w:val="17F13463"/>
    <w:rsid w:val="187E553C"/>
    <w:rsid w:val="18835AA2"/>
    <w:rsid w:val="188A47BF"/>
    <w:rsid w:val="188D1AD1"/>
    <w:rsid w:val="188F0AAD"/>
    <w:rsid w:val="18E427C8"/>
    <w:rsid w:val="18E52B69"/>
    <w:rsid w:val="19031D93"/>
    <w:rsid w:val="19053D5D"/>
    <w:rsid w:val="192223EF"/>
    <w:rsid w:val="192B0C5B"/>
    <w:rsid w:val="192D5062"/>
    <w:rsid w:val="19523A78"/>
    <w:rsid w:val="195B4A51"/>
    <w:rsid w:val="195C6AB9"/>
    <w:rsid w:val="196F2052"/>
    <w:rsid w:val="197449B0"/>
    <w:rsid w:val="19AE7F28"/>
    <w:rsid w:val="19B6113F"/>
    <w:rsid w:val="19B9587E"/>
    <w:rsid w:val="19BA5480"/>
    <w:rsid w:val="19CA0989"/>
    <w:rsid w:val="19E70A6A"/>
    <w:rsid w:val="19F40797"/>
    <w:rsid w:val="1A206975"/>
    <w:rsid w:val="1A213ABD"/>
    <w:rsid w:val="1A617FFD"/>
    <w:rsid w:val="1AB51207"/>
    <w:rsid w:val="1AC47300"/>
    <w:rsid w:val="1AD43080"/>
    <w:rsid w:val="1ADF238C"/>
    <w:rsid w:val="1AF71523"/>
    <w:rsid w:val="1B1A4A1C"/>
    <w:rsid w:val="1B2C029F"/>
    <w:rsid w:val="1B351FAC"/>
    <w:rsid w:val="1B38030C"/>
    <w:rsid w:val="1B3C1C8E"/>
    <w:rsid w:val="1B674AC7"/>
    <w:rsid w:val="1B695F6C"/>
    <w:rsid w:val="1B746B39"/>
    <w:rsid w:val="1B784E18"/>
    <w:rsid w:val="1B80541E"/>
    <w:rsid w:val="1BC50187"/>
    <w:rsid w:val="1BCA7842"/>
    <w:rsid w:val="1BEA7119"/>
    <w:rsid w:val="1BEE6D2B"/>
    <w:rsid w:val="1C42696B"/>
    <w:rsid w:val="1C427144"/>
    <w:rsid w:val="1C4409AC"/>
    <w:rsid w:val="1C530BD0"/>
    <w:rsid w:val="1C8F133C"/>
    <w:rsid w:val="1CA87CF9"/>
    <w:rsid w:val="1CC90CBC"/>
    <w:rsid w:val="1D08669B"/>
    <w:rsid w:val="1D094F9C"/>
    <w:rsid w:val="1D0D31E0"/>
    <w:rsid w:val="1D0E23E7"/>
    <w:rsid w:val="1D100F23"/>
    <w:rsid w:val="1D491EF1"/>
    <w:rsid w:val="1D7F39B2"/>
    <w:rsid w:val="1D8C2345"/>
    <w:rsid w:val="1D8D7A52"/>
    <w:rsid w:val="1DAC03EC"/>
    <w:rsid w:val="1DAE65F0"/>
    <w:rsid w:val="1DEF5D9F"/>
    <w:rsid w:val="1E111767"/>
    <w:rsid w:val="1E117A37"/>
    <w:rsid w:val="1E300829"/>
    <w:rsid w:val="1E720322"/>
    <w:rsid w:val="1E8B4AEE"/>
    <w:rsid w:val="1EB142DF"/>
    <w:rsid w:val="1EDF0BAD"/>
    <w:rsid w:val="1F035E51"/>
    <w:rsid w:val="1F096B82"/>
    <w:rsid w:val="1F0C107C"/>
    <w:rsid w:val="1F2F2A15"/>
    <w:rsid w:val="1F656BFD"/>
    <w:rsid w:val="1F6E33CE"/>
    <w:rsid w:val="1F9A2354"/>
    <w:rsid w:val="1F9E565E"/>
    <w:rsid w:val="1FA2333B"/>
    <w:rsid w:val="1FE47E48"/>
    <w:rsid w:val="2023550C"/>
    <w:rsid w:val="203B4DB3"/>
    <w:rsid w:val="204B7F58"/>
    <w:rsid w:val="2057365A"/>
    <w:rsid w:val="205D7A1F"/>
    <w:rsid w:val="208E77B9"/>
    <w:rsid w:val="20AE4CDA"/>
    <w:rsid w:val="20B979E2"/>
    <w:rsid w:val="20BD4F1E"/>
    <w:rsid w:val="20F64BEA"/>
    <w:rsid w:val="20F75FD5"/>
    <w:rsid w:val="20FB6AEC"/>
    <w:rsid w:val="2105481C"/>
    <w:rsid w:val="210E4642"/>
    <w:rsid w:val="213011D5"/>
    <w:rsid w:val="214366D9"/>
    <w:rsid w:val="218810DB"/>
    <w:rsid w:val="21AF5ECA"/>
    <w:rsid w:val="21B45DF5"/>
    <w:rsid w:val="21E15853"/>
    <w:rsid w:val="22211C9D"/>
    <w:rsid w:val="224332AE"/>
    <w:rsid w:val="225748E7"/>
    <w:rsid w:val="22581B32"/>
    <w:rsid w:val="22605689"/>
    <w:rsid w:val="226D1CD2"/>
    <w:rsid w:val="228377FC"/>
    <w:rsid w:val="228A62E5"/>
    <w:rsid w:val="22AD589A"/>
    <w:rsid w:val="22FB72D8"/>
    <w:rsid w:val="230E7917"/>
    <w:rsid w:val="23245B22"/>
    <w:rsid w:val="23314333"/>
    <w:rsid w:val="23360FD0"/>
    <w:rsid w:val="23C2673F"/>
    <w:rsid w:val="23CC6C6C"/>
    <w:rsid w:val="23F650F3"/>
    <w:rsid w:val="24030E99"/>
    <w:rsid w:val="24105B34"/>
    <w:rsid w:val="24777F0B"/>
    <w:rsid w:val="24814A6D"/>
    <w:rsid w:val="24975E97"/>
    <w:rsid w:val="24D17B32"/>
    <w:rsid w:val="24FD13D3"/>
    <w:rsid w:val="24FF6042"/>
    <w:rsid w:val="25014CD3"/>
    <w:rsid w:val="252814AD"/>
    <w:rsid w:val="253C2765"/>
    <w:rsid w:val="256652B4"/>
    <w:rsid w:val="256D377B"/>
    <w:rsid w:val="256F5ACC"/>
    <w:rsid w:val="2581184D"/>
    <w:rsid w:val="25965F7C"/>
    <w:rsid w:val="25972AEB"/>
    <w:rsid w:val="25A466AC"/>
    <w:rsid w:val="25A517EF"/>
    <w:rsid w:val="25AE084C"/>
    <w:rsid w:val="25FA62CC"/>
    <w:rsid w:val="26024D6D"/>
    <w:rsid w:val="265726D9"/>
    <w:rsid w:val="265C1CFB"/>
    <w:rsid w:val="26713644"/>
    <w:rsid w:val="2674362D"/>
    <w:rsid w:val="268F20C6"/>
    <w:rsid w:val="26C72B6F"/>
    <w:rsid w:val="26DA605D"/>
    <w:rsid w:val="26EC6985"/>
    <w:rsid w:val="270F0823"/>
    <w:rsid w:val="27133AE9"/>
    <w:rsid w:val="27225ADA"/>
    <w:rsid w:val="2725615B"/>
    <w:rsid w:val="273A63A3"/>
    <w:rsid w:val="2749444C"/>
    <w:rsid w:val="276B56D3"/>
    <w:rsid w:val="27A94A10"/>
    <w:rsid w:val="27C9064C"/>
    <w:rsid w:val="28197154"/>
    <w:rsid w:val="285D0AEF"/>
    <w:rsid w:val="28612632"/>
    <w:rsid w:val="28B65382"/>
    <w:rsid w:val="28BA7F95"/>
    <w:rsid w:val="28D64DCE"/>
    <w:rsid w:val="28DE02D2"/>
    <w:rsid w:val="28F84B93"/>
    <w:rsid w:val="29077D29"/>
    <w:rsid w:val="290A77CC"/>
    <w:rsid w:val="2918419C"/>
    <w:rsid w:val="294419BD"/>
    <w:rsid w:val="294616FD"/>
    <w:rsid w:val="295079E5"/>
    <w:rsid w:val="29A25B56"/>
    <w:rsid w:val="29AB330F"/>
    <w:rsid w:val="29AC5898"/>
    <w:rsid w:val="29AC5FBF"/>
    <w:rsid w:val="29E9416A"/>
    <w:rsid w:val="29F8157A"/>
    <w:rsid w:val="2A1E335D"/>
    <w:rsid w:val="2A2C0A1E"/>
    <w:rsid w:val="2A524FDF"/>
    <w:rsid w:val="2A753158"/>
    <w:rsid w:val="2A965B0A"/>
    <w:rsid w:val="2AAC37FB"/>
    <w:rsid w:val="2ADA66CC"/>
    <w:rsid w:val="2ADB2BD5"/>
    <w:rsid w:val="2AE40CAC"/>
    <w:rsid w:val="2B096B82"/>
    <w:rsid w:val="2B544339"/>
    <w:rsid w:val="2BA519D8"/>
    <w:rsid w:val="2C250B14"/>
    <w:rsid w:val="2C3A5674"/>
    <w:rsid w:val="2C3B5405"/>
    <w:rsid w:val="2C4B2FA5"/>
    <w:rsid w:val="2C59031C"/>
    <w:rsid w:val="2C5907E9"/>
    <w:rsid w:val="2C650E64"/>
    <w:rsid w:val="2C6579B8"/>
    <w:rsid w:val="2CD56F5D"/>
    <w:rsid w:val="2CF00EAC"/>
    <w:rsid w:val="2CF9108B"/>
    <w:rsid w:val="2D2C38C4"/>
    <w:rsid w:val="2D50625F"/>
    <w:rsid w:val="2D945258"/>
    <w:rsid w:val="2DAC19F5"/>
    <w:rsid w:val="2DB22C01"/>
    <w:rsid w:val="2DC53BCE"/>
    <w:rsid w:val="2DE03CE6"/>
    <w:rsid w:val="2DF95AA7"/>
    <w:rsid w:val="2E0470F3"/>
    <w:rsid w:val="2E0726CA"/>
    <w:rsid w:val="2E0D253C"/>
    <w:rsid w:val="2E486DD2"/>
    <w:rsid w:val="2E57306B"/>
    <w:rsid w:val="2E900A99"/>
    <w:rsid w:val="2ED77E99"/>
    <w:rsid w:val="2EE30245"/>
    <w:rsid w:val="2F1B7500"/>
    <w:rsid w:val="2F4C544D"/>
    <w:rsid w:val="2F640B7F"/>
    <w:rsid w:val="2F7067E6"/>
    <w:rsid w:val="2F757199"/>
    <w:rsid w:val="2F885A73"/>
    <w:rsid w:val="2F8922A1"/>
    <w:rsid w:val="2FB731A0"/>
    <w:rsid w:val="2FDF791C"/>
    <w:rsid w:val="2FE34720"/>
    <w:rsid w:val="2FE9521D"/>
    <w:rsid w:val="2FEA60CD"/>
    <w:rsid w:val="2FF81710"/>
    <w:rsid w:val="2FFF2950"/>
    <w:rsid w:val="30122DDE"/>
    <w:rsid w:val="30341FA2"/>
    <w:rsid w:val="30397816"/>
    <w:rsid w:val="303A1FB1"/>
    <w:rsid w:val="303E25B2"/>
    <w:rsid w:val="307E7C38"/>
    <w:rsid w:val="30821D49"/>
    <w:rsid w:val="309850FA"/>
    <w:rsid w:val="30B40AB9"/>
    <w:rsid w:val="30D845D1"/>
    <w:rsid w:val="30EE1123"/>
    <w:rsid w:val="30F450AF"/>
    <w:rsid w:val="30FE4C1A"/>
    <w:rsid w:val="3106021B"/>
    <w:rsid w:val="3106378E"/>
    <w:rsid w:val="3109122B"/>
    <w:rsid w:val="311268F7"/>
    <w:rsid w:val="311E3CF9"/>
    <w:rsid w:val="312E2219"/>
    <w:rsid w:val="31707B59"/>
    <w:rsid w:val="31994052"/>
    <w:rsid w:val="31EF1640"/>
    <w:rsid w:val="321C5403"/>
    <w:rsid w:val="321F5EE6"/>
    <w:rsid w:val="324764FD"/>
    <w:rsid w:val="32C71C80"/>
    <w:rsid w:val="32E22E40"/>
    <w:rsid w:val="33142830"/>
    <w:rsid w:val="33280090"/>
    <w:rsid w:val="334249CD"/>
    <w:rsid w:val="33437504"/>
    <w:rsid w:val="335633BC"/>
    <w:rsid w:val="33586859"/>
    <w:rsid w:val="33982369"/>
    <w:rsid w:val="339B7340"/>
    <w:rsid w:val="33A201DA"/>
    <w:rsid w:val="33A32A64"/>
    <w:rsid w:val="33D1015A"/>
    <w:rsid w:val="33D25DFC"/>
    <w:rsid w:val="33FB7DDF"/>
    <w:rsid w:val="340071A3"/>
    <w:rsid w:val="34073A51"/>
    <w:rsid w:val="342B3CB6"/>
    <w:rsid w:val="346B5F4A"/>
    <w:rsid w:val="346D06AE"/>
    <w:rsid w:val="346D28AC"/>
    <w:rsid w:val="34986757"/>
    <w:rsid w:val="34BE7006"/>
    <w:rsid w:val="34C834CB"/>
    <w:rsid w:val="34DF211F"/>
    <w:rsid w:val="350E769E"/>
    <w:rsid w:val="35154E98"/>
    <w:rsid w:val="35186016"/>
    <w:rsid w:val="35245E9E"/>
    <w:rsid w:val="35586EC5"/>
    <w:rsid w:val="35B01E4A"/>
    <w:rsid w:val="35B71AE4"/>
    <w:rsid w:val="35C9034A"/>
    <w:rsid w:val="35D201CC"/>
    <w:rsid w:val="361E2AC3"/>
    <w:rsid w:val="361F63B6"/>
    <w:rsid w:val="362979CB"/>
    <w:rsid w:val="36386A83"/>
    <w:rsid w:val="36496066"/>
    <w:rsid w:val="364A2958"/>
    <w:rsid w:val="366A5E21"/>
    <w:rsid w:val="36BF77AF"/>
    <w:rsid w:val="36C2714B"/>
    <w:rsid w:val="36E67AE1"/>
    <w:rsid w:val="36EA2872"/>
    <w:rsid w:val="37021DBA"/>
    <w:rsid w:val="37136BB9"/>
    <w:rsid w:val="37905BEB"/>
    <w:rsid w:val="379D2F5B"/>
    <w:rsid w:val="379D3EBC"/>
    <w:rsid w:val="37A10C9D"/>
    <w:rsid w:val="37B55A13"/>
    <w:rsid w:val="37D44F73"/>
    <w:rsid w:val="38353194"/>
    <w:rsid w:val="38367638"/>
    <w:rsid w:val="38556DEE"/>
    <w:rsid w:val="388127A4"/>
    <w:rsid w:val="388E70B3"/>
    <w:rsid w:val="38A327F3"/>
    <w:rsid w:val="38A96204"/>
    <w:rsid w:val="38BA6919"/>
    <w:rsid w:val="38CF612C"/>
    <w:rsid w:val="38E5008F"/>
    <w:rsid w:val="390A578B"/>
    <w:rsid w:val="39BC6193"/>
    <w:rsid w:val="39E906DA"/>
    <w:rsid w:val="3A2D21AE"/>
    <w:rsid w:val="3A41153E"/>
    <w:rsid w:val="3A476958"/>
    <w:rsid w:val="3A541FF7"/>
    <w:rsid w:val="3A5E004A"/>
    <w:rsid w:val="3A6409FF"/>
    <w:rsid w:val="3A9D283C"/>
    <w:rsid w:val="3AA24F6A"/>
    <w:rsid w:val="3AC70A1B"/>
    <w:rsid w:val="3AED0349"/>
    <w:rsid w:val="3AF45588"/>
    <w:rsid w:val="3AF57FD5"/>
    <w:rsid w:val="3AF74EE0"/>
    <w:rsid w:val="3B027B15"/>
    <w:rsid w:val="3B146EA0"/>
    <w:rsid w:val="3B1C7208"/>
    <w:rsid w:val="3B26064F"/>
    <w:rsid w:val="3B532F34"/>
    <w:rsid w:val="3B5D4EDB"/>
    <w:rsid w:val="3B912DD7"/>
    <w:rsid w:val="3BB47D76"/>
    <w:rsid w:val="3BC75101"/>
    <w:rsid w:val="3BCA3D2B"/>
    <w:rsid w:val="3BDD3D31"/>
    <w:rsid w:val="3C0C24D0"/>
    <w:rsid w:val="3C2329DE"/>
    <w:rsid w:val="3C387C13"/>
    <w:rsid w:val="3C3C148C"/>
    <w:rsid w:val="3C566D4D"/>
    <w:rsid w:val="3C8C4360"/>
    <w:rsid w:val="3C966EE0"/>
    <w:rsid w:val="3CF51FB8"/>
    <w:rsid w:val="3D1F45F0"/>
    <w:rsid w:val="3D676C4F"/>
    <w:rsid w:val="3D6D42D8"/>
    <w:rsid w:val="3D704A2B"/>
    <w:rsid w:val="3D82706F"/>
    <w:rsid w:val="3D9764AF"/>
    <w:rsid w:val="3DBF00CF"/>
    <w:rsid w:val="3DCD5673"/>
    <w:rsid w:val="3DDC6D05"/>
    <w:rsid w:val="3DEB3817"/>
    <w:rsid w:val="3E01510C"/>
    <w:rsid w:val="3E1877DF"/>
    <w:rsid w:val="3E474961"/>
    <w:rsid w:val="3E6E6B8D"/>
    <w:rsid w:val="3E915A06"/>
    <w:rsid w:val="3ECD1262"/>
    <w:rsid w:val="3F0277DB"/>
    <w:rsid w:val="3F216D3E"/>
    <w:rsid w:val="3F262A04"/>
    <w:rsid w:val="3F69603F"/>
    <w:rsid w:val="3F6F4BAC"/>
    <w:rsid w:val="3FA171C1"/>
    <w:rsid w:val="3FAA090B"/>
    <w:rsid w:val="3FB13A48"/>
    <w:rsid w:val="3FD95300"/>
    <w:rsid w:val="3FE8458F"/>
    <w:rsid w:val="3FE93DFA"/>
    <w:rsid w:val="401C4AEF"/>
    <w:rsid w:val="406A7E41"/>
    <w:rsid w:val="407767B1"/>
    <w:rsid w:val="40DC1DD0"/>
    <w:rsid w:val="40EB305C"/>
    <w:rsid w:val="40F7192E"/>
    <w:rsid w:val="40FA2DBD"/>
    <w:rsid w:val="4137798B"/>
    <w:rsid w:val="413C07FF"/>
    <w:rsid w:val="414423C4"/>
    <w:rsid w:val="41675BB3"/>
    <w:rsid w:val="41755597"/>
    <w:rsid w:val="418878EA"/>
    <w:rsid w:val="41A30C6B"/>
    <w:rsid w:val="41BF5814"/>
    <w:rsid w:val="41DE664A"/>
    <w:rsid w:val="41F23C83"/>
    <w:rsid w:val="42247208"/>
    <w:rsid w:val="425B616B"/>
    <w:rsid w:val="42815EC9"/>
    <w:rsid w:val="42B25728"/>
    <w:rsid w:val="42B34FB0"/>
    <w:rsid w:val="42C674C6"/>
    <w:rsid w:val="42C7049C"/>
    <w:rsid w:val="42F47F65"/>
    <w:rsid w:val="430A4325"/>
    <w:rsid w:val="43256988"/>
    <w:rsid w:val="433444B4"/>
    <w:rsid w:val="433E181F"/>
    <w:rsid w:val="43436817"/>
    <w:rsid w:val="434F194C"/>
    <w:rsid w:val="437D5F38"/>
    <w:rsid w:val="43C81360"/>
    <w:rsid w:val="43F63A9A"/>
    <w:rsid w:val="440D168C"/>
    <w:rsid w:val="441A5719"/>
    <w:rsid w:val="44454911"/>
    <w:rsid w:val="444570D7"/>
    <w:rsid w:val="44687A88"/>
    <w:rsid w:val="44693328"/>
    <w:rsid w:val="447D41C0"/>
    <w:rsid w:val="44B741BA"/>
    <w:rsid w:val="44BB7689"/>
    <w:rsid w:val="451106FD"/>
    <w:rsid w:val="45206E17"/>
    <w:rsid w:val="453121AD"/>
    <w:rsid w:val="454F554E"/>
    <w:rsid w:val="45636DD2"/>
    <w:rsid w:val="457049ED"/>
    <w:rsid w:val="45966907"/>
    <w:rsid w:val="459906E4"/>
    <w:rsid w:val="45A76D4B"/>
    <w:rsid w:val="45BA501A"/>
    <w:rsid w:val="45D7387E"/>
    <w:rsid w:val="45F22775"/>
    <w:rsid w:val="462D281F"/>
    <w:rsid w:val="46386346"/>
    <w:rsid w:val="46857774"/>
    <w:rsid w:val="46C45A77"/>
    <w:rsid w:val="46E20A9A"/>
    <w:rsid w:val="46EC5C2F"/>
    <w:rsid w:val="46F506C9"/>
    <w:rsid w:val="47194474"/>
    <w:rsid w:val="473258A5"/>
    <w:rsid w:val="47993A99"/>
    <w:rsid w:val="47A130F5"/>
    <w:rsid w:val="47A42777"/>
    <w:rsid w:val="47AA6410"/>
    <w:rsid w:val="47E8192D"/>
    <w:rsid w:val="47E83605"/>
    <w:rsid w:val="47F05DD2"/>
    <w:rsid w:val="47FA1031"/>
    <w:rsid w:val="4812704D"/>
    <w:rsid w:val="481E0C0D"/>
    <w:rsid w:val="48403B96"/>
    <w:rsid w:val="485754EA"/>
    <w:rsid w:val="48653621"/>
    <w:rsid w:val="487C3FC9"/>
    <w:rsid w:val="487F367A"/>
    <w:rsid w:val="48873598"/>
    <w:rsid w:val="48A71E8C"/>
    <w:rsid w:val="48BB4C17"/>
    <w:rsid w:val="48BC5B0C"/>
    <w:rsid w:val="48DD7E3B"/>
    <w:rsid w:val="48E4789E"/>
    <w:rsid w:val="48F77395"/>
    <w:rsid w:val="492C319F"/>
    <w:rsid w:val="4968161B"/>
    <w:rsid w:val="496F4763"/>
    <w:rsid w:val="49862E17"/>
    <w:rsid w:val="49963007"/>
    <w:rsid w:val="49A64533"/>
    <w:rsid w:val="49B10DCB"/>
    <w:rsid w:val="49C4513B"/>
    <w:rsid w:val="49CD3BD2"/>
    <w:rsid w:val="49CE3B9F"/>
    <w:rsid w:val="49F112D9"/>
    <w:rsid w:val="4AE43E3C"/>
    <w:rsid w:val="4B0E0DCC"/>
    <w:rsid w:val="4B2D7D1E"/>
    <w:rsid w:val="4B323E0F"/>
    <w:rsid w:val="4B540521"/>
    <w:rsid w:val="4B64236F"/>
    <w:rsid w:val="4B895879"/>
    <w:rsid w:val="4B977869"/>
    <w:rsid w:val="4BA86EA2"/>
    <w:rsid w:val="4BAE5D96"/>
    <w:rsid w:val="4BB369F5"/>
    <w:rsid w:val="4BC87E09"/>
    <w:rsid w:val="4BED7415"/>
    <w:rsid w:val="4C28492A"/>
    <w:rsid w:val="4C56200A"/>
    <w:rsid w:val="4C8229F4"/>
    <w:rsid w:val="4C8D360A"/>
    <w:rsid w:val="4CA14229"/>
    <w:rsid w:val="4CAC5CC3"/>
    <w:rsid w:val="4CC35913"/>
    <w:rsid w:val="4CD16286"/>
    <w:rsid w:val="4CD5707B"/>
    <w:rsid w:val="4CEA78A8"/>
    <w:rsid w:val="4D0C3224"/>
    <w:rsid w:val="4D15549B"/>
    <w:rsid w:val="4D221CD7"/>
    <w:rsid w:val="4D40640B"/>
    <w:rsid w:val="4D660768"/>
    <w:rsid w:val="4D6C41D0"/>
    <w:rsid w:val="4D6F32C7"/>
    <w:rsid w:val="4D8656DA"/>
    <w:rsid w:val="4DA40E96"/>
    <w:rsid w:val="4DAF0F0C"/>
    <w:rsid w:val="4DDC7AE7"/>
    <w:rsid w:val="4DDF3E76"/>
    <w:rsid w:val="4DE813D2"/>
    <w:rsid w:val="4DEA4CF4"/>
    <w:rsid w:val="4DED05FC"/>
    <w:rsid w:val="4DF36CCF"/>
    <w:rsid w:val="4DFF6CE0"/>
    <w:rsid w:val="4E1A38B1"/>
    <w:rsid w:val="4E28286B"/>
    <w:rsid w:val="4E3852C6"/>
    <w:rsid w:val="4EA937A9"/>
    <w:rsid w:val="4EBC7A0C"/>
    <w:rsid w:val="4F03287C"/>
    <w:rsid w:val="4F236AC7"/>
    <w:rsid w:val="4F2D6FE8"/>
    <w:rsid w:val="4F3D5F9A"/>
    <w:rsid w:val="4F4158C1"/>
    <w:rsid w:val="4F5370C0"/>
    <w:rsid w:val="4F5438DD"/>
    <w:rsid w:val="4F581010"/>
    <w:rsid w:val="4F5B3392"/>
    <w:rsid w:val="4F726AC9"/>
    <w:rsid w:val="4FAF0DBE"/>
    <w:rsid w:val="4FB94960"/>
    <w:rsid w:val="50045AC3"/>
    <w:rsid w:val="50244C57"/>
    <w:rsid w:val="504B35D3"/>
    <w:rsid w:val="505B74EA"/>
    <w:rsid w:val="508605D9"/>
    <w:rsid w:val="50AB3096"/>
    <w:rsid w:val="50AD2C9D"/>
    <w:rsid w:val="50B26BAB"/>
    <w:rsid w:val="50DD2246"/>
    <w:rsid w:val="50EE68AA"/>
    <w:rsid w:val="50F02B8B"/>
    <w:rsid w:val="51701F58"/>
    <w:rsid w:val="517717CD"/>
    <w:rsid w:val="51AE26BC"/>
    <w:rsid w:val="51BB2504"/>
    <w:rsid w:val="52030F03"/>
    <w:rsid w:val="5205483F"/>
    <w:rsid w:val="52091678"/>
    <w:rsid w:val="5212572E"/>
    <w:rsid w:val="521469DC"/>
    <w:rsid w:val="52170FF6"/>
    <w:rsid w:val="522C74B0"/>
    <w:rsid w:val="523E00E6"/>
    <w:rsid w:val="52403885"/>
    <w:rsid w:val="527B7A70"/>
    <w:rsid w:val="528662F8"/>
    <w:rsid w:val="52FA6F7C"/>
    <w:rsid w:val="53130BF7"/>
    <w:rsid w:val="531B1423"/>
    <w:rsid w:val="5322600D"/>
    <w:rsid w:val="533E1D0F"/>
    <w:rsid w:val="534479FE"/>
    <w:rsid w:val="5363180D"/>
    <w:rsid w:val="53A476F3"/>
    <w:rsid w:val="53B35F17"/>
    <w:rsid w:val="53D85C9D"/>
    <w:rsid w:val="53E5062E"/>
    <w:rsid w:val="53FF6943"/>
    <w:rsid w:val="540D783D"/>
    <w:rsid w:val="541B65F4"/>
    <w:rsid w:val="549D73AB"/>
    <w:rsid w:val="54A02E19"/>
    <w:rsid w:val="54A414C7"/>
    <w:rsid w:val="54A746AA"/>
    <w:rsid w:val="54D0545F"/>
    <w:rsid w:val="5552691D"/>
    <w:rsid w:val="55566A4B"/>
    <w:rsid w:val="555A1BA0"/>
    <w:rsid w:val="55600F6F"/>
    <w:rsid w:val="55684751"/>
    <w:rsid w:val="556E46C1"/>
    <w:rsid w:val="55A44BCF"/>
    <w:rsid w:val="55A60A43"/>
    <w:rsid w:val="55D06BEF"/>
    <w:rsid w:val="55E23B6E"/>
    <w:rsid w:val="55E46E77"/>
    <w:rsid w:val="55E8379E"/>
    <w:rsid w:val="55FC278C"/>
    <w:rsid w:val="56011DF0"/>
    <w:rsid w:val="56150EF6"/>
    <w:rsid w:val="56180A5E"/>
    <w:rsid w:val="564927D4"/>
    <w:rsid w:val="56664B6D"/>
    <w:rsid w:val="56AD4B11"/>
    <w:rsid w:val="56BB1602"/>
    <w:rsid w:val="56E6151A"/>
    <w:rsid w:val="56F91B04"/>
    <w:rsid w:val="56FF2E93"/>
    <w:rsid w:val="57324EB7"/>
    <w:rsid w:val="57441032"/>
    <w:rsid w:val="575F25C1"/>
    <w:rsid w:val="57781C71"/>
    <w:rsid w:val="5778511F"/>
    <w:rsid w:val="57A03881"/>
    <w:rsid w:val="57B66DF8"/>
    <w:rsid w:val="57CB424F"/>
    <w:rsid w:val="57E2605D"/>
    <w:rsid w:val="57F64D9B"/>
    <w:rsid w:val="57FD1792"/>
    <w:rsid w:val="58020E8D"/>
    <w:rsid w:val="58171D95"/>
    <w:rsid w:val="582941A3"/>
    <w:rsid w:val="58323126"/>
    <w:rsid w:val="583B339B"/>
    <w:rsid w:val="58415193"/>
    <w:rsid w:val="58481CE4"/>
    <w:rsid w:val="58615BB3"/>
    <w:rsid w:val="58616702"/>
    <w:rsid w:val="586958FF"/>
    <w:rsid w:val="5898636D"/>
    <w:rsid w:val="58B73B3C"/>
    <w:rsid w:val="58BA34DE"/>
    <w:rsid w:val="58BC5859"/>
    <w:rsid w:val="58C953BB"/>
    <w:rsid w:val="590A044E"/>
    <w:rsid w:val="591F781C"/>
    <w:rsid w:val="5926651D"/>
    <w:rsid w:val="593D497F"/>
    <w:rsid w:val="59744C0A"/>
    <w:rsid w:val="59830BF8"/>
    <w:rsid w:val="59D5057A"/>
    <w:rsid w:val="5A011A86"/>
    <w:rsid w:val="5A024091"/>
    <w:rsid w:val="5A166E71"/>
    <w:rsid w:val="5A584E73"/>
    <w:rsid w:val="5A8A6DE2"/>
    <w:rsid w:val="5A917C05"/>
    <w:rsid w:val="5AC51BE8"/>
    <w:rsid w:val="5AC94807"/>
    <w:rsid w:val="5AFC5479"/>
    <w:rsid w:val="5B3A4EE7"/>
    <w:rsid w:val="5B40336D"/>
    <w:rsid w:val="5B441378"/>
    <w:rsid w:val="5B4506D2"/>
    <w:rsid w:val="5B4524D0"/>
    <w:rsid w:val="5B4E4486"/>
    <w:rsid w:val="5B7051F8"/>
    <w:rsid w:val="5B8172A8"/>
    <w:rsid w:val="5B8C5D73"/>
    <w:rsid w:val="5B9F1E05"/>
    <w:rsid w:val="5BC326E1"/>
    <w:rsid w:val="5BEE65FC"/>
    <w:rsid w:val="5BF1724E"/>
    <w:rsid w:val="5BF3635D"/>
    <w:rsid w:val="5BFA36D3"/>
    <w:rsid w:val="5BFD58A1"/>
    <w:rsid w:val="5C084732"/>
    <w:rsid w:val="5C125816"/>
    <w:rsid w:val="5C13465C"/>
    <w:rsid w:val="5C1D6295"/>
    <w:rsid w:val="5C2115FE"/>
    <w:rsid w:val="5C4E11DA"/>
    <w:rsid w:val="5C566B5C"/>
    <w:rsid w:val="5CE16196"/>
    <w:rsid w:val="5D505E66"/>
    <w:rsid w:val="5D720F98"/>
    <w:rsid w:val="5D7D6052"/>
    <w:rsid w:val="5D9F0F2C"/>
    <w:rsid w:val="5DA0717E"/>
    <w:rsid w:val="5DCE0AA9"/>
    <w:rsid w:val="5DD07523"/>
    <w:rsid w:val="5DDA0FE2"/>
    <w:rsid w:val="5DE73D28"/>
    <w:rsid w:val="5DEE5104"/>
    <w:rsid w:val="5E0173E0"/>
    <w:rsid w:val="5E527C50"/>
    <w:rsid w:val="5EA000BE"/>
    <w:rsid w:val="5EAA1D9B"/>
    <w:rsid w:val="5EB8251C"/>
    <w:rsid w:val="5EC703E6"/>
    <w:rsid w:val="5ECB0068"/>
    <w:rsid w:val="5EDB4F20"/>
    <w:rsid w:val="5EF02B54"/>
    <w:rsid w:val="5EFF2CFB"/>
    <w:rsid w:val="5F284E40"/>
    <w:rsid w:val="5F2E4743"/>
    <w:rsid w:val="5F3C2ED6"/>
    <w:rsid w:val="5F5024DD"/>
    <w:rsid w:val="5F5641FA"/>
    <w:rsid w:val="5F5F367A"/>
    <w:rsid w:val="5F754BEE"/>
    <w:rsid w:val="5F89287F"/>
    <w:rsid w:val="5FA62A45"/>
    <w:rsid w:val="5FD003F1"/>
    <w:rsid w:val="5FD6380F"/>
    <w:rsid w:val="60172C60"/>
    <w:rsid w:val="602148BA"/>
    <w:rsid w:val="604F3361"/>
    <w:rsid w:val="606317CC"/>
    <w:rsid w:val="607625F6"/>
    <w:rsid w:val="60A604FE"/>
    <w:rsid w:val="60A832D2"/>
    <w:rsid w:val="60EA14E8"/>
    <w:rsid w:val="61145E0F"/>
    <w:rsid w:val="61195B87"/>
    <w:rsid w:val="61624FEF"/>
    <w:rsid w:val="618242F4"/>
    <w:rsid w:val="61997B21"/>
    <w:rsid w:val="61BB2F63"/>
    <w:rsid w:val="61E25761"/>
    <w:rsid w:val="62030D09"/>
    <w:rsid w:val="62245AFA"/>
    <w:rsid w:val="622D4EEC"/>
    <w:rsid w:val="623D546B"/>
    <w:rsid w:val="6242399C"/>
    <w:rsid w:val="62571DD5"/>
    <w:rsid w:val="626271F8"/>
    <w:rsid w:val="62746729"/>
    <w:rsid w:val="629275AC"/>
    <w:rsid w:val="629628FD"/>
    <w:rsid w:val="62B46A9A"/>
    <w:rsid w:val="62B603BE"/>
    <w:rsid w:val="62B836E7"/>
    <w:rsid w:val="62CD3163"/>
    <w:rsid w:val="62F55F13"/>
    <w:rsid w:val="633640E0"/>
    <w:rsid w:val="636E3A96"/>
    <w:rsid w:val="638E5CCA"/>
    <w:rsid w:val="63951267"/>
    <w:rsid w:val="63B90F29"/>
    <w:rsid w:val="63BE1A11"/>
    <w:rsid w:val="63E273AC"/>
    <w:rsid w:val="641C182F"/>
    <w:rsid w:val="641C7905"/>
    <w:rsid w:val="64224B50"/>
    <w:rsid w:val="642E62DB"/>
    <w:rsid w:val="646F4906"/>
    <w:rsid w:val="64A96A0F"/>
    <w:rsid w:val="64AF1586"/>
    <w:rsid w:val="64EF1EE4"/>
    <w:rsid w:val="654A3F98"/>
    <w:rsid w:val="655167DB"/>
    <w:rsid w:val="65611DD3"/>
    <w:rsid w:val="65827169"/>
    <w:rsid w:val="658F1C8B"/>
    <w:rsid w:val="659A53D5"/>
    <w:rsid w:val="65A309A6"/>
    <w:rsid w:val="65F10827"/>
    <w:rsid w:val="65F5347B"/>
    <w:rsid w:val="660409AD"/>
    <w:rsid w:val="661C031E"/>
    <w:rsid w:val="665054B9"/>
    <w:rsid w:val="665D1497"/>
    <w:rsid w:val="669E47D6"/>
    <w:rsid w:val="66BB5028"/>
    <w:rsid w:val="66EC609B"/>
    <w:rsid w:val="67054BC5"/>
    <w:rsid w:val="67072FFE"/>
    <w:rsid w:val="671477D7"/>
    <w:rsid w:val="672958C3"/>
    <w:rsid w:val="674928AC"/>
    <w:rsid w:val="675B2D96"/>
    <w:rsid w:val="67616BD8"/>
    <w:rsid w:val="67670D0C"/>
    <w:rsid w:val="677D3130"/>
    <w:rsid w:val="678A67A9"/>
    <w:rsid w:val="67DF2416"/>
    <w:rsid w:val="67F61CED"/>
    <w:rsid w:val="681805AD"/>
    <w:rsid w:val="683449CB"/>
    <w:rsid w:val="684E77D6"/>
    <w:rsid w:val="687C2DA6"/>
    <w:rsid w:val="6887014C"/>
    <w:rsid w:val="688A62C1"/>
    <w:rsid w:val="689773CF"/>
    <w:rsid w:val="68A7765D"/>
    <w:rsid w:val="68AD7852"/>
    <w:rsid w:val="68B61ACB"/>
    <w:rsid w:val="68C87588"/>
    <w:rsid w:val="68D61FD5"/>
    <w:rsid w:val="690F3D82"/>
    <w:rsid w:val="69140A20"/>
    <w:rsid w:val="694834FE"/>
    <w:rsid w:val="695745BC"/>
    <w:rsid w:val="69AB4CF2"/>
    <w:rsid w:val="69C94CCC"/>
    <w:rsid w:val="69D96939"/>
    <w:rsid w:val="69F53BBD"/>
    <w:rsid w:val="69F86402"/>
    <w:rsid w:val="69FC76B5"/>
    <w:rsid w:val="6A476AE4"/>
    <w:rsid w:val="6A517BC2"/>
    <w:rsid w:val="6A65224D"/>
    <w:rsid w:val="6AD03CA4"/>
    <w:rsid w:val="6B015F03"/>
    <w:rsid w:val="6B1A2272"/>
    <w:rsid w:val="6B3C56AD"/>
    <w:rsid w:val="6B730D8D"/>
    <w:rsid w:val="6B7A5E67"/>
    <w:rsid w:val="6BA20565"/>
    <w:rsid w:val="6BA22313"/>
    <w:rsid w:val="6BC45011"/>
    <w:rsid w:val="6BCE7D5F"/>
    <w:rsid w:val="6BDD7570"/>
    <w:rsid w:val="6BF24B76"/>
    <w:rsid w:val="6C060AF4"/>
    <w:rsid w:val="6C292A34"/>
    <w:rsid w:val="6C445372"/>
    <w:rsid w:val="6C4F0A89"/>
    <w:rsid w:val="6C700663"/>
    <w:rsid w:val="6C886152"/>
    <w:rsid w:val="6C8D3707"/>
    <w:rsid w:val="6C9735EF"/>
    <w:rsid w:val="6C9B33DD"/>
    <w:rsid w:val="6CC1445E"/>
    <w:rsid w:val="6CC4275D"/>
    <w:rsid w:val="6CD6289D"/>
    <w:rsid w:val="6CE30E35"/>
    <w:rsid w:val="6CE60925"/>
    <w:rsid w:val="6CF8009D"/>
    <w:rsid w:val="6CF91E5F"/>
    <w:rsid w:val="6CFB6AE7"/>
    <w:rsid w:val="6CFD4C03"/>
    <w:rsid w:val="6D3C62EF"/>
    <w:rsid w:val="6D3E020C"/>
    <w:rsid w:val="6D437B25"/>
    <w:rsid w:val="6D5B7C22"/>
    <w:rsid w:val="6D6D47E3"/>
    <w:rsid w:val="6D7F34AE"/>
    <w:rsid w:val="6D96073B"/>
    <w:rsid w:val="6D9F6F97"/>
    <w:rsid w:val="6DAD31F1"/>
    <w:rsid w:val="6DD7606F"/>
    <w:rsid w:val="6DD803C3"/>
    <w:rsid w:val="6E077434"/>
    <w:rsid w:val="6E2A03E1"/>
    <w:rsid w:val="6E3217E2"/>
    <w:rsid w:val="6E376D60"/>
    <w:rsid w:val="6E3F653F"/>
    <w:rsid w:val="6E46523A"/>
    <w:rsid w:val="6E4E02CB"/>
    <w:rsid w:val="6E8A5164"/>
    <w:rsid w:val="6EF52D06"/>
    <w:rsid w:val="6F0F37DA"/>
    <w:rsid w:val="6F234D09"/>
    <w:rsid w:val="6F345DED"/>
    <w:rsid w:val="6F4A003E"/>
    <w:rsid w:val="6F4A4CF9"/>
    <w:rsid w:val="6F4E6D96"/>
    <w:rsid w:val="6F58046E"/>
    <w:rsid w:val="6F60051B"/>
    <w:rsid w:val="6F647671"/>
    <w:rsid w:val="6F713328"/>
    <w:rsid w:val="6F9E7F2C"/>
    <w:rsid w:val="6FB952F9"/>
    <w:rsid w:val="6FD553A6"/>
    <w:rsid w:val="6FFF2F39"/>
    <w:rsid w:val="702173D8"/>
    <w:rsid w:val="704F3DFC"/>
    <w:rsid w:val="705C33D8"/>
    <w:rsid w:val="705F6AE0"/>
    <w:rsid w:val="70616B7D"/>
    <w:rsid w:val="706B5C46"/>
    <w:rsid w:val="70B54347"/>
    <w:rsid w:val="70C146AC"/>
    <w:rsid w:val="70C21C9E"/>
    <w:rsid w:val="70C26FB3"/>
    <w:rsid w:val="70C31947"/>
    <w:rsid w:val="70DA5CBA"/>
    <w:rsid w:val="70ED4030"/>
    <w:rsid w:val="717C1858"/>
    <w:rsid w:val="719E01FC"/>
    <w:rsid w:val="71B04CB7"/>
    <w:rsid w:val="71C65D6C"/>
    <w:rsid w:val="71E6401D"/>
    <w:rsid w:val="71EC6C57"/>
    <w:rsid w:val="720A1AEC"/>
    <w:rsid w:val="72377A68"/>
    <w:rsid w:val="724F6160"/>
    <w:rsid w:val="72580E2B"/>
    <w:rsid w:val="7285795A"/>
    <w:rsid w:val="72AA2522"/>
    <w:rsid w:val="72C23555"/>
    <w:rsid w:val="72D0311E"/>
    <w:rsid w:val="72E15C27"/>
    <w:rsid w:val="72F3388B"/>
    <w:rsid w:val="733D3771"/>
    <w:rsid w:val="73470CFE"/>
    <w:rsid w:val="73531311"/>
    <w:rsid w:val="73A630A2"/>
    <w:rsid w:val="73D3670A"/>
    <w:rsid w:val="73E6120B"/>
    <w:rsid w:val="73EC4408"/>
    <w:rsid w:val="73FE3139"/>
    <w:rsid w:val="74006B47"/>
    <w:rsid w:val="7405799D"/>
    <w:rsid w:val="741B5665"/>
    <w:rsid w:val="741E7F6E"/>
    <w:rsid w:val="743146C8"/>
    <w:rsid w:val="744C66E2"/>
    <w:rsid w:val="74613231"/>
    <w:rsid w:val="74894ED8"/>
    <w:rsid w:val="74C81B3F"/>
    <w:rsid w:val="74EC3944"/>
    <w:rsid w:val="75076AED"/>
    <w:rsid w:val="752D39CB"/>
    <w:rsid w:val="75851338"/>
    <w:rsid w:val="75930F1E"/>
    <w:rsid w:val="759B20C5"/>
    <w:rsid w:val="75C62F7B"/>
    <w:rsid w:val="75F220E9"/>
    <w:rsid w:val="76544B51"/>
    <w:rsid w:val="76565CF8"/>
    <w:rsid w:val="765D6AD9"/>
    <w:rsid w:val="768C18A5"/>
    <w:rsid w:val="769771B8"/>
    <w:rsid w:val="76A333E3"/>
    <w:rsid w:val="76F52F17"/>
    <w:rsid w:val="76FA1495"/>
    <w:rsid w:val="771C2B72"/>
    <w:rsid w:val="7735228D"/>
    <w:rsid w:val="773D399C"/>
    <w:rsid w:val="77436BAC"/>
    <w:rsid w:val="776E2CBE"/>
    <w:rsid w:val="77757837"/>
    <w:rsid w:val="778B4C48"/>
    <w:rsid w:val="77AE64E8"/>
    <w:rsid w:val="77B072BC"/>
    <w:rsid w:val="77D60AAE"/>
    <w:rsid w:val="77E872FF"/>
    <w:rsid w:val="77ED0DBA"/>
    <w:rsid w:val="77F80F61"/>
    <w:rsid w:val="78031D58"/>
    <w:rsid w:val="78207259"/>
    <w:rsid w:val="7832110C"/>
    <w:rsid w:val="78546EFA"/>
    <w:rsid w:val="78627FD0"/>
    <w:rsid w:val="78BC253A"/>
    <w:rsid w:val="78E32DDE"/>
    <w:rsid w:val="78EF05F9"/>
    <w:rsid w:val="792A77D2"/>
    <w:rsid w:val="793D3346"/>
    <w:rsid w:val="793F27C8"/>
    <w:rsid w:val="79645141"/>
    <w:rsid w:val="79661EFB"/>
    <w:rsid w:val="7967317B"/>
    <w:rsid w:val="796A7017"/>
    <w:rsid w:val="796C2017"/>
    <w:rsid w:val="797125E2"/>
    <w:rsid w:val="799D2830"/>
    <w:rsid w:val="79A37060"/>
    <w:rsid w:val="79DF25E2"/>
    <w:rsid w:val="79E61F64"/>
    <w:rsid w:val="79FC19C3"/>
    <w:rsid w:val="7A591AD6"/>
    <w:rsid w:val="7A5E1396"/>
    <w:rsid w:val="7AA15E8B"/>
    <w:rsid w:val="7AA459C3"/>
    <w:rsid w:val="7AAC18BC"/>
    <w:rsid w:val="7AEB20F3"/>
    <w:rsid w:val="7B097CF6"/>
    <w:rsid w:val="7B1D7B50"/>
    <w:rsid w:val="7B1E2BA5"/>
    <w:rsid w:val="7B291861"/>
    <w:rsid w:val="7B2A639A"/>
    <w:rsid w:val="7B2C5666"/>
    <w:rsid w:val="7B42766E"/>
    <w:rsid w:val="7B8D25BC"/>
    <w:rsid w:val="7BB069E9"/>
    <w:rsid w:val="7BBE2911"/>
    <w:rsid w:val="7BBF0C53"/>
    <w:rsid w:val="7BDF310F"/>
    <w:rsid w:val="7BEB1AB4"/>
    <w:rsid w:val="7BF344C5"/>
    <w:rsid w:val="7C0853DB"/>
    <w:rsid w:val="7C344213"/>
    <w:rsid w:val="7C6712B6"/>
    <w:rsid w:val="7C686C61"/>
    <w:rsid w:val="7C754C18"/>
    <w:rsid w:val="7CC806D1"/>
    <w:rsid w:val="7CDB7433"/>
    <w:rsid w:val="7CDC73E9"/>
    <w:rsid w:val="7CFA0158"/>
    <w:rsid w:val="7CFF1633"/>
    <w:rsid w:val="7D0C7CB9"/>
    <w:rsid w:val="7D1F2AE3"/>
    <w:rsid w:val="7D23702C"/>
    <w:rsid w:val="7D2E4F75"/>
    <w:rsid w:val="7D322D1E"/>
    <w:rsid w:val="7D362C5F"/>
    <w:rsid w:val="7D4C467F"/>
    <w:rsid w:val="7D5F46D6"/>
    <w:rsid w:val="7D890C83"/>
    <w:rsid w:val="7DA52E74"/>
    <w:rsid w:val="7DC64E92"/>
    <w:rsid w:val="7DDF2F52"/>
    <w:rsid w:val="7DE26BCA"/>
    <w:rsid w:val="7DE63809"/>
    <w:rsid w:val="7DEE2B7C"/>
    <w:rsid w:val="7E190142"/>
    <w:rsid w:val="7E447259"/>
    <w:rsid w:val="7E471D20"/>
    <w:rsid w:val="7E5D031B"/>
    <w:rsid w:val="7E723B52"/>
    <w:rsid w:val="7E782E0A"/>
    <w:rsid w:val="7E813E78"/>
    <w:rsid w:val="7EBB7B93"/>
    <w:rsid w:val="7EE80CA9"/>
    <w:rsid w:val="7F173927"/>
    <w:rsid w:val="7F3B0A52"/>
    <w:rsid w:val="7F781AA4"/>
    <w:rsid w:val="7F7E15A8"/>
    <w:rsid w:val="7F875650"/>
    <w:rsid w:val="7F9C7E50"/>
    <w:rsid w:val="7FA9500A"/>
    <w:rsid w:val="7FB87EFF"/>
    <w:rsid w:val="7FCE5462"/>
    <w:rsid w:val="7FD82C59"/>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qFormat="1"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9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5"/>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696"/>
    <w:qFormat/>
    <w:uiPriority w:val="0"/>
    <w:pPr>
      <w:keepNext/>
      <w:keepLines/>
      <w:spacing w:before="260" w:after="260" w:line="416" w:lineRule="auto"/>
      <w:outlineLvl w:val="2"/>
    </w:pPr>
    <w:rPr>
      <w:b/>
      <w:bCs/>
      <w:sz w:val="32"/>
      <w:szCs w:val="32"/>
    </w:rPr>
  </w:style>
  <w:style w:type="paragraph" w:styleId="6">
    <w:name w:val="heading 4"/>
    <w:basedOn w:val="1"/>
    <w:next w:val="1"/>
    <w:link w:val="69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698"/>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699"/>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89"/>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36"/>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5"/>
    <w:qFormat/>
    <w:uiPriority w:val="0"/>
    <w:pPr>
      <w:keepNext/>
      <w:keepLines/>
      <w:numPr>
        <w:ilvl w:val="8"/>
        <w:numId w:val="1"/>
      </w:numPr>
      <w:spacing w:before="240" w:after="64" w:line="320" w:lineRule="auto"/>
      <w:outlineLvl w:val="8"/>
    </w:pPr>
    <w:rPr>
      <w:rFonts w:ascii="Arial" w:hAnsi="Arial" w:eastAsia="黑体"/>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macro"/>
    <w:link w:val="94"/>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88"/>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66"/>
    <w:qFormat/>
    <w:uiPriority w:val="0"/>
    <w:pPr>
      <w:spacing w:before="152" w:after="160"/>
    </w:pPr>
    <w:rPr>
      <w:rFonts w:ascii="Arial" w:hAnsi="Arial" w:eastAsia="黑体"/>
      <w:sz w:val="20"/>
      <w:szCs w:val="20"/>
    </w:rPr>
  </w:style>
  <w:style w:type="paragraph" w:styleId="16">
    <w:name w:val="Document Map"/>
    <w:basedOn w:val="1"/>
    <w:link w:val="132"/>
    <w:qFormat/>
    <w:uiPriority w:val="0"/>
    <w:pPr>
      <w:shd w:val="clear" w:color="auto" w:fill="000080"/>
    </w:pPr>
  </w:style>
  <w:style w:type="paragraph" w:styleId="17">
    <w:name w:val="annotation text"/>
    <w:basedOn w:val="1"/>
    <w:link w:val="105"/>
    <w:unhideWhenUsed/>
    <w:qFormat/>
    <w:uiPriority w:val="99"/>
    <w:pPr>
      <w:jc w:val="left"/>
    </w:pPr>
  </w:style>
  <w:style w:type="paragraph" w:styleId="18">
    <w:name w:val="Body Text 3"/>
    <w:basedOn w:val="1"/>
    <w:link w:val="86"/>
    <w:qFormat/>
    <w:uiPriority w:val="0"/>
    <w:pPr>
      <w:spacing w:line="500" w:lineRule="exact"/>
    </w:pPr>
    <w:rPr>
      <w:b/>
      <w:bCs/>
      <w:kern w:val="0"/>
      <w:sz w:val="24"/>
    </w:rPr>
  </w:style>
  <w:style w:type="paragraph" w:styleId="19">
    <w:name w:val="Body Text"/>
    <w:basedOn w:val="1"/>
    <w:link w:val="122"/>
    <w:qFormat/>
    <w:uiPriority w:val="0"/>
    <w:pPr>
      <w:spacing w:line="420" w:lineRule="exact"/>
    </w:pPr>
    <w:rPr>
      <w:sz w:val="24"/>
    </w:rPr>
  </w:style>
  <w:style w:type="paragraph" w:styleId="20">
    <w:name w:val="Body Text Indent"/>
    <w:basedOn w:val="1"/>
    <w:link w:val="72"/>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33"/>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6"/>
    <w:qFormat/>
    <w:uiPriority w:val="0"/>
    <w:pPr>
      <w:ind w:left="100" w:leftChars="2500"/>
    </w:pPr>
    <w:rPr>
      <w:sz w:val="24"/>
    </w:rPr>
  </w:style>
  <w:style w:type="paragraph" w:styleId="29">
    <w:name w:val="Body Text Indent 2"/>
    <w:basedOn w:val="1"/>
    <w:link w:val="142"/>
    <w:qFormat/>
    <w:uiPriority w:val="0"/>
    <w:pPr>
      <w:spacing w:after="120" w:line="480" w:lineRule="auto"/>
      <w:ind w:left="420" w:leftChars="200"/>
    </w:pPr>
  </w:style>
  <w:style w:type="paragraph" w:styleId="30">
    <w:name w:val="Balloon Text"/>
    <w:basedOn w:val="1"/>
    <w:link w:val="143"/>
    <w:qFormat/>
    <w:uiPriority w:val="0"/>
    <w:rPr>
      <w:sz w:val="18"/>
      <w:szCs w:val="18"/>
    </w:rPr>
  </w:style>
  <w:style w:type="paragraph" w:styleId="31">
    <w:name w:val="footer"/>
    <w:basedOn w:val="1"/>
    <w:next w:val="1"/>
    <w:link w:val="135"/>
    <w:qFormat/>
    <w:uiPriority w:val="99"/>
    <w:pPr>
      <w:tabs>
        <w:tab w:val="center" w:pos="4153"/>
        <w:tab w:val="right" w:pos="8306"/>
      </w:tabs>
      <w:snapToGrid w:val="0"/>
      <w:jc w:val="left"/>
    </w:pPr>
    <w:rPr>
      <w:sz w:val="18"/>
      <w:szCs w:val="18"/>
    </w:rPr>
  </w:style>
  <w:style w:type="paragraph" w:styleId="32">
    <w:name w:val="header"/>
    <w:basedOn w:val="1"/>
    <w:link w:val="129"/>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footnote text"/>
    <w:basedOn w:val="1"/>
    <w:semiHidden/>
    <w:unhideWhenUsed/>
    <w:qFormat/>
    <w:uiPriority w:val="0"/>
    <w:pPr>
      <w:snapToGrid w:val="0"/>
      <w:jc w:val="left"/>
    </w:pPr>
    <w:rPr>
      <w:sz w:val="18"/>
    </w:rPr>
  </w:style>
  <w:style w:type="paragraph" w:styleId="37">
    <w:name w:val="toc 6"/>
    <w:basedOn w:val="1"/>
    <w:next w:val="1"/>
    <w:qFormat/>
    <w:uiPriority w:val="39"/>
    <w:pPr>
      <w:ind w:left="1050"/>
      <w:jc w:val="left"/>
    </w:pPr>
    <w:rPr>
      <w:rFonts w:ascii="Calibri" w:hAnsi="Calibri"/>
      <w:sz w:val="18"/>
      <w:szCs w:val="18"/>
    </w:rPr>
  </w:style>
  <w:style w:type="paragraph" w:styleId="38">
    <w:name w:val="List 5"/>
    <w:basedOn w:val="1"/>
    <w:qFormat/>
    <w:uiPriority w:val="0"/>
    <w:pPr>
      <w:ind w:left="2100" w:hanging="420"/>
    </w:pPr>
    <w:rPr>
      <w:szCs w:val="20"/>
    </w:rPr>
  </w:style>
  <w:style w:type="paragraph" w:styleId="39">
    <w:name w:val="Body Text Indent 3"/>
    <w:basedOn w:val="1"/>
    <w:link w:val="103"/>
    <w:qFormat/>
    <w:uiPriority w:val="0"/>
    <w:pPr>
      <w:spacing w:after="120"/>
      <w:ind w:left="420" w:leftChars="200"/>
    </w:pPr>
    <w:rPr>
      <w:sz w:val="16"/>
      <w:szCs w:val="16"/>
    </w:rPr>
  </w:style>
  <w:style w:type="paragraph" w:styleId="40">
    <w:name w:val="toc 2"/>
    <w:basedOn w:val="1"/>
    <w:next w:val="1"/>
    <w:qFormat/>
    <w:uiPriority w:val="39"/>
    <w:pPr>
      <w:ind w:left="210"/>
      <w:jc w:val="left"/>
    </w:pPr>
    <w:rPr>
      <w:rFonts w:ascii="Calibri" w:hAnsi="Calibri"/>
      <w:smallCaps/>
      <w:sz w:val="20"/>
      <w:szCs w:val="20"/>
    </w:rPr>
  </w:style>
  <w:style w:type="paragraph" w:styleId="41">
    <w:name w:val="toc 9"/>
    <w:basedOn w:val="1"/>
    <w:next w:val="1"/>
    <w:qFormat/>
    <w:uiPriority w:val="0"/>
    <w:pPr>
      <w:ind w:left="1680"/>
      <w:jc w:val="left"/>
    </w:pPr>
    <w:rPr>
      <w:rFonts w:ascii="Calibri" w:hAnsi="Calibri"/>
      <w:sz w:val="18"/>
      <w:szCs w:val="18"/>
    </w:rPr>
  </w:style>
  <w:style w:type="paragraph" w:styleId="42">
    <w:name w:val="Body Text 2"/>
    <w:basedOn w:val="1"/>
    <w:link w:val="159"/>
    <w:qFormat/>
    <w:uiPriority w:val="0"/>
    <w:pPr>
      <w:spacing w:after="120" w:line="480" w:lineRule="auto"/>
    </w:pPr>
    <w:rPr>
      <w:kern w:val="0"/>
      <w:sz w:val="20"/>
    </w:rPr>
  </w:style>
  <w:style w:type="paragraph" w:styleId="43">
    <w:name w:val="HTML Preformatted"/>
    <w:basedOn w:val="1"/>
    <w:link w:val="11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4">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5">
    <w:name w:val="index 1"/>
    <w:basedOn w:val="1"/>
    <w:next w:val="1"/>
    <w:qFormat/>
    <w:uiPriority w:val="0"/>
    <w:pPr>
      <w:spacing w:line="360" w:lineRule="auto"/>
    </w:pPr>
    <w:rPr>
      <w:rFonts w:ascii="宋体" w:hAnsi="宋体"/>
      <w:bCs/>
      <w:szCs w:val="21"/>
    </w:rPr>
  </w:style>
  <w:style w:type="paragraph" w:styleId="46">
    <w:name w:val="Title"/>
    <w:basedOn w:val="1"/>
    <w:next w:val="1"/>
    <w:qFormat/>
    <w:uiPriority w:val="0"/>
    <w:pPr>
      <w:jc w:val="center"/>
    </w:pPr>
    <w:rPr>
      <w:rFonts w:ascii="宋体"/>
      <w:b/>
      <w:snapToGrid w:val="0"/>
      <w:kern w:val="0"/>
      <w:sz w:val="36"/>
      <w:szCs w:val="20"/>
    </w:rPr>
  </w:style>
  <w:style w:type="paragraph" w:styleId="47">
    <w:name w:val="annotation subject"/>
    <w:basedOn w:val="17"/>
    <w:next w:val="17"/>
    <w:link w:val="124"/>
    <w:unhideWhenUsed/>
    <w:qFormat/>
    <w:uiPriority w:val="0"/>
    <w:rPr>
      <w:b/>
      <w:bCs/>
    </w:rPr>
  </w:style>
  <w:style w:type="paragraph" w:styleId="48">
    <w:name w:val="Body Text First Indent 2"/>
    <w:basedOn w:val="20"/>
    <w:link w:val="235"/>
    <w:semiHidden/>
    <w:unhideWhenUsed/>
    <w:qFormat/>
    <w:uiPriority w:val="0"/>
    <w:pPr>
      <w:ind w:firstLine="420" w:firstLineChars="200"/>
    </w:pPr>
  </w:style>
  <w:style w:type="table" w:styleId="50">
    <w:name w:val="Table Grid"/>
    <w:basedOn w:val="4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FollowedHyperlink"/>
    <w:qFormat/>
    <w:uiPriority w:val="99"/>
    <w:rPr>
      <w:color w:val="800080"/>
      <w:u w:val="single"/>
    </w:rPr>
  </w:style>
  <w:style w:type="character" w:styleId="55">
    <w:name w:val="Emphasis"/>
    <w:qFormat/>
    <w:uiPriority w:val="0"/>
    <w:rPr>
      <w:color w:val="CC0000"/>
    </w:rPr>
  </w:style>
  <w:style w:type="character" w:styleId="56">
    <w:name w:val="Hyperlink"/>
    <w:qFormat/>
    <w:uiPriority w:val="99"/>
    <w:rPr>
      <w:color w:val="0000FF"/>
      <w:u w:val="single"/>
    </w:rPr>
  </w:style>
  <w:style w:type="character" w:styleId="57">
    <w:name w:val="annotation reference"/>
    <w:unhideWhenUsed/>
    <w:qFormat/>
    <w:uiPriority w:val="99"/>
    <w:rPr>
      <w:sz w:val="21"/>
      <w:szCs w:val="21"/>
    </w:rPr>
  </w:style>
  <w:style w:type="character" w:styleId="58">
    <w:name w:val="footnote reference"/>
    <w:basedOn w:val="51"/>
    <w:semiHidden/>
    <w:unhideWhenUsed/>
    <w:qFormat/>
    <w:uiPriority w:val="0"/>
    <w:rPr>
      <w:vertAlign w:val="superscript"/>
    </w:rPr>
  </w:style>
  <w:style w:type="character" w:customStyle="1" w:styleId="59">
    <w:name w:val="font51"/>
    <w:qFormat/>
    <w:uiPriority w:val="0"/>
    <w:rPr>
      <w:rFonts w:hint="eastAsia" w:ascii="宋体" w:hAnsi="宋体" w:eastAsia="宋体" w:cs="宋体"/>
      <w:color w:val="000000"/>
      <w:sz w:val="20"/>
      <w:szCs w:val="20"/>
      <w:u w:val="none"/>
    </w:rPr>
  </w:style>
  <w:style w:type="character" w:customStyle="1" w:styleId="60">
    <w:name w:val="正文文本缩进 2 Char2"/>
    <w:semiHidden/>
    <w:qFormat/>
    <w:uiPriority w:val="99"/>
    <w:rPr>
      <w:kern w:val="2"/>
      <w:sz w:val="21"/>
      <w:szCs w:val="24"/>
    </w:rPr>
  </w:style>
  <w:style w:type="character" w:customStyle="1" w:styleId="61">
    <w:name w:val="宏文本 Char1"/>
    <w:qFormat/>
    <w:uiPriority w:val="99"/>
    <w:rPr>
      <w:rFonts w:ascii="Courier New" w:hAnsi="Courier New" w:cs="Courier New"/>
      <w:kern w:val="2"/>
      <w:sz w:val="24"/>
      <w:szCs w:val="24"/>
    </w:rPr>
  </w:style>
  <w:style w:type="character" w:customStyle="1" w:styleId="62">
    <w:name w:val="正文文本缩进 2 Char1"/>
    <w:semiHidden/>
    <w:qFormat/>
    <w:uiPriority w:val="99"/>
    <w:rPr>
      <w:rFonts w:ascii="Times New Roman" w:hAnsi="Times New Roman" w:eastAsia="宋体" w:cs="Times New Roman"/>
      <w:szCs w:val="24"/>
    </w:rPr>
  </w:style>
  <w:style w:type="character" w:customStyle="1" w:styleId="63">
    <w:name w:val="样式2"/>
    <w:qFormat/>
    <w:uiPriority w:val="0"/>
    <w:rPr>
      <w:rFonts w:ascii="宋体" w:hAnsi="宋体"/>
      <w:b/>
      <w:szCs w:val="21"/>
    </w:rPr>
  </w:style>
  <w:style w:type="character" w:customStyle="1" w:styleId="64">
    <w:name w:val="apple-converted-space"/>
    <w:basedOn w:val="51"/>
    <w:qFormat/>
    <w:uiPriority w:val="0"/>
  </w:style>
  <w:style w:type="character" w:customStyle="1" w:styleId="65">
    <w:name w:val="标题 9 字符"/>
    <w:link w:val="12"/>
    <w:qFormat/>
    <w:uiPriority w:val="0"/>
    <w:rPr>
      <w:rFonts w:ascii="Arial" w:hAnsi="Arial" w:eastAsia="黑体"/>
      <w:kern w:val="2"/>
      <w:sz w:val="21"/>
      <w:szCs w:val="24"/>
    </w:rPr>
  </w:style>
  <w:style w:type="character" w:customStyle="1" w:styleId="66">
    <w:name w:val="题注 字符"/>
    <w:link w:val="15"/>
    <w:qFormat/>
    <w:uiPriority w:val="0"/>
    <w:rPr>
      <w:rFonts w:ascii="Arial" w:hAnsi="Arial" w:eastAsia="黑体" w:cs="Arial"/>
      <w:kern w:val="2"/>
    </w:rPr>
  </w:style>
  <w:style w:type="character" w:customStyle="1" w:styleId="67">
    <w:name w:val="标题 5 字符"/>
    <w:qFormat/>
    <w:uiPriority w:val="0"/>
    <w:rPr>
      <w:b/>
      <w:kern w:val="2"/>
      <w:sz w:val="28"/>
      <w:szCs w:val="24"/>
    </w:rPr>
  </w:style>
  <w:style w:type="character" w:customStyle="1" w:styleId="68">
    <w:name w:val="正文文本 3 Char1"/>
    <w:qFormat/>
    <w:uiPriority w:val="99"/>
    <w:rPr>
      <w:kern w:val="2"/>
      <w:sz w:val="16"/>
      <w:szCs w:val="16"/>
    </w:rPr>
  </w:style>
  <w:style w:type="character" w:customStyle="1" w:styleId="69">
    <w:name w:val="标题 3 字符"/>
    <w:qFormat/>
    <w:uiPriority w:val="0"/>
    <w:rPr>
      <w:b/>
      <w:bCs/>
      <w:kern w:val="2"/>
      <w:sz w:val="32"/>
      <w:szCs w:val="32"/>
    </w:rPr>
  </w:style>
  <w:style w:type="character" w:customStyle="1" w:styleId="70">
    <w:name w:val="样式1"/>
    <w:qFormat/>
    <w:uiPriority w:val="0"/>
    <w:rPr>
      <w:rFonts w:ascii="宋体" w:hAnsi="宋体"/>
      <w:szCs w:val="21"/>
    </w:rPr>
  </w:style>
  <w:style w:type="character" w:customStyle="1" w:styleId="71">
    <w:name w:val="标题 2 字符"/>
    <w:qFormat/>
    <w:uiPriority w:val="0"/>
    <w:rPr>
      <w:rFonts w:eastAsia="隶书"/>
      <w:b/>
      <w:sz w:val="44"/>
    </w:rPr>
  </w:style>
  <w:style w:type="character" w:customStyle="1" w:styleId="72">
    <w:name w:val="正文文本缩进 字符"/>
    <w:link w:val="20"/>
    <w:qFormat/>
    <w:uiPriority w:val="0"/>
    <w:rPr>
      <w:kern w:val="2"/>
      <w:sz w:val="21"/>
      <w:szCs w:val="24"/>
    </w:rPr>
  </w:style>
  <w:style w:type="character" w:customStyle="1" w:styleId="73">
    <w:name w:val="页脚 Char2"/>
    <w:semiHidden/>
    <w:qFormat/>
    <w:uiPriority w:val="99"/>
    <w:rPr>
      <w:kern w:val="2"/>
      <w:sz w:val="18"/>
      <w:szCs w:val="18"/>
    </w:rPr>
  </w:style>
  <w:style w:type="character" w:customStyle="1" w:styleId="74">
    <w:name w:val="列出段落 字符"/>
    <w:link w:val="75"/>
    <w:qFormat/>
    <w:locked/>
    <w:uiPriority w:val="34"/>
    <w:rPr>
      <w:rFonts w:ascii="Calibri" w:hAnsi="Calibri"/>
      <w:kern w:val="2"/>
      <w:sz w:val="21"/>
      <w:szCs w:val="22"/>
    </w:rPr>
  </w:style>
  <w:style w:type="paragraph" w:styleId="75">
    <w:name w:val="List Paragraph"/>
    <w:basedOn w:val="1"/>
    <w:link w:val="74"/>
    <w:qFormat/>
    <w:uiPriority w:val="34"/>
    <w:pPr>
      <w:ind w:firstLine="420" w:firstLineChars="200"/>
    </w:pPr>
    <w:rPr>
      <w:rFonts w:ascii="Calibri" w:hAnsi="Calibri"/>
      <w:szCs w:val="22"/>
    </w:rPr>
  </w:style>
  <w:style w:type="character" w:customStyle="1" w:styleId="76">
    <w:name w:val="gray"/>
    <w:qFormat/>
    <w:uiPriority w:val="0"/>
    <w:rPr>
      <w:rFonts w:ascii="Tahoma" w:hAnsi="Tahoma" w:eastAsia="宋体"/>
      <w:kern w:val="2"/>
      <w:sz w:val="24"/>
      <w:szCs w:val="24"/>
      <w:lang w:val="en-US" w:eastAsia="zh-CN" w:bidi="ar-SA"/>
    </w:rPr>
  </w:style>
  <w:style w:type="character" w:customStyle="1" w:styleId="77">
    <w:name w:val="HTML 预设格式 Char1"/>
    <w:qFormat/>
    <w:uiPriority w:val="99"/>
    <w:rPr>
      <w:rFonts w:ascii="Courier New" w:hAnsi="Courier New" w:cs="Courier New"/>
      <w:kern w:val="2"/>
    </w:rPr>
  </w:style>
  <w:style w:type="character" w:customStyle="1" w:styleId="78">
    <w:name w:val="mark"/>
    <w:basedOn w:val="51"/>
    <w:qFormat/>
    <w:uiPriority w:val="0"/>
  </w:style>
  <w:style w:type="character" w:customStyle="1" w:styleId="79">
    <w:name w:val="A15"/>
    <w:qFormat/>
    <w:uiPriority w:val="0"/>
    <w:rPr>
      <w:rFonts w:ascii="Times New Roman" w:hAnsi="Times New Roman"/>
      <w:color w:val="000000"/>
      <w:sz w:val="14"/>
      <w:szCs w:val="14"/>
    </w:rPr>
  </w:style>
  <w:style w:type="character" w:customStyle="1" w:styleId="80">
    <w:name w:val="日期 Char1"/>
    <w:semiHidden/>
    <w:qFormat/>
    <w:uiPriority w:val="99"/>
    <w:rPr>
      <w:rFonts w:ascii="Times New Roman" w:hAnsi="Times New Roman" w:eastAsia="宋体" w:cs="Times New Roman"/>
      <w:szCs w:val="24"/>
    </w:rPr>
  </w:style>
  <w:style w:type="character" w:customStyle="1" w:styleId="81">
    <w:name w:val="引用 字符"/>
    <w:link w:val="82"/>
    <w:qFormat/>
    <w:uiPriority w:val="29"/>
    <w:rPr>
      <w:i/>
      <w:iCs/>
      <w:color w:val="404040"/>
      <w:kern w:val="2"/>
      <w:sz w:val="21"/>
      <w:szCs w:val="24"/>
    </w:rPr>
  </w:style>
  <w:style w:type="paragraph" w:styleId="82">
    <w:name w:val="Quote"/>
    <w:basedOn w:val="1"/>
    <w:next w:val="1"/>
    <w:link w:val="81"/>
    <w:qFormat/>
    <w:uiPriority w:val="29"/>
    <w:pPr>
      <w:spacing w:before="200" w:after="160"/>
      <w:ind w:left="864" w:right="864"/>
      <w:jc w:val="center"/>
    </w:pPr>
    <w:rPr>
      <w:i/>
      <w:iCs/>
      <w:color w:val="404040"/>
    </w:rPr>
  </w:style>
  <w:style w:type="character" w:customStyle="1" w:styleId="83">
    <w:name w:val="超链接2"/>
    <w:qFormat/>
    <w:uiPriority w:val="0"/>
    <w:rPr>
      <w:rFonts w:hint="eastAsia" w:ascii="宋体" w:hAnsi="宋体" w:eastAsia="宋体"/>
      <w:color w:val="FFFFFF"/>
      <w:sz w:val="18"/>
      <w:szCs w:val="18"/>
      <w:u w:val="none"/>
    </w:rPr>
  </w:style>
  <w:style w:type="character" w:customStyle="1" w:styleId="84">
    <w:name w:val="ca-2"/>
    <w:basedOn w:val="51"/>
    <w:qFormat/>
    <w:uiPriority w:val="0"/>
  </w:style>
  <w:style w:type="character" w:customStyle="1" w:styleId="85">
    <w:name w:val="页脚 Char1"/>
    <w:semiHidden/>
    <w:qFormat/>
    <w:uiPriority w:val="99"/>
    <w:rPr>
      <w:rFonts w:ascii="Times New Roman" w:hAnsi="Times New Roman" w:eastAsia="宋体" w:cs="Times New Roman"/>
      <w:sz w:val="18"/>
      <w:szCs w:val="18"/>
    </w:rPr>
  </w:style>
  <w:style w:type="character" w:customStyle="1" w:styleId="86">
    <w:name w:val="正文文本 3 字符"/>
    <w:link w:val="18"/>
    <w:qFormat/>
    <w:uiPriority w:val="0"/>
    <w:rPr>
      <w:b/>
      <w:bCs/>
      <w:sz w:val="24"/>
      <w:szCs w:val="24"/>
    </w:rPr>
  </w:style>
  <w:style w:type="character" w:customStyle="1" w:styleId="87">
    <w:name w:val="引用 Char1"/>
    <w:qFormat/>
    <w:uiPriority w:val="99"/>
    <w:rPr>
      <w:rFonts w:ascii="Times New Roman" w:hAnsi="Times New Roman"/>
      <w:i/>
      <w:iCs/>
      <w:color w:val="000000"/>
      <w:kern w:val="2"/>
      <w:sz w:val="21"/>
      <w:szCs w:val="24"/>
    </w:rPr>
  </w:style>
  <w:style w:type="character" w:customStyle="1" w:styleId="88">
    <w:name w:val="正文缩进 字符"/>
    <w:link w:val="8"/>
    <w:qFormat/>
    <w:uiPriority w:val="0"/>
    <w:rPr>
      <w:rFonts w:ascii="宋体"/>
      <w:snapToGrid w:val="0"/>
    </w:rPr>
  </w:style>
  <w:style w:type="character" w:customStyle="1" w:styleId="89">
    <w:name w:val="标题 7 字符"/>
    <w:link w:val="10"/>
    <w:qFormat/>
    <w:uiPriority w:val="0"/>
    <w:rPr>
      <w:b/>
      <w:kern w:val="2"/>
      <w:sz w:val="24"/>
      <w:szCs w:val="24"/>
    </w:rPr>
  </w:style>
  <w:style w:type="character" w:customStyle="1" w:styleId="90">
    <w:name w:val="style21"/>
    <w:qFormat/>
    <w:uiPriority w:val="0"/>
    <w:rPr>
      <w:sz w:val="22"/>
      <w:szCs w:val="22"/>
    </w:rPr>
  </w:style>
  <w:style w:type="character" w:customStyle="1" w:styleId="91">
    <w:name w:val="A4"/>
    <w:qFormat/>
    <w:uiPriority w:val="0"/>
    <w:rPr>
      <w:rFonts w:ascii="新宋体" w:eastAsia="新宋体" w:cs="新宋体"/>
      <w:color w:val="000000"/>
      <w:lang w:bidi="ar-SA"/>
    </w:rPr>
  </w:style>
  <w:style w:type="character" w:customStyle="1" w:styleId="92">
    <w:name w:val="纯文本 字符1"/>
    <w:qFormat/>
    <w:uiPriority w:val="0"/>
    <w:rPr>
      <w:rFonts w:ascii="宋体" w:hAnsi="Courier New" w:eastAsia="宋体" w:cs="Courier New"/>
      <w:szCs w:val="21"/>
    </w:rPr>
  </w:style>
  <w:style w:type="character" w:customStyle="1" w:styleId="93">
    <w:name w:val="不明显强调1"/>
    <w:qFormat/>
    <w:uiPriority w:val="19"/>
    <w:rPr>
      <w:i/>
      <w:iCs/>
      <w:color w:val="808080"/>
    </w:rPr>
  </w:style>
  <w:style w:type="character" w:customStyle="1" w:styleId="94">
    <w:name w:val="宏文本 字符"/>
    <w:link w:val="2"/>
    <w:qFormat/>
    <w:uiPriority w:val="99"/>
    <w:rPr>
      <w:rFonts w:ascii="Courier New" w:hAnsi="Courier New"/>
      <w:kern w:val="2"/>
      <w:sz w:val="24"/>
      <w:szCs w:val="24"/>
      <w:lang w:val="en-US" w:eastAsia="zh-CN" w:bidi="ar-SA"/>
    </w:rPr>
  </w:style>
  <w:style w:type="character" w:customStyle="1" w:styleId="95">
    <w:name w:val="正文文本缩进 3 Char2"/>
    <w:semiHidden/>
    <w:qFormat/>
    <w:uiPriority w:val="99"/>
    <w:rPr>
      <w:kern w:val="2"/>
      <w:sz w:val="16"/>
      <w:szCs w:val="16"/>
    </w:rPr>
  </w:style>
  <w:style w:type="character" w:customStyle="1" w:styleId="96">
    <w:name w:val="日期 字符"/>
    <w:link w:val="28"/>
    <w:qFormat/>
    <w:uiPriority w:val="0"/>
    <w:rPr>
      <w:kern w:val="2"/>
      <w:sz w:val="24"/>
      <w:szCs w:val="24"/>
    </w:rPr>
  </w:style>
  <w:style w:type="character" w:customStyle="1" w:styleId="97">
    <w:name w:val="正文文本缩进 3 Char1"/>
    <w:semiHidden/>
    <w:qFormat/>
    <w:uiPriority w:val="99"/>
    <w:rPr>
      <w:rFonts w:ascii="Times New Roman" w:hAnsi="Times New Roman" w:eastAsia="宋体" w:cs="Times New Roman"/>
      <w:sz w:val="16"/>
      <w:szCs w:val="16"/>
    </w:rPr>
  </w:style>
  <w:style w:type="character" w:customStyle="1" w:styleId="98">
    <w:name w:val="普通文字 Char Char4"/>
    <w:qFormat/>
    <w:uiPriority w:val="0"/>
    <w:rPr>
      <w:rFonts w:ascii="宋体" w:hAnsi="Courier New" w:eastAsia="宋体" w:cs="Courier New"/>
      <w:szCs w:val="21"/>
    </w:rPr>
  </w:style>
  <w:style w:type="character" w:customStyle="1" w:styleId="99">
    <w:name w:val="text1"/>
    <w:basedOn w:val="51"/>
    <w:qFormat/>
    <w:uiPriority w:val="0"/>
  </w:style>
  <w:style w:type="character" w:customStyle="1" w:styleId="100">
    <w:name w:val="表正文 Char2"/>
    <w:qFormat/>
    <w:uiPriority w:val="0"/>
    <w:rPr>
      <w:rFonts w:ascii="Times New Roman" w:hAnsi="Times New Roman"/>
      <w:kern w:val="2"/>
      <w:sz w:val="21"/>
    </w:rPr>
  </w:style>
  <w:style w:type="character" w:customStyle="1" w:styleId="101">
    <w:name w:val="项目排列 Char Char"/>
    <w:link w:val="102"/>
    <w:qFormat/>
    <w:uiPriority w:val="0"/>
    <w:rPr>
      <w:kern w:val="2"/>
      <w:sz w:val="24"/>
      <w:szCs w:val="24"/>
    </w:rPr>
  </w:style>
  <w:style w:type="paragraph" w:customStyle="1" w:styleId="102">
    <w:name w:val="项目排列"/>
    <w:basedOn w:val="1"/>
    <w:link w:val="101"/>
    <w:qFormat/>
    <w:uiPriority w:val="0"/>
    <w:pPr>
      <w:numPr>
        <w:ilvl w:val="0"/>
        <w:numId w:val="1"/>
      </w:numPr>
      <w:tabs>
        <w:tab w:val="left" w:pos="1200"/>
      </w:tabs>
      <w:spacing w:before="156" w:beforeLines="50" w:after="156" w:afterLines="50" w:line="300" w:lineRule="auto"/>
    </w:pPr>
    <w:rPr>
      <w:sz w:val="24"/>
    </w:rPr>
  </w:style>
  <w:style w:type="character" w:customStyle="1" w:styleId="103">
    <w:name w:val="正文文本缩进 3 字符"/>
    <w:link w:val="39"/>
    <w:qFormat/>
    <w:uiPriority w:val="0"/>
    <w:rPr>
      <w:kern w:val="2"/>
      <w:sz w:val="16"/>
      <w:szCs w:val="16"/>
    </w:rPr>
  </w:style>
  <w:style w:type="character" w:customStyle="1" w:styleId="104">
    <w:name w:val="text11"/>
    <w:qFormat/>
    <w:uiPriority w:val="0"/>
    <w:rPr>
      <w:rFonts w:hint="default" w:ascii="Verdana" w:hAnsi="Verdana"/>
      <w:color w:val="4E4E4E"/>
      <w:sz w:val="18"/>
      <w:szCs w:val="18"/>
    </w:rPr>
  </w:style>
  <w:style w:type="character" w:customStyle="1" w:styleId="105">
    <w:name w:val="批注文字 字符"/>
    <w:link w:val="17"/>
    <w:qFormat/>
    <w:uiPriority w:val="99"/>
    <w:rPr>
      <w:kern w:val="2"/>
      <w:sz w:val="21"/>
      <w:szCs w:val="24"/>
    </w:rPr>
  </w:style>
  <w:style w:type="character" w:customStyle="1" w:styleId="106">
    <w:name w:val="lmain1"/>
    <w:qFormat/>
    <w:uiPriority w:val="0"/>
    <w:rPr>
      <w:color w:val="407AAB"/>
      <w:sz w:val="30"/>
      <w:szCs w:val="30"/>
    </w:rPr>
  </w:style>
  <w:style w:type="character" w:customStyle="1" w:styleId="107">
    <w:name w:val="case31"/>
    <w:qFormat/>
    <w:uiPriority w:val="0"/>
    <w:rPr>
      <w:rFonts w:hint="default"/>
      <w:sz w:val="21"/>
      <w:szCs w:val="21"/>
    </w:rPr>
  </w:style>
  <w:style w:type="character" w:customStyle="1" w:styleId="108">
    <w:name w:val="ca-11"/>
    <w:qFormat/>
    <w:uiPriority w:val="0"/>
    <w:rPr>
      <w:rFonts w:hint="eastAsia" w:ascii="宋体" w:hAnsi="宋体" w:eastAsia="宋体"/>
      <w:b/>
      <w:bCs/>
      <w:spacing w:val="-20"/>
      <w:sz w:val="21"/>
      <w:szCs w:val="21"/>
    </w:rPr>
  </w:style>
  <w:style w:type="character" w:customStyle="1" w:styleId="109">
    <w:name w:val="f161"/>
    <w:qFormat/>
    <w:uiPriority w:val="0"/>
    <w:rPr>
      <w:b/>
      <w:bCs/>
      <w:sz w:val="24"/>
      <w:szCs w:val="24"/>
    </w:rPr>
  </w:style>
  <w:style w:type="character" w:customStyle="1" w:styleId="110">
    <w:name w:val="标题 4 字符"/>
    <w:qFormat/>
    <w:uiPriority w:val="0"/>
    <w:rPr>
      <w:rFonts w:ascii="Arial" w:hAnsi="Arial" w:eastAsia="黑体"/>
      <w:b/>
      <w:bCs/>
      <w:kern w:val="2"/>
      <w:sz w:val="28"/>
      <w:szCs w:val="28"/>
    </w:rPr>
  </w:style>
  <w:style w:type="character" w:customStyle="1" w:styleId="111">
    <w:name w:val="正文文本 2 Char2"/>
    <w:qFormat/>
    <w:uiPriority w:val="99"/>
    <w:rPr>
      <w:kern w:val="2"/>
      <w:sz w:val="21"/>
      <w:szCs w:val="24"/>
    </w:rPr>
  </w:style>
  <w:style w:type="character" w:customStyle="1" w:styleId="112">
    <w:name w:val="style1"/>
    <w:basedOn w:val="51"/>
    <w:qFormat/>
    <w:uiPriority w:val="0"/>
  </w:style>
  <w:style w:type="character" w:customStyle="1" w:styleId="113">
    <w:name w:val="ca-21"/>
    <w:qFormat/>
    <w:uiPriority w:val="0"/>
    <w:rPr>
      <w:rFonts w:hint="eastAsia" w:ascii="宋体" w:hAnsi="宋体" w:eastAsia="宋体"/>
      <w:sz w:val="21"/>
      <w:szCs w:val="21"/>
    </w:rPr>
  </w:style>
  <w:style w:type="character" w:customStyle="1" w:styleId="114">
    <w:name w:val="HTML 预设格式 字符"/>
    <w:link w:val="43"/>
    <w:qFormat/>
    <w:uiPriority w:val="99"/>
    <w:rPr>
      <w:rFonts w:ascii="宋体" w:hAnsi="宋体" w:cs="宋体"/>
      <w:sz w:val="24"/>
      <w:szCs w:val="24"/>
    </w:rPr>
  </w:style>
  <w:style w:type="character" w:customStyle="1" w:styleId="115">
    <w:name w:val="Char Char11"/>
    <w:qFormat/>
    <w:uiPriority w:val="0"/>
    <w:rPr>
      <w:rFonts w:ascii="宋体" w:hAnsi="Courier New" w:eastAsia="宋体" w:cs="Courier New"/>
      <w:szCs w:val="21"/>
    </w:rPr>
  </w:style>
  <w:style w:type="character" w:customStyle="1" w:styleId="116">
    <w:name w:val="日期 Char2"/>
    <w:semiHidden/>
    <w:qFormat/>
    <w:uiPriority w:val="99"/>
    <w:rPr>
      <w:kern w:val="2"/>
      <w:sz w:val="21"/>
      <w:szCs w:val="24"/>
    </w:rPr>
  </w:style>
  <w:style w:type="character" w:customStyle="1" w:styleId="117">
    <w:name w:val="hei16b"/>
    <w:basedOn w:val="51"/>
    <w:qFormat/>
    <w:uiPriority w:val="0"/>
  </w:style>
  <w:style w:type="character" w:customStyle="1" w:styleId="118">
    <w:name w:val="标题 1 字符"/>
    <w:qFormat/>
    <w:uiPriority w:val="0"/>
    <w:rPr>
      <w:b/>
      <w:bCs/>
      <w:kern w:val="44"/>
      <w:sz w:val="44"/>
      <w:szCs w:val="44"/>
    </w:rPr>
  </w:style>
  <w:style w:type="character" w:customStyle="1" w:styleId="119">
    <w:name w:val="页眉 Char1"/>
    <w:semiHidden/>
    <w:qFormat/>
    <w:uiPriority w:val="99"/>
    <w:rPr>
      <w:kern w:val="2"/>
      <w:sz w:val="18"/>
      <w:szCs w:val="18"/>
    </w:rPr>
  </w:style>
  <w:style w:type="character" w:customStyle="1" w:styleId="120">
    <w:name w:val="正文缩进 Char1"/>
    <w:qFormat/>
    <w:uiPriority w:val="0"/>
    <w:rPr>
      <w:rFonts w:ascii="Times New Roman" w:hAnsi="Times New Roman"/>
      <w:kern w:val="2"/>
      <w:sz w:val="21"/>
    </w:rPr>
  </w:style>
  <w:style w:type="character" w:customStyle="1" w:styleId="121">
    <w:name w:val="font12-blue-bold1"/>
    <w:qFormat/>
    <w:uiPriority w:val="0"/>
    <w:rPr>
      <w:b/>
      <w:bCs/>
      <w:color w:val="0249A5"/>
      <w:sz w:val="14"/>
      <w:szCs w:val="14"/>
      <w:u w:val="none"/>
    </w:rPr>
  </w:style>
  <w:style w:type="character" w:customStyle="1" w:styleId="122">
    <w:name w:val="正文文本 字符"/>
    <w:link w:val="19"/>
    <w:qFormat/>
    <w:uiPriority w:val="0"/>
    <w:rPr>
      <w:kern w:val="2"/>
      <w:sz w:val="24"/>
      <w:szCs w:val="24"/>
    </w:rPr>
  </w:style>
  <w:style w:type="character" w:customStyle="1" w:styleId="123">
    <w:name w:val="Body Text Indent 3 Char"/>
    <w:qFormat/>
    <w:locked/>
    <w:uiPriority w:val="99"/>
    <w:rPr>
      <w:rFonts w:eastAsia="宋体"/>
      <w:sz w:val="16"/>
    </w:rPr>
  </w:style>
  <w:style w:type="character" w:customStyle="1" w:styleId="124">
    <w:name w:val="批注主题 字符"/>
    <w:link w:val="47"/>
    <w:qFormat/>
    <w:uiPriority w:val="0"/>
    <w:rPr>
      <w:b/>
      <w:bCs/>
      <w:kern w:val="2"/>
      <w:sz w:val="21"/>
      <w:szCs w:val="24"/>
    </w:rPr>
  </w:style>
  <w:style w:type="character" w:customStyle="1" w:styleId="125">
    <w:name w:val="bold1"/>
    <w:qFormat/>
    <w:uiPriority w:val="0"/>
    <w:rPr>
      <w:rFonts w:hint="default"/>
      <w:b/>
      <w:bCs/>
      <w:color w:val="000000"/>
      <w:sz w:val="18"/>
      <w:szCs w:val="18"/>
    </w:rPr>
  </w:style>
  <w:style w:type="character" w:customStyle="1" w:styleId="126">
    <w:name w:val="标题 6 字符"/>
    <w:qFormat/>
    <w:uiPriority w:val="0"/>
    <w:rPr>
      <w:rFonts w:ascii="Arial" w:hAnsi="Arial" w:eastAsia="黑体"/>
      <w:b/>
      <w:kern w:val="2"/>
      <w:sz w:val="24"/>
      <w:szCs w:val="24"/>
    </w:rPr>
  </w:style>
  <w:style w:type="character" w:customStyle="1" w:styleId="127">
    <w:name w:val="文档结构图 Char1"/>
    <w:qFormat/>
    <w:uiPriority w:val="99"/>
    <w:rPr>
      <w:rFonts w:ascii="宋体"/>
      <w:kern w:val="2"/>
      <w:sz w:val="18"/>
      <w:szCs w:val="18"/>
    </w:rPr>
  </w:style>
  <w:style w:type="character" w:customStyle="1" w:styleId="128">
    <w:name w:val="正文文本 Char1"/>
    <w:semiHidden/>
    <w:qFormat/>
    <w:uiPriority w:val="99"/>
    <w:rPr>
      <w:rFonts w:ascii="Times New Roman" w:hAnsi="Times New Roman" w:eastAsia="宋体" w:cs="Times New Roman"/>
      <w:szCs w:val="24"/>
    </w:rPr>
  </w:style>
  <w:style w:type="character" w:customStyle="1" w:styleId="129">
    <w:name w:val="页眉 字符"/>
    <w:link w:val="32"/>
    <w:qFormat/>
    <w:uiPriority w:val="0"/>
    <w:rPr>
      <w:kern w:val="2"/>
      <w:sz w:val="18"/>
      <w:szCs w:val="18"/>
    </w:rPr>
  </w:style>
  <w:style w:type="character" w:customStyle="1" w:styleId="130">
    <w:name w:val="正文文本缩进 Char1"/>
    <w:semiHidden/>
    <w:qFormat/>
    <w:uiPriority w:val="99"/>
    <w:rPr>
      <w:kern w:val="2"/>
      <w:sz w:val="21"/>
      <w:szCs w:val="24"/>
    </w:rPr>
  </w:style>
  <w:style w:type="character" w:customStyle="1" w:styleId="131">
    <w:name w:val="正文文本 2 Char1"/>
    <w:semiHidden/>
    <w:qFormat/>
    <w:uiPriority w:val="99"/>
    <w:rPr>
      <w:rFonts w:ascii="Times New Roman" w:hAnsi="Times New Roman" w:eastAsia="宋体" w:cs="Times New Roman"/>
      <w:szCs w:val="24"/>
    </w:rPr>
  </w:style>
  <w:style w:type="character" w:customStyle="1" w:styleId="132">
    <w:name w:val="文档结构图 字符"/>
    <w:link w:val="16"/>
    <w:qFormat/>
    <w:uiPriority w:val="0"/>
    <w:rPr>
      <w:kern w:val="2"/>
      <w:sz w:val="21"/>
      <w:szCs w:val="24"/>
      <w:shd w:val="clear" w:color="auto" w:fill="000080"/>
    </w:rPr>
  </w:style>
  <w:style w:type="character" w:customStyle="1" w:styleId="133">
    <w:name w:val="纯文本 字符"/>
    <w:link w:val="26"/>
    <w:qFormat/>
    <w:uiPriority w:val="0"/>
    <w:rPr>
      <w:rFonts w:ascii="宋体" w:hAnsi="Courier New" w:eastAsia="宋体" w:cs="Courier New"/>
      <w:kern w:val="2"/>
      <w:sz w:val="21"/>
      <w:szCs w:val="21"/>
      <w:lang w:val="en-US" w:eastAsia="zh-CN" w:bidi="ar-SA"/>
    </w:rPr>
  </w:style>
  <w:style w:type="character" w:customStyle="1" w:styleId="134">
    <w:name w:val="apple-style-span"/>
    <w:qFormat/>
    <w:uiPriority w:val="0"/>
  </w:style>
  <w:style w:type="character" w:customStyle="1" w:styleId="135">
    <w:name w:val="页脚 字符"/>
    <w:link w:val="31"/>
    <w:qFormat/>
    <w:uiPriority w:val="99"/>
    <w:rPr>
      <w:kern w:val="2"/>
      <w:sz w:val="18"/>
      <w:szCs w:val="18"/>
    </w:rPr>
  </w:style>
  <w:style w:type="character" w:customStyle="1" w:styleId="136">
    <w:name w:val="标题 8 字符"/>
    <w:link w:val="11"/>
    <w:qFormat/>
    <w:uiPriority w:val="0"/>
    <w:rPr>
      <w:rFonts w:ascii="Arial" w:hAnsi="Arial" w:eastAsia="黑体"/>
      <w:kern w:val="2"/>
      <w:sz w:val="24"/>
      <w:szCs w:val="24"/>
    </w:rPr>
  </w:style>
  <w:style w:type="character" w:customStyle="1" w:styleId="137">
    <w:name w:val="Char Char4"/>
    <w:semiHidden/>
    <w:qFormat/>
    <w:uiPriority w:val="0"/>
    <w:rPr>
      <w:rFonts w:ascii="Times New Roman" w:hAnsi="Times New Roman" w:eastAsia="宋体" w:cs="Times New Roman"/>
      <w:sz w:val="16"/>
      <w:szCs w:val="16"/>
    </w:rPr>
  </w:style>
  <w:style w:type="character" w:customStyle="1" w:styleId="138">
    <w:name w:val="Plain Text Char"/>
    <w:qFormat/>
    <w:locked/>
    <w:uiPriority w:val="0"/>
    <w:rPr>
      <w:rFonts w:ascii="宋体" w:hAnsi="Courier New" w:eastAsia="宋体"/>
    </w:rPr>
  </w:style>
  <w:style w:type="character" w:customStyle="1" w:styleId="139">
    <w:name w:val="ca-41"/>
    <w:qFormat/>
    <w:uiPriority w:val="0"/>
    <w:rPr>
      <w:rFonts w:hint="eastAsia" w:ascii="宋体" w:hAnsi="宋体" w:eastAsia="宋体"/>
      <w:color w:val="FF0000"/>
      <w:sz w:val="21"/>
      <w:szCs w:val="21"/>
    </w:rPr>
  </w:style>
  <w:style w:type="character" w:customStyle="1" w:styleId="140">
    <w:name w:val="无间隔 字符"/>
    <w:link w:val="141"/>
    <w:qFormat/>
    <w:uiPriority w:val="1"/>
    <w:rPr>
      <w:rFonts w:hAnsi="Courier New"/>
      <w:kern w:val="2"/>
      <w:sz w:val="21"/>
      <w:lang w:val="en-US" w:eastAsia="zh-CN" w:bidi="ar-SA"/>
    </w:rPr>
  </w:style>
  <w:style w:type="paragraph" w:styleId="141">
    <w:name w:val="No Spacing"/>
    <w:link w:val="140"/>
    <w:qFormat/>
    <w:uiPriority w:val="1"/>
    <w:pPr>
      <w:widowControl w:val="0"/>
      <w:jc w:val="both"/>
    </w:pPr>
    <w:rPr>
      <w:rFonts w:ascii="Times New Roman" w:hAnsi="Courier New" w:eastAsia="宋体" w:cs="Times New Roman"/>
      <w:kern w:val="2"/>
      <w:sz w:val="21"/>
      <w:lang w:val="en-US" w:eastAsia="zh-CN" w:bidi="ar-SA"/>
    </w:rPr>
  </w:style>
  <w:style w:type="character" w:customStyle="1" w:styleId="142">
    <w:name w:val="正文文本缩进 2 字符"/>
    <w:link w:val="29"/>
    <w:qFormat/>
    <w:uiPriority w:val="0"/>
    <w:rPr>
      <w:kern w:val="2"/>
      <w:sz w:val="21"/>
      <w:szCs w:val="24"/>
    </w:rPr>
  </w:style>
  <w:style w:type="character" w:customStyle="1" w:styleId="143">
    <w:name w:val="批注框文本 字符"/>
    <w:link w:val="30"/>
    <w:qFormat/>
    <w:uiPriority w:val="0"/>
    <w:rPr>
      <w:kern w:val="2"/>
      <w:sz w:val="18"/>
      <w:szCs w:val="18"/>
    </w:rPr>
  </w:style>
  <w:style w:type="character" w:customStyle="1" w:styleId="144">
    <w:name w:val="文档正文 Char Char"/>
    <w:link w:val="145"/>
    <w:qFormat/>
    <w:locked/>
    <w:uiPriority w:val="0"/>
    <w:rPr>
      <w:rFonts w:ascii="华文细黑" w:hAnsi="华文细黑" w:eastAsia="华文细黑"/>
      <w:color w:val="000000"/>
      <w:sz w:val="24"/>
    </w:rPr>
  </w:style>
  <w:style w:type="paragraph" w:customStyle="1" w:styleId="145">
    <w:name w:val="文档正文"/>
    <w:basedOn w:val="1"/>
    <w:link w:val="144"/>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6">
    <w:name w:val="纯文本 Char2"/>
    <w:qFormat/>
    <w:uiPriority w:val="0"/>
    <w:rPr>
      <w:rFonts w:ascii="宋体" w:hAnsi="Courier New" w:eastAsia="宋体" w:cs="Courier New"/>
      <w:kern w:val="2"/>
      <w:sz w:val="21"/>
      <w:szCs w:val="21"/>
      <w:lang w:val="en-US" w:eastAsia="zh-CN" w:bidi="ar-SA"/>
    </w:rPr>
  </w:style>
  <w:style w:type="character" w:customStyle="1" w:styleId="147">
    <w:name w:val="font91"/>
    <w:qFormat/>
    <w:uiPriority w:val="0"/>
    <w:rPr>
      <w:rFonts w:hint="default" w:ascii="Times New Roman" w:hAnsi="Times New Roman" w:cs="Times New Roman"/>
      <w:color w:val="000000"/>
      <w:sz w:val="20"/>
      <w:szCs w:val="20"/>
      <w:u w:val="none"/>
    </w:rPr>
  </w:style>
  <w:style w:type="character" w:customStyle="1" w:styleId="148">
    <w:name w:val="062"/>
    <w:qFormat/>
    <w:uiPriority w:val="0"/>
    <w:rPr>
      <w:rFonts w:ascii="宋体" w:hAnsi="宋体"/>
      <w:b/>
      <w:bCs/>
      <w:sz w:val="32"/>
    </w:rPr>
  </w:style>
  <w:style w:type="character" w:customStyle="1" w:styleId="149">
    <w:name w:val="纯文本 Char3"/>
    <w:qFormat/>
    <w:uiPriority w:val="0"/>
    <w:rPr>
      <w:rFonts w:ascii="宋体" w:hAnsi="Courier New" w:eastAsia="宋体" w:cs="Courier New"/>
      <w:szCs w:val="21"/>
    </w:rPr>
  </w:style>
  <w:style w:type="character" w:customStyle="1" w:styleId="150">
    <w:name w:val="正文文本 Char2"/>
    <w:semiHidden/>
    <w:qFormat/>
    <w:uiPriority w:val="99"/>
    <w:rPr>
      <w:kern w:val="2"/>
      <w:sz w:val="21"/>
      <w:szCs w:val="24"/>
    </w:rPr>
  </w:style>
  <w:style w:type="character" w:customStyle="1" w:styleId="151">
    <w:name w:val="纯文本 Char1"/>
    <w:qFormat/>
    <w:uiPriority w:val="0"/>
    <w:rPr>
      <w:rFonts w:ascii="宋体" w:hAnsi="Courier New" w:eastAsia="宋体" w:cs="Courier New"/>
      <w:szCs w:val="21"/>
    </w:rPr>
  </w:style>
  <w:style w:type="character" w:customStyle="1" w:styleId="152">
    <w:name w:val="Char Char1"/>
    <w:qFormat/>
    <w:uiPriority w:val="0"/>
    <w:rPr>
      <w:rFonts w:eastAsia="宋体"/>
      <w:kern w:val="2"/>
      <w:sz w:val="21"/>
      <w:szCs w:val="24"/>
      <w:lang w:bidi="ar-SA"/>
    </w:rPr>
  </w:style>
  <w:style w:type="character" w:customStyle="1" w:styleId="153">
    <w:name w:val="1ji Char"/>
    <w:link w:val="154"/>
    <w:qFormat/>
    <w:uiPriority w:val="0"/>
    <w:rPr>
      <w:rFonts w:ascii="宋体" w:hAnsi="宋体"/>
      <w:b/>
      <w:bCs/>
      <w:kern w:val="44"/>
      <w:sz w:val="36"/>
      <w:szCs w:val="44"/>
    </w:rPr>
  </w:style>
  <w:style w:type="paragraph" w:customStyle="1" w:styleId="154">
    <w:name w:val="1ji"/>
    <w:basedOn w:val="3"/>
    <w:link w:val="153"/>
    <w:qFormat/>
    <w:uiPriority w:val="0"/>
    <w:pPr>
      <w:keepLines w:val="0"/>
      <w:widowControl/>
      <w:spacing w:before="0" w:after="0" w:line="240" w:lineRule="auto"/>
      <w:jc w:val="center"/>
    </w:pPr>
    <w:rPr>
      <w:rFonts w:ascii="宋体" w:hAnsi="宋体"/>
      <w:sz w:val="36"/>
    </w:rPr>
  </w:style>
  <w:style w:type="character" w:customStyle="1" w:styleId="155">
    <w:name w:val="批注主题 Char1"/>
    <w:qFormat/>
    <w:uiPriority w:val="99"/>
    <w:rPr>
      <w:b/>
      <w:bCs/>
      <w:kern w:val="2"/>
      <w:sz w:val="21"/>
      <w:szCs w:val="24"/>
    </w:rPr>
  </w:style>
  <w:style w:type="character" w:customStyle="1" w:styleId="156">
    <w:name w:val="标题3 Char Char"/>
    <w:link w:val="157"/>
    <w:qFormat/>
    <w:uiPriority w:val="0"/>
    <w:rPr>
      <w:rFonts w:eastAsia="仿宋_GB2312"/>
      <w:bCs/>
      <w:kern w:val="2"/>
      <w:sz w:val="30"/>
      <w:szCs w:val="32"/>
    </w:rPr>
  </w:style>
  <w:style w:type="paragraph" w:customStyle="1" w:styleId="157">
    <w:name w:val="标题3"/>
    <w:basedOn w:val="5"/>
    <w:link w:val="156"/>
    <w:qFormat/>
    <w:uiPriority w:val="0"/>
    <w:pPr>
      <w:keepNext w:val="0"/>
      <w:keepLines w:val="0"/>
      <w:spacing w:before="0" w:after="0" w:line="360" w:lineRule="auto"/>
    </w:pPr>
    <w:rPr>
      <w:rFonts w:eastAsia="仿宋_GB2312"/>
      <w:b w:val="0"/>
      <w:sz w:val="30"/>
    </w:rPr>
  </w:style>
  <w:style w:type="character" w:customStyle="1" w:styleId="158">
    <w:name w:val="批注框文本 Char1"/>
    <w:semiHidden/>
    <w:qFormat/>
    <w:uiPriority w:val="99"/>
    <w:rPr>
      <w:kern w:val="2"/>
      <w:sz w:val="18"/>
      <w:szCs w:val="18"/>
    </w:rPr>
  </w:style>
  <w:style w:type="character" w:customStyle="1" w:styleId="159">
    <w:name w:val="正文文本 2 字符"/>
    <w:link w:val="42"/>
    <w:qFormat/>
    <w:uiPriority w:val="0"/>
    <w:rPr>
      <w:szCs w:val="24"/>
    </w:rPr>
  </w:style>
  <w:style w:type="character" w:customStyle="1" w:styleId="160">
    <w:name w:val="引用 Char2"/>
    <w:qFormat/>
    <w:uiPriority w:val="29"/>
    <w:rPr>
      <w:i/>
      <w:iCs/>
      <w:color w:val="000000"/>
      <w:kern w:val="2"/>
      <w:sz w:val="21"/>
      <w:szCs w:val="24"/>
    </w:rPr>
  </w:style>
  <w:style w:type="paragraph" w:customStyle="1" w:styleId="161">
    <w:name w:val="Char Char Char"/>
    <w:basedOn w:val="1"/>
    <w:qFormat/>
    <w:uiPriority w:val="0"/>
    <w:rPr>
      <w:rFonts w:ascii="Tahoma" w:hAnsi="Tahoma"/>
      <w:sz w:val="24"/>
      <w:szCs w:val="20"/>
    </w:rPr>
  </w:style>
  <w:style w:type="paragraph" w:customStyle="1" w:styleId="162">
    <w:name w:val="Char11"/>
    <w:basedOn w:val="1"/>
    <w:qFormat/>
    <w:uiPriority w:val="0"/>
    <w:rPr>
      <w:szCs w:val="21"/>
    </w:rPr>
  </w:style>
  <w:style w:type="paragraph" w:customStyle="1" w:styleId="163">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4">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5">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6">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7">
    <w:name w:val="2ji"/>
    <w:basedOn w:val="4"/>
    <w:qFormat/>
    <w:uiPriority w:val="0"/>
    <w:pPr>
      <w:keepLines/>
      <w:spacing w:before="0"/>
      <w:jc w:val="both"/>
      <w:textAlignment w:val="baseline"/>
    </w:pPr>
    <w:rPr>
      <w:rFonts w:ascii="宋体" w:hAnsi="宋体" w:eastAsia="宋体"/>
      <w:bCs/>
      <w:sz w:val="21"/>
      <w:szCs w:val="21"/>
    </w:rPr>
  </w:style>
  <w:style w:type="paragraph" w:customStyle="1" w:styleId="168">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9">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70">
    <w:name w:val="正文段"/>
    <w:basedOn w:val="1"/>
    <w:qFormat/>
    <w:uiPriority w:val="0"/>
    <w:pPr>
      <w:widowControl/>
      <w:snapToGrid w:val="0"/>
      <w:spacing w:after="156" w:afterLines="50"/>
      <w:ind w:firstLine="200" w:firstLineChars="200"/>
    </w:pPr>
    <w:rPr>
      <w:kern w:val="0"/>
      <w:sz w:val="24"/>
      <w:szCs w:val="20"/>
    </w:rPr>
  </w:style>
  <w:style w:type="paragraph" w:customStyle="1" w:styleId="171">
    <w:name w:val="五级条标题"/>
    <w:basedOn w:val="172"/>
    <w:next w:val="175"/>
    <w:qFormat/>
    <w:uiPriority w:val="0"/>
    <w:pPr>
      <w:outlineLvl w:val="6"/>
    </w:pPr>
  </w:style>
  <w:style w:type="paragraph" w:customStyle="1" w:styleId="172">
    <w:name w:val="四级条标题"/>
    <w:basedOn w:val="173"/>
    <w:next w:val="175"/>
    <w:qFormat/>
    <w:uiPriority w:val="0"/>
    <w:pPr>
      <w:outlineLvl w:val="5"/>
    </w:pPr>
  </w:style>
  <w:style w:type="paragraph" w:customStyle="1" w:styleId="173">
    <w:name w:val="三级条标题"/>
    <w:basedOn w:val="174"/>
    <w:next w:val="175"/>
    <w:qFormat/>
    <w:uiPriority w:val="0"/>
    <w:pPr>
      <w:outlineLvl w:val="4"/>
    </w:pPr>
  </w:style>
  <w:style w:type="paragraph" w:customStyle="1" w:styleId="174">
    <w:name w:val="二级条标题"/>
    <w:basedOn w:val="1"/>
    <w:next w:val="1"/>
    <w:qFormat/>
    <w:uiPriority w:val="0"/>
    <w:pPr>
      <w:widowControl/>
      <w:jc w:val="left"/>
      <w:outlineLvl w:val="3"/>
    </w:pPr>
    <w:rPr>
      <w:rFonts w:ascii="宋体" w:hAnsi="宋体"/>
      <w:color w:val="000000"/>
      <w:kern w:val="0"/>
      <w:szCs w:val="20"/>
    </w:rPr>
  </w:style>
  <w:style w:type="paragraph" w:customStyle="1" w:styleId="175">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6">
    <w:name w:val="表格"/>
    <w:basedOn w:val="1"/>
    <w:qFormat/>
    <w:uiPriority w:val="0"/>
    <w:pPr>
      <w:spacing w:line="400" w:lineRule="exact"/>
    </w:pPr>
    <w:rPr>
      <w:sz w:val="24"/>
    </w:rPr>
  </w:style>
  <w:style w:type="paragraph" w:customStyle="1" w:styleId="177">
    <w:name w:val="列表段落1"/>
    <w:basedOn w:val="1"/>
    <w:qFormat/>
    <w:uiPriority w:val="0"/>
    <w:pPr>
      <w:ind w:firstLine="420" w:firstLineChars="200"/>
    </w:pPr>
    <w:rPr>
      <w:rFonts w:ascii="Calibri" w:hAnsi="Calibri"/>
      <w:szCs w:val="22"/>
    </w:rPr>
  </w:style>
  <w:style w:type="paragraph" w:customStyle="1" w:styleId="178">
    <w:name w:val="Char1 Char Char Char Char Char Char Char Char Char Char Char Char"/>
    <w:basedOn w:val="1"/>
    <w:qFormat/>
    <w:uiPriority w:val="0"/>
    <w:rPr>
      <w:rFonts w:ascii="Tahoma" w:hAnsi="Tahoma"/>
      <w:sz w:val="24"/>
      <w:szCs w:val="20"/>
    </w:rPr>
  </w:style>
  <w:style w:type="paragraph" w:customStyle="1" w:styleId="179">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0">
    <w:name w:val="p0"/>
    <w:basedOn w:val="1"/>
    <w:qFormat/>
    <w:uiPriority w:val="0"/>
    <w:pPr>
      <w:widowControl/>
    </w:pPr>
    <w:rPr>
      <w:kern w:val="0"/>
      <w:szCs w:val="21"/>
    </w:rPr>
  </w:style>
  <w:style w:type="paragraph" w:customStyle="1" w:styleId="181">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2">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3">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4">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5">
    <w:name w:val="pa-5"/>
    <w:basedOn w:val="1"/>
    <w:qFormat/>
    <w:uiPriority w:val="0"/>
    <w:pPr>
      <w:widowControl/>
      <w:spacing w:line="240" w:lineRule="atLeast"/>
      <w:ind w:firstLine="420"/>
    </w:pPr>
    <w:rPr>
      <w:rFonts w:ascii="宋体" w:hAnsi="宋体" w:cs="宋体"/>
      <w:kern w:val="0"/>
      <w:sz w:val="24"/>
    </w:rPr>
  </w:style>
  <w:style w:type="paragraph" w:customStyle="1" w:styleId="186">
    <w:name w:val="默认段落字体 Para Char Char Char1 Char"/>
    <w:basedOn w:val="1"/>
    <w:qFormat/>
    <w:uiPriority w:val="0"/>
    <w:rPr>
      <w:rFonts w:ascii="Tahoma" w:hAnsi="Tahoma"/>
      <w:sz w:val="24"/>
      <w:szCs w:val="20"/>
    </w:rPr>
  </w:style>
  <w:style w:type="paragraph" w:customStyle="1" w:styleId="187">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8">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444"/>
    <w:basedOn w:val="1"/>
    <w:qFormat/>
    <w:uiPriority w:val="0"/>
    <w:pPr>
      <w:adjustRightInd w:val="0"/>
      <w:spacing w:line="312" w:lineRule="atLeast"/>
      <w:jc w:val="center"/>
      <w:textAlignment w:val="baseline"/>
    </w:pPr>
    <w:rPr>
      <w:b/>
      <w:kern w:val="0"/>
      <w:sz w:val="36"/>
      <w:szCs w:val="36"/>
    </w:rPr>
  </w:style>
  <w:style w:type="paragraph" w:customStyle="1" w:styleId="190">
    <w:name w:val="列表1"/>
    <w:basedOn w:val="191"/>
    <w:qFormat/>
    <w:uiPriority w:val="0"/>
    <w:pPr>
      <w:tabs>
        <w:tab w:val="left" w:pos="900"/>
      </w:tabs>
      <w:ind w:left="900" w:hanging="420"/>
    </w:pPr>
    <w:rPr>
      <w:rFonts w:ascii="Times New Roman" w:hAnsi="Times New Roman"/>
      <w:szCs w:val="20"/>
    </w:rPr>
  </w:style>
  <w:style w:type="paragraph" w:customStyle="1" w:styleId="191">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3">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19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5">
    <w:name w:val="样式 Verdana 首行缩进:  0.74 厘米"/>
    <w:basedOn w:val="1"/>
    <w:qFormat/>
    <w:uiPriority w:val="0"/>
    <w:pPr>
      <w:spacing w:line="360" w:lineRule="auto"/>
      <w:ind w:firstLine="420"/>
    </w:pPr>
    <w:rPr>
      <w:rFonts w:ascii="Verdana" w:hAnsi="Verdana"/>
      <w:sz w:val="24"/>
      <w:szCs w:val="20"/>
    </w:rPr>
  </w:style>
  <w:style w:type="paragraph" w:customStyle="1" w:styleId="196">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7">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198">
    <w:name w:val="列出段落1"/>
    <w:basedOn w:val="1"/>
    <w:qFormat/>
    <w:uiPriority w:val="0"/>
    <w:pPr>
      <w:ind w:firstLine="420" w:firstLineChars="200"/>
    </w:pPr>
    <w:rPr>
      <w:rFonts w:ascii="Calibri" w:hAnsi="Calibri"/>
      <w:szCs w:val="22"/>
    </w:rPr>
  </w:style>
  <w:style w:type="paragraph" w:customStyle="1" w:styleId="199">
    <w:name w:val="_Style 2"/>
    <w:basedOn w:val="1"/>
    <w:qFormat/>
    <w:uiPriority w:val="0"/>
    <w:pPr>
      <w:ind w:firstLine="420" w:firstLineChars="200"/>
    </w:pPr>
  </w:style>
  <w:style w:type="paragraph" w:customStyle="1" w:styleId="200">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01">
    <w:name w:val="Char"/>
    <w:basedOn w:val="1"/>
    <w:qFormat/>
    <w:uiPriority w:val="0"/>
  </w:style>
  <w:style w:type="paragraph" w:customStyle="1" w:styleId="202">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3">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4">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5">
    <w:name w:val="Char Char Char Char"/>
    <w:basedOn w:val="1"/>
    <w:qFormat/>
    <w:uiPriority w:val="0"/>
  </w:style>
  <w:style w:type="paragraph" w:customStyle="1" w:styleId="206">
    <w:name w:val="1"/>
    <w:basedOn w:val="1"/>
    <w:next w:val="26"/>
    <w:qFormat/>
    <w:uiPriority w:val="0"/>
    <w:rPr>
      <w:rFonts w:ascii="宋体" w:hAnsi="Courier New"/>
      <w:szCs w:val="20"/>
    </w:rPr>
  </w:style>
  <w:style w:type="paragraph" w:customStyle="1" w:styleId="207">
    <w:name w:val="Char Char Char Char1"/>
    <w:basedOn w:val="1"/>
    <w:qFormat/>
    <w:uiPriority w:val="0"/>
  </w:style>
  <w:style w:type="paragraph" w:customStyle="1" w:styleId="208">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0">
    <w:name w:val="pa-3"/>
    <w:basedOn w:val="1"/>
    <w:qFormat/>
    <w:uiPriority w:val="0"/>
    <w:pPr>
      <w:widowControl/>
      <w:spacing w:line="240" w:lineRule="atLeast"/>
    </w:pPr>
    <w:rPr>
      <w:rFonts w:ascii="宋体" w:hAnsi="宋体" w:cs="宋体"/>
      <w:kern w:val="0"/>
      <w:sz w:val="24"/>
    </w:rPr>
  </w:style>
  <w:style w:type="paragraph" w:customStyle="1" w:styleId="211">
    <w:name w:val="规范正文"/>
    <w:basedOn w:val="1"/>
    <w:qFormat/>
    <w:uiPriority w:val="0"/>
    <w:pPr>
      <w:adjustRightInd w:val="0"/>
      <w:spacing w:line="360" w:lineRule="auto"/>
      <w:ind w:left="480"/>
      <w:textAlignment w:val="baseline"/>
    </w:pPr>
    <w:rPr>
      <w:kern w:val="0"/>
      <w:sz w:val="24"/>
      <w:szCs w:val="20"/>
    </w:rPr>
  </w:style>
  <w:style w:type="paragraph" w:customStyle="1" w:styleId="212">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3">
    <w:name w:val="pa-2"/>
    <w:basedOn w:val="1"/>
    <w:qFormat/>
    <w:uiPriority w:val="0"/>
    <w:pPr>
      <w:widowControl/>
      <w:spacing w:line="280" w:lineRule="atLeast"/>
      <w:ind w:firstLine="420"/>
    </w:pPr>
    <w:rPr>
      <w:rFonts w:ascii="宋体" w:hAnsi="宋体" w:cs="宋体"/>
      <w:kern w:val="0"/>
      <w:sz w:val="24"/>
    </w:rPr>
  </w:style>
  <w:style w:type="paragraph" w:customStyle="1" w:styleId="214">
    <w:name w:val="Char1"/>
    <w:basedOn w:val="16"/>
    <w:qFormat/>
    <w:uiPriority w:val="0"/>
    <w:pPr>
      <w:widowControl/>
      <w:ind w:firstLine="454"/>
      <w:jc w:val="left"/>
    </w:pPr>
    <w:rPr>
      <w:rFonts w:ascii="Tahoma" w:hAnsi="Tahoma" w:cs="宋体"/>
      <w:kern w:val="0"/>
      <w:sz w:val="24"/>
      <w:szCs w:val="20"/>
    </w:rPr>
  </w:style>
  <w:style w:type="paragraph" w:customStyle="1" w:styleId="215">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6">
    <w:name w:val="正文1"/>
    <w:basedOn w:val="1"/>
    <w:qFormat/>
    <w:uiPriority w:val="0"/>
    <w:pPr>
      <w:widowControl/>
      <w:overflowPunct w:val="0"/>
      <w:autoSpaceDE w:val="0"/>
      <w:autoSpaceDN w:val="0"/>
      <w:adjustRightInd w:val="0"/>
    </w:pPr>
    <w:rPr>
      <w:rFonts w:ascii="宋体"/>
      <w:kern w:val="0"/>
      <w:szCs w:val="20"/>
    </w:rPr>
  </w:style>
  <w:style w:type="paragraph" w:customStyle="1" w:styleId="217">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18">
    <w:name w:val="正文首行缩进两字符"/>
    <w:basedOn w:val="1"/>
    <w:qFormat/>
    <w:uiPriority w:val="0"/>
    <w:pPr>
      <w:spacing w:line="360" w:lineRule="auto"/>
      <w:ind w:firstLine="200" w:firstLineChars="200"/>
    </w:pPr>
  </w:style>
  <w:style w:type="paragraph" w:customStyle="1" w:styleId="219">
    <w:name w:val="一级条标题"/>
    <w:next w:val="175"/>
    <w:qFormat/>
    <w:uiPriority w:val="0"/>
    <w:pPr>
      <w:ind w:left="284"/>
      <w:outlineLvl w:val="2"/>
    </w:pPr>
    <w:rPr>
      <w:rFonts w:ascii="Times New Roman" w:hAnsi="Times New Roman" w:eastAsia="黑体" w:cs="Times New Roman"/>
      <w:sz w:val="21"/>
      <w:lang w:val="en-US" w:eastAsia="zh-CN" w:bidi="ar-SA"/>
    </w:rPr>
  </w:style>
  <w:style w:type="paragraph" w:customStyle="1" w:styleId="220">
    <w:name w:val="1."/>
    <w:basedOn w:val="1"/>
    <w:qFormat/>
    <w:uiPriority w:val="0"/>
    <w:pPr>
      <w:spacing w:line="360" w:lineRule="auto"/>
      <w:ind w:firstLine="480" w:firstLineChars="200"/>
    </w:pPr>
    <w:rPr>
      <w:rFonts w:ascii="宋体" w:hAnsi="宋体"/>
      <w:sz w:val="24"/>
    </w:rPr>
  </w:style>
  <w:style w:type="paragraph" w:customStyle="1" w:styleId="221">
    <w:name w:val="样式 首行缩进:  2 字符"/>
    <w:basedOn w:val="1"/>
    <w:qFormat/>
    <w:uiPriority w:val="0"/>
    <w:pPr>
      <w:spacing w:line="400" w:lineRule="exact"/>
      <w:ind w:firstLine="200" w:firstLineChars="200"/>
    </w:pPr>
    <w:rPr>
      <w:rFonts w:cs="宋体"/>
      <w:sz w:val="24"/>
    </w:rPr>
  </w:style>
  <w:style w:type="paragraph" w:customStyle="1" w:styleId="222">
    <w:name w:val="Char Char3 Char Char"/>
    <w:basedOn w:val="1"/>
    <w:qFormat/>
    <w:uiPriority w:val="0"/>
  </w:style>
  <w:style w:type="paragraph" w:customStyle="1" w:styleId="223">
    <w:name w:val="Char12"/>
    <w:basedOn w:val="1"/>
    <w:qFormat/>
    <w:uiPriority w:val="0"/>
    <w:rPr>
      <w:szCs w:val="21"/>
    </w:rPr>
  </w:style>
  <w:style w:type="paragraph" w:customStyle="1" w:styleId="224">
    <w:name w:val="F2"/>
    <w:basedOn w:val="1"/>
    <w:qFormat/>
    <w:uiPriority w:val="0"/>
    <w:pPr>
      <w:autoSpaceDE w:val="0"/>
      <w:autoSpaceDN w:val="0"/>
      <w:adjustRightInd w:val="0"/>
      <w:ind w:firstLine="601"/>
      <w:textAlignment w:val="baseline"/>
    </w:pPr>
    <w:rPr>
      <w:kern w:val="0"/>
      <w:sz w:val="24"/>
      <w:szCs w:val="20"/>
    </w:rPr>
  </w:style>
  <w:style w:type="paragraph" w:customStyle="1" w:styleId="225">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6">
    <w:name w:val="样式6"/>
    <w:basedOn w:val="7"/>
    <w:qFormat/>
    <w:uiPriority w:val="0"/>
    <w:pPr>
      <w:numPr>
        <w:numId w:val="0"/>
      </w:numPr>
      <w:spacing w:line="360" w:lineRule="auto"/>
      <w:ind w:left="210" w:leftChars="100"/>
    </w:pPr>
    <w:rPr>
      <w:rFonts w:ascii="宋体" w:hAnsi="宋体" w:cs="Arial"/>
      <w:bCs/>
      <w:sz w:val="24"/>
    </w:rPr>
  </w:style>
  <w:style w:type="paragraph" w:customStyle="1" w:styleId="227">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8">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9">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230">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31">
    <w:name w:val="默认段落字体 Para Char Char Char Char Char Char Char Char Char1 Char Char Char Char"/>
    <w:basedOn w:val="1"/>
    <w:qFormat/>
    <w:uiPriority w:val="0"/>
    <w:rPr>
      <w:rFonts w:ascii="Tahoma" w:hAnsi="Tahoma"/>
      <w:sz w:val="24"/>
      <w:szCs w:val="20"/>
    </w:rPr>
  </w:style>
  <w:style w:type="paragraph" w:customStyle="1" w:styleId="232">
    <w:name w:val="2-2ji"/>
    <w:basedOn w:val="4"/>
    <w:qFormat/>
    <w:uiPriority w:val="0"/>
    <w:pPr>
      <w:keepLines/>
      <w:spacing w:before="0"/>
      <w:textAlignment w:val="baseline"/>
    </w:pPr>
    <w:rPr>
      <w:rFonts w:ascii="宋体" w:hAnsi="宋体" w:eastAsia="宋体"/>
      <w:sz w:val="36"/>
      <w:szCs w:val="32"/>
    </w:rPr>
  </w:style>
  <w:style w:type="paragraph" w:customStyle="1" w:styleId="233">
    <w:name w:val="表格文字"/>
    <w:basedOn w:val="1"/>
    <w:qFormat/>
    <w:uiPriority w:val="99"/>
    <w:pPr>
      <w:spacing w:before="25" w:after="25"/>
      <w:jc w:val="left"/>
    </w:pPr>
    <w:rPr>
      <w:bCs/>
      <w:spacing w:val="10"/>
      <w:kern w:val="0"/>
      <w:sz w:val="24"/>
    </w:rPr>
  </w:style>
  <w:style w:type="paragraph" w:customStyle="1" w:styleId="234">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5">
    <w:name w:val="正文首行缩进 2 字符"/>
    <w:basedOn w:val="72"/>
    <w:link w:val="48"/>
    <w:semiHidden/>
    <w:qFormat/>
    <w:uiPriority w:val="0"/>
    <w:rPr>
      <w:kern w:val="2"/>
      <w:sz w:val="21"/>
      <w:szCs w:val="24"/>
    </w:rPr>
  </w:style>
  <w:style w:type="paragraph" w:customStyle="1" w:styleId="236">
    <w:name w:val="Normal_file_13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37">
    <w:name w:val="heading 1_file_1322"/>
    <w:basedOn w:val="236"/>
    <w:qFormat/>
    <w:uiPriority w:val="9"/>
    <w:pPr>
      <w:outlineLvl w:val="0"/>
    </w:pPr>
    <w:rPr>
      <w:kern w:val="36"/>
      <w:sz w:val="48"/>
      <w:szCs w:val="48"/>
    </w:rPr>
  </w:style>
  <w:style w:type="paragraph" w:customStyle="1" w:styleId="238">
    <w:name w:val="heading 2_file_1322"/>
    <w:basedOn w:val="236"/>
    <w:qFormat/>
    <w:uiPriority w:val="9"/>
    <w:pPr>
      <w:outlineLvl w:val="1"/>
    </w:pPr>
    <w:rPr>
      <w:sz w:val="36"/>
      <w:szCs w:val="36"/>
    </w:rPr>
  </w:style>
  <w:style w:type="paragraph" w:customStyle="1" w:styleId="239">
    <w:name w:val="heading 3_file_1322"/>
    <w:basedOn w:val="236"/>
    <w:qFormat/>
    <w:uiPriority w:val="9"/>
    <w:pPr>
      <w:outlineLvl w:val="2"/>
    </w:pPr>
    <w:rPr>
      <w:sz w:val="27"/>
      <w:szCs w:val="27"/>
    </w:rPr>
  </w:style>
  <w:style w:type="paragraph" w:customStyle="1" w:styleId="240">
    <w:name w:val="heading 4_file_1322"/>
    <w:basedOn w:val="236"/>
    <w:qFormat/>
    <w:uiPriority w:val="9"/>
    <w:pPr>
      <w:outlineLvl w:val="3"/>
    </w:pPr>
  </w:style>
  <w:style w:type="paragraph" w:customStyle="1" w:styleId="241">
    <w:name w:val="heading 5_file_1322"/>
    <w:basedOn w:val="236"/>
    <w:qFormat/>
    <w:uiPriority w:val="9"/>
    <w:pPr>
      <w:outlineLvl w:val="4"/>
    </w:pPr>
    <w:rPr>
      <w:sz w:val="20"/>
      <w:szCs w:val="20"/>
    </w:rPr>
  </w:style>
  <w:style w:type="paragraph" w:customStyle="1" w:styleId="242">
    <w:name w:val="heading 6_file_1322"/>
    <w:basedOn w:val="236"/>
    <w:qFormat/>
    <w:uiPriority w:val="9"/>
    <w:pPr>
      <w:outlineLvl w:val="5"/>
    </w:pPr>
    <w:rPr>
      <w:sz w:val="15"/>
      <w:szCs w:val="15"/>
    </w:rPr>
  </w:style>
  <w:style w:type="character" w:customStyle="1" w:styleId="243">
    <w:name w:val="Default Paragraph Font_file_1322"/>
    <w:semiHidden/>
    <w:unhideWhenUsed/>
    <w:qFormat/>
    <w:uiPriority w:val="1"/>
  </w:style>
  <w:style w:type="table" w:customStyle="1" w:styleId="244">
    <w:name w:val="Normal Table_file_1322"/>
    <w:semiHidden/>
    <w:unhideWhenUsed/>
    <w:qFormat/>
    <w:uiPriority w:val="99"/>
    <w:tblPr>
      <w:tblCellMar>
        <w:top w:w="0" w:type="dxa"/>
        <w:left w:w="108" w:type="dxa"/>
        <w:bottom w:w="0" w:type="dxa"/>
        <w:right w:w="108" w:type="dxa"/>
      </w:tblCellMar>
    </w:tblPr>
  </w:style>
  <w:style w:type="character" w:customStyle="1" w:styleId="245">
    <w:name w:val="Hyperlink_file_1322"/>
    <w:basedOn w:val="243"/>
    <w:semiHidden/>
    <w:unhideWhenUsed/>
    <w:qFormat/>
    <w:uiPriority w:val="99"/>
    <w:rPr>
      <w:color w:val="0782C1"/>
      <w:u w:val="single"/>
    </w:rPr>
  </w:style>
  <w:style w:type="character" w:customStyle="1" w:styleId="246">
    <w:name w:val="FollowedHyperlink_file_1322"/>
    <w:basedOn w:val="243"/>
    <w:semiHidden/>
    <w:unhideWhenUsed/>
    <w:qFormat/>
    <w:uiPriority w:val="99"/>
    <w:rPr>
      <w:color w:val="0782C1"/>
      <w:u w:val="single"/>
    </w:rPr>
  </w:style>
  <w:style w:type="character" w:customStyle="1" w:styleId="247">
    <w:name w:val="标题 1 Char_file_1322"/>
    <w:basedOn w:val="243"/>
    <w:qFormat/>
    <w:uiPriority w:val="9"/>
    <w:rPr>
      <w:rFonts w:ascii="宋体" w:hAnsi="宋体" w:eastAsia="宋体" w:cs="宋体"/>
      <w:b/>
      <w:bCs/>
      <w:kern w:val="44"/>
      <w:sz w:val="44"/>
      <w:szCs w:val="44"/>
    </w:rPr>
  </w:style>
  <w:style w:type="character" w:customStyle="1" w:styleId="248">
    <w:name w:val="标题 2 Char_file_1322"/>
    <w:basedOn w:val="243"/>
    <w:semiHidden/>
    <w:qFormat/>
    <w:uiPriority w:val="9"/>
    <w:rPr>
      <w:rFonts w:asciiTheme="majorHAnsi" w:hAnsiTheme="majorHAnsi" w:eastAsiaTheme="majorEastAsia" w:cstheme="majorBidi"/>
      <w:b/>
      <w:bCs/>
      <w:sz w:val="32"/>
      <w:szCs w:val="32"/>
    </w:rPr>
  </w:style>
  <w:style w:type="character" w:customStyle="1" w:styleId="249">
    <w:name w:val="标题 3 Char_file_1322"/>
    <w:basedOn w:val="243"/>
    <w:semiHidden/>
    <w:qFormat/>
    <w:uiPriority w:val="9"/>
    <w:rPr>
      <w:rFonts w:ascii="宋体" w:hAnsi="宋体" w:eastAsia="宋体" w:cs="宋体"/>
      <w:b/>
      <w:bCs/>
      <w:sz w:val="32"/>
      <w:szCs w:val="32"/>
    </w:rPr>
  </w:style>
  <w:style w:type="character" w:customStyle="1" w:styleId="250">
    <w:name w:val="标题 4 Char_file_1322"/>
    <w:basedOn w:val="243"/>
    <w:semiHidden/>
    <w:qFormat/>
    <w:uiPriority w:val="9"/>
    <w:rPr>
      <w:rFonts w:asciiTheme="majorHAnsi" w:hAnsiTheme="majorHAnsi" w:eastAsiaTheme="majorEastAsia" w:cstheme="majorBidi"/>
      <w:b/>
      <w:bCs/>
      <w:sz w:val="28"/>
      <w:szCs w:val="28"/>
    </w:rPr>
  </w:style>
  <w:style w:type="character" w:customStyle="1" w:styleId="251">
    <w:name w:val="标题 5 Char_file_1322"/>
    <w:basedOn w:val="243"/>
    <w:semiHidden/>
    <w:qFormat/>
    <w:uiPriority w:val="9"/>
    <w:rPr>
      <w:rFonts w:ascii="宋体" w:hAnsi="宋体" w:eastAsia="宋体" w:cs="宋体"/>
      <w:b/>
      <w:bCs/>
      <w:sz w:val="28"/>
      <w:szCs w:val="28"/>
    </w:rPr>
  </w:style>
  <w:style w:type="character" w:customStyle="1" w:styleId="252">
    <w:name w:val="标题 6 Char_file_1322"/>
    <w:basedOn w:val="243"/>
    <w:semiHidden/>
    <w:qFormat/>
    <w:uiPriority w:val="9"/>
    <w:rPr>
      <w:rFonts w:asciiTheme="majorHAnsi" w:hAnsiTheme="majorHAnsi" w:eastAsiaTheme="majorEastAsia" w:cstheme="majorBidi"/>
      <w:b/>
      <w:bCs/>
      <w:sz w:val="24"/>
      <w:szCs w:val="24"/>
    </w:rPr>
  </w:style>
  <w:style w:type="paragraph" w:customStyle="1" w:styleId="253">
    <w:name w:val="cke_editable_file_1322"/>
    <w:basedOn w:val="236"/>
    <w:qFormat/>
    <w:uiPriority w:val="0"/>
    <w:rPr>
      <w:rFonts w:ascii="仿宋_GB2312" w:eastAsia="仿宋_GB2312"/>
    </w:rPr>
  </w:style>
  <w:style w:type="paragraph" w:customStyle="1" w:styleId="254">
    <w:name w:val="marker_file_1322"/>
    <w:basedOn w:val="236"/>
    <w:qFormat/>
    <w:uiPriority w:val="0"/>
    <w:pPr>
      <w:shd w:val="clear" w:color="auto" w:fill="FFFF00"/>
    </w:pPr>
  </w:style>
  <w:style w:type="paragraph" w:customStyle="1" w:styleId="255">
    <w:name w:val="Normal (Web)_file_1322"/>
    <w:basedOn w:val="236"/>
    <w:semiHidden/>
    <w:unhideWhenUsed/>
    <w:qFormat/>
    <w:uiPriority w:val="99"/>
  </w:style>
  <w:style w:type="paragraph" w:customStyle="1" w:styleId="256">
    <w:name w:val="Normal_file_13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57">
    <w:name w:val="heading 1_file_1323"/>
    <w:basedOn w:val="256"/>
    <w:qFormat/>
    <w:uiPriority w:val="9"/>
    <w:pPr>
      <w:outlineLvl w:val="0"/>
    </w:pPr>
    <w:rPr>
      <w:kern w:val="36"/>
      <w:sz w:val="48"/>
      <w:szCs w:val="48"/>
    </w:rPr>
  </w:style>
  <w:style w:type="paragraph" w:customStyle="1" w:styleId="258">
    <w:name w:val="heading 2_file_1323"/>
    <w:basedOn w:val="256"/>
    <w:qFormat/>
    <w:uiPriority w:val="9"/>
    <w:pPr>
      <w:outlineLvl w:val="1"/>
    </w:pPr>
    <w:rPr>
      <w:sz w:val="36"/>
      <w:szCs w:val="36"/>
    </w:rPr>
  </w:style>
  <w:style w:type="paragraph" w:customStyle="1" w:styleId="259">
    <w:name w:val="heading 3_file_1323"/>
    <w:basedOn w:val="256"/>
    <w:qFormat/>
    <w:uiPriority w:val="9"/>
    <w:pPr>
      <w:outlineLvl w:val="2"/>
    </w:pPr>
    <w:rPr>
      <w:sz w:val="27"/>
      <w:szCs w:val="27"/>
    </w:rPr>
  </w:style>
  <w:style w:type="paragraph" w:customStyle="1" w:styleId="260">
    <w:name w:val="heading 4_file_1323"/>
    <w:basedOn w:val="256"/>
    <w:qFormat/>
    <w:uiPriority w:val="9"/>
    <w:pPr>
      <w:outlineLvl w:val="3"/>
    </w:pPr>
  </w:style>
  <w:style w:type="paragraph" w:customStyle="1" w:styleId="261">
    <w:name w:val="heading 5_file_1323"/>
    <w:basedOn w:val="256"/>
    <w:qFormat/>
    <w:uiPriority w:val="9"/>
    <w:pPr>
      <w:outlineLvl w:val="4"/>
    </w:pPr>
    <w:rPr>
      <w:sz w:val="20"/>
      <w:szCs w:val="20"/>
    </w:rPr>
  </w:style>
  <w:style w:type="paragraph" w:customStyle="1" w:styleId="262">
    <w:name w:val="heading 6_file_1323"/>
    <w:basedOn w:val="256"/>
    <w:qFormat/>
    <w:uiPriority w:val="9"/>
    <w:pPr>
      <w:outlineLvl w:val="5"/>
    </w:pPr>
    <w:rPr>
      <w:sz w:val="15"/>
      <w:szCs w:val="15"/>
    </w:rPr>
  </w:style>
  <w:style w:type="character" w:customStyle="1" w:styleId="263">
    <w:name w:val="Default Paragraph Font_file_1323"/>
    <w:semiHidden/>
    <w:unhideWhenUsed/>
    <w:qFormat/>
    <w:uiPriority w:val="1"/>
  </w:style>
  <w:style w:type="table" w:customStyle="1" w:styleId="264">
    <w:name w:val="Normal Table_file_1323"/>
    <w:semiHidden/>
    <w:unhideWhenUsed/>
    <w:qFormat/>
    <w:uiPriority w:val="99"/>
    <w:tblPr>
      <w:tblCellMar>
        <w:top w:w="0" w:type="dxa"/>
        <w:left w:w="108" w:type="dxa"/>
        <w:bottom w:w="0" w:type="dxa"/>
        <w:right w:w="108" w:type="dxa"/>
      </w:tblCellMar>
    </w:tblPr>
  </w:style>
  <w:style w:type="character" w:customStyle="1" w:styleId="265">
    <w:name w:val="Hyperlink_file_1323"/>
    <w:basedOn w:val="263"/>
    <w:semiHidden/>
    <w:unhideWhenUsed/>
    <w:qFormat/>
    <w:uiPriority w:val="99"/>
    <w:rPr>
      <w:color w:val="0782C1"/>
      <w:u w:val="single"/>
    </w:rPr>
  </w:style>
  <w:style w:type="character" w:customStyle="1" w:styleId="266">
    <w:name w:val="FollowedHyperlink_file_1323"/>
    <w:basedOn w:val="263"/>
    <w:semiHidden/>
    <w:unhideWhenUsed/>
    <w:qFormat/>
    <w:uiPriority w:val="99"/>
    <w:rPr>
      <w:color w:val="0782C1"/>
      <w:u w:val="single"/>
    </w:rPr>
  </w:style>
  <w:style w:type="character" w:customStyle="1" w:styleId="267">
    <w:name w:val="标题 1 Char_file_1323"/>
    <w:basedOn w:val="263"/>
    <w:qFormat/>
    <w:uiPriority w:val="9"/>
    <w:rPr>
      <w:rFonts w:ascii="宋体" w:hAnsi="宋体" w:eastAsia="宋体" w:cs="宋体"/>
      <w:b/>
      <w:bCs/>
      <w:kern w:val="44"/>
      <w:sz w:val="44"/>
      <w:szCs w:val="44"/>
    </w:rPr>
  </w:style>
  <w:style w:type="character" w:customStyle="1" w:styleId="268">
    <w:name w:val="标题 2 Char_file_1323"/>
    <w:basedOn w:val="263"/>
    <w:semiHidden/>
    <w:qFormat/>
    <w:uiPriority w:val="9"/>
    <w:rPr>
      <w:rFonts w:asciiTheme="majorHAnsi" w:hAnsiTheme="majorHAnsi" w:eastAsiaTheme="majorEastAsia" w:cstheme="majorBidi"/>
      <w:b/>
      <w:bCs/>
      <w:sz w:val="32"/>
      <w:szCs w:val="32"/>
    </w:rPr>
  </w:style>
  <w:style w:type="character" w:customStyle="1" w:styleId="269">
    <w:name w:val="标题 3 Char_file_1323"/>
    <w:basedOn w:val="263"/>
    <w:semiHidden/>
    <w:qFormat/>
    <w:uiPriority w:val="9"/>
    <w:rPr>
      <w:rFonts w:ascii="宋体" w:hAnsi="宋体" w:eastAsia="宋体" w:cs="宋体"/>
      <w:b/>
      <w:bCs/>
      <w:sz w:val="32"/>
      <w:szCs w:val="32"/>
    </w:rPr>
  </w:style>
  <w:style w:type="character" w:customStyle="1" w:styleId="270">
    <w:name w:val="标题 4 Char_file_1323"/>
    <w:basedOn w:val="263"/>
    <w:semiHidden/>
    <w:qFormat/>
    <w:uiPriority w:val="9"/>
    <w:rPr>
      <w:rFonts w:asciiTheme="majorHAnsi" w:hAnsiTheme="majorHAnsi" w:eastAsiaTheme="majorEastAsia" w:cstheme="majorBidi"/>
      <w:b/>
      <w:bCs/>
      <w:sz w:val="28"/>
      <w:szCs w:val="28"/>
    </w:rPr>
  </w:style>
  <w:style w:type="character" w:customStyle="1" w:styleId="271">
    <w:name w:val="标题 5 Char_file_1323"/>
    <w:basedOn w:val="263"/>
    <w:semiHidden/>
    <w:qFormat/>
    <w:uiPriority w:val="9"/>
    <w:rPr>
      <w:rFonts w:ascii="宋体" w:hAnsi="宋体" w:eastAsia="宋体" w:cs="宋体"/>
      <w:b/>
      <w:bCs/>
      <w:sz w:val="28"/>
      <w:szCs w:val="28"/>
    </w:rPr>
  </w:style>
  <w:style w:type="character" w:customStyle="1" w:styleId="272">
    <w:name w:val="标题 6 Char_file_1323"/>
    <w:basedOn w:val="263"/>
    <w:semiHidden/>
    <w:qFormat/>
    <w:uiPriority w:val="9"/>
    <w:rPr>
      <w:rFonts w:asciiTheme="majorHAnsi" w:hAnsiTheme="majorHAnsi" w:eastAsiaTheme="majorEastAsia" w:cstheme="majorBidi"/>
      <w:b/>
      <w:bCs/>
      <w:sz w:val="24"/>
      <w:szCs w:val="24"/>
    </w:rPr>
  </w:style>
  <w:style w:type="paragraph" w:customStyle="1" w:styleId="273">
    <w:name w:val="cke_editable_file_1323"/>
    <w:basedOn w:val="256"/>
    <w:qFormat/>
    <w:uiPriority w:val="0"/>
    <w:rPr>
      <w:rFonts w:ascii="仿宋_GB2312" w:eastAsia="仿宋_GB2312"/>
    </w:rPr>
  </w:style>
  <w:style w:type="paragraph" w:customStyle="1" w:styleId="274">
    <w:name w:val="marker_file_1323"/>
    <w:basedOn w:val="256"/>
    <w:qFormat/>
    <w:uiPriority w:val="0"/>
    <w:pPr>
      <w:shd w:val="clear" w:color="auto" w:fill="FFFF00"/>
    </w:pPr>
  </w:style>
  <w:style w:type="paragraph" w:customStyle="1" w:styleId="275">
    <w:name w:val="Normal (Web)_file_1323"/>
    <w:basedOn w:val="256"/>
    <w:semiHidden/>
    <w:unhideWhenUsed/>
    <w:qFormat/>
    <w:uiPriority w:val="99"/>
  </w:style>
  <w:style w:type="paragraph" w:customStyle="1" w:styleId="276">
    <w:name w:val="Normal_file_13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77">
    <w:name w:val="heading 1_file_1324"/>
    <w:basedOn w:val="276"/>
    <w:qFormat/>
    <w:uiPriority w:val="9"/>
    <w:pPr>
      <w:outlineLvl w:val="0"/>
    </w:pPr>
    <w:rPr>
      <w:kern w:val="36"/>
      <w:sz w:val="48"/>
      <w:szCs w:val="48"/>
    </w:rPr>
  </w:style>
  <w:style w:type="paragraph" w:customStyle="1" w:styleId="278">
    <w:name w:val="heading 2_file_1324"/>
    <w:basedOn w:val="276"/>
    <w:qFormat/>
    <w:uiPriority w:val="9"/>
    <w:pPr>
      <w:outlineLvl w:val="1"/>
    </w:pPr>
    <w:rPr>
      <w:sz w:val="36"/>
      <w:szCs w:val="36"/>
    </w:rPr>
  </w:style>
  <w:style w:type="paragraph" w:customStyle="1" w:styleId="279">
    <w:name w:val="heading 3_file_1324"/>
    <w:basedOn w:val="276"/>
    <w:qFormat/>
    <w:uiPriority w:val="9"/>
    <w:pPr>
      <w:outlineLvl w:val="2"/>
    </w:pPr>
    <w:rPr>
      <w:sz w:val="27"/>
      <w:szCs w:val="27"/>
    </w:rPr>
  </w:style>
  <w:style w:type="paragraph" w:customStyle="1" w:styleId="280">
    <w:name w:val="heading 4_file_1324"/>
    <w:basedOn w:val="276"/>
    <w:qFormat/>
    <w:uiPriority w:val="9"/>
    <w:pPr>
      <w:outlineLvl w:val="3"/>
    </w:pPr>
  </w:style>
  <w:style w:type="paragraph" w:customStyle="1" w:styleId="281">
    <w:name w:val="heading 5_file_1324"/>
    <w:basedOn w:val="276"/>
    <w:qFormat/>
    <w:uiPriority w:val="9"/>
    <w:pPr>
      <w:outlineLvl w:val="4"/>
    </w:pPr>
    <w:rPr>
      <w:sz w:val="20"/>
      <w:szCs w:val="20"/>
    </w:rPr>
  </w:style>
  <w:style w:type="paragraph" w:customStyle="1" w:styleId="282">
    <w:name w:val="heading 6_file_1324"/>
    <w:basedOn w:val="276"/>
    <w:qFormat/>
    <w:uiPriority w:val="9"/>
    <w:pPr>
      <w:outlineLvl w:val="5"/>
    </w:pPr>
    <w:rPr>
      <w:sz w:val="15"/>
      <w:szCs w:val="15"/>
    </w:rPr>
  </w:style>
  <w:style w:type="character" w:customStyle="1" w:styleId="283">
    <w:name w:val="Default Paragraph Font_file_1324"/>
    <w:semiHidden/>
    <w:unhideWhenUsed/>
    <w:qFormat/>
    <w:uiPriority w:val="1"/>
  </w:style>
  <w:style w:type="table" w:customStyle="1" w:styleId="284">
    <w:name w:val="Normal Table_file_1324"/>
    <w:semiHidden/>
    <w:unhideWhenUsed/>
    <w:qFormat/>
    <w:uiPriority w:val="99"/>
    <w:tblPr>
      <w:tblCellMar>
        <w:top w:w="0" w:type="dxa"/>
        <w:left w:w="108" w:type="dxa"/>
        <w:bottom w:w="0" w:type="dxa"/>
        <w:right w:w="108" w:type="dxa"/>
      </w:tblCellMar>
    </w:tblPr>
  </w:style>
  <w:style w:type="character" w:customStyle="1" w:styleId="285">
    <w:name w:val="Hyperlink_file_1324"/>
    <w:basedOn w:val="283"/>
    <w:semiHidden/>
    <w:unhideWhenUsed/>
    <w:qFormat/>
    <w:uiPriority w:val="99"/>
    <w:rPr>
      <w:color w:val="0782C1"/>
      <w:u w:val="single"/>
    </w:rPr>
  </w:style>
  <w:style w:type="character" w:customStyle="1" w:styleId="286">
    <w:name w:val="FollowedHyperlink_file_1324"/>
    <w:basedOn w:val="283"/>
    <w:semiHidden/>
    <w:unhideWhenUsed/>
    <w:qFormat/>
    <w:uiPriority w:val="99"/>
    <w:rPr>
      <w:color w:val="0782C1"/>
      <w:u w:val="single"/>
    </w:rPr>
  </w:style>
  <w:style w:type="character" w:customStyle="1" w:styleId="287">
    <w:name w:val="标题 1 Char_file_1324"/>
    <w:basedOn w:val="283"/>
    <w:qFormat/>
    <w:uiPriority w:val="9"/>
    <w:rPr>
      <w:rFonts w:ascii="宋体" w:hAnsi="宋体" w:eastAsia="宋体" w:cs="宋体"/>
      <w:b/>
      <w:bCs/>
      <w:kern w:val="44"/>
      <w:sz w:val="44"/>
      <w:szCs w:val="44"/>
    </w:rPr>
  </w:style>
  <w:style w:type="character" w:customStyle="1" w:styleId="288">
    <w:name w:val="标题 2 Char_file_1324"/>
    <w:basedOn w:val="283"/>
    <w:semiHidden/>
    <w:qFormat/>
    <w:uiPriority w:val="9"/>
    <w:rPr>
      <w:rFonts w:asciiTheme="majorHAnsi" w:hAnsiTheme="majorHAnsi" w:eastAsiaTheme="majorEastAsia" w:cstheme="majorBidi"/>
      <w:b/>
      <w:bCs/>
      <w:sz w:val="32"/>
      <w:szCs w:val="32"/>
    </w:rPr>
  </w:style>
  <w:style w:type="character" w:customStyle="1" w:styleId="289">
    <w:name w:val="标题 3 Char_file_1324"/>
    <w:basedOn w:val="283"/>
    <w:semiHidden/>
    <w:qFormat/>
    <w:uiPriority w:val="9"/>
    <w:rPr>
      <w:rFonts w:ascii="宋体" w:hAnsi="宋体" w:eastAsia="宋体" w:cs="宋体"/>
      <w:b/>
      <w:bCs/>
      <w:sz w:val="32"/>
      <w:szCs w:val="32"/>
    </w:rPr>
  </w:style>
  <w:style w:type="character" w:customStyle="1" w:styleId="290">
    <w:name w:val="标题 4 Char_file_1324"/>
    <w:basedOn w:val="283"/>
    <w:semiHidden/>
    <w:qFormat/>
    <w:uiPriority w:val="9"/>
    <w:rPr>
      <w:rFonts w:asciiTheme="majorHAnsi" w:hAnsiTheme="majorHAnsi" w:eastAsiaTheme="majorEastAsia" w:cstheme="majorBidi"/>
      <w:b/>
      <w:bCs/>
      <w:sz w:val="28"/>
      <w:szCs w:val="28"/>
    </w:rPr>
  </w:style>
  <w:style w:type="character" w:customStyle="1" w:styleId="291">
    <w:name w:val="标题 5 Char_file_1324"/>
    <w:basedOn w:val="283"/>
    <w:semiHidden/>
    <w:qFormat/>
    <w:uiPriority w:val="9"/>
    <w:rPr>
      <w:rFonts w:ascii="宋体" w:hAnsi="宋体" w:eastAsia="宋体" w:cs="宋体"/>
      <w:b/>
      <w:bCs/>
      <w:sz w:val="28"/>
      <w:szCs w:val="28"/>
    </w:rPr>
  </w:style>
  <w:style w:type="character" w:customStyle="1" w:styleId="292">
    <w:name w:val="标题 6 Char_file_1324"/>
    <w:basedOn w:val="283"/>
    <w:semiHidden/>
    <w:qFormat/>
    <w:uiPriority w:val="9"/>
    <w:rPr>
      <w:rFonts w:asciiTheme="majorHAnsi" w:hAnsiTheme="majorHAnsi" w:eastAsiaTheme="majorEastAsia" w:cstheme="majorBidi"/>
      <w:b/>
      <w:bCs/>
      <w:sz w:val="24"/>
      <w:szCs w:val="24"/>
    </w:rPr>
  </w:style>
  <w:style w:type="paragraph" w:customStyle="1" w:styleId="293">
    <w:name w:val="cke_editable_file_1324"/>
    <w:basedOn w:val="276"/>
    <w:qFormat/>
    <w:uiPriority w:val="0"/>
    <w:rPr>
      <w:rFonts w:ascii="仿宋_GB2312" w:eastAsia="仿宋_GB2312"/>
    </w:rPr>
  </w:style>
  <w:style w:type="paragraph" w:customStyle="1" w:styleId="294">
    <w:name w:val="marker_file_1324"/>
    <w:basedOn w:val="276"/>
    <w:qFormat/>
    <w:uiPriority w:val="0"/>
    <w:pPr>
      <w:shd w:val="clear" w:color="auto" w:fill="FFFF00"/>
    </w:pPr>
  </w:style>
  <w:style w:type="paragraph" w:customStyle="1" w:styleId="295">
    <w:name w:val="Normal (Web)_file_1324"/>
    <w:basedOn w:val="276"/>
    <w:semiHidden/>
    <w:unhideWhenUsed/>
    <w:qFormat/>
    <w:uiPriority w:val="99"/>
  </w:style>
  <w:style w:type="paragraph" w:customStyle="1" w:styleId="296">
    <w:name w:val="Normal_file_13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7">
    <w:name w:val="heading 1_file_1325"/>
    <w:basedOn w:val="296"/>
    <w:qFormat/>
    <w:uiPriority w:val="9"/>
    <w:pPr>
      <w:outlineLvl w:val="0"/>
    </w:pPr>
    <w:rPr>
      <w:kern w:val="36"/>
      <w:sz w:val="48"/>
      <w:szCs w:val="48"/>
    </w:rPr>
  </w:style>
  <w:style w:type="paragraph" w:customStyle="1" w:styleId="298">
    <w:name w:val="heading 2_file_1325"/>
    <w:basedOn w:val="296"/>
    <w:qFormat/>
    <w:uiPriority w:val="9"/>
    <w:pPr>
      <w:outlineLvl w:val="1"/>
    </w:pPr>
    <w:rPr>
      <w:sz w:val="36"/>
      <w:szCs w:val="36"/>
    </w:rPr>
  </w:style>
  <w:style w:type="paragraph" w:customStyle="1" w:styleId="299">
    <w:name w:val="heading 3_file_1325"/>
    <w:basedOn w:val="296"/>
    <w:qFormat/>
    <w:uiPriority w:val="9"/>
    <w:pPr>
      <w:outlineLvl w:val="2"/>
    </w:pPr>
    <w:rPr>
      <w:sz w:val="27"/>
      <w:szCs w:val="27"/>
    </w:rPr>
  </w:style>
  <w:style w:type="paragraph" w:customStyle="1" w:styleId="300">
    <w:name w:val="heading 4_file_1325"/>
    <w:basedOn w:val="296"/>
    <w:qFormat/>
    <w:uiPriority w:val="9"/>
    <w:pPr>
      <w:outlineLvl w:val="3"/>
    </w:pPr>
  </w:style>
  <w:style w:type="paragraph" w:customStyle="1" w:styleId="301">
    <w:name w:val="heading 5_file_1325"/>
    <w:basedOn w:val="296"/>
    <w:qFormat/>
    <w:uiPriority w:val="9"/>
    <w:pPr>
      <w:outlineLvl w:val="4"/>
    </w:pPr>
    <w:rPr>
      <w:sz w:val="20"/>
      <w:szCs w:val="20"/>
    </w:rPr>
  </w:style>
  <w:style w:type="paragraph" w:customStyle="1" w:styleId="302">
    <w:name w:val="heading 6_file_1325"/>
    <w:basedOn w:val="296"/>
    <w:qFormat/>
    <w:uiPriority w:val="9"/>
    <w:pPr>
      <w:outlineLvl w:val="5"/>
    </w:pPr>
    <w:rPr>
      <w:sz w:val="15"/>
      <w:szCs w:val="15"/>
    </w:rPr>
  </w:style>
  <w:style w:type="character" w:customStyle="1" w:styleId="303">
    <w:name w:val="Default Paragraph Font_file_1325"/>
    <w:semiHidden/>
    <w:unhideWhenUsed/>
    <w:qFormat/>
    <w:uiPriority w:val="1"/>
  </w:style>
  <w:style w:type="table" w:customStyle="1" w:styleId="304">
    <w:name w:val="Normal Table_file_1325"/>
    <w:semiHidden/>
    <w:unhideWhenUsed/>
    <w:qFormat/>
    <w:uiPriority w:val="99"/>
    <w:tblPr>
      <w:tblCellMar>
        <w:top w:w="0" w:type="dxa"/>
        <w:left w:w="108" w:type="dxa"/>
        <w:bottom w:w="0" w:type="dxa"/>
        <w:right w:w="108" w:type="dxa"/>
      </w:tblCellMar>
    </w:tblPr>
  </w:style>
  <w:style w:type="character" w:customStyle="1" w:styleId="305">
    <w:name w:val="Hyperlink_file_1325"/>
    <w:basedOn w:val="303"/>
    <w:semiHidden/>
    <w:unhideWhenUsed/>
    <w:qFormat/>
    <w:uiPriority w:val="99"/>
    <w:rPr>
      <w:color w:val="0782C1"/>
      <w:u w:val="single"/>
    </w:rPr>
  </w:style>
  <w:style w:type="character" w:customStyle="1" w:styleId="306">
    <w:name w:val="FollowedHyperlink_file_1325"/>
    <w:basedOn w:val="303"/>
    <w:semiHidden/>
    <w:unhideWhenUsed/>
    <w:qFormat/>
    <w:uiPriority w:val="99"/>
    <w:rPr>
      <w:color w:val="0782C1"/>
      <w:u w:val="single"/>
    </w:rPr>
  </w:style>
  <w:style w:type="character" w:customStyle="1" w:styleId="307">
    <w:name w:val="标题 1 Char_file_1325"/>
    <w:basedOn w:val="303"/>
    <w:qFormat/>
    <w:uiPriority w:val="9"/>
    <w:rPr>
      <w:rFonts w:ascii="宋体" w:hAnsi="宋体" w:eastAsia="宋体" w:cs="宋体"/>
      <w:b/>
      <w:bCs/>
      <w:kern w:val="44"/>
      <w:sz w:val="44"/>
      <w:szCs w:val="44"/>
    </w:rPr>
  </w:style>
  <w:style w:type="character" w:customStyle="1" w:styleId="308">
    <w:name w:val="标题 2 Char_file_1325"/>
    <w:basedOn w:val="303"/>
    <w:semiHidden/>
    <w:qFormat/>
    <w:uiPriority w:val="9"/>
    <w:rPr>
      <w:rFonts w:asciiTheme="majorHAnsi" w:hAnsiTheme="majorHAnsi" w:eastAsiaTheme="majorEastAsia" w:cstheme="majorBidi"/>
      <w:b/>
      <w:bCs/>
      <w:sz w:val="32"/>
      <w:szCs w:val="32"/>
    </w:rPr>
  </w:style>
  <w:style w:type="character" w:customStyle="1" w:styleId="309">
    <w:name w:val="标题 3 Char_file_1325"/>
    <w:basedOn w:val="303"/>
    <w:semiHidden/>
    <w:qFormat/>
    <w:uiPriority w:val="9"/>
    <w:rPr>
      <w:rFonts w:ascii="宋体" w:hAnsi="宋体" w:eastAsia="宋体" w:cs="宋体"/>
      <w:b/>
      <w:bCs/>
      <w:sz w:val="32"/>
      <w:szCs w:val="32"/>
    </w:rPr>
  </w:style>
  <w:style w:type="character" w:customStyle="1" w:styleId="310">
    <w:name w:val="标题 4 Char_file_1325"/>
    <w:basedOn w:val="303"/>
    <w:semiHidden/>
    <w:qFormat/>
    <w:uiPriority w:val="9"/>
    <w:rPr>
      <w:rFonts w:asciiTheme="majorHAnsi" w:hAnsiTheme="majorHAnsi" w:eastAsiaTheme="majorEastAsia" w:cstheme="majorBidi"/>
      <w:b/>
      <w:bCs/>
      <w:sz w:val="28"/>
      <w:szCs w:val="28"/>
    </w:rPr>
  </w:style>
  <w:style w:type="character" w:customStyle="1" w:styleId="311">
    <w:name w:val="标题 5 Char_file_1325"/>
    <w:basedOn w:val="303"/>
    <w:semiHidden/>
    <w:qFormat/>
    <w:uiPriority w:val="9"/>
    <w:rPr>
      <w:rFonts w:ascii="宋体" w:hAnsi="宋体" w:eastAsia="宋体" w:cs="宋体"/>
      <w:b/>
      <w:bCs/>
      <w:sz w:val="28"/>
      <w:szCs w:val="28"/>
    </w:rPr>
  </w:style>
  <w:style w:type="character" w:customStyle="1" w:styleId="312">
    <w:name w:val="标题 6 Char_file_1325"/>
    <w:basedOn w:val="303"/>
    <w:semiHidden/>
    <w:qFormat/>
    <w:uiPriority w:val="9"/>
    <w:rPr>
      <w:rFonts w:asciiTheme="majorHAnsi" w:hAnsiTheme="majorHAnsi" w:eastAsiaTheme="majorEastAsia" w:cstheme="majorBidi"/>
      <w:b/>
      <w:bCs/>
      <w:sz w:val="24"/>
      <w:szCs w:val="24"/>
    </w:rPr>
  </w:style>
  <w:style w:type="paragraph" w:customStyle="1" w:styleId="313">
    <w:name w:val="cke_editable_file_1325"/>
    <w:basedOn w:val="296"/>
    <w:qFormat/>
    <w:uiPriority w:val="0"/>
    <w:rPr>
      <w:rFonts w:ascii="仿宋_GB2312" w:eastAsia="仿宋_GB2312"/>
    </w:rPr>
  </w:style>
  <w:style w:type="paragraph" w:customStyle="1" w:styleId="314">
    <w:name w:val="marker_file_1325"/>
    <w:basedOn w:val="296"/>
    <w:qFormat/>
    <w:uiPriority w:val="0"/>
    <w:pPr>
      <w:shd w:val="clear" w:color="auto" w:fill="FFFF00"/>
    </w:pPr>
  </w:style>
  <w:style w:type="paragraph" w:customStyle="1" w:styleId="315">
    <w:name w:val="Normal (Web)_file_1325"/>
    <w:basedOn w:val="296"/>
    <w:semiHidden/>
    <w:unhideWhenUsed/>
    <w:qFormat/>
    <w:uiPriority w:val="99"/>
  </w:style>
  <w:style w:type="paragraph" w:customStyle="1" w:styleId="316">
    <w:name w:val="Normal_file_13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7">
    <w:name w:val="heading 1_file_1326"/>
    <w:basedOn w:val="316"/>
    <w:qFormat/>
    <w:uiPriority w:val="9"/>
    <w:pPr>
      <w:outlineLvl w:val="0"/>
    </w:pPr>
    <w:rPr>
      <w:kern w:val="36"/>
      <w:sz w:val="48"/>
      <w:szCs w:val="48"/>
    </w:rPr>
  </w:style>
  <w:style w:type="paragraph" w:customStyle="1" w:styleId="318">
    <w:name w:val="heading 2_file_1326"/>
    <w:basedOn w:val="316"/>
    <w:qFormat/>
    <w:uiPriority w:val="9"/>
    <w:pPr>
      <w:outlineLvl w:val="1"/>
    </w:pPr>
    <w:rPr>
      <w:sz w:val="36"/>
      <w:szCs w:val="36"/>
    </w:rPr>
  </w:style>
  <w:style w:type="paragraph" w:customStyle="1" w:styleId="319">
    <w:name w:val="heading 3_file_1326"/>
    <w:basedOn w:val="316"/>
    <w:qFormat/>
    <w:uiPriority w:val="9"/>
    <w:pPr>
      <w:outlineLvl w:val="2"/>
    </w:pPr>
    <w:rPr>
      <w:sz w:val="27"/>
      <w:szCs w:val="27"/>
    </w:rPr>
  </w:style>
  <w:style w:type="paragraph" w:customStyle="1" w:styleId="320">
    <w:name w:val="heading 4_file_1326"/>
    <w:basedOn w:val="316"/>
    <w:qFormat/>
    <w:uiPriority w:val="9"/>
    <w:pPr>
      <w:outlineLvl w:val="3"/>
    </w:pPr>
  </w:style>
  <w:style w:type="paragraph" w:customStyle="1" w:styleId="321">
    <w:name w:val="heading 5_file_1326"/>
    <w:basedOn w:val="316"/>
    <w:qFormat/>
    <w:uiPriority w:val="9"/>
    <w:pPr>
      <w:outlineLvl w:val="4"/>
    </w:pPr>
    <w:rPr>
      <w:sz w:val="20"/>
      <w:szCs w:val="20"/>
    </w:rPr>
  </w:style>
  <w:style w:type="paragraph" w:customStyle="1" w:styleId="322">
    <w:name w:val="heading 6_file_1326"/>
    <w:basedOn w:val="316"/>
    <w:qFormat/>
    <w:uiPriority w:val="9"/>
    <w:pPr>
      <w:outlineLvl w:val="5"/>
    </w:pPr>
    <w:rPr>
      <w:sz w:val="15"/>
      <w:szCs w:val="15"/>
    </w:rPr>
  </w:style>
  <w:style w:type="character" w:customStyle="1" w:styleId="323">
    <w:name w:val="Default Paragraph Font_file_1326"/>
    <w:semiHidden/>
    <w:unhideWhenUsed/>
    <w:qFormat/>
    <w:uiPriority w:val="1"/>
  </w:style>
  <w:style w:type="table" w:customStyle="1" w:styleId="324">
    <w:name w:val="Normal Table_file_1326"/>
    <w:semiHidden/>
    <w:unhideWhenUsed/>
    <w:qFormat/>
    <w:uiPriority w:val="99"/>
    <w:tblPr>
      <w:tblCellMar>
        <w:top w:w="0" w:type="dxa"/>
        <w:left w:w="108" w:type="dxa"/>
        <w:bottom w:w="0" w:type="dxa"/>
        <w:right w:w="108" w:type="dxa"/>
      </w:tblCellMar>
    </w:tblPr>
  </w:style>
  <w:style w:type="character" w:customStyle="1" w:styleId="325">
    <w:name w:val="Hyperlink_file_1326"/>
    <w:basedOn w:val="323"/>
    <w:semiHidden/>
    <w:unhideWhenUsed/>
    <w:qFormat/>
    <w:uiPriority w:val="99"/>
    <w:rPr>
      <w:color w:val="0782C1"/>
      <w:u w:val="single"/>
    </w:rPr>
  </w:style>
  <w:style w:type="character" w:customStyle="1" w:styleId="326">
    <w:name w:val="FollowedHyperlink_file_1326"/>
    <w:basedOn w:val="323"/>
    <w:semiHidden/>
    <w:unhideWhenUsed/>
    <w:qFormat/>
    <w:uiPriority w:val="99"/>
    <w:rPr>
      <w:color w:val="0782C1"/>
      <w:u w:val="single"/>
    </w:rPr>
  </w:style>
  <w:style w:type="character" w:customStyle="1" w:styleId="327">
    <w:name w:val="标题 1 Char_file_1326"/>
    <w:basedOn w:val="323"/>
    <w:qFormat/>
    <w:uiPriority w:val="9"/>
    <w:rPr>
      <w:rFonts w:ascii="宋体" w:hAnsi="宋体" w:eastAsia="宋体" w:cs="宋体"/>
      <w:b/>
      <w:bCs/>
      <w:kern w:val="44"/>
      <w:sz w:val="44"/>
      <w:szCs w:val="44"/>
    </w:rPr>
  </w:style>
  <w:style w:type="character" w:customStyle="1" w:styleId="328">
    <w:name w:val="标题 2 Char_file_1326"/>
    <w:basedOn w:val="323"/>
    <w:semiHidden/>
    <w:qFormat/>
    <w:uiPriority w:val="9"/>
    <w:rPr>
      <w:rFonts w:asciiTheme="majorHAnsi" w:hAnsiTheme="majorHAnsi" w:eastAsiaTheme="majorEastAsia" w:cstheme="majorBidi"/>
      <w:b/>
      <w:bCs/>
      <w:sz w:val="32"/>
      <w:szCs w:val="32"/>
    </w:rPr>
  </w:style>
  <w:style w:type="character" w:customStyle="1" w:styleId="329">
    <w:name w:val="标题 3 Char_file_1326"/>
    <w:basedOn w:val="323"/>
    <w:semiHidden/>
    <w:qFormat/>
    <w:uiPriority w:val="9"/>
    <w:rPr>
      <w:rFonts w:ascii="宋体" w:hAnsi="宋体" w:eastAsia="宋体" w:cs="宋体"/>
      <w:b/>
      <w:bCs/>
      <w:sz w:val="32"/>
      <w:szCs w:val="32"/>
    </w:rPr>
  </w:style>
  <w:style w:type="character" w:customStyle="1" w:styleId="330">
    <w:name w:val="标题 4 Char_file_1326"/>
    <w:basedOn w:val="323"/>
    <w:semiHidden/>
    <w:qFormat/>
    <w:uiPriority w:val="9"/>
    <w:rPr>
      <w:rFonts w:asciiTheme="majorHAnsi" w:hAnsiTheme="majorHAnsi" w:eastAsiaTheme="majorEastAsia" w:cstheme="majorBidi"/>
      <w:b/>
      <w:bCs/>
      <w:sz w:val="28"/>
      <w:szCs w:val="28"/>
    </w:rPr>
  </w:style>
  <w:style w:type="character" w:customStyle="1" w:styleId="331">
    <w:name w:val="标题 5 Char_file_1326"/>
    <w:basedOn w:val="323"/>
    <w:semiHidden/>
    <w:qFormat/>
    <w:uiPriority w:val="9"/>
    <w:rPr>
      <w:rFonts w:ascii="宋体" w:hAnsi="宋体" w:eastAsia="宋体" w:cs="宋体"/>
      <w:b/>
      <w:bCs/>
      <w:sz w:val="28"/>
      <w:szCs w:val="28"/>
    </w:rPr>
  </w:style>
  <w:style w:type="character" w:customStyle="1" w:styleId="332">
    <w:name w:val="标题 6 Char_file_1326"/>
    <w:basedOn w:val="323"/>
    <w:semiHidden/>
    <w:qFormat/>
    <w:uiPriority w:val="9"/>
    <w:rPr>
      <w:rFonts w:asciiTheme="majorHAnsi" w:hAnsiTheme="majorHAnsi" w:eastAsiaTheme="majorEastAsia" w:cstheme="majorBidi"/>
      <w:b/>
      <w:bCs/>
      <w:sz w:val="24"/>
      <w:szCs w:val="24"/>
    </w:rPr>
  </w:style>
  <w:style w:type="paragraph" w:customStyle="1" w:styleId="333">
    <w:name w:val="cke_editable_file_1326"/>
    <w:basedOn w:val="316"/>
    <w:qFormat/>
    <w:uiPriority w:val="0"/>
    <w:rPr>
      <w:rFonts w:ascii="仿宋_GB2312" w:eastAsia="仿宋_GB2312"/>
    </w:rPr>
  </w:style>
  <w:style w:type="paragraph" w:customStyle="1" w:styleId="334">
    <w:name w:val="marker_file_1326"/>
    <w:basedOn w:val="316"/>
    <w:qFormat/>
    <w:uiPriority w:val="0"/>
    <w:pPr>
      <w:shd w:val="clear" w:color="auto" w:fill="FFFF00"/>
    </w:pPr>
  </w:style>
  <w:style w:type="paragraph" w:customStyle="1" w:styleId="335">
    <w:name w:val="Normal (Web)_file_1326"/>
    <w:basedOn w:val="316"/>
    <w:semiHidden/>
    <w:unhideWhenUsed/>
    <w:qFormat/>
    <w:uiPriority w:val="99"/>
  </w:style>
  <w:style w:type="character" w:customStyle="1" w:styleId="336">
    <w:name w:val="Emphasis_file_1326"/>
    <w:basedOn w:val="323"/>
    <w:qFormat/>
    <w:uiPriority w:val="20"/>
    <w:rPr>
      <w:i/>
      <w:iCs/>
    </w:rPr>
  </w:style>
  <w:style w:type="paragraph" w:customStyle="1" w:styleId="337">
    <w:name w:val="Normal_file_13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8">
    <w:name w:val="heading 1_file_1327"/>
    <w:basedOn w:val="337"/>
    <w:qFormat/>
    <w:uiPriority w:val="9"/>
    <w:pPr>
      <w:outlineLvl w:val="0"/>
    </w:pPr>
    <w:rPr>
      <w:kern w:val="36"/>
      <w:sz w:val="48"/>
      <w:szCs w:val="48"/>
    </w:rPr>
  </w:style>
  <w:style w:type="paragraph" w:customStyle="1" w:styleId="339">
    <w:name w:val="heading 2_file_1327"/>
    <w:basedOn w:val="337"/>
    <w:qFormat/>
    <w:uiPriority w:val="9"/>
    <w:pPr>
      <w:outlineLvl w:val="1"/>
    </w:pPr>
    <w:rPr>
      <w:sz w:val="36"/>
      <w:szCs w:val="36"/>
    </w:rPr>
  </w:style>
  <w:style w:type="paragraph" w:customStyle="1" w:styleId="340">
    <w:name w:val="heading 3_file_1327"/>
    <w:basedOn w:val="337"/>
    <w:qFormat/>
    <w:uiPriority w:val="9"/>
    <w:pPr>
      <w:outlineLvl w:val="2"/>
    </w:pPr>
    <w:rPr>
      <w:sz w:val="27"/>
      <w:szCs w:val="27"/>
    </w:rPr>
  </w:style>
  <w:style w:type="paragraph" w:customStyle="1" w:styleId="341">
    <w:name w:val="heading 4_file_1327"/>
    <w:basedOn w:val="337"/>
    <w:qFormat/>
    <w:uiPriority w:val="9"/>
    <w:pPr>
      <w:outlineLvl w:val="3"/>
    </w:pPr>
  </w:style>
  <w:style w:type="paragraph" w:customStyle="1" w:styleId="342">
    <w:name w:val="heading 5_file_1327"/>
    <w:basedOn w:val="337"/>
    <w:qFormat/>
    <w:uiPriority w:val="9"/>
    <w:pPr>
      <w:outlineLvl w:val="4"/>
    </w:pPr>
    <w:rPr>
      <w:sz w:val="20"/>
      <w:szCs w:val="20"/>
    </w:rPr>
  </w:style>
  <w:style w:type="paragraph" w:customStyle="1" w:styleId="343">
    <w:name w:val="heading 6_file_1327"/>
    <w:basedOn w:val="337"/>
    <w:qFormat/>
    <w:uiPriority w:val="9"/>
    <w:pPr>
      <w:outlineLvl w:val="5"/>
    </w:pPr>
    <w:rPr>
      <w:sz w:val="15"/>
      <w:szCs w:val="15"/>
    </w:rPr>
  </w:style>
  <w:style w:type="character" w:customStyle="1" w:styleId="344">
    <w:name w:val="Default Paragraph Font_file_1327"/>
    <w:semiHidden/>
    <w:unhideWhenUsed/>
    <w:qFormat/>
    <w:uiPriority w:val="1"/>
  </w:style>
  <w:style w:type="table" w:customStyle="1" w:styleId="345">
    <w:name w:val="Normal Table_file_1327"/>
    <w:semiHidden/>
    <w:unhideWhenUsed/>
    <w:qFormat/>
    <w:uiPriority w:val="99"/>
    <w:tblPr>
      <w:tblCellMar>
        <w:top w:w="0" w:type="dxa"/>
        <w:left w:w="108" w:type="dxa"/>
        <w:bottom w:w="0" w:type="dxa"/>
        <w:right w:w="108" w:type="dxa"/>
      </w:tblCellMar>
    </w:tblPr>
  </w:style>
  <w:style w:type="character" w:customStyle="1" w:styleId="346">
    <w:name w:val="Hyperlink_file_1327"/>
    <w:basedOn w:val="344"/>
    <w:semiHidden/>
    <w:unhideWhenUsed/>
    <w:qFormat/>
    <w:uiPriority w:val="99"/>
    <w:rPr>
      <w:color w:val="0782C1"/>
      <w:u w:val="single"/>
    </w:rPr>
  </w:style>
  <w:style w:type="character" w:customStyle="1" w:styleId="347">
    <w:name w:val="FollowedHyperlink_file_1327"/>
    <w:basedOn w:val="344"/>
    <w:semiHidden/>
    <w:unhideWhenUsed/>
    <w:qFormat/>
    <w:uiPriority w:val="99"/>
    <w:rPr>
      <w:color w:val="0782C1"/>
      <w:u w:val="single"/>
    </w:rPr>
  </w:style>
  <w:style w:type="character" w:customStyle="1" w:styleId="348">
    <w:name w:val="标题 1 Char_file_1327"/>
    <w:basedOn w:val="344"/>
    <w:qFormat/>
    <w:uiPriority w:val="9"/>
    <w:rPr>
      <w:rFonts w:ascii="宋体" w:hAnsi="宋体" w:eastAsia="宋体" w:cs="宋体"/>
      <w:b/>
      <w:bCs/>
      <w:kern w:val="44"/>
      <w:sz w:val="44"/>
      <w:szCs w:val="44"/>
    </w:rPr>
  </w:style>
  <w:style w:type="character" w:customStyle="1" w:styleId="349">
    <w:name w:val="标题 2 Char_file_1327"/>
    <w:basedOn w:val="344"/>
    <w:semiHidden/>
    <w:qFormat/>
    <w:uiPriority w:val="9"/>
    <w:rPr>
      <w:rFonts w:asciiTheme="majorHAnsi" w:hAnsiTheme="majorHAnsi" w:eastAsiaTheme="majorEastAsia" w:cstheme="majorBidi"/>
      <w:b/>
      <w:bCs/>
      <w:sz w:val="32"/>
      <w:szCs w:val="32"/>
    </w:rPr>
  </w:style>
  <w:style w:type="character" w:customStyle="1" w:styleId="350">
    <w:name w:val="标题 3 Char_file_1327"/>
    <w:basedOn w:val="344"/>
    <w:semiHidden/>
    <w:qFormat/>
    <w:uiPriority w:val="9"/>
    <w:rPr>
      <w:rFonts w:ascii="宋体" w:hAnsi="宋体" w:eastAsia="宋体" w:cs="宋体"/>
      <w:b/>
      <w:bCs/>
      <w:sz w:val="32"/>
      <w:szCs w:val="32"/>
    </w:rPr>
  </w:style>
  <w:style w:type="character" w:customStyle="1" w:styleId="351">
    <w:name w:val="标题 4 Char_file_1327"/>
    <w:basedOn w:val="344"/>
    <w:semiHidden/>
    <w:qFormat/>
    <w:uiPriority w:val="9"/>
    <w:rPr>
      <w:rFonts w:asciiTheme="majorHAnsi" w:hAnsiTheme="majorHAnsi" w:eastAsiaTheme="majorEastAsia" w:cstheme="majorBidi"/>
      <w:b/>
      <w:bCs/>
      <w:sz w:val="28"/>
      <w:szCs w:val="28"/>
    </w:rPr>
  </w:style>
  <w:style w:type="character" w:customStyle="1" w:styleId="352">
    <w:name w:val="标题 5 Char_file_1327"/>
    <w:basedOn w:val="344"/>
    <w:semiHidden/>
    <w:qFormat/>
    <w:uiPriority w:val="9"/>
    <w:rPr>
      <w:rFonts w:ascii="宋体" w:hAnsi="宋体" w:eastAsia="宋体" w:cs="宋体"/>
      <w:b/>
      <w:bCs/>
      <w:sz w:val="28"/>
      <w:szCs w:val="28"/>
    </w:rPr>
  </w:style>
  <w:style w:type="character" w:customStyle="1" w:styleId="353">
    <w:name w:val="标题 6 Char_file_1327"/>
    <w:basedOn w:val="344"/>
    <w:semiHidden/>
    <w:qFormat/>
    <w:uiPriority w:val="9"/>
    <w:rPr>
      <w:rFonts w:asciiTheme="majorHAnsi" w:hAnsiTheme="majorHAnsi" w:eastAsiaTheme="majorEastAsia" w:cstheme="majorBidi"/>
      <w:b/>
      <w:bCs/>
      <w:sz w:val="24"/>
      <w:szCs w:val="24"/>
    </w:rPr>
  </w:style>
  <w:style w:type="paragraph" w:customStyle="1" w:styleId="354">
    <w:name w:val="cke_editable_file_1327"/>
    <w:basedOn w:val="337"/>
    <w:qFormat/>
    <w:uiPriority w:val="0"/>
    <w:rPr>
      <w:rFonts w:ascii="仿宋_GB2312" w:eastAsia="仿宋_GB2312"/>
    </w:rPr>
  </w:style>
  <w:style w:type="paragraph" w:customStyle="1" w:styleId="355">
    <w:name w:val="marker_file_1327"/>
    <w:basedOn w:val="337"/>
    <w:qFormat/>
    <w:uiPriority w:val="0"/>
    <w:pPr>
      <w:shd w:val="clear" w:color="auto" w:fill="FFFF00"/>
    </w:pPr>
  </w:style>
  <w:style w:type="paragraph" w:customStyle="1" w:styleId="356">
    <w:name w:val="Normal (Web)_file_1327"/>
    <w:basedOn w:val="337"/>
    <w:semiHidden/>
    <w:unhideWhenUsed/>
    <w:qFormat/>
    <w:uiPriority w:val="99"/>
  </w:style>
  <w:style w:type="paragraph" w:customStyle="1" w:styleId="357">
    <w:name w:val="Normal_file_132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8">
    <w:name w:val="heading 1_file_1328"/>
    <w:basedOn w:val="357"/>
    <w:qFormat/>
    <w:uiPriority w:val="9"/>
    <w:pPr>
      <w:outlineLvl w:val="0"/>
    </w:pPr>
    <w:rPr>
      <w:kern w:val="36"/>
      <w:sz w:val="48"/>
      <w:szCs w:val="48"/>
    </w:rPr>
  </w:style>
  <w:style w:type="paragraph" w:customStyle="1" w:styleId="359">
    <w:name w:val="heading 2_file_1328"/>
    <w:basedOn w:val="357"/>
    <w:qFormat/>
    <w:uiPriority w:val="9"/>
    <w:pPr>
      <w:outlineLvl w:val="1"/>
    </w:pPr>
    <w:rPr>
      <w:sz w:val="36"/>
      <w:szCs w:val="36"/>
    </w:rPr>
  </w:style>
  <w:style w:type="paragraph" w:customStyle="1" w:styleId="360">
    <w:name w:val="heading 3_file_1328"/>
    <w:basedOn w:val="357"/>
    <w:qFormat/>
    <w:uiPriority w:val="9"/>
    <w:pPr>
      <w:outlineLvl w:val="2"/>
    </w:pPr>
    <w:rPr>
      <w:sz w:val="27"/>
      <w:szCs w:val="27"/>
    </w:rPr>
  </w:style>
  <w:style w:type="paragraph" w:customStyle="1" w:styleId="361">
    <w:name w:val="heading 4_file_1328"/>
    <w:basedOn w:val="357"/>
    <w:qFormat/>
    <w:uiPriority w:val="9"/>
    <w:pPr>
      <w:outlineLvl w:val="3"/>
    </w:pPr>
  </w:style>
  <w:style w:type="paragraph" w:customStyle="1" w:styleId="362">
    <w:name w:val="heading 5_file_1328"/>
    <w:basedOn w:val="357"/>
    <w:qFormat/>
    <w:uiPriority w:val="9"/>
    <w:pPr>
      <w:outlineLvl w:val="4"/>
    </w:pPr>
    <w:rPr>
      <w:sz w:val="20"/>
      <w:szCs w:val="20"/>
    </w:rPr>
  </w:style>
  <w:style w:type="paragraph" w:customStyle="1" w:styleId="363">
    <w:name w:val="heading 6_file_1328"/>
    <w:basedOn w:val="357"/>
    <w:qFormat/>
    <w:uiPriority w:val="9"/>
    <w:pPr>
      <w:outlineLvl w:val="5"/>
    </w:pPr>
    <w:rPr>
      <w:sz w:val="15"/>
      <w:szCs w:val="15"/>
    </w:rPr>
  </w:style>
  <w:style w:type="character" w:customStyle="1" w:styleId="364">
    <w:name w:val="Default Paragraph Font_file_1328"/>
    <w:semiHidden/>
    <w:unhideWhenUsed/>
    <w:qFormat/>
    <w:uiPriority w:val="1"/>
  </w:style>
  <w:style w:type="table" w:customStyle="1" w:styleId="365">
    <w:name w:val="Normal Table_file_1328"/>
    <w:semiHidden/>
    <w:unhideWhenUsed/>
    <w:qFormat/>
    <w:uiPriority w:val="99"/>
    <w:tblPr>
      <w:tblCellMar>
        <w:top w:w="0" w:type="dxa"/>
        <w:left w:w="108" w:type="dxa"/>
        <w:bottom w:w="0" w:type="dxa"/>
        <w:right w:w="108" w:type="dxa"/>
      </w:tblCellMar>
    </w:tblPr>
  </w:style>
  <w:style w:type="character" w:customStyle="1" w:styleId="366">
    <w:name w:val="Hyperlink_file_1328"/>
    <w:basedOn w:val="364"/>
    <w:semiHidden/>
    <w:unhideWhenUsed/>
    <w:qFormat/>
    <w:uiPriority w:val="99"/>
    <w:rPr>
      <w:color w:val="0782C1"/>
      <w:u w:val="single"/>
    </w:rPr>
  </w:style>
  <w:style w:type="character" w:customStyle="1" w:styleId="367">
    <w:name w:val="FollowedHyperlink_file_1328"/>
    <w:basedOn w:val="364"/>
    <w:semiHidden/>
    <w:unhideWhenUsed/>
    <w:qFormat/>
    <w:uiPriority w:val="99"/>
    <w:rPr>
      <w:color w:val="0782C1"/>
      <w:u w:val="single"/>
    </w:rPr>
  </w:style>
  <w:style w:type="character" w:customStyle="1" w:styleId="368">
    <w:name w:val="标题 1 Char_file_1328"/>
    <w:basedOn w:val="364"/>
    <w:qFormat/>
    <w:uiPriority w:val="9"/>
    <w:rPr>
      <w:rFonts w:ascii="宋体" w:hAnsi="宋体" w:eastAsia="宋体" w:cs="宋体"/>
      <w:b/>
      <w:bCs/>
      <w:kern w:val="44"/>
      <w:sz w:val="44"/>
      <w:szCs w:val="44"/>
    </w:rPr>
  </w:style>
  <w:style w:type="character" w:customStyle="1" w:styleId="369">
    <w:name w:val="标题 2 Char_file_1328"/>
    <w:basedOn w:val="364"/>
    <w:semiHidden/>
    <w:qFormat/>
    <w:uiPriority w:val="9"/>
    <w:rPr>
      <w:rFonts w:asciiTheme="majorHAnsi" w:hAnsiTheme="majorHAnsi" w:eastAsiaTheme="majorEastAsia" w:cstheme="majorBidi"/>
      <w:b/>
      <w:bCs/>
      <w:sz w:val="32"/>
      <w:szCs w:val="32"/>
    </w:rPr>
  </w:style>
  <w:style w:type="character" w:customStyle="1" w:styleId="370">
    <w:name w:val="标题 3 Char_file_1328"/>
    <w:basedOn w:val="364"/>
    <w:semiHidden/>
    <w:qFormat/>
    <w:uiPriority w:val="9"/>
    <w:rPr>
      <w:rFonts w:ascii="宋体" w:hAnsi="宋体" w:eastAsia="宋体" w:cs="宋体"/>
      <w:b/>
      <w:bCs/>
      <w:sz w:val="32"/>
      <w:szCs w:val="32"/>
    </w:rPr>
  </w:style>
  <w:style w:type="character" w:customStyle="1" w:styleId="371">
    <w:name w:val="标题 4 Char_file_1328"/>
    <w:basedOn w:val="364"/>
    <w:semiHidden/>
    <w:qFormat/>
    <w:uiPriority w:val="9"/>
    <w:rPr>
      <w:rFonts w:asciiTheme="majorHAnsi" w:hAnsiTheme="majorHAnsi" w:eastAsiaTheme="majorEastAsia" w:cstheme="majorBidi"/>
      <w:b/>
      <w:bCs/>
      <w:sz w:val="28"/>
      <w:szCs w:val="28"/>
    </w:rPr>
  </w:style>
  <w:style w:type="character" w:customStyle="1" w:styleId="372">
    <w:name w:val="标题 5 Char_file_1328"/>
    <w:basedOn w:val="364"/>
    <w:semiHidden/>
    <w:qFormat/>
    <w:uiPriority w:val="9"/>
    <w:rPr>
      <w:rFonts w:ascii="宋体" w:hAnsi="宋体" w:eastAsia="宋体" w:cs="宋体"/>
      <w:b/>
      <w:bCs/>
      <w:sz w:val="28"/>
      <w:szCs w:val="28"/>
    </w:rPr>
  </w:style>
  <w:style w:type="character" w:customStyle="1" w:styleId="373">
    <w:name w:val="标题 6 Char_file_1328"/>
    <w:basedOn w:val="364"/>
    <w:semiHidden/>
    <w:qFormat/>
    <w:uiPriority w:val="9"/>
    <w:rPr>
      <w:rFonts w:asciiTheme="majorHAnsi" w:hAnsiTheme="majorHAnsi" w:eastAsiaTheme="majorEastAsia" w:cstheme="majorBidi"/>
      <w:b/>
      <w:bCs/>
      <w:sz w:val="24"/>
      <w:szCs w:val="24"/>
    </w:rPr>
  </w:style>
  <w:style w:type="paragraph" w:customStyle="1" w:styleId="374">
    <w:name w:val="cke_editable_file_1328"/>
    <w:basedOn w:val="357"/>
    <w:qFormat/>
    <w:uiPriority w:val="0"/>
    <w:rPr>
      <w:rFonts w:ascii="仿宋_GB2312" w:eastAsia="仿宋_GB2312"/>
    </w:rPr>
  </w:style>
  <w:style w:type="paragraph" w:customStyle="1" w:styleId="375">
    <w:name w:val="marker_file_1328"/>
    <w:basedOn w:val="357"/>
    <w:qFormat/>
    <w:uiPriority w:val="0"/>
    <w:pPr>
      <w:shd w:val="clear" w:color="auto" w:fill="FFFF00"/>
    </w:pPr>
  </w:style>
  <w:style w:type="paragraph" w:customStyle="1" w:styleId="376">
    <w:name w:val="Normal (Web)_file_1328"/>
    <w:basedOn w:val="357"/>
    <w:semiHidden/>
    <w:unhideWhenUsed/>
    <w:qFormat/>
    <w:uiPriority w:val="99"/>
  </w:style>
  <w:style w:type="character" w:customStyle="1" w:styleId="377">
    <w:name w:val="Strong_file_1328"/>
    <w:basedOn w:val="364"/>
    <w:qFormat/>
    <w:uiPriority w:val="22"/>
    <w:rPr>
      <w:b/>
      <w:bCs/>
    </w:rPr>
  </w:style>
  <w:style w:type="paragraph" w:customStyle="1" w:styleId="378">
    <w:name w:val="Normal_file_132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9">
    <w:name w:val="heading 1_file_1329"/>
    <w:basedOn w:val="378"/>
    <w:qFormat/>
    <w:uiPriority w:val="9"/>
    <w:pPr>
      <w:outlineLvl w:val="0"/>
    </w:pPr>
    <w:rPr>
      <w:kern w:val="36"/>
      <w:sz w:val="48"/>
      <w:szCs w:val="48"/>
    </w:rPr>
  </w:style>
  <w:style w:type="paragraph" w:customStyle="1" w:styleId="380">
    <w:name w:val="heading 2_file_1329"/>
    <w:basedOn w:val="378"/>
    <w:qFormat/>
    <w:uiPriority w:val="9"/>
    <w:pPr>
      <w:outlineLvl w:val="1"/>
    </w:pPr>
    <w:rPr>
      <w:sz w:val="36"/>
      <w:szCs w:val="36"/>
    </w:rPr>
  </w:style>
  <w:style w:type="paragraph" w:customStyle="1" w:styleId="381">
    <w:name w:val="heading 3_file_1329"/>
    <w:basedOn w:val="378"/>
    <w:qFormat/>
    <w:uiPriority w:val="9"/>
    <w:pPr>
      <w:outlineLvl w:val="2"/>
    </w:pPr>
    <w:rPr>
      <w:sz w:val="27"/>
      <w:szCs w:val="27"/>
    </w:rPr>
  </w:style>
  <w:style w:type="paragraph" w:customStyle="1" w:styleId="382">
    <w:name w:val="heading 4_file_1329"/>
    <w:basedOn w:val="378"/>
    <w:qFormat/>
    <w:uiPriority w:val="9"/>
    <w:pPr>
      <w:outlineLvl w:val="3"/>
    </w:pPr>
  </w:style>
  <w:style w:type="paragraph" w:customStyle="1" w:styleId="383">
    <w:name w:val="heading 5_file_1329"/>
    <w:basedOn w:val="378"/>
    <w:qFormat/>
    <w:uiPriority w:val="9"/>
    <w:pPr>
      <w:outlineLvl w:val="4"/>
    </w:pPr>
    <w:rPr>
      <w:sz w:val="20"/>
      <w:szCs w:val="20"/>
    </w:rPr>
  </w:style>
  <w:style w:type="paragraph" w:customStyle="1" w:styleId="384">
    <w:name w:val="heading 6_file_1329"/>
    <w:basedOn w:val="378"/>
    <w:qFormat/>
    <w:uiPriority w:val="9"/>
    <w:pPr>
      <w:outlineLvl w:val="5"/>
    </w:pPr>
    <w:rPr>
      <w:sz w:val="15"/>
      <w:szCs w:val="15"/>
    </w:rPr>
  </w:style>
  <w:style w:type="character" w:customStyle="1" w:styleId="385">
    <w:name w:val="Default Paragraph Font_file_1329"/>
    <w:semiHidden/>
    <w:unhideWhenUsed/>
    <w:qFormat/>
    <w:uiPriority w:val="1"/>
  </w:style>
  <w:style w:type="table" w:customStyle="1" w:styleId="386">
    <w:name w:val="Normal Table_file_1329"/>
    <w:semiHidden/>
    <w:unhideWhenUsed/>
    <w:qFormat/>
    <w:uiPriority w:val="99"/>
    <w:tblPr>
      <w:tblCellMar>
        <w:top w:w="0" w:type="dxa"/>
        <w:left w:w="108" w:type="dxa"/>
        <w:bottom w:w="0" w:type="dxa"/>
        <w:right w:w="108" w:type="dxa"/>
      </w:tblCellMar>
    </w:tblPr>
  </w:style>
  <w:style w:type="character" w:customStyle="1" w:styleId="387">
    <w:name w:val="Hyperlink_file_1329"/>
    <w:basedOn w:val="385"/>
    <w:semiHidden/>
    <w:unhideWhenUsed/>
    <w:qFormat/>
    <w:uiPriority w:val="99"/>
    <w:rPr>
      <w:color w:val="0782C1"/>
      <w:u w:val="single"/>
    </w:rPr>
  </w:style>
  <w:style w:type="character" w:customStyle="1" w:styleId="388">
    <w:name w:val="FollowedHyperlink_file_1329"/>
    <w:basedOn w:val="385"/>
    <w:semiHidden/>
    <w:unhideWhenUsed/>
    <w:qFormat/>
    <w:uiPriority w:val="99"/>
    <w:rPr>
      <w:color w:val="0782C1"/>
      <w:u w:val="single"/>
    </w:rPr>
  </w:style>
  <w:style w:type="character" w:customStyle="1" w:styleId="389">
    <w:name w:val="标题 1 Char_file_1329"/>
    <w:basedOn w:val="385"/>
    <w:qFormat/>
    <w:uiPriority w:val="9"/>
    <w:rPr>
      <w:rFonts w:ascii="宋体" w:hAnsi="宋体" w:eastAsia="宋体" w:cs="宋体"/>
      <w:b/>
      <w:bCs/>
      <w:kern w:val="44"/>
      <w:sz w:val="44"/>
      <w:szCs w:val="44"/>
    </w:rPr>
  </w:style>
  <w:style w:type="character" w:customStyle="1" w:styleId="390">
    <w:name w:val="标题 2 Char_file_1329"/>
    <w:basedOn w:val="385"/>
    <w:semiHidden/>
    <w:qFormat/>
    <w:uiPriority w:val="9"/>
    <w:rPr>
      <w:rFonts w:asciiTheme="majorHAnsi" w:hAnsiTheme="majorHAnsi" w:eastAsiaTheme="majorEastAsia" w:cstheme="majorBidi"/>
      <w:b/>
      <w:bCs/>
      <w:sz w:val="32"/>
      <w:szCs w:val="32"/>
    </w:rPr>
  </w:style>
  <w:style w:type="character" w:customStyle="1" w:styleId="391">
    <w:name w:val="标题 3 Char_file_1329"/>
    <w:basedOn w:val="385"/>
    <w:semiHidden/>
    <w:qFormat/>
    <w:uiPriority w:val="9"/>
    <w:rPr>
      <w:rFonts w:ascii="宋体" w:hAnsi="宋体" w:eastAsia="宋体" w:cs="宋体"/>
      <w:b/>
      <w:bCs/>
      <w:sz w:val="32"/>
      <w:szCs w:val="32"/>
    </w:rPr>
  </w:style>
  <w:style w:type="character" w:customStyle="1" w:styleId="392">
    <w:name w:val="标题 4 Char_file_1329"/>
    <w:basedOn w:val="385"/>
    <w:semiHidden/>
    <w:qFormat/>
    <w:uiPriority w:val="9"/>
    <w:rPr>
      <w:rFonts w:asciiTheme="majorHAnsi" w:hAnsiTheme="majorHAnsi" w:eastAsiaTheme="majorEastAsia" w:cstheme="majorBidi"/>
      <w:b/>
      <w:bCs/>
      <w:sz w:val="28"/>
      <w:szCs w:val="28"/>
    </w:rPr>
  </w:style>
  <w:style w:type="character" w:customStyle="1" w:styleId="393">
    <w:name w:val="标题 5 Char_file_1329"/>
    <w:basedOn w:val="385"/>
    <w:semiHidden/>
    <w:qFormat/>
    <w:uiPriority w:val="9"/>
    <w:rPr>
      <w:rFonts w:ascii="宋体" w:hAnsi="宋体" w:eastAsia="宋体" w:cs="宋体"/>
      <w:b/>
      <w:bCs/>
      <w:sz w:val="28"/>
      <w:szCs w:val="28"/>
    </w:rPr>
  </w:style>
  <w:style w:type="character" w:customStyle="1" w:styleId="394">
    <w:name w:val="标题 6 Char_file_1329"/>
    <w:basedOn w:val="385"/>
    <w:semiHidden/>
    <w:qFormat/>
    <w:uiPriority w:val="9"/>
    <w:rPr>
      <w:rFonts w:asciiTheme="majorHAnsi" w:hAnsiTheme="majorHAnsi" w:eastAsiaTheme="majorEastAsia" w:cstheme="majorBidi"/>
      <w:b/>
      <w:bCs/>
      <w:sz w:val="24"/>
      <w:szCs w:val="24"/>
    </w:rPr>
  </w:style>
  <w:style w:type="paragraph" w:customStyle="1" w:styleId="395">
    <w:name w:val="cke_editable_file_1329"/>
    <w:basedOn w:val="378"/>
    <w:qFormat/>
    <w:uiPriority w:val="0"/>
    <w:rPr>
      <w:rFonts w:ascii="仿宋_GB2312" w:eastAsia="仿宋_GB2312"/>
    </w:rPr>
  </w:style>
  <w:style w:type="paragraph" w:customStyle="1" w:styleId="396">
    <w:name w:val="marker_file_1329"/>
    <w:basedOn w:val="378"/>
    <w:qFormat/>
    <w:uiPriority w:val="0"/>
    <w:pPr>
      <w:shd w:val="clear" w:color="auto" w:fill="FFFF00"/>
    </w:pPr>
  </w:style>
  <w:style w:type="paragraph" w:customStyle="1" w:styleId="397">
    <w:name w:val="Normal (Web)_file_1329"/>
    <w:basedOn w:val="378"/>
    <w:semiHidden/>
    <w:unhideWhenUsed/>
    <w:qFormat/>
    <w:uiPriority w:val="99"/>
  </w:style>
  <w:style w:type="paragraph" w:customStyle="1" w:styleId="398">
    <w:name w:val="Normal_file_1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9">
    <w:name w:val="heading 1_file_1330"/>
    <w:basedOn w:val="398"/>
    <w:qFormat/>
    <w:uiPriority w:val="9"/>
    <w:pPr>
      <w:outlineLvl w:val="0"/>
    </w:pPr>
    <w:rPr>
      <w:kern w:val="36"/>
      <w:sz w:val="48"/>
      <w:szCs w:val="48"/>
    </w:rPr>
  </w:style>
  <w:style w:type="paragraph" w:customStyle="1" w:styleId="400">
    <w:name w:val="heading 2_file_1330"/>
    <w:basedOn w:val="398"/>
    <w:qFormat/>
    <w:uiPriority w:val="9"/>
    <w:pPr>
      <w:outlineLvl w:val="1"/>
    </w:pPr>
    <w:rPr>
      <w:sz w:val="36"/>
      <w:szCs w:val="36"/>
    </w:rPr>
  </w:style>
  <w:style w:type="paragraph" w:customStyle="1" w:styleId="401">
    <w:name w:val="heading 3_file_1330"/>
    <w:basedOn w:val="398"/>
    <w:qFormat/>
    <w:uiPriority w:val="9"/>
    <w:pPr>
      <w:outlineLvl w:val="2"/>
    </w:pPr>
    <w:rPr>
      <w:sz w:val="27"/>
      <w:szCs w:val="27"/>
    </w:rPr>
  </w:style>
  <w:style w:type="paragraph" w:customStyle="1" w:styleId="402">
    <w:name w:val="heading 4_file_1330"/>
    <w:basedOn w:val="398"/>
    <w:qFormat/>
    <w:uiPriority w:val="9"/>
    <w:pPr>
      <w:outlineLvl w:val="3"/>
    </w:pPr>
  </w:style>
  <w:style w:type="paragraph" w:customStyle="1" w:styleId="403">
    <w:name w:val="heading 5_file_1330"/>
    <w:basedOn w:val="398"/>
    <w:qFormat/>
    <w:uiPriority w:val="9"/>
    <w:pPr>
      <w:outlineLvl w:val="4"/>
    </w:pPr>
    <w:rPr>
      <w:sz w:val="20"/>
      <w:szCs w:val="20"/>
    </w:rPr>
  </w:style>
  <w:style w:type="paragraph" w:customStyle="1" w:styleId="404">
    <w:name w:val="heading 6_file_1330"/>
    <w:basedOn w:val="398"/>
    <w:qFormat/>
    <w:uiPriority w:val="9"/>
    <w:pPr>
      <w:outlineLvl w:val="5"/>
    </w:pPr>
    <w:rPr>
      <w:sz w:val="15"/>
      <w:szCs w:val="15"/>
    </w:rPr>
  </w:style>
  <w:style w:type="character" w:customStyle="1" w:styleId="405">
    <w:name w:val="Default Paragraph Font_file_1330"/>
    <w:semiHidden/>
    <w:unhideWhenUsed/>
    <w:qFormat/>
    <w:uiPriority w:val="1"/>
  </w:style>
  <w:style w:type="table" w:customStyle="1" w:styleId="406">
    <w:name w:val="Normal Table_file_1330"/>
    <w:semiHidden/>
    <w:unhideWhenUsed/>
    <w:qFormat/>
    <w:uiPriority w:val="99"/>
    <w:tblPr>
      <w:tblCellMar>
        <w:top w:w="0" w:type="dxa"/>
        <w:left w:w="108" w:type="dxa"/>
        <w:bottom w:w="0" w:type="dxa"/>
        <w:right w:w="108" w:type="dxa"/>
      </w:tblCellMar>
    </w:tblPr>
  </w:style>
  <w:style w:type="character" w:customStyle="1" w:styleId="407">
    <w:name w:val="Hyperlink_file_1330"/>
    <w:basedOn w:val="405"/>
    <w:semiHidden/>
    <w:unhideWhenUsed/>
    <w:qFormat/>
    <w:uiPriority w:val="99"/>
    <w:rPr>
      <w:color w:val="0782C1"/>
      <w:u w:val="single"/>
    </w:rPr>
  </w:style>
  <w:style w:type="character" w:customStyle="1" w:styleId="408">
    <w:name w:val="FollowedHyperlink_file_1330"/>
    <w:basedOn w:val="405"/>
    <w:semiHidden/>
    <w:unhideWhenUsed/>
    <w:qFormat/>
    <w:uiPriority w:val="99"/>
    <w:rPr>
      <w:color w:val="0782C1"/>
      <w:u w:val="single"/>
    </w:rPr>
  </w:style>
  <w:style w:type="character" w:customStyle="1" w:styleId="409">
    <w:name w:val="标题 1 Char_file_1330"/>
    <w:basedOn w:val="405"/>
    <w:qFormat/>
    <w:uiPriority w:val="9"/>
    <w:rPr>
      <w:rFonts w:ascii="宋体" w:hAnsi="宋体" w:eastAsia="宋体" w:cs="宋体"/>
      <w:b/>
      <w:bCs/>
      <w:kern w:val="44"/>
      <w:sz w:val="44"/>
      <w:szCs w:val="44"/>
    </w:rPr>
  </w:style>
  <w:style w:type="character" w:customStyle="1" w:styleId="410">
    <w:name w:val="标题 2 Char_file_1330"/>
    <w:basedOn w:val="405"/>
    <w:semiHidden/>
    <w:qFormat/>
    <w:uiPriority w:val="9"/>
    <w:rPr>
      <w:rFonts w:asciiTheme="majorHAnsi" w:hAnsiTheme="majorHAnsi" w:eastAsiaTheme="majorEastAsia" w:cstheme="majorBidi"/>
      <w:b/>
      <w:bCs/>
      <w:sz w:val="32"/>
      <w:szCs w:val="32"/>
    </w:rPr>
  </w:style>
  <w:style w:type="character" w:customStyle="1" w:styleId="411">
    <w:name w:val="标题 3 Char_file_1330"/>
    <w:basedOn w:val="405"/>
    <w:semiHidden/>
    <w:qFormat/>
    <w:uiPriority w:val="9"/>
    <w:rPr>
      <w:rFonts w:ascii="宋体" w:hAnsi="宋体" w:eastAsia="宋体" w:cs="宋体"/>
      <w:b/>
      <w:bCs/>
      <w:sz w:val="32"/>
      <w:szCs w:val="32"/>
    </w:rPr>
  </w:style>
  <w:style w:type="character" w:customStyle="1" w:styleId="412">
    <w:name w:val="标题 4 Char_file_1330"/>
    <w:basedOn w:val="405"/>
    <w:semiHidden/>
    <w:qFormat/>
    <w:uiPriority w:val="9"/>
    <w:rPr>
      <w:rFonts w:asciiTheme="majorHAnsi" w:hAnsiTheme="majorHAnsi" w:eastAsiaTheme="majorEastAsia" w:cstheme="majorBidi"/>
      <w:b/>
      <w:bCs/>
      <w:sz w:val="28"/>
      <w:szCs w:val="28"/>
    </w:rPr>
  </w:style>
  <w:style w:type="character" w:customStyle="1" w:styleId="413">
    <w:name w:val="标题 5 Char_file_1330"/>
    <w:basedOn w:val="405"/>
    <w:semiHidden/>
    <w:qFormat/>
    <w:uiPriority w:val="9"/>
    <w:rPr>
      <w:rFonts w:ascii="宋体" w:hAnsi="宋体" w:eastAsia="宋体" w:cs="宋体"/>
      <w:b/>
      <w:bCs/>
      <w:sz w:val="28"/>
      <w:szCs w:val="28"/>
    </w:rPr>
  </w:style>
  <w:style w:type="character" w:customStyle="1" w:styleId="414">
    <w:name w:val="标题 6 Char_file_1330"/>
    <w:basedOn w:val="405"/>
    <w:semiHidden/>
    <w:qFormat/>
    <w:uiPriority w:val="9"/>
    <w:rPr>
      <w:rFonts w:asciiTheme="majorHAnsi" w:hAnsiTheme="majorHAnsi" w:eastAsiaTheme="majorEastAsia" w:cstheme="majorBidi"/>
      <w:b/>
      <w:bCs/>
      <w:sz w:val="24"/>
      <w:szCs w:val="24"/>
    </w:rPr>
  </w:style>
  <w:style w:type="paragraph" w:customStyle="1" w:styleId="415">
    <w:name w:val="cke_editable_file_1330"/>
    <w:basedOn w:val="398"/>
    <w:qFormat/>
    <w:uiPriority w:val="0"/>
    <w:rPr>
      <w:rFonts w:ascii="仿宋_GB2312" w:eastAsia="仿宋_GB2312"/>
    </w:rPr>
  </w:style>
  <w:style w:type="paragraph" w:customStyle="1" w:styleId="416">
    <w:name w:val="marker_file_1330"/>
    <w:basedOn w:val="398"/>
    <w:qFormat/>
    <w:uiPriority w:val="0"/>
    <w:pPr>
      <w:shd w:val="clear" w:color="auto" w:fill="FFFF00"/>
    </w:pPr>
  </w:style>
  <w:style w:type="paragraph" w:customStyle="1" w:styleId="417">
    <w:name w:val="Normal (Web)_file_1330"/>
    <w:basedOn w:val="398"/>
    <w:semiHidden/>
    <w:unhideWhenUsed/>
    <w:qFormat/>
    <w:uiPriority w:val="99"/>
  </w:style>
  <w:style w:type="character" w:customStyle="1" w:styleId="418">
    <w:name w:val="Strong_file_1330"/>
    <w:basedOn w:val="405"/>
    <w:qFormat/>
    <w:uiPriority w:val="22"/>
    <w:rPr>
      <w:b/>
      <w:bCs/>
    </w:rPr>
  </w:style>
  <w:style w:type="paragraph" w:customStyle="1" w:styleId="419">
    <w:name w:val="Normal_file_13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0">
    <w:name w:val="heading 1_file_1331"/>
    <w:basedOn w:val="419"/>
    <w:qFormat/>
    <w:uiPriority w:val="9"/>
    <w:pPr>
      <w:outlineLvl w:val="0"/>
    </w:pPr>
    <w:rPr>
      <w:kern w:val="36"/>
      <w:sz w:val="48"/>
      <w:szCs w:val="48"/>
    </w:rPr>
  </w:style>
  <w:style w:type="paragraph" w:customStyle="1" w:styleId="421">
    <w:name w:val="heading 2_file_1331"/>
    <w:basedOn w:val="419"/>
    <w:qFormat/>
    <w:uiPriority w:val="9"/>
    <w:pPr>
      <w:outlineLvl w:val="1"/>
    </w:pPr>
    <w:rPr>
      <w:sz w:val="36"/>
      <w:szCs w:val="36"/>
    </w:rPr>
  </w:style>
  <w:style w:type="paragraph" w:customStyle="1" w:styleId="422">
    <w:name w:val="heading 3_file_1331"/>
    <w:basedOn w:val="419"/>
    <w:qFormat/>
    <w:uiPriority w:val="9"/>
    <w:pPr>
      <w:outlineLvl w:val="2"/>
    </w:pPr>
    <w:rPr>
      <w:sz w:val="27"/>
      <w:szCs w:val="27"/>
    </w:rPr>
  </w:style>
  <w:style w:type="paragraph" w:customStyle="1" w:styleId="423">
    <w:name w:val="heading 4_file_1331"/>
    <w:basedOn w:val="419"/>
    <w:qFormat/>
    <w:uiPriority w:val="9"/>
    <w:pPr>
      <w:outlineLvl w:val="3"/>
    </w:pPr>
  </w:style>
  <w:style w:type="paragraph" w:customStyle="1" w:styleId="424">
    <w:name w:val="heading 5_file_1331"/>
    <w:basedOn w:val="419"/>
    <w:qFormat/>
    <w:uiPriority w:val="9"/>
    <w:pPr>
      <w:outlineLvl w:val="4"/>
    </w:pPr>
    <w:rPr>
      <w:sz w:val="20"/>
      <w:szCs w:val="20"/>
    </w:rPr>
  </w:style>
  <w:style w:type="paragraph" w:customStyle="1" w:styleId="425">
    <w:name w:val="heading 6_file_1331"/>
    <w:basedOn w:val="419"/>
    <w:qFormat/>
    <w:uiPriority w:val="9"/>
    <w:pPr>
      <w:outlineLvl w:val="5"/>
    </w:pPr>
    <w:rPr>
      <w:sz w:val="15"/>
      <w:szCs w:val="15"/>
    </w:rPr>
  </w:style>
  <w:style w:type="character" w:customStyle="1" w:styleId="426">
    <w:name w:val="Default Paragraph Font_file_1331"/>
    <w:semiHidden/>
    <w:unhideWhenUsed/>
    <w:qFormat/>
    <w:uiPriority w:val="1"/>
  </w:style>
  <w:style w:type="table" w:customStyle="1" w:styleId="427">
    <w:name w:val="Normal Table_file_1331"/>
    <w:semiHidden/>
    <w:unhideWhenUsed/>
    <w:qFormat/>
    <w:uiPriority w:val="99"/>
    <w:tblPr>
      <w:tblCellMar>
        <w:top w:w="0" w:type="dxa"/>
        <w:left w:w="108" w:type="dxa"/>
        <w:bottom w:w="0" w:type="dxa"/>
        <w:right w:w="108" w:type="dxa"/>
      </w:tblCellMar>
    </w:tblPr>
  </w:style>
  <w:style w:type="character" w:customStyle="1" w:styleId="428">
    <w:name w:val="Hyperlink_file_1331"/>
    <w:basedOn w:val="426"/>
    <w:semiHidden/>
    <w:unhideWhenUsed/>
    <w:qFormat/>
    <w:uiPriority w:val="99"/>
    <w:rPr>
      <w:color w:val="0782C1"/>
      <w:u w:val="single"/>
    </w:rPr>
  </w:style>
  <w:style w:type="character" w:customStyle="1" w:styleId="429">
    <w:name w:val="FollowedHyperlink_file_1331"/>
    <w:basedOn w:val="426"/>
    <w:semiHidden/>
    <w:unhideWhenUsed/>
    <w:qFormat/>
    <w:uiPriority w:val="99"/>
    <w:rPr>
      <w:color w:val="0782C1"/>
      <w:u w:val="single"/>
    </w:rPr>
  </w:style>
  <w:style w:type="character" w:customStyle="1" w:styleId="430">
    <w:name w:val="标题 1 Char_file_1331"/>
    <w:basedOn w:val="426"/>
    <w:qFormat/>
    <w:uiPriority w:val="9"/>
    <w:rPr>
      <w:rFonts w:ascii="宋体" w:hAnsi="宋体" w:eastAsia="宋体" w:cs="宋体"/>
      <w:b/>
      <w:bCs/>
      <w:kern w:val="44"/>
      <w:sz w:val="44"/>
      <w:szCs w:val="44"/>
    </w:rPr>
  </w:style>
  <w:style w:type="character" w:customStyle="1" w:styleId="431">
    <w:name w:val="标题 2 Char_file_1331"/>
    <w:basedOn w:val="426"/>
    <w:semiHidden/>
    <w:qFormat/>
    <w:uiPriority w:val="9"/>
    <w:rPr>
      <w:rFonts w:asciiTheme="majorHAnsi" w:hAnsiTheme="majorHAnsi" w:eastAsiaTheme="majorEastAsia" w:cstheme="majorBidi"/>
      <w:b/>
      <w:bCs/>
      <w:sz w:val="32"/>
      <w:szCs w:val="32"/>
    </w:rPr>
  </w:style>
  <w:style w:type="character" w:customStyle="1" w:styleId="432">
    <w:name w:val="标题 3 Char_file_1331"/>
    <w:basedOn w:val="426"/>
    <w:semiHidden/>
    <w:qFormat/>
    <w:uiPriority w:val="9"/>
    <w:rPr>
      <w:rFonts w:ascii="宋体" w:hAnsi="宋体" w:eastAsia="宋体" w:cs="宋体"/>
      <w:b/>
      <w:bCs/>
      <w:sz w:val="32"/>
      <w:szCs w:val="32"/>
    </w:rPr>
  </w:style>
  <w:style w:type="character" w:customStyle="1" w:styleId="433">
    <w:name w:val="标题 4 Char_file_1331"/>
    <w:basedOn w:val="426"/>
    <w:semiHidden/>
    <w:qFormat/>
    <w:uiPriority w:val="9"/>
    <w:rPr>
      <w:rFonts w:asciiTheme="majorHAnsi" w:hAnsiTheme="majorHAnsi" w:eastAsiaTheme="majorEastAsia" w:cstheme="majorBidi"/>
      <w:b/>
      <w:bCs/>
      <w:sz w:val="28"/>
      <w:szCs w:val="28"/>
    </w:rPr>
  </w:style>
  <w:style w:type="character" w:customStyle="1" w:styleId="434">
    <w:name w:val="标题 5 Char_file_1331"/>
    <w:basedOn w:val="426"/>
    <w:semiHidden/>
    <w:qFormat/>
    <w:uiPriority w:val="9"/>
    <w:rPr>
      <w:rFonts w:ascii="宋体" w:hAnsi="宋体" w:eastAsia="宋体" w:cs="宋体"/>
      <w:b/>
      <w:bCs/>
      <w:sz w:val="28"/>
      <w:szCs w:val="28"/>
    </w:rPr>
  </w:style>
  <w:style w:type="character" w:customStyle="1" w:styleId="435">
    <w:name w:val="标题 6 Char_file_1331"/>
    <w:basedOn w:val="426"/>
    <w:semiHidden/>
    <w:qFormat/>
    <w:uiPriority w:val="9"/>
    <w:rPr>
      <w:rFonts w:asciiTheme="majorHAnsi" w:hAnsiTheme="majorHAnsi" w:eastAsiaTheme="majorEastAsia" w:cstheme="majorBidi"/>
      <w:b/>
      <w:bCs/>
      <w:sz w:val="24"/>
      <w:szCs w:val="24"/>
    </w:rPr>
  </w:style>
  <w:style w:type="paragraph" w:customStyle="1" w:styleId="436">
    <w:name w:val="cke_editable_file_1331"/>
    <w:basedOn w:val="419"/>
    <w:qFormat/>
    <w:uiPriority w:val="0"/>
    <w:rPr>
      <w:rFonts w:ascii="仿宋_GB2312" w:eastAsia="仿宋_GB2312"/>
    </w:rPr>
  </w:style>
  <w:style w:type="paragraph" w:customStyle="1" w:styleId="437">
    <w:name w:val="marker_file_1331"/>
    <w:basedOn w:val="419"/>
    <w:qFormat/>
    <w:uiPriority w:val="0"/>
    <w:pPr>
      <w:shd w:val="clear" w:color="auto" w:fill="FFFF00"/>
    </w:pPr>
  </w:style>
  <w:style w:type="paragraph" w:customStyle="1" w:styleId="438">
    <w:name w:val="Normal (Web)_file_1331"/>
    <w:basedOn w:val="419"/>
    <w:semiHidden/>
    <w:unhideWhenUsed/>
    <w:qFormat/>
    <w:uiPriority w:val="99"/>
  </w:style>
  <w:style w:type="paragraph" w:customStyle="1" w:styleId="439">
    <w:name w:val="Normal_file_13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0">
    <w:name w:val="heading 1_file_1332"/>
    <w:basedOn w:val="439"/>
    <w:qFormat/>
    <w:uiPriority w:val="9"/>
    <w:pPr>
      <w:outlineLvl w:val="0"/>
    </w:pPr>
    <w:rPr>
      <w:kern w:val="36"/>
      <w:sz w:val="48"/>
      <w:szCs w:val="48"/>
    </w:rPr>
  </w:style>
  <w:style w:type="paragraph" w:customStyle="1" w:styleId="441">
    <w:name w:val="heading 2_file_1332"/>
    <w:basedOn w:val="439"/>
    <w:qFormat/>
    <w:uiPriority w:val="9"/>
    <w:pPr>
      <w:outlineLvl w:val="1"/>
    </w:pPr>
    <w:rPr>
      <w:sz w:val="36"/>
      <w:szCs w:val="36"/>
    </w:rPr>
  </w:style>
  <w:style w:type="paragraph" w:customStyle="1" w:styleId="442">
    <w:name w:val="heading 3_file_1332"/>
    <w:basedOn w:val="439"/>
    <w:qFormat/>
    <w:uiPriority w:val="9"/>
    <w:pPr>
      <w:outlineLvl w:val="2"/>
    </w:pPr>
    <w:rPr>
      <w:sz w:val="27"/>
      <w:szCs w:val="27"/>
    </w:rPr>
  </w:style>
  <w:style w:type="paragraph" w:customStyle="1" w:styleId="443">
    <w:name w:val="heading 4_file_1332"/>
    <w:basedOn w:val="439"/>
    <w:qFormat/>
    <w:uiPriority w:val="9"/>
    <w:pPr>
      <w:outlineLvl w:val="3"/>
    </w:pPr>
  </w:style>
  <w:style w:type="paragraph" w:customStyle="1" w:styleId="444">
    <w:name w:val="heading 5_file_1332"/>
    <w:basedOn w:val="439"/>
    <w:qFormat/>
    <w:uiPriority w:val="9"/>
    <w:pPr>
      <w:outlineLvl w:val="4"/>
    </w:pPr>
    <w:rPr>
      <w:sz w:val="20"/>
      <w:szCs w:val="20"/>
    </w:rPr>
  </w:style>
  <w:style w:type="paragraph" w:customStyle="1" w:styleId="445">
    <w:name w:val="heading 6_file_1332"/>
    <w:basedOn w:val="439"/>
    <w:qFormat/>
    <w:uiPriority w:val="9"/>
    <w:pPr>
      <w:outlineLvl w:val="5"/>
    </w:pPr>
    <w:rPr>
      <w:sz w:val="15"/>
      <w:szCs w:val="15"/>
    </w:rPr>
  </w:style>
  <w:style w:type="character" w:customStyle="1" w:styleId="446">
    <w:name w:val="Default Paragraph Font_file_1332"/>
    <w:semiHidden/>
    <w:unhideWhenUsed/>
    <w:qFormat/>
    <w:uiPriority w:val="1"/>
  </w:style>
  <w:style w:type="table" w:customStyle="1" w:styleId="447">
    <w:name w:val="Normal Table_file_1332"/>
    <w:semiHidden/>
    <w:unhideWhenUsed/>
    <w:qFormat/>
    <w:uiPriority w:val="99"/>
    <w:tblPr>
      <w:tblCellMar>
        <w:top w:w="0" w:type="dxa"/>
        <w:left w:w="108" w:type="dxa"/>
        <w:bottom w:w="0" w:type="dxa"/>
        <w:right w:w="108" w:type="dxa"/>
      </w:tblCellMar>
    </w:tblPr>
  </w:style>
  <w:style w:type="character" w:customStyle="1" w:styleId="448">
    <w:name w:val="Hyperlink_file_1332"/>
    <w:basedOn w:val="446"/>
    <w:semiHidden/>
    <w:unhideWhenUsed/>
    <w:qFormat/>
    <w:uiPriority w:val="99"/>
    <w:rPr>
      <w:color w:val="0782C1"/>
      <w:u w:val="single"/>
    </w:rPr>
  </w:style>
  <w:style w:type="character" w:customStyle="1" w:styleId="449">
    <w:name w:val="FollowedHyperlink_file_1332"/>
    <w:basedOn w:val="446"/>
    <w:semiHidden/>
    <w:unhideWhenUsed/>
    <w:qFormat/>
    <w:uiPriority w:val="99"/>
    <w:rPr>
      <w:color w:val="0782C1"/>
      <w:u w:val="single"/>
    </w:rPr>
  </w:style>
  <w:style w:type="character" w:customStyle="1" w:styleId="450">
    <w:name w:val="标题 1 Char_file_1332"/>
    <w:basedOn w:val="446"/>
    <w:qFormat/>
    <w:uiPriority w:val="9"/>
    <w:rPr>
      <w:rFonts w:ascii="宋体" w:hAnsi="宋体" w:eastAsia="宋体" w:cs="宋体"/>
      <w:b/>
      <w:bCs/>
      <w:kern w:val="44"/>
      <w:sz w:val="44"/>
      <w:szCs w:val="44"/>
    </w:rPr>
  </w:style>
  <w:style w:type="character" w:customStyle="1" w:styleId="451">
    <w:name w:val="标题 2 Char_file_1332"/>
    <w:basedOn w:val="446"/>
    <w:semiHidden/>
    <w:qFormat/>
    <w:uiPriority w:val="9"/>
    <w:rPr>
      <w:rFonts w:asciiTheme="majorHAnsi" w:hAnsiTheme="majorHAnsi" w:eastAsiaTheme="majorEastAsia" w:cstheme="majorBidi"/>
      <w:b/>
      <w:bCs/>
      <w:sz w:val="32"/>
      <w:szCs w:val="32"/>
    </w:rPr>
  </w:style>
  <w:style w:type="character" w:customStyle="1" w:styleId="452">
    <w:name w:val="标题 3 Char_file_1332"/>
    <w:basedOn w:val="446"/>
    <w:semiHidden/>
    <w:qFormat/>
    <w:uiPriority w:val="9"/>
    <w:rPr>
      <w:rFonts w:ascii="宋体" w:hAnsi="宋体" w:eastAsia="宋体" w:cs="宋体"/>
      <w:b/>
      <w:bCs/>
      <w:sz w:val="32"/>
      <w:szCs w:val="32"/>
    </w:rPr>
  </w:style>
  <w:style w:type="character" w:customStyle="1" w:styleId="453">
    <w:name w:val="标题 4 Char_file_1332"/>
    <w:basedOn w:val="446"/>
    <w:semiHidden/>
    <w:qFormat/>
    <w:uiPriority w:val="9"/>
    <w:rPr>
      <w:rFonts w:asciiTheme="majorHAnsi" w:hAnsiTheme="majorHAnsi" w:eastAsiaTheme="majorEastAsia" w:cstheme="majorBidi"/>
      <w:b/>
      <w:bCs/>
      <w:sz w:val="28"/>
      <w:szCs w:val="28"/>
    </w:rPr>
  </w:style>
  <w:style w:type="character" w:customStyle="1" w:styleId="454">
    <w:name w:val="标题 5 Char_file_1332"/>
    <w:basedOn w:val="446"/>
    <w:semiHidden/>
    <w:qFormat/>
    <w:uiPriority w:val="9"/>
    <w:rPr>
      <w:rFonts w:ascii="宋体" w:hAnsi="宋体" w:eastAsia="宋体" w:cs="宋体"/>
      <w:b/>
      <w:bCs/>
      <w:sz w:val="28"/>
      <w:szCs w:val="28"/>
    </w:rPr>
  </w:style>
  <w:style w:type="character" w:customStyle="1" w:styleId="455">
    <w:name w:val="标题 6 Char_file_1332"/>
    <w:basedOn w:val="446"/>
    <w:semiHidden/>
    <w:qFormat/>
    <w:uiPriority w:val="9"/>
    <w:rPr>
      <w:rFonts w:asciiTheme="majorHAnsi" w:hAnsiTheme="majorHAnsi" w:eastAsiaTheme="majorEastAsia" w:cstheme="majorBidi"/>
      <w:b/>
      <w:bCs/>
      <w:sz w:val="24"/>
      <w:szCs w:val="24"/>
    </w:rPr>
  </w:style>
  <w:style w:type="paragraph" w:customStyle="1" w:styleId="456">
    <w:name w:val="cke_editable_file_1332"/>
    <w:basedOn w:val="439"/>
    <w:qFormat/>
    <w:uiPriority w:val="0"/>
    <w:rPr>
      <w:rFonts w:ascii="仿宋_GB2312" w:eastAsia="仿宋_GB2312"/>
    </w:rPr>
  </w:style>
  <w:style w:type="paragraph" w:customStyle="1" w:styleId="457">
    <w:name w:val="marker_file_1332"/>
    <w:basedOn w:val="439"/>
    <w:qFormat/>
    <w:uiPriority w:val="0"/>
    <w:pPr>
      <w:shd w:val="clear" w:color="auto" w:fill="FFFF00"/>
    </w:pPr>
  </w:style>
  <w:style w:type="paragraph" w:customStyle="1" w:styleId="458">
    <w:name w:val="Normal (Web)_file_1332"/>
    <w:basedOn w:val="439"/>
    <w:semiHidden/>
    <w:unhideWhenUsed/>
    <w:qFormat/>
    <w:uiPriority w:val="99"/>
  </w:style>
  <w:style w:type="character" w:customStyle="1" w:styleId="459">
    <w:name w:val="Strong_file_1332"/>
    <w:basedOn w:val="446"/>
    <w:qFormat/>
    <w:uiPriority w:val="22"/>
    <w:rPr>
      <w:b/>
      <w:bCs/>
    </w:rPr>
  </w:style>
  <w:style w:type="paragraph" w:customStyle="1" w:styleId="460">
    <w:name w:val="Normal_file_13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1">
    <w:name w:val="heading 1_file_1333"/>
    <w:basedOn w:val="460"/>
    <w:qFormat/>
    <w:uiPriority w:val="9"/>
    <w:pPr>
      <w:outlineLvl w:val="0"/>
    </w:pPr>
    <w:rPr>
      <w:kern w:val="36"/>
      <w:sz w:val="48"/>
      <w:szCs w:val="48"/>
    </w:rPr>
  </w:style>
  <w:style w:type="paragraph" w:customStyle="1" w:styleId="462">
    <w:name w:val="heading 2_file_1333"/>
    <w:basedOn w:val="460"/>
    <w:qFormat/>
    <w:uiPriority w:val="9"/>
    <w:pPr>
      <w:outlineLvl w:val="1"/>
    </w:pPr>
    <w:rPr>
      <w:sz w:val="36"/>
      <w:szCs w:val="36"/>
    </w:rPr>
  </w:style>
  <w:style w:type="paragraph" w:customStyle="1" w:styleId="463">
    <w:name w:val="heading 3_file_1333"/>
    <w:basedOn w:val="460"/>
    <w:qFormat/>
    <w:uiPriority w:val="9"/>
    <w:pPr>
      <w:outlineLvl w:val="2"/>
    </w:pPr>
    <w:rPr>
      <w:sz w:val="27"/>
      <w:szCs w:val="27"/>
    </w:rPr>
  </w:style>
  <w:style w:type="paragraph" w:customStyle="1" w:styleId="464">
    <w:name w:val="heading 4_file_1333"/>
    <w:basedOn w:val="460"/>
    <w:qFormat/>
    <w:uiPriority w:val="9"/>
    <w:pPr>
      <w:outlineLvl w:val="3"/>
    </w:pPr>
  </w:style>
  <w:style w:type="paragraph" w:customStyle="1" w:styleId="465">
    <w:name w:val="heading 5_file_1333"/>
    <w:basedOn w:val="460"/>
    <w:qFormat/>
    <w:uiPriority w:val="9"/>
    <w:pPr>
      <w:outlineLvl w:val="4"/>
    </w:pPr>
    <w:rPr>
      <w:sz w:val="20"/>
      <w:szCs w:val="20"/>
    </w:rPr>
  </w:style>
  <w:style w:type="paragraph" w:customStyle="1" w:styleId="466">
    <w:name w:val="heading 6_file_1333"/>
    <w:basedOn w:val="460"/>
    <w:qFormat/>
    <w:uiPriority w:val="9"/>
    <w:pPr>
      <w:outlineLvl w:val="5"/>
    </w:pPr>
    <w:rPr>
      <w:sz w:val="15"/>
      <w:szCs w:val="15"/>
    </w:rPr>
  </w:style>
  <w:style w:type="character" w:customStyle="1" w:styleId="467">
    <w:name w:val="Default Paragraph Font_file_1333"/>
    <w:semiHidden/>
    <w:unhideWhenUsed/>
    <w:qFormat/>
    <w:uiPriority w:val="1"/>
  </w:style>
  <w:style w:type="table" w:customStyle="1" w:styleId="468">
    <w:name w:val="Normal Table_file_1333"/>
    <w:semiHidden/>
    <w:unhideWhenUsed/>
    <w:qFormat/>
    <w:uiPriority w:val="99"/>
    <w:tblPr>
      <w:tblCellMar>
        <w:top w:w="0" w:type="dxa"/>
        <w:left w:w="108" w:type="dxa"/>
        <w:bottom w:w="0" w:type="dxa"/>
        <w:right w:w="108" w:type="dxa"/>
      </w:tblCellMar>
    </w:tblPr>
  </w:style>
  <w:style w:type="character" w:customStyle="1" w:styleId="469">
    <w:name w:val="Hyperlink_file_1333"/>
    <w:basedOn w:val="467"/>
    <w:semiHidden/>
    <w:unhideWhenUsed/>
    <w:qFormat/>
    <w:uiPriority w:val="99"/>
    <w:rPr>
      <w:color w:val="0782C1"/>
      <w:u w:val="single"/>
    </w:rPr>
  </w:style>
  <w:style w:type="character" w:customStyle="1" w:styleId="470">
    <w:name w:val="FollowedHyperlink_file_1333"/>
    <w:basedOn w:val="467"/>
    <w:semiHidden/>
    <w:unhideWhenUsed/>
    <w:qFormat/>
    <w:uiPriority w:val="99"/>
    <w:rPr>
      <w:color w:val="0782C1"/>
      <w:u w:val="single"/>
    </w:rPr>
  </w:style>
  <w:style w:type="character" w:customStyle="1" w:styleId="471">
    <w:name w:val="标题 1 Char_file_1333"/>
    <w:basedOn w:val="467"/>
    <w:qFormat/>
    <w:uiPriority w:val="9"/>
    <w:rPr>
      <w:rFonts w:ascii="宋体" w:hAnsi="宋体" w:eastAsia="宋体" w:cs="宋体"/>
      <w:b/>
      <w:bCs/>
      <w:kern w:val="44"/>
      <w:sz w:val="44"/>
      <w:szCs w:val="44"/>
    </w:rPr>
  </w:style>
  <w:style w:type="character" w:customStyle="1" w:styleId="472">
    <w:name w:val="标题 2 Char_file_1333"/>
    <w:basedOn w:val="467"/>
    <w:semiHidden/>
    <w:qFormat/>
    <w:uiPriority w:val="9"/>
    <w:rPr>
      <w:rFonts w:asciiTheme="majorHAnsi" w:hAnsiTheme="majorHAnsi" w:eastAsiaTheme="majorEastAsia" w:cstheme="majorBidi"/>
      <w:b/>
      <w:bCs/>
      <w:sz w:val="32"/>
      <w:szCs w:val="32"/>
    </w:rPr>
  </w:style>
  <w:style w:type="character" w:customStyle="1" w:styleId="473">
    <w:name w:val="标题 3 Char_file_1333"/>
    <w:basedOn w:val="467"/>
    <w:semiHidden/>
    <w:qFormat/>
    <w:uiPriority w:val="9"/>
    <w:rPr>
      <w:rFonts w:ascii="宋体" w:hAnsi="宋体" w:eastAsia="宋体" w:cs="宋体"/>
      <w:b/>
      <w:bCs/>
      <w:sz w:val="32"/>
      <w:szCs w:val="32"/>
    </w:rPr>
  </w:style>
  <w:style w:type="character" w:customStyle="1" w:styleId="474">
    <w:name w:val="标题 4 Char_file_1333"/>
    <w:basedOn w:val="467"/>
    <w:semiHidden/>
    <w:qFormat/>
    <w:uiPriority w:val="9"/>
    <w:rPr>
      <w:rFonts w:asciiTheme="majorHAnsi" w:hAnsiTheme="majorHAnsi" w:eastAsiaTheme="majorEastAsia" w:cstheme="majorBidi"/>
      <w:b/>
      <w:bCs/>
      <w:sz w:val="28"/>
      <w:szCs w:val="28"/>
    </w:rPr>
  </w:style>
  <w:style w:type="character" w:customStyle="1" w:styleId="475">
    <w:name w:val="标题 5 Char_file_1333"/>
    <w:basedOn w:val="467"/>
    <w:semiHidden/>
    <w:qFormat/>
    <w:uiPriority w:val="9"/>
    <w:rPr>
      <w:rFonts w:ascii="宋体" w:hAnsi="宋体" w:eastAsia="宋体" w:cs="宋体"/>
      <w:b/>
      <w:bCs/>
      <w:sz w:val="28"/>
      <w:szCs w:val="28"/>
    </w:rPr>
  </w:style>
  <w:style w:type="character" w:customStyle="1" w:styleId="476">
    <w:name w:val="标题 6 Char_file_1333"/>
    <w:basedOn w:val="467"/>
    <w:semiHidden/>
    <w:qFormat/>
    <w:uiPriority w:val="9"/>
    <w:rPr>
      <w:rFonts w:asciiTheme="majorHAnsi" w:hAnsiTheme="majorHAnsi" w:eastAsiaTheme="majorEastAsia" w:cstheme="majorBidi"/>
      <w:b/>
      <w:bCs/>
      <w:sz w:val="24"/>
      <w:szCs w:val="24"/>
    </w:rPr>
  </w:style>
  <w:style w:type="paragraph" w:customStyle="1" w:styleId="477">
    <w:name w:val="cke_editable_file_1333"/>
    <w:basedOn w:val="460"/>
    <w:qFormat/>
    <w:uiPriority w:val="0"/>
    <w:rPr>
      <w:rFonts w:ascii="仿宋_GB2312" w:eastAsia="仿宋_GB2312"/>
    </w:rPr>
  </w:style>
  <w:style w:type="paragraph" w:customStyle="1" w:styleId="478">
    <w:name w:val="marker_file_1333"/>
    <w:basedOn w:val="460"/>
    <w:qFormat/>
    <w:uiPriority w:val="0"/>
    <w:pPr>
      <w:shd w:val="clear" w:color="auto" w:fill="FFFF00"/>
    </w:pPr>
  </w:style>
  <w:style w:type="paragraph" w:customStyle="1" w:styleId="479">
    <w:name w:val="Normal (Web)_file_1333"/>
    <w:basedOn w:val="460"/>
    <w:semiHidden/>
    <w:unhideWhenUsed/>
    <w:qFormat/>
    <w:uiPriority w:val="99"/>
  </w:style>
  <w:style w:type="paragraph" w:customStyle="1" w:styleId="480">
    <w:name w:val="Normal_file_13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1">
    <w:name w:val="heading 1_file_1334"/>
    <w:basedOn w:val="480"/>
    <w:qFormat/>
    <w:uiPriority w:val="9"/>
    <w:pPr>
      <w:outlineLvl w:val="0"/>
    </w:pPr>
    <w:rPr>
      <w:kern w:val="36"/>
      <w:sz w:val="48"/>
      <w:szCs w:val="48"/>
    </w:rPr>
  </w:style>
  <w:style w:type="paragraph" w:customStyle="1" w:styleId="482">
    <w:name w:val="heading 2_file_1334"/>
    <w:basedOn w:val="480"/>
    <w:qFormat/>
    <w:uiPriority w:val="9"/>
    <w:pPr>
      <w:outlineLvl w:val="1"/>
    </w:pPr>
    <w:rPr>
      <w:sz w:val="36"/>
      <w:szCs w:val="36"/>
    </w:rPr>
  </w:style>
  <w:style w:type="paragraph" w:customStyle="1" w:styleId="483">
    <w:name w:val="heading 3_file_1334"/>
    <w:basedOn w:val="480"/>
    <w:qFormat/>
    <w:uiPriority w:val="9"/>
    <w:pPr>
      <w:outlineLvl w:val="2"/>
    </w:pPr>
    <w:rPr>
      <w:sz w:val="27"/>
      <w:szCs w:val="27"/>
    </w:rPr>
  </w:style>
  <w:style w:type="paragraph" w:customStyle="1" w:styleId="484">
    <w:name w:val="heading 4_file_1334"/>
    <w:basedOn w:val="480"/>
    <w:qFormat/>
    <w:uiPriority w:val="9"/>
    <w:pPr>
      <w:outlineLvl w:val="3"/>
    </w:pPr>
  </w:style>
  <w:style w:type="paragraph" w:customStyle="1" w:styleId="485">
    <w:name w:val="heading 5_file_1334"/>
    <w:basedOn w:val="480"/>
    <w:qFormat/>
    <w:uiPriority w:val="9"/>
    <w:pPr>
      <w:outlineLvl w:val="4"/>
    </w:pPr>
    <w:rPr>
      <w:sz w:val="20"/>
      <w:szCs w:val="20"/>
    </w:rPr>
  </w:style>
  <w:style w:type="paragraph" w:customStyle="1" w:styleId="486">
    <w:name w:val="heading 6_file_1334"/>
    <w:basedOn w:val="480"/>
    <w:qFormat/>
    <w:uiPriority w:val="9"/>
    <w:pPr>
      <w:outlineLvl w:val="5"/>
    </w:pPr>
    <w:rPr>
      <w:sz w:val="15"/>
      <w:szCs w:val="15"/>
    </w:rPr>
  </w:style>
  <w:style w:type="character" w:customStyle="1" w:styleId="487">
    <w:name w:val="Default Paragraph Font_file_1334"/>
    <w:semiHidden/>
    <w:unhideWhenUsed/>
    <w:qFormat/>
    <w:uiPriority w:val="1"/>
  </w:style>
  <w:style w:type="table" w:customStyle="1" w:styleId="488">
    <w:name w:val="Normal Table_file_1334"/>
    <w:semiHidden/>
    <w:unhideWhenUsed/>
    <w:qFormat/>
    <w:uiPriority w:val="99"/>
    <w:tblPr>
      <w:tblCellMar>
        <w:top w:w="0" w:type="dxa"/>
        <w:left w:w="108" w:type="dxa"/>
        <w:bottom w:w="0" w:type="dxa"/>
        <w:right w:w="108" w:type="dxa"/>
      </w:tblCellMar>
    </w:tblPr>
  </w:style>
  <w:style w:type="character" w:customStyle="1" w:styleId="489">
    <w:name w:val="Hyperlink_file_1334"/>
    <w:basedOn w:val="487"/>
    <w:semiHidden/>
    <w:unhideWhenUsed/>
    <w:qFormat/>
    <w:uiPriority w:val="99"/>
    <w:rPr>
      <w:color w:val="0782C1"/>
      <w:u w:val="single"/>
    </w:rPr>
  </w:style>
  <w:style w:type="character" w:customStyle="1" w:styleId="490">
    <w:name w:val="FollowedHyperlink_file_1334"/>
    <w:basedOn w:val="487"/>
    <w:semiHidden/>
    <w:unhideWhenUsed/>
    <w:qFormat/>
    <w:uiPriority w:val="99"/>
    <w:rPr>
      <w:color w:val="0782C1"/>
      <w:u w:val="single"/>
    </w:rPr>
  </w:style>
  <w:style w:type="character" w:customStyle="1" w:styleId="491">
    <w:name w:val="标题 1 Char_file_1334"/>
    <w:basedOn w:val="487"/>
    <w:qFormat/>
    <w:uiPriority w:val="9"/>
    <w:rPr>
      <w:rFonts w:ascii="宋体" w:hAnsi="宋体" w:eastAsia="宋体" w:cs="宋体"/>
      <w:b/>
      <w:bCs/>
      <w:kern w:val="44"/>
      <w:sz w:val="44"/>
      <w:szCs w:val="44"/>
    </w:rPr>
  </w:style>
  <w:style w:type="character" w:customStyle="1" w:styleId="492">
    <w:name w:val="标题 2 Char_file_1334"/>
    <w:basedOn w:val="487"/>
    <w:semiHidden/>
    <w:qFormat/>
    <w:uiPriority w:val="9"/>
    <w:rPr>
      <w:rFonts w:asciiTheme="majorHAnsi" w:hAnsiTheme="majorHAnsi" w:eastAsiaTheme="majorEastAsia" w:cstheme="majorBidi"/>
      <w:b/>
      <w:bCs/>
      <w:sz w:val="32"/>
      <w:szCs w:val="32"/>
    </w:rPr>
  </w:style>
  <w:style w:type="character" w:customStyle="1" w:styleId="493">
    <w:name w:val="标题 3 Char_file_1334"/>
    <w:basedOn w:val="487"/>
    <w:semiHidden/>
    <w:qFormat/>
    <w:uiPriority w:val="9"/>
    <w:rPr>
      <w:rFonts w:ascii="宋体" w:hAnsi="宋体" w:eastAsia="宋体" w:cs="宋体"/>
      <w:b/>
      <w:bCs/>
      <w:sz w:val="32"/>
      <w:szCs w:val="32"/>
    </w:rPr>
  </w:style>
  <w:style w:type="character" w:customStyle="1" w:styleId="494">
    <w:name w:val="标题 4 Char_file_1334"/>
    <w:basedOn w:val="487"/>
    <w:semiHidden/>
    <w:qFormat/>
    <w:uiPriority w:val="9"/>
    <w:rPr>
      <w:rFonts w:asciiTheme="majorHAnsi" w:hAnsiTheme="majorHAnsi" w:eastAsiaTheme="majorEastAsia" w:cstheme="majorBidi"/>
      <w:b/>
      <w:bCs/>
      <w:sz w:val="28"/>
      <w:szCs w:val="28"/>
    </w:rPr>
  </w:style>
  <w:style w:type="character" w:customStyle="1" w:styleId="495">
    <w:name w:val="标题 5 Char_file_1334"/>
    <w:basedOn w:val="487"/>
    <w:semiHidden/>
    <w:qFormat/>
    <w:uiPriority w:val="9"/>
    <w:rPr>
      <w:rFonts w:ascii="宋体" w:hAnsi="宋体" w:eastAsia="宋体" w:cs="宋体"/>
      <w:b/>
      <w:bCs/>
      <w:sz w:val="28"/>
      <w:szCs w:val="28"/>
    </w:rPr>
  </w:style>
  <w:style w:type="character" w:customStyle="1" w:styleId="496">
    <w:name w:val="标题 6 Char_file_1334"/>
    <w:basedOn w:val="487"/>
    <w:semiHidden/>
    <w:qFormat/>
    <w:uiPriority w:val="9"/>
    <w:rPr>
      <w:rFonts w:asciiTheme="majorHAnsi" w:hAnsiTheme="majorHAnsi" w:eastAsiaTheme="majorEastAsia" w:cstheme="majorBidi"/>
      <w:b/>
      <w:bCs/>
      <w:sz w:val="24"/>
      <w:szCs w:val="24"/>
    </w:rPr>
  </w:style>
  <w:style w:type="paragraph" w:customStyle="1" w:styleId="497">
    <w:name w:val="cke_editable_file_1334"/>
    <w:basedOn w:val="480"/>
    <w:qFormat/>
    <w:uiPriority w:val="0"/>
    <w:rPr>
      <w:rFonts w:ascii="仿宋_GB2312" w:eastAsia="仿宋_GB2312"/>
    </w:rPr>
  </w:style>
  <w:style w:type="paragraph" w:customStyle="1" w:styleId="498">
    <w:name w:val="marker_file_1334"/>
    <w:basedOn w:val="480"/>
    <w:qFormat/>
    <w:uiPriority w:val="0"/>
    <w:pPr>
      <w:shd w:val="clear" w:color="auto" w:fill="FFFF00"/>
    </w:pPr>
  </w:style>
  <w:style w:type="paragraph" w:customStyle="1" w:styleId="499">
    <w:name w:val="Normal (Web)_file_1334"/>
    <w:basedOn w:val="480"/>
    <w:semiHidden/>
    <w:unhideWhenUsed/>
    <w:qFormat/>
    <w:uiPriority w:val="99"/>
  </w:style>
  <w:style w:type="paragraph" w:customStyle="1" w:styleId="500">
    <w:name w:val="Normal_file_13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1">
    <w:name w:val="heading 1_file_1335"/>
    <w:basedOn w:val="500"/>
    <w:qFormat/>
    <w:uiPriority w:val="9"/>
    <w:pPr>
      <w:outlineLvl w:val="0"/>
    </w:pPr>
    <w:rPr>
      <w:kern w:val="36"/>
      <w:sz w:val="48"/>
      <w:szCs w:val="48"/>
    </w:rPr>
  </w:style>
  <w:style w:type="paragraph" w:customStyle="1" w:styleId="502">
    <w:name w:val="heading 2_file_1335"/>
    <w:basedOn w:val="500"/>
    <w:qFormat/>
    <w:uiPriority w:val="9"/>
    <w:pPr>
      <w:outlineLvl w:val="1"/>
    </w:pPr>
    <w:rPr>
      <w:sz w:val="36"/>
      <w:szCs w:val="36"/>
    </w:rPr>
  </w:style>
  <w:style w:type="paragraph" w:customStyle="1" w:styleId="503">
    <w:name w:val="heading 3_file_1335"/>
    <w:basedOn w:val="500"/>
    <w:qFormat/>
    <w:uiPriority w:val="9"/>
    <w:pPr>
      <w:outlineLvl w:val="2"/>
    </w:pPr>
    <w:rPr>
      <w:sz w:val="27"/>
      <w:szCs w:val="27"/>
    </w:rPr>
  </w:style>
  <w:style w:type="paragraph" w:customStyle="1" w:styleId="504">
    <w:name w:val="heading 4_file_1335"/>
    <w:basedOn w:val="500"/>
    <w:qFormat/>
    <w:uiPriority w:val="9"/>
    <w:pPr>
      <w:outlineLvl w:val="3"/>
    </w:pPr>
  </w:style>
  <w:style w:type="paragraph" w:customStyle="1" w:styleId="505">
    <w:name w:val="heading 5_file_1335"/>
    <w:basedOn w:val="500"/>
    <w:qFormat/>
    <w:uiPriority w:val="9"/>
    <w:pPr>
      <w:outlineLvl w:val="4"/>
    </w:pPr>
    <w:rPr>
      <w:sz w:val="20"/>
      <w:szCs w:val="20"/>
    </w:rPr>
  </w:style>
  <w:style w:type="paragraph" w:customStyle="1" w:styleId="506">
    <w:name w:val="heading 6_file_1335"/>
    <w:basedOn w:val="500"/>
    <w:qFormat/>
    <w:uiPriority w:val="9"/>
    <w:pPr>
      <w:outlineLvl w:val="5"/>
    </w:pPr>
    <w:rPr>
      <w:sz w:val="15"/>
      <w:szCs w:val="15"/>
    </w:rPr>
  </w:style>
  <w:style w:type="character" w:customStyle="1" w:styleId="507">
    <w:name w:val="Default Paragraph Font_file_1335"/>
    <w:semiHidden/>
    <w:unhideWhenUsed/>
    <w:qFormat/>
    <w:uiPriority w:val="1"/>
  </w:style>
  <w:style w:type="table" w:customStyle="1" w:styleId="508">
    <w:name w:val="Normal Table_file_1335"/>
    <w:semiHidden/>
    <w:unhideWhenUsed/>
    <w:qFormat/>
    <w:uiPriority w:val="99"/>
    <w:tblPr>
      <w:tblCellMar>
        <w:top w:w="0" w:type="dxa"/>
        <w:left w:w="108" w:type="dxa"/>
        <w:bottom w:w="0" w:type="dxa"/>
        <w:right w:w="108" w:type="dxa"/>
      </w:tblCellMar>
    </w:tblPr>
  </w:style>
  <w:style w:type="character" w:customStyle="1" w:styleId="509">
    <w:name w:val="Hyperlink_file_1335"/>
    <w:basedOn w:val="507"/>
    <w:semiHidden/>
    <w:unhideWhenUsed/>
    <w:qFormat/>
    <w:uiPriority w:val="99"/>
    <w:rPr>
      <w:color w:val="0782C1"/>
      <w:u w:val="single"/>
    </w:rPr>
  </w:style>
  <w:style w:type="character" w:customStyle="1" w:styleId="510">
    <w:name w:val="FollowedHyperlink_file_1335"/>
    <w:basedOn w:val="507"/>
    <w:semiHidden/>
    <w:unhideWhenUsed/>
    <w:qFormat/>
    <w:uiPriority w:val="99"/>
    <w:rPr>
      <w:color w:val="0782C1"/>
      <w:u w:val="single"/>
    </w:rPr>
  </w:style>
  <w:style w:type="character" w:customStyle="1" w:styleId="511">
    <w:name w:val="标题 1 Char_file_1335"/>
    <w:basedOn w:val="507"/>
    <w:qFormat/>
    <w:uiPriority w:val="9"/>
    <w:rPr>
      <w:rFonts w:ascii="宋体" w:hAnsi="宋体" w:eastAsia="宋体" w:cs="宋体"/>
      <w:b/>
      <w:bCs/>
      <w:kern w:val="44"/>
      <w:sz w:val="44"/>
      <w:szCs w:val="44"/>
    </w:rPr>
  </w:style>
  <w:style w:type="character" w:customStyle="1" w:styleId="512">
    <w:name w:val="标题 2 Char_file_1335"/>
    <w:basedOn w:val="507"/>
    <w:semiHidden/>
    <w:qFormat/>
    <w:uiPriority w:val="9"/>
    <w:rPr>
      <w:rFonts w:asciiTheme="majorHAnsi" w:hAnsiTheme="majorHAnsi" w:eastAsiaTheme="majorEastAsia" w:cstheme="majorBidi"/>
      <w:b/>
      <w:bCs/>
      <w:sz w:val="32"/>
      <w:szCs w:val="32"/>
    </w:rPr>
  </w:style>
  <w:style w:type="character" w:customStyle="1" w:styleId="513">
    <w:name w:val="标题 3 Char_file_1335"/>
    <w:basedOn w:val="507"/>
    <w:semiHidden/>
    <w:qFormat/>
    <w:uiPriority w:val="9"/>
    <w:rPr>
      <w:rFonts w:ascii="宋体" w:hAnsi="宋体" w:eastAsia="宋体" w:cs="宋体"/>
      <w:b/>
      <w:bCs/>
      <w:sz w:val="32"/>
      <w:szCs w:val="32"/>
    </w:rPr>
  </w:style>
  <w:style w:type="character" w:customStyle="1" w:styleId="514">
    <w:name w:val="标题 4 Char_file_1335"/>
    <w:basedOn w:val="507"/>
    <w:semiHidden/>
    <w:qFormat/>
    <w:uiPriority w:val="9"/>
    <w:rPr>
      <w:rFonts w:asciiTheme="majorHAnsi" w:hAnsiTheme="majorHAnsi" w:eastAsiaTheme="majorEastAsia" w:cstheme="majorBidi"/>
      <w:b/>
      <w:bCs/>
      <w:sz w:val="28"/>
      <w:szCs w:val="28"/>
    </w:rPr>
  </w:style>
  <w:style w:type="character" w:customStyle="1" w:styleId="515">
    <w:name w:val="标题 5 Char_file_1335"/>
    <w:basedOn w:val="507"/>
    <w:semiHidden/>
    <w:qFormat/>
    <w:uiPriority w:val="9"/>
    <w:rPr>
      <w:rFonts w:ascii="宋体" w:hAnsi="宋体" w:eastAsia="宋体" w:cs="宋体"/>
      <w:b/>
      <w:bCs/>
      <w:sz w:val="28"/>
      <w:szCs w:val="28"/>
    </w:rPr>
  </w:style>
  <w:style w:type="character" w:customStyle="1" w:styleId="516">
    <w:name w:val="标题 6 Char_file_1335"/>
    <w:basedOn w:val="507"/>
    <w:semiHidden/>
    <w:qFormat/>
    <w:uiPriority w:val="9"/>
    <w:rPr>
      <w:rFonts w:asciiTheme="majorHAnsi" w:hAnsiTheme="majorHAnsi" w:eastAsiaTheme="majorEastAsia" w:cstheme="majorBidi"/>
      <w:b/>
      <w:bCs/>
      <w:sz w:val="24"/>
      <w:szCs w:val="24"/>
    </w:rPr>
  </w:style>
  <w:style w:type="paragraph" w:customStyle="1" w:styleId="517">
    <w:name w:val="cke_editable_file_1335"/>
    <w:basedOn w:val="500"/>
    <w:qFormat/>
    <w:uiPriority w:val="0"/>
    <w:rPr>
      <w:rFonts w:ascii="仿宋_GB2312" w:eastAsia="仿宋_GB2312"/>
    </w:rPr>
  </w:style>
  <w:style w:type="paragraph" w:customStyle="1" w:styleId="518">
    <w:name w:val="marker_file_1335"/>
    <w:basedOn w:val="500"/>
    <w:qFormat/>
    <w:uiPriority w:val="0"/>
    <w:pPr>
      <w:shd w:val="clear" w:color="auto" w:fill="FFFF00"/>
    </w:pPr>
  </w:style>
  <w:style w:type="paragraph" w:customStyle="1" w:styleId="519">
    <w:name w:val="Normal (Web)_file_1335"/>
    <w:basedOn w:val="500"/>
    <w:semiHidden/>
    <w:unhideWhenUsed/>
    <w:qFormat/>
    <w:uiPriority w:val="99"/>
  </w:style>
  <w:style w:type="paragraph" w:customStyle="1" w:styleId="520">
    <w:name w:val="Normal_file_13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1">
    <w:name w:val="heading 1_file_1336"/>
    <w:basedOn w:val="520"/>
    <w:qFormat/>
    <w:uiPriority w:val="9"/>
    <w:pPr>
      <w:outlineLvl w:val="0"/>
    </w:pPr>
    <w:rPr>
      <w:kern w:val="36"/>
      <w:sz w:val="48"/>
      <w:szCs w:val="48"/>
    </w:rPr>
  </w:style>
  <w:style w:type="paragraph" w:customStyle="1" w:styleId="522">
    <w:name w:val="heading 2_file_1336"/>
    <w:basedOn w:val="520"/>
    <w:qFormat/>
    <w:uiPriority w:val="9"/>
    <w:pPr>
      <w:outlineLvl w:val="1"/>
    </w:pPr>
    <w:rPr>
      <w:sz w:val="36"/>
      <w:szCs w:val="36"/>
    </w:rPr>
  </w:style>
  <w:style w:type="paragraph" w:customStyle="1" w:styleId="523">
    <w:name w:val="heading 3_file_1336"/>
    <w:basedOn w:val="520"/>
    <w:qFormat/>
    <w:uiPriority w:val="9"/>
    <w:pPr>
      <w:outlineLvl w:val="2"/>
    </w:pPr>
    <w:rPr>
      <w:sz w:val="27"/>
      <w:szCs w:val="27"/>
    </w:rPr>
  </w:style>
  <w:style w:type="paragraph" w:customStyle="1" w:styleId="524">
    <w:name w:val="heading 4_file_1336"/>
    <w:basedOn w:val="520"/>
    <w:qFormat/>
    <w:uiPriority w:val="9"/>
    <w:pPr>
      <w:outlineLvl w:val="3"/>
    </w:pPr>
  </w:style>
  <w:style w:type="paragraph" w:customStyle="1" w:styleId="525">
    <w:name w:val="heading 5_file_1336"/>
    <w:basedOn w:val="520"/>
    <w:qFormat/>
    <w:uiPriority w:val="9"/>
    <w:pPr>
      <w:outlineLvl w:val="4"/>
    </w:pPr>
    <w:rPr>
      <w:sz w:val="20"/>
      <w:szCs w:val="20"/>
    </w:rPr>
  </w:style>
  <w:style w:type="paragraph" w:customStyle="1" w:styleId="526">
    <w:name w:val="heading 6_file_1336"/>
    <w:basedOn w:val="520"/>
    <w:qFormat/>
    <w:uiPriority w:val="9"/>
    <w:pPr>
      <w:outlineLvl w:val="5"/>
    </w:pPr>
    <w:rPr>
      <w:sz w:val="15"/>
      <w:szCs w:val="15"/>
    </w:rPr>
  </w:style>
  <w:style w:type="character" w:customStyle="1" w:styleId="527">
    <w:name w:val="Default Paragraph Font_file_1336"/>
    <w:semiHidden/>
    <w:unhideWhenUsed/>
    <w:qFormat/>
    <w:uiPriority w:val="1"/>
  </w:style>
  <w:style w:type="table" w:customStyle="1" w:styleId="528">
    <w:name w:val="Normal Table_file_1336"/>
    <w:semiHidden/>
    <w:unhideWhenUsed/>
    <w:qFormat/>
    <w:uiPriority w:val="99"/>
    <w:tblPr>
      <w:tblCellMar>
        <w:top w:w="0" w:type="dxa"/>
        <w:left w:w="108" w:type="dxa"/>
        <w:bottom w:w="0" w:type="dxa"/>
        <w:right w:w="108" w:type="dxa"/>
      </w:tblCellMar>
    </w:tblPr>
  </w:style>
  <w:style w:type="character" w:customStyle="1" w:styleId="529">
    <w:name w:val="Hyperlink_file_1336"/>
    <w:basedOn w:val="527"/>
    <w:semiHidden/>
    <w:unhideWhenUsed/>
    <w:qFormat/>
    <w:uiPriority w:val="99"/>
    <w:rPr>
      <w:color w:val="0782C1"/>
      <w:u w:val="single"/>
    </w:rPr>
  </w:style>
  <w:style w:type="character" w:customStyle="1" w:styleId="530">
    <w:name w:val="FollowedHyperlink_file_1336"/>
    <w:basedOn w:val="527"/>
    <w:semiHidden/>
    <w:unhideWhenUsed/>
    <w:qFormat/>
    <w:uiPriority w:val="99"/>
    <w:rPr>
      <w:color w:val="0782C1"/>
      <w:u w:val="single"/>
    </w:rPr>
  </w:style>
  <w:style w:type="character" w:customStyle="1" w:styleId="531">
    <w:name w:val="标题 1 Char_file_1336"/>
    <w:basedOn w:val="527"/>
    <w:qFormat/>
    <w:uiPriority w:val="9"/>
    <w:rPr>
      <w:rFonts w:ascii="宋体" w:hAnsi="宋体" w:eastAsia="宋体" w:cs="宋体"/>
      <w:b/>
      <w:bCs/>
      <w:kern w:val="44"/>
      <w:sz w:val="44"/>
      <w:szCs w:val="44"/>
    </w:rPr>
  </w:style>
  <w:style w:type="character" w:customStyle="1" w:styleId="532">
    <w:name w:val="标题 2 Char_file_1336"/>
    <w:basedOn w:val="527"/>
    <w:semiHidden/>
    <w:qFormat/>
    <w:uiPriority w:val="9"/>
    <w:rPr>
      <w:rFonts w:asciiTheme="majorHAnsi" w:hAnsiTheme="majorHAnsi" w:eastAsiaTheme="majorEastAsia" w:cstheme="majorBidi"/>
      <w:b/>
      <w:bCs/>
      <w:sz w:val="32"/>
      <w:szCs w:val="32"/>
    </w:rPr>
  </w:style>
  <w:style w:type="character" w:customStyle="1" w:styleId="533">
    <w:name w:val="标题 3 Char_file_1336"/>
    <w:basedOn w:val="527"/>
    <w:semiHidden/>
    <w:qFormat/>
    <w:uiPriority w:val="9"/>
    <w:rPr>
      <w:rFonts w:ascii="宋体" w:hAnsi="宋体" w:eastAsia="宋体" w:cs="宋体"/>
      <w:b/>
      <w:bCs/>
      <w:sz w:val="32"/>
      <w:szCs w:val="32"/>
    </w:rPr>
  </w:style>
  <w:style w:type="character" w:customStyle="1" w:styleId="534">
    <w:name w:val="标题 4 Char_file_1336"/>
    <w:basedOn w:val="527"/>
    <w:semiHidden/>
    <w:qFormat/>
    <w:uiPriority w:val="9"/>
    <w:rPr>
      <w:rFonts w:asciiTheme="majorHAnsi" w:hAnsiTheme="majorHAnsi" w:eastAsiaTheme="majorEastAsia" w:cstheme="majorBidi"/>
      <w:b/>
      <w:bCs/>
      <w:sz w:val="28"/>
      <w:szCs w:val="28"/>
    </w:rPr>
  </w:style>
  <w:style w:type="character" w:customStyle="1" w:styleId="535">
    <w:name w:val="标题 5 Char_file_1336"/>
    <w:basedOn w:val="527"/>
    <w:semiHidden/>
    <w:qFormat/>
    <w:uiPriority w:val="9"/>
    <w:rPr>
      <w:rFonts w:ascii="宋体" w:hAnsi="宋体" w:eastAsia="宋体" w:cs="宋体"/>
      <w:b/>
      <w:bCs/>
      <w:sz w:val="28"/>
      <w:szCs w:val="28"/>
    </w:rPr>
  </w:style>
  <w:style w:type="character" w:customStyle="1" w:styleId="536">
    <w:name w:val="标题 6 Char_file_1336"/>
    <w:basedOn w:val="527"/>
    <w:semiHidden/>
    <w:qFormat/>
    <w:uiPriority w:val="9"/>
    <w:rPr>
      <w:rFonts w:asciiTheme="majorHAnsi" w:hAnsiTheme="majorHAnsi" w:eastAsiaTheme="majorEastAsia" w:cstheme="majorBidi"/>
      <w:b/>
      <w:bCs/>
      <w:sz w:val="24"/>
      <w:szCs w:val="24"/>
    </w:rPr>
  </w:style>
  <w:style w:type="paragraph" w:customStyle="1" w:styleId="537">
    <w:name w:val="cke_editable_file_1336"/>
    <w:basedOn w:val="520"/>
    <w:qFormat/>
    <w:uiPriority w:val="0"/>
    <w:rPr>
      <w:rFonts w:ascii="仿宋_GB2312" w:eastAsia="仿宋_GB2312"/>
    </w:rPr>
  </w:style>
  <w:style w:type="paragraph" w:customStyle="1" w:styleId="538">
    <w:name w:val="marker_file_1336"/>
    <w:basedOn w:val="520"/>
    <w:qFormat/>
    <w:uiPriority w:val="0"/>
    <w:pPr>
      <w:shd w:val="clear" w:color="auto" w:fill="FFFF00"/>
    </w:pPr>
  </w:style>
  <w:style w:type="paragraph" w:customStyle="1" w:styleId="539">
    <w:name w:val="Normal (Web)_file_1336"/>
    <w:basedOn w:val="520"/>
    <w:semiHidden/>
    <w:unhideWhenUsed/>
    <w:qFormat/>
    <w:uiPriority w:val="99"/>
  </w:style>
  <w:style w:type="paragraph" w:customStyle="1" w:styleId="540">
    <w:name w:val="Normal_file_13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1">
    <w:name w:val="heading 1_file_1337"/>
    <w:basedOn w:val="540"/>
    <w:qFormat/>
    <w:uiPriority w:val="9"/>
    <w:pPr>
      <w:outlineLvl w:val="0"/>
    </w:pPr>
    <w:rPr>
      <w:kern w:val="36"/>
      <w:sz w:val="48"/>
      <w:szCs w:val="48"/>
    </w:rPr>
  </w:style>
  <w:style w:type="paragraph" w:customStyle="1" w:styleId="542">
    <w:name w:val="heading 2_file_1337"/>
    <w:basedOn w:val="540"/>
    <w:qFormat/>
    <w:uiPriority w:val="9"/>
    <w:pPr>
      <w:outlineLvl w:val="1"/>
    </w:pPr>
    <w:rPr>
      <w:sz w:val="36"/>
      <w:szCs w:val="36"/>
    </w:rPr>
  </w:style>
  <w:style w:type="paragraph" w:customStyle="1" w:styleId="543">
    <w:name w:val="heading 3_file_1337"/>
    <w:basedOn w:val="540"/>
    <w:qFormat/>
    <w:uiPriority w:val="9"/>
    <w:pPr>
      <w:outlineLvl w:val="2"/>
    </w:pPr>
    <w:rPr>
      <w:sz w:val="27"/>
      <w:szCs w:val="27"/>
    </w:rPr>
  </w:style>
  <w:style w:type="paragraph" w:customStyle="1" w:styleId="544">
    <w:name w:val="heading 4_file_1337"/>
    <w:basedOn w:val="540"/>
    <w:qFormat/>
    <w:uiPriority w:val="9"/>
    <w:pPr>
      <w:outlineLvl w:val="3"/>
    </w:pPr>
  </w:style>
  <w:style w:type="paragraph" w:customStyle="1" w:styleId="545">
    <w:name w:val="heading 5_file_1337"/>
    <w:basedOn w:val="540"/>
    <w:qFormat/>
    <w:uiPriority w:val="9"/>
    <w:pPr>
      <w:outlineLvl w:val="4"/>
    </w:pPr>
    <w:rPr>
      <w:sz w:val="20"/>
      <w:szCs w:val="20"/>
    </w:rPr>
  </w:style>
  <w:style w:type="paragraph" w:customStyle="1" w:styleId="546">
    <w:name w:val="heading 6_file_1337"/>
    <w:basedOn w:val="540"/>
    <w:qFormat/>
    <w:uiPriority w:val="9"/>
    <w:pPr>
      <w:outlineLvl w:val="5"/>
    </w:pPr>
    <w:rPr>
      <w:sz w:val="15"/>
      <w:szCs w:val="15"/>
    </w:rPr>
  </w:style>
  <w:style w:type="character" w:customStyle="1" w:styleId="547">
    <w:name w:val="Default Paragraph Font_file_1337"/>
    <w:semiHidden/>
    <w:unhideWhenUsed/>
    <w:qFormat/>
    <w:uiPriority w:val="1"/>
  </w:style>
  <w:style w:type="table" w:customStyle="1" w:styleId="548">
    <w:name w:val="Normal Table_file_1337"/>
    <w:semiHidden/>
    <w:unhideWhenUsed/>
    <w:qFormat/>
    <w:uiPriority w:val="99"/>
    <w:tblPr>
      <w:tblCellMar>
        <w:top w:w="0" w:type="dxa"/>
        <w:left w:w="108" w:type="dxa"/>
        <w:bottom w:w="0" w:type="dxa"/>
        <w:right w:w="108" w:type="dxa"/>
      </w:tblCellMar>
    </w:tblPr>
  </w:style>
  <w:style w:type="character" w:customStyle="1" w:styleId="549">
    <w:name w:val="Hyperlink_file_1337"/>
    <w:basedOn w:val="547"/>
    <w:semiHidden/>
    <w:unhideWhenUsed/>
    <w:qFormat/>
    <w:uiPriority w:val="99"/>
    <w:rPr>
      <w:color w:val="0782C1"/>
      <w:u w:val="single"/>
    </w:rPr>
  </w:style>
  <w:style w:type="character" w:customStyle="1" w:styleId="550">
    <w:name w:val="FollowedHyperlink_file_1337"/>
    <w:basedOn w:val="547"/>
    <w:semiHidden/>
    <w:unhideWhenUsed/>
    <w:qFormat/>
    <w:uiPriority w:val="99"/>
    <w:rPr>
      <w:color w:val="0782C1"/>
      <w:u w:val="single"/>
    </w:rPr>
  </w:style>
  <w:style w:type="character" w:customStyle="1" w:styleId="551">
    <w:name w:val="标题 1 Char_file_1337"/>
    <w:basedOn w:val="547"/>
    <w:qFormat/>
    <w:uiPriority w:val="9"/>
    <w:rPr>
      <w:rFonts w:ascii="宋体" w:hAnsi="宋体" w:eastAsia="宋体" w:cs="宋体"/>
      <w:b/>
      <w:bCs/>
      <w:kern w:val="44"/>
      <w:sz w:val="44"/>
      <w:szCs w:val="44"/>
    </w:rPr>
  </w:style>
  <w:style w:type="character" w:customStyle="1" w:styleId="552">
    <w:name w:val="标题 2 Char_file_1337"/>
    <w:basedOn w:val="547"/>
    <w:semiHidden/>
    <w:qFormat/>
    <w:uiPriority w:val="9"/>
    <w:rPr>
      <w:rFonts w:asciiTheme="majorHAnsi" w:hAnsiTheme="majorHAnsi" w:eastAsiaTheme="majorEastAsia" w:cstheme="majorBidi"/>
      <w:b/>
      <w:bCs/>
      <w:sz w:val="32"/>
      <w:szCs w:val="32"/>
    </w:rPr>
  </w:style>
  <w:style w:type="character" w:customStyle="1" w:styleId="553">
    <w:name w:val="标题 3 Char_file_1337"/>
    <w:basedOn w:val="547"/>
    <w:semiHidden/>
    <w:qFormat/>
    <w:uiPriority w:val="9"/>
    <w:rPr>
      <w:rFonts w:ascii="宋体" w:hAnsi="宋体" w:eastAsia="宋体" w:cs="宋体"/>
      <w:b/>
      <w:bCs/>
      <w:sz w:val="32"/>
      <w:szCs w:val="32"/>
    </w:rPr>
  </w:style>
  <w:style w:type="character" w:customStyle="1" w:styleId="554">
    <w:name w:val="标题 4 Char_file_1337"/>
    <w:basedOn w:val="547"/>
    <w:semiHidden/>
    <w:qFormat/>
    <w:uiPriority w:val="9"/>
    <w:rPr>
      <w:rFonts w:asciiTheme="majorHAnsi" w:hAnsiTheme="majorHAnsi" w:eastAsiaTheme="majorEastAsia" w:cstheme="majorBidi"/>
      <w:b/>
      <w:bCs/>
      <w:sz w:val="28"/>
      <w:szCs w:val="28"/>
    </w:rPr>
  </w:style>
  <w:style w:type="character" w:customStyle="1" w:styleId="555">
    <w:name w:val="标题 5 Char_file_1337"/>
    <w:basedOn w:val="547"/>
    <w:semiHidden/>
    <w:qFormat/>
    <w:uiPriority w:val="9"/>
    <w:rPr>
      <w:rFonts w:ascii="宋体" w:hAnsi="宋体" w:eastAsia="宋体" w:cs="宋体"/>
      <w:b/>
      <w:bCs/>
      <w:sz w:val="28"/>
      <w:szCs w:val="28"/>
    </w:rPr>
  </w:style>
  <w:style w:type="character" w:customStyle="1" w:styleId="556">
    <w:name w:val="标题 6 Char_file_1337"/>
    <w:basedOn w:val="547"/>
    <w:semiHidden/>
    <w:qFormat/>
    <w:uiPriority w:val="9"/>
    <w:rPr>
      <w:rFonts w:asciiTheme="majorHAnsi" w:hAnsiTheme="majorHAnsi" w:eastAsiaTheme="majorEastAsia" w:cstheme="majorBidi"/>
      <w:b/>
      <w:bCs/>
      <w:sz w:val="24"/>
      <w:szCs w:val="24"/>
    </w:rPr>
  </w:style>
  <w:style w:type="paragraph" w:customStyle="1" w:styleId="557">
    <w:name w:val="cke_editable_file_1337"/>
    <w:basedOn w:val="540"/>
    <w:qFormat/>
    <w:uiPriority w:val="0"/>
    <w:rPr>
      <w:rFonts w:ascii="仿宋_GB2312" w:eastAsia="仿宋_GB2312"/>
    </w:rPr>
  </w:style>
  <w:style w:type="paragraph" w:customStyle="1" w:styleId="558">
    <w:name w:val="marker_file_1337"/>
    <w:basedOn w:val="540"/>
    <w:qFormat/>
    <w:uiPriority w:val="0"/>
    <w:pPr>
      <w:shd w:val="clear" w:color="auto" w:fill="FFFF00"/>
    </w:pPr>
  </w:style>
  <w:style w:type="paragraph" w:customStyle="1" w:styleId="559">
    <w:name w:val="Normal (Web)_file_1337"/>
    <w:basedOn w:val="540"/>
    <w:semiHidden/>
    <w:unhideWhenUsed/>
    <w:qFormat/>
    <w:uiPriority w:val="99"/>
  </w:style>
  <w:style w:type="paragraph" w:customStyle="1" w:styleId="560">
    <w:name w:val="Normal_file_13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1">
    <w:name w:val="heading 1_file_1338"/>
    <w:basedOn w:val="560"/>
    <w:qFormat/>
    <w:uiPriority w:val="9"/>
    <w:pPr>
      <w:outlineLvl w:val="0"/>
    </w:pPr>
    <w:rPr>
      <w:kern w:val="36"/>
      <w:sz w:val="48"/>
      <w:szCs w:val="48"/>
    </w:rPr>
  </w:style>
  <w:style w:type="paragraph" w:customStyle="1" w:styleId="562">
    <w:name w:val="heading 2_file_1338"/>
    <w:basedOn w:val="560"/>
    <w:qFormat/>
    <w:uiPriority w:val="9"/>
    <w:pPr>
      <w:outlineLvl w:val="1"/>
    </w:pPr>
    <w:rPr>
      <w:sz w:val="36"/>
      <w:szCs w:val="36"/>
    </w:rPr>
  </w:style>
  <w:style w:type="paragraph" w:customStyle="1" w:styleId="563">
    <w:name w:val="heading 3_file_1338"/>
    <w:basedOn w:val="560"/>
    <w:qFormat/>
    <w:uiPriority w:val="9"/>
    <w:pPr>
      <w:outlineLvl w:val="2"/>
    </w:pPr>
    <w:rPr>
      <w:sz w:val="27"/>
      <w:szCs w:val="27"/>
    </w:rPr>
  </w:style>
  <w:style w:type="paragraph" w:customStyle="1" w:styleId="564">
    <w:name w:val="heading 4_file_1338"/>
    <w:basedOn w:val="560"/>
    <w:qFormat/>
    <w:uiPriority w:val="9"/>
    <w:pPr>
      <w:outlineLvl w:val="3"/>
    </w:pPr>
  </w:style>
  <w:style w:type="paragraph" w:customStyle="1" w:styleId="565">
    <w:name w:val="heading 5_file_1338"/>
    <w:basedOn w:val="560"/>
    <w:qFormat/>
    <w:uiPriority w:val="9"/>
    <w:pPr>
      <w:outlineLvl w:val="4"/>
    </w:pPr>
    <w:rPr>
      <w:sz w:val="20"/>
      <w:szCs w:val="20"/>
    </w:rPr>
  </w:style>
  <w:style w:type="paragraph" w:customStyle="1" w:styleId="566">
    <w:name w:val="heading 6_file_1338"/>
    <w:basedOn w:val="560"/>
    <w:qFormat/>
    <w:uiPriority w:val="9"/>
    <w:pPr>
      <w:outlineLvl w:val="5"/>
    </w:pPr>
    <w:rPr>
      <w:sz w:val="15"/>
      <w:szCs w:val="15"/>
    </w:rPr>
  </w:style>
  <w:style w:type="character" w:customStyle="1" w:styleId="567">
    <w:name w:val="Default Paragraph Font_file_1338"/>
    <w:semiHidden/>
    <w:unhideWhenUsed/>
    <w:qFormat/>
    <w:uiPriority w:val="1"/>
  </w:style>
  <w:style w:type="table" w:customStyle="1" w:styleId="568">
    <w:name w:val="Normal Table_file_1338"/>
    <w:semiHidden/>
    <w:unhideWhenUsed/>
    <w:qFormat/>
    <w:uiPriority w:val="99"/>
    <w:tblPr>
      <w:tblCellMar>
        <w:top w:w="0" w:type="dxa"/>
        <w:left w:w="108" w:type="dxa"/>
        <w:bottom w:w="0" w:type="dxa"/>
        <w:right w:w="108" w:type="dxa"/>
      </w:tblCellMar>
    </w:tblPr>
  </w:style>
  <w:style w:type="character" w:customStyle="1" w:styleId="569">
    <w:name w:val="Hyperlink_file_1338"/>
    <w:basedOn w:val="567"/>
    <w:semiHidden/>
    <w:unhideWhenUsed/>
    <w:qFormat/>
    <w:uiPriority w:val="99"/>
    <w:rPr>
      <w:color w:val="0782C1"/>
      <w:u w:val="single"/>
    </w:rPr>
  </w:style>
  <w:style w:type="character" w:customStyle="1" w:styleId="570">
    <w:name w:val="FollowedHyperlink_file_1338"/>
    <w:basedOn w:val="567"/>
    <w:semiHidden/>
    <w:unhideWhenUsed/>
    <w:qFormat/>
    <w:uiPriority w:val="99"/>
    <w:rPr>
      <w:color w:val="0782C1"/>
      <w:u w:val="single"/>
    </w:rPr>
  </w:style>
  <w:style w:type="character" w:customStyle="1" w:styleId="571">
    <w:name w:val="标题 1 Char_file_1338"/>
    <w:basedOn w:val="567"/>
    <w:qFormat/>
    <w:uiPriority w:val="9"/>
    <w:rPr>
      <w:rFonts w:ascii="宋体" w:hAnsi="宋体" w:eastAsia="宋体" w:cs="宋体"/>
      <w:b/>
      <w:bCs/>
      <w:kern w:val="44"/>
      <w:sz w:val="44"/>
      <w:szCs w:val="44"/>
    </w:rPr>
  </w:style>
  <w:style w:type="character" w:customStyle="1" w:styleId="572">
    <w:name w:val="标题 2 Char_file_1338"/>
    <w:basedOn w:val="567"/>
    <w:semiHidden/>
    <w:qFormat/>
    <w:uiPriority w:val="9"/>
    <w:rPr>
      <w:rFonts w:asciiTheme="majorHAnsi" w:hAnsiTheme="majorHAnsi" w:eastAsiaTheme="majorEastAsia" w:cstheme="majorBidi"/>
      <w:b/>
      <w:bCs/>
      <w:sz w:val="32"/>
      <w:szCs w:val="32"/>
    </w:rPr>
  </w:style>
  <w:style w:type="character" w:customStyle="1" w:styleId="573">
    <w:name w:val="标题 3 Char_file_1338"/>
    <w:basedOn w:val="567"/>
    <w:semiHidden/>
    <w:qFormat/>
    <w:uiPriority w:val="9"/>
    <w:rPr>
      <w:rFonts w:ascii="宋体" w:hAnsi="宋体" w:eastAsia="宋体" w:cs="宋体"/>
      <w:b/>
      <w:bCs/>
      <w:sz w:val="32"/>
      <w:szCs w:val="32"/>
    </w:rPr>
  </w:style>
  <w:style w:type="character" w:customStyle="1" w:styleId="574">
    <w:name w:val="标题 4 Char_file_1338"/>
    <w:basedOn w:val="567"/>
    <w:semiHidden/>
    <w:qFormat/>
    <w:uiPriority w:val="9"/>
    <w:rPr>
      <w:rFonts w:asciiTheme="majorHAnsi" w:hAnsiTheme="majorHAnsi" w:eastAsiaTheme="majorEastAsia" w:cstheme="majorBidi"/>
      <w:b/>
      <w:bCs/>
      <w:sz w:val="28"/>
      <w:szCs w:val="28"/>
    </w:rPr>
  </w:style>
  <w:style w:type="character" w:customStyle="1" w:styleId="575">
    <w:name w:val="标题 5 Char_file_1338"/>
    <w:basedOn w:val="567"/>
    <w:semiHidden/>
    <w:qFormat/>
    <w:uiPriority w:val="9"/>
    <w:rPr>
      <w:rFonts w:ascii="宋体" w:hAnsi="宋体" w:eastAsia="宋体" w:cs="宋体"/>
      <w:b/>
      <w:bCs/>
      <w:sz w:val="28"/>
      <w:szCs w:val="28"/>
    </w:rPr>
  </w:style>
  <w:style w:type="character" w:customStyle="1" w:styleId="576">
    <w:name w:val="标题 6 Char_file_1338"/>
    <w:basedOn w:val="567"/>
    <w:semiHidden/>
    <w:qFormat/>
    <w:uiPriority w:val="9"/>
    <w:rPr>
      <w:rFonts w:asciiTheme="majorHAnsi" w:hAnsiTheme="majorHAnsi" w:eastAsiaTheme="majorEastAsia" w:cstheme="majorBidi"/>
      <w:b/>
      <w:bCs/>
      <w:sz w:val="24"/>
      <w:szCs w:val="24"/>
    </w:rPr>
  </w:style>
  <w:style w:type="paragraph" w:customStyle="1" w:styleId="577">
    <w:name w:val="cke_editable_file_1338"/>
    <w:basedOn w:val="560"/>
    <w:qFormat/>
    <w:uiPriority w:val="0"/>
    <w:rPr>
      <w:rFonts w:ascii="仿宋_GB2312" w:eastAsia="仿宋_GB2312"/>
    </w:rPr>
  </w:style>
  <w:style w:type="paragraph" w:customStyle="1" w:styleId="578">
    <w:name w:val="marker_file_1338"/>
    <w:basedOn w:val="560"/>
    <w:qFormat/>
    <w:uiPriority w:val="0"/>
    <w:pPr>
      <w:shd w:val="clear" w:color="auto" w:fill="FFFF00"/>
    </w:pPr>
  </w:style>
  <w:style w:type="paragraph" w:customStyle="1" w:styleId="579">
    <w:name w:val="Normal (Web)_file_1338"/>
    <w:basedOn w:val="560"/>
    <w:semiHidden/>
    <w:unhideWhenUsed/>
    <w:qFormat/>
    <w:uiPriority w:val="99"/>
  </w:style>
  <w:style w:type="character" w:customStyle="1" w:styleId="580">
    <w:name w:val="Strong_file_1338"/>
    <w:basedOn w:val="567"/>
    <w:qFormat/>
    <w:uiPriority w:val="22"/>
    <w:rPr>
      <w:b/>
      <w:bCs/>
    </w:rPr>
  </w:style>
  <w:style w:type="paragraph" w:customStyle="1" w:styleId="581">
    <w:name w:val="Normal_file_13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2">
    <w:name w:val="heading 1_file_1339"/>
    <w:basedOn w:val="581"/>
    <w:qFormat/>
    <w:uiPriority w:val="9"/>
    <w:pPr>
      <w:outlineLvl w:val="0"/>
    </w:pPr>
    <w:rPr>
      <w:kern w:val="36"/>
      <w:sz w:val="48"/>
      <w:szCs w:val="48"/>
    </w:rPr>
  </w:style>
  <w:style w:type="paragraph" w:customStyle="1" w:styleId="583">
    <w:name w:val="heading 2_file_1339"/>
    <w:basedOn w:val="581"/>
    <w:qFormat/>
    <w:uiPriority w:val="9"/>
    <w:pPr>
      <w:outlineLvl w:val="1"/>
    </w:pPr>
    <w:rPr>
      <w:sz w:val="36"/>
      <w:szCs w:val="36"/>
    </w:rPr>
  </w:style>
  <w:style w:type="paragraph" w:customStyle="1" w:styleId="584">
    <w:name w:val="heading 3_file_1339"/>
    <w:basedOn w:val="581"/>
    <w:qFormat/>
    <w:uiPriority w:val="9"/>
    <w:pPr>
      <w:outlineLvl w:val="2"/>
    </w:pPr>
    <w:rPr>
      <w:sz w:val="27"/>
      <w:szCs w:val="27"/>
    </w:rPr>
  </w:style>
  <w:style w:type="paragraph" w:customStyle="1" w:styleId="585">
    <w:name w:val="heading 4_file_1339"/>
    <w:basedOn w:val="581"/>
    <w:qFormat/>
    <w:uiPriority w:val="9"/>
    <w:pPr>
      <w:outlineLvl w:val="3"/>
    </w:pPr>
  </w:style>
  <w:style w:type="paragraph" w:customStyle="1" w:styleId="586">
    <w:name w:val="heading 5_file_1339"/>
    <w:basedOn w:val="581"/>
    <w:qFormat/>
    <w:uiPriority w:val="9"/>
    <w:pPr>
      <w:outlineLvl w:val="4"/>
    </w:pPr>
    <w:rPr>
      <w:sz w:val="20"/>
      <w:szCs w:val="20"/>
    </w:rPr>
  </w:style>
  <w:style w:type="paragraph" w:customStyle="1" w:styleId="587">
    <w:name w:val="heading 6_file_1339"/>
    <w:basedOn w:val="581"/>
    <w:qFormat/>
    <w:uiPriority w:val="9"/>
    <w:pPr>
      <w:outlineLvl w:val="5"/>
    </w:pPr>
    <w:rPr>
      <w:sz w:val="15"/>
      <w:szCs w:val="15"/>
    </w:rPr>
  </w:style>
  <w:style w:type="character" w:customStyle="1" w:styleId="588">
    <w:name w:val="Default Paragraph Font_file_1339"/>
    <w:semiHidden/>
    <w:unhideWhenUsed/>
    <w:qFormat/>
    <w:uiPriority w:val="1"/>
  </w:style>
  <w:style w:type="table" w:customStyle="1" w:styleId="589">
    <w:name w:val="Normal Table_file_1339"/>
    <w:semiHidden/>
    <w:unhideWhenUsed/>
    <w:qFormat/>
    <w:uiPriority w:val="99"/>
    <w:tblPr>
      <w:tblCellMar>
        <w:top w:w="0" w:type="dxa"/>
        <w:left w:w="108" w:type="dxa"/>
        <w:bottom w:w="0" w:type="dxa"/>
        <w:right w:w="108" w:type="dxa"/>
      </w:tblCellMar>
    </w:tblPr>
  </w:style>
  <w:style w:type="character" w:customStyle="1" w:styleId="590">
    <w:name w:val="Hyperlink_file_1339"/>
    <w:basedOn w:val="588"/>
    <w:semiHidden/>
    <w:unhideWhenUsed/>
    <w:qFormat/>
    <w:uiPriority w:val="99"/>
    <w:rPr>
      <w:color w:val="0782C1"/>
      <w:u w:val="single"/>
    </w:rPr>
  </w:style>
  <w:style w:type="character" w:customStyle="1" w:styleId="591">
    <w:name w:val="FollowedHyperlink_file_1339"/>
    <w:basedOn w:val="588"/>
    <w:semiHidden/>
    <w:unhideWhenUsed/>
    <w:qFormat/>
    <w:uiPriority w:val="99"/>
    <w:rPr>
      <w:color w:val="0782C1"/>
      <w:u w:val="single"/>
    </w:rPr>
  </w:style>
  <w:style w:type="character" w:customStyle="1" w:styleId="592">
    <w:name w:val="标题 1 Char_file_1339"/>
    <w:basedOn w:val="588"/>
    <w:qFormat/>
    <w:uiPriority w:val="9"/>
    <w:rPr>
      <w:rFonts w:ascii="宋体" w:hAnsi="宋体" w:eastAsia="宋体" w:cs="宋体"/>
      <w:b/>
      <w:bCs/>
      <w:kern w:val="44"/>
      <w:sz w:val="44"/>
      <w:szCs w:val="44"/>
    </w:rPr>
  </w:style>
  <w:style w:type="character" w:customStyle="1" w:styleId="593">
    <w:name w:val="标题 2 Char_file_1339"/>
    <w:basedOn w:val="588"/>
    <w:semiHidden/>
    <w:qFormat/>
    <w:uiPriority w:val="9"/>
    <w:rPr>
      <w:rFonts w:asciiTheme="majorHAnsi" w:hAnsiTheme="majorHAnsi" w:eastAsiaTheme="majorEastAsia" w:cstheme="majorBidi"/>
      <w:b/>
      <w:bCs/>
      <w:sz w:val="32"/>
      <w:szCs w:val="32"/>
    </w:rPr>
  </w:style>
  <w:style w:type="character" w:customStyle="1" w:styleId="594">
    <w:name w:val="标题 3 Char_file_1339"/>
    <w:basedOn w:val="588"/>
    <w:semiHidden/>
    <w:qFormat/>
    <w:uiPriority w:val="9"/>
    <w:rPr>
      <w:rFonts w:ascii="宋体" w:hAnsi="宋体" w:eastAsia="宋体" w:cs="宋体"/>
      <w:b/>
      <w:bCs/>
      <w:sz w:val="32"/>
      <w:szCs w:val="32"/>
    </w:rPr>
  </w:style>
  <w:style w:type="character" w:customStyle="1" w:styleId="595">
    <w:name w:val="标题 4 Char_file_1339"/>
    <w:basedOn w:val="588"/>
    <w:semiHidden/>
    <w:qFormat/>
    <w:uiPriority w:val="9"/>
    <w:rPr>
      <w:rFonts w:asciiTheme="majorHAnsi" w:hAnsiTheme="majorHAnsi" w:eastAsiaTheme="majorEastAsia" w:cstheme="majorBidi"/>
      <w:b/>
      <w:bCs/>
      <w:sz w:val="28"/>
      <w:szCs w:val="28"/>
    </w:rPr>
  </w:style>
  <w:style w:type="character" w:customStyle="1" w:styleId="596">
    <w:name w:val="标题 5 Char_file_1339"/>
    <w:basedOn w:val="588"/>
    <w:semiHidden/>
    <w:qFormat/>
    <w:uiPriority w:val="9"/>
    <w:rPr>
      <w:rFonts w:ascii="宋体" w:hAnsi="宋体" w:eastAsia="宋体" w:cs="宋体"/>
      <w:b/>
      <w:bCs/>
      <w:sz w:val="28"/>
      <w:szCs w:val="28"/>
    </w:rPr>
  </w:style>
  <w:style w:type="character" w:customStyle="1" w:styleId="597">
    <w:name w:val="标题 6 Char_file_1339"/>
    <w:basedOn w:val="588"/>
    <w:semiHidden/>
    <w:qFormat/>
    <w:uiPriority w:val="9"/>
    <w:rPr>
      <w:rFonts w:asciiTheme="majorHAnsi" w:hAnsiTheme="majorHAnsi" w:eastAsiaTheme="majorEastAsia" w:cstheme="majorBidi"/>
      <w:b/>
      <w:bCs/>
      <w:sz w:val="24"/>
      <w:szCs w:val="24"/>
    </w:rPr>
  </w:style>
  <w:style w:type="paragraph" w:customStyle="1" w:styleId="598">
    <w:name w:val="cke_editable_file_1339"/>
    <w:basedOn w:val="581"/>
    <w:qFormat/>
    <w:uiPriority w:val="0"/>
    <w:rPr>
      <w:rFonts w:ascii="仿宋_GB2312" w:eastAsia="仿宋_GB2312"/>
    </w:rPr>
  </w:style>
  <w:style w:type="paragraph" w:customStyle="1" w:styleId="599">
    <w:name w:val="marker_file_1339"/>
    <w:basedOn w:val="581"/>
    <w:qFormat/>
    <w:uiPriority w:val="0"/>
    <w:pPr>
      <w:shd w:val="clear" w:color="auto" w:fill="FFFF00"/>
    </w:pPr>
  </w:style>
  <w:style w:type="paragraph" w:customStyle="1" w:styleId="600">
    <w:name w:val="Normal (Web)_file_1339"/>
    <w:basedOn w:val="581"/>
    <w:semiHidden/>
    <w:unhideWhenUsed/>
    <w:qFormat/>
    <w:uiPriority w:val="99"/>
  </w:style>
  <w:style w:type="character" w:customStyle="1" w:styleId="601">
    <w:name w:val="Strong_file_1339"/>
    <w:basedOn w:val="588"/>
    <w:qFormat/>
    <w:uiPriority w:val="22"/>
    <w:rPr>
      <w:b/>
      <w:bCs/>
    </w:rPr>
  </w:style>
  <w:style w:type="paragraph" w:customStyle="1" w:styleId="602">
    <w:name w:val="Normal_file_13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3">
    <w:name w:val="heading 1_file_1340"/>
    <w:basedOn w:val="602"/>
    <w:qFormat/>
    <w:uiPriority w:val="9"/>
    <w:pPr>
      <w:outlineLvl w:val="0"/>
    </w:pPr>
    <w:rPr>
      <w:kern w:val="36"/>
      <w:sz w:val="48"/>
      <w:szCs w:val="48"/>
    </w:rPr>
  </w:style>
  <w:style w:type="paragraph" w:customStyle="1" w:styleId="604">
    <w:name w:val="heading 2_file_1340"/>
    <w:basedOn w:val="602"/>
    <w:qFormat/>
    <w:uiPriority w:val="9"/>
    <w:pPr>
      <w:outlineLvl w:val="1"/>
    </w:pPr>
    <w:rPr>
      <w:sz w:val="36"/>
      <w:szCs w:val="36"/>
    </w:rPr>
  </w:style>
  <w:style w:type="paragraph" w:customStyle="1" w:styleId="605">
    <w:name w:val="heading 3_file_1340"/>
    <w:basedOn w:val="602"/>
    <w:qFormat/>
    <w:uiPriority w:val="9"/>
    <w:pPr>
      <w:outlineLvl w:val="2"/>
    </w:pPr>
    <w:rPr>
      <w:sz w:val="27"/>
      <w:szCs w:val="27"/>
    </w:rPr>
  </w:style>
  <w:style w:type="paragraph" w:customStyle="1" w:styleId="606">
    <w:name w:val="heading 4_file_1340"/>
    <w:basedOn w:val="602"/>
    <w:qFormat/>
    <w:uiPriority w:val="9"/>
    <w:pPr>
      <w:outlineLvl w:val="3"/>
    </w:pPr>
  </w:style>
  <w:style w:type="paragraph" w:customStyle="1" w:styleId="607">
    <w:name w:val="heading 5_file_1340"/>
    <w:basedOn w:val="602"/>
    <w:qFormat/>
    <w:uiPriority w:val="9"/>
    <w:pPr>
      <w:outlineLvl w:val="4"/>
    </w:pPr>
    <w:rPr>
      <w:sz w:val="20"/>
      <w:szCs w:val="20"/>
    </w:rPr>
  </w:style>
  <w:style w:type="paragraph" w:customStyle="1" w:styleId="608">
    <w:name w:val="heading 6_file_1340"/>
    <w:basedOn w:val="602"/>
    <w:qFormat/>
    <w:uiPriority w:val="9"/>
    <w:pPr>
      <w:outlineLvl w:val="5"/>
    </w:pPr>
    <w:rPr>
      <w:sz w:val="15"/>
      <w:szCs w:val="15"/>
    </w:rPr>
  </w:style>
  <w:style w:type="character" w:customStyle="1" w:styleId="609">
    <w:name w:val="Default Paragraph Font_file_1340"/>
    <w:semiHidden/>
    <w:unhideWhenUsed/>
    <w:qFormat/>
    <w:uiPriority w:val="1"/>
  </w:style>
  <w:style w:type="table" w:customStyle="1" w:styleId="610">
    <w:name w:val="Normal Table_file_1340"/>
    <w:semiHidden/>
    <w:unhideWhenUsed/>
    <w:qFormat/>
    <w:uiPriority w:val="99"/>
    <w:tblPr>
      <w:tblCellMar>
        <w:top w:w="0" w:type="dxa"/>
        <w:left w:w="108" w:type="dxa"/>
        <w:bottom w:w="0" w:type="dxa"/>
        <w:right w:w="108" w:type="dxa"/>
      </w:tblCellMar>
    </w:tblPr>
  </w:style>
  <w:style w:type="character" w:customStyle="1" w:styleId="611">
    <w:name w:val="Hyperlink_file_1340"/>
    <w:basedOn w:val="609"/>
    <w:semiHidden/>
    <w:unhideWhenUsed/>
    <w:qFormat/>
    <w:uiPriority w:val="99"/>
    <w:rPr>
      <w:color w:val="0782C1"/>
      <w:u w:val="single"/>
    </w:rPr>
  </w:style>
  <w:style w:type="character" w:customStyle="1" w:styleId="612">
    <w:name w:val="FollowedHyperlink_file_1340"/>
    <w:basedOn w:val="609"/>
    <w:semiHidden/>
    <w:unhideWhenUsed/>
    <w:qFormat/>
    <w:uiPriority w:val="99"/>
    <w:rPr>
      <w:color w:val="0782C1"/>
      <w:u w:val="single"/>
    </w:rPr>
  </w:style>
  <w:style w:type="character" w:customStyle="1" w:styleId="613">
    <w:name w:val="标题 1 Char_file_1340"/>
    <w:basedOn w:val="609"/>
    <w:qFormat/>
    <w:uiPriority w:val="9"/>
    <w:rPr>
      <w:rFonts w:ascii="宋体" w:hAnsi="宋体" w:eastAsia="宋体" w:cs="宋体"/>
      <w:b/>
      <w:bCs/>
      <w:kern w:val="44"/>
      <w:sz w:val="44"/>
      <w:szCs w:val="44"/>
    </w:rPr>
  </w:style>
  <w:style w:type="character" w:customStyle="1" w:styleId="614">
    <w:name w:val="标题 2 Char_file_1340"/>
    <w:basedOn w:val="609"/>
    <w:semiHidden/>
    <w:qFormat/>
    <w:uiPriority w:val="9"/>
    <w:rPr>
      <w:rFonts w:asciiTheme="majorHAnsi" w:hAnsiTheme="majorHAnsi" w:eastAsiaTheme="majorEastAsia" w:cstheme="majorBidi"/>
      <w:b/>
      <w:bCs/>
      <w:sz w:val="32"/>
      <w:szCs w:val="32"/>
    </w:rPr>
  </w:style>
  <w:style w:type="character" w:customStyle="1" w:styleId="615">
    <w:name w:val="标题 3 Char_file_1340"/>
    <w:basedOn w:val="609"/>
    <w:semiHidden/>
    <w:qFormat/>
    <w:uiPriority w:val="9"/>
    <w:rPr>
      <w:rFonts w:ascii="宋体" w:hAnsi="宋体" w:eastAsia="宋体" w:cs="宋体"/>
      <w:b/>
      <w:bCs/>
      <w:sz w:val="32"/>
      <w:szCs w:val="32"/>
    </w:rPr>
  </w:style>
  <w:style w:type="character" w:customStyle="1" w:styleId="616">
    <w:name w:val="标题 4 Char_file_1340"/>
    <w:basedOn w:val="609"/>
    <w:semiHidden/>
    <w:qFormat/>
    <w:uiPriority w:val="9"/>
    <w:rPr>
      <w:rFonts w:asciiTheme="majorHAnsi" w:hAnsiTheme="majorHAnsi" w:eastAsiaTheme="majorEastAsia" w:cstheme="majorBidi"/>
      <w:b/>
      <w:bCs/>
      <w:sz w:val="28"/>
      <w:szCs w:val="28"/>
    </w:rPr>
  </w:style>
  <w:style w:type="character" w:customStyle="1" w:styleId="617">
    <w:name w:val="标题 5 Char_file_1340"/>
    <w:basedOn w:val="609"/>
    <w:semiHidden/>
    <w:qFormat/>
    <w:uiPriority w:val="9"/>
    <w:rPr>
      <w:rFonts w:ascii="宋体" w:hAnsi="宋体" w:eastAsia="宋体" w:cs="宋体"/>
      <w:b/>
      <w:bCs/>
      <w:sz w:val="28"/>
      <w:szCs w:val="28"/>
    </w:rPr>
  </w:style>
  <w:style w:type="character" w:customStyle="1" w:styleId="618">
    <w:name w:val="标题 6 Char_file_1340"/>
    <w:basedOn w:val="609"/>
    <w:semiHidden/>
    <w:qFormat/>
    <w:uiPriority w:val="9"/>
    <w:rPr>
      <w:rFonts w:asciiTheme="majorHAnsi" w:hAnsiTheme="majorHAnsi" w:eastAsiaTheme="majorEastAsia" w:cstheme="majorBidi"/>
      <w:b/>
      <w:bCs/>
      <w:sz w:val="24"/>
      <w:szCs w:val="24"/>
    </w:rPr>
  </w:style>
  <w:style w:type="paragraph" w:customStyle="1" w:styleId="619">
    <w:name w:val="cke_editable_file_1340"/>
    <w:basedOn w:val="602"/>
    <w:qFormat/>
    <w:uiPriority w:val="0"/>
    <w:rPr>
      <w:rFonts w:ascii="仿宋_GB2312" w:eastAsia="仿宋_GB2312"/>
    </w:rPr>
  </w:style>
  <w:style w:type="paragraph" w:customStyle="1" w:styleId="620">
    <w:name w:val="marker_file_1340"/>
    <w:basedOn w:val="602"/>
    <w:qFormat/>
    <w:uiPriority w:val="0"/>
    <w:pPr>
      <w:shd w:val="clear" w:color="auto" w:fill="FFFF00"/>
    </w:pPr>
  </w:style>
  <w:style w:type="paragraph" w:customStyle="1" w:styleId="621">
    <w:name w:val="Normal (Web)_file_1340"/>
    <w:basedOn w:val="602"/>
    <w:semiHidden/>
    <w:unhideWhenUsed/>
    <w:qFormat/>
    <w:uiPriority w:val="99"/>
  </w:style>
  <w:style w:type="character" w:customStyle="1" w:styleId="622">
    <w:name w:val="Strong_file_1340"/>
    <w:basedOn w:val="609"/>
    <w:qFormat/>
    <w:uiPriority w:val="22"/>
    <w:rPr>
      <w:b/>
      <w:bCs/>
    </w:rPr>
  </w:style>
  <w:style w:type="paragraph" w:customStyle="1" w:styleId="623">
    <w:name w:val="Normal_file_13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4">
    <w:name w:val="heading 1_file_1341"/>
    <w:basedOn w:val="623"/>
    <w:qFormat/>
    <w:uiPriority w:val="9"/>
    <w:pPr>
      <w:outlineLvl w:val="0"/>
    </w:pPr>
    <w:rPr>
      <w:kern w:val="36"/>
      <w:sz w:val="48"/>
      <w:szCs w:val="48"/>
    </w:rPr>
  </w:style>
  <w:style w:type="paragraph" w:customStyle="1" w:styleId="625">
    <w:name w:val="heading 2_file_1341"/>
    <w:basedOn w:val="623"/>
    <w:qFormat/>
    <w:uiPriority w:val="9"/>
    <w:pPr>
      <w:outlineLvl w:val="1"/>
    </w:pPr>
    <w:rPr>
      <w:sz w:val="36"/>
      <w:szCs w:val="36"/>
    </w:rPr>
  </w:style>
  <w:style w:type="paragraph" w:customStyle="1" w:styleId="626">
    <w:name w:val="heading 3_file_1341"/>
    <w:basedOn w:val="623"/>
    <w:qFormat/>
    <w:uiPriority w:val="9"/>
    <w:pPr>
      <w:outlineLvl w:val="2"/>
    </w:pPr>
    <w:rPr>
      <w:sz w:val="27"/>
      <w:szCs w:val="27"/>
    </w:rPr>
  </w:style>
  <w:style w:type="paragraph" w:customStyle="1" w:styleId="627">
    <w:name w:val="heading 4_file_1341"/>
    <w:basedOn w:val="623"/>
    <w:qFormat/>
    <w:uiPriority w:val="9"/>
    <w:pPr>
      <w:outlineLvl w:val="3"/>
    </w:pPr>
  </w:style>
  <w:style w:type="paragraph" w:customStyle="1" w:styleId="628">
    <w:name w:val="heading 5_file_1341"/>
    <w:basedOn w:val="623"/>
    <w:qFormat/>
    <w:uiPriority w:val="9"/>
    <w:pPr>
      <w:outlineLvl w:val="4"/>
    </w:pPr>
    <w:rPr>
      <w:sz w:val="20"/>
      <w:szCs w:val="20"/>
    </w:rPr>
  </w:style>
  <w:style w:type="paragraph" w:customStyle="1" w:styleId="629">
    <w:name w:val="heading 6_file_1341"/>
    <w:basedOn w:val="623"/>
    <w:qFormat/>
    <w:uiPriority w:val="9"/>
    <w:pPr>
      <w:outlineLvl w:val="5"/>
    </w:pPr>
    <w:rPr>
      <w:sz w:val="15"/>
      <w:szCs w:val="15"/>
    </w:rPr>
  </w:style>
  <w:style w:type="character" w:customStyle="1" w:styleId="630">
    <w:name w:val="Default Paragraph Font_file_1341"/>
    <w:semiHidden/>
    <w:unhideWhenUsed/>
    <w:qFormat/>
    <w:uiPriority w:val="1"/>
  </w:style>
  <w:style w:type="table" w:customStyle="1" w:styleId="631">
    <w:name w:val="Normal Table_file_1341"/>
    <w:semiHidden/>
    <w:unhideWhenUsed/>
    <w:qFormat/>
    <w:uiPriority w:val="99"/>
    <w:tblPr>
      <w:tblCellMar>
        <w:top w:w="0" w:type="dxa"/>
        <w:left w:w="108" w:type="dxa"/>
        <w:bottom w:w="0" w:type="dxa"/>
        <w:right w:w="108" w:type="dxa"/>
      </w:tblCellMar>
    </w:tblPr>
  </w:style>
  <w:style w:type="character" w:customStyle="1" w:styleId="632">
    <w:name w:val="Hyperlink_file_1341"/>
    <w:basedOn w:val="630"/>
    <w:semiHidden/>
    <w:unhideWhenUsed/>
    <w:qFormat/>
    <w:uiPriority w:val="99"/>
    <w:rPr>
      <w:color w:val="0782C1"/>
      <w:u w:val="single"/>
    </w:rPr>
  </w:style>
  <w:style w:type="character" w:customStyle="1" w:styleId="633">
    <w:name w:val="FollowedHyperlink_file_1341"/>
    <w:basedOn w:val="630"/>
    <w:semiHidden/>
    <w:unhideWhenUsed/>
    <w:qFormat/>
    <w:uiPriority w:val="99"/>
    <w:rPr>
      <w:color w:val="0782C1"/>
      <w:u w:val="single"/>
    </w:rPr>
  </w:style>
  <w:style w:type="character" w:customStyle="1" w:styleId="634">
    <w:name w:val="标题 1 Char_file_1341"/>
    <w:basedOn w:val="630"/>
    <w:qFormat/>
    <w:uiPriority w:val="9"/>
    <w:rPr>
      <w:rFonts w:ascii="宋体" w:hAnsi="宋体" w:eastAsia="宋体" w:cs="宋体"/>
      <w:b/>
      <w:bCs/>
      <w:kern w:val="44"/>
      <w:sz w:val="44"/>
      <w:szCs w:val="44"/>
    </w:rPr>
  </w:style>
  <w:style w:type="character" w:customStyle="1" w:styleId="635">
    <w:name w:val="标题 2 Char_file_1341"/>
    <w:basedOn w:val="630"/>
    <w:semiHidden/>
    <w:qFormat/>
    <w:uiPriority w:val="9"/>
    <w:rPr>
      <w:rFonts w:asciiTheme="majorHAnsi" w:hAnsiTheme="majorHAnsi" w:eastAsiaTheme="majorEastAsia" w:cstheme="majorBidi"/>
      <w:b/>
      <w:bCs/>
      <w:sz w:val="32"/>
      <w:szCs w:val="32"/>
    </w:rPr>
  </w:style>
  <w:style w:type="character" w:customStyle="1" w:styleId="636">
    <w:name w:val="标题 3 Char_file_1341"/>
    <w:basedOn w:val="630"/>
    <w:semiHidden/>
    <w:qFormat/>
    <w:uiPriority w:val="9"/>
    <w:rPr>
      <w:rFonts w:ascii="宋体" w:hAnsi="宋体" w:eastAsia="宋体" w:cs="宋体"/>
      <w:b/>
      <w:bCs/>
      <w:sz w:val="32"/>
      <w:szCs w:val="32"/>
    </w:rPr>
  </w:style>
  <w:style w:type="character" w:customStyle="1" w:styleId="637">
    <w:name w:val="标题 4 Char_file_1341"/>
    <w:basedOn w:val="630"/>
    <w:semiHidden/>
    <w:qFormat/>
    <w:uiPriority w:val="9"/>
    <w:rPr>
      <w:rFonts w:asciiTheme="majorHAnsi" w:hAnsiTheme="majorHAnsi" w:eastAsiaTheme="majorEastAsia" w:cstheme="majorBidi"/>
      <w:b/>
      <w:bCs/>
      <w:sz w:val="28"/>
      <w:szCs w:val="28"/>
    </w:rPr>
  </w:style>
  <w:style w:type="character" w:customStyle="1" w:styleId="638">
    <w:name w:val="标题 5 Char_file_1341"/>
    <w:basedOn w:val="630"/>
    <w:semiHidden/>
    <w:qFormat/>
    <w:uiPriority w:val="9"/>
    <w:rPr>
      <w:rFonts w:ascii="宋体" w:hAnsi="宋体" w:eastAsia="宋体" w:cs="宋体"/>
      <w:b/>
      <w:bCs/>
      <w:sz w:val="28"/>
      <w:szCs w:val="28"/>
    </w:rPr>
  </w:style>
  <w:style w:type="character" w:customStyle="1" w:styleId="639">
    <w:name w:val="标题 6 Char_file_1341"/>
    <w:basedOn w:val="630"/>
    <w:semiHidden/>
    <w:qFormat/>
    <w:uiPriority w:val="9"/>
    <w:rPr>
      <w:rFonts w:asciiTheme="majorHAnsi" w:hAnsiTheme="majorHAnsi" w:eastAsiaTheme="majorEastAsia" w:cstheme="majorBidi"/>
      <w:b/>
      <w:bCs/>
      <w:sz w:val="24"/>
      <w:szCs w:val="24"/>
    </w:rPr>
  </w:style>
  <w:style w:type="paragraph" w:customStyle="1" w:styleId="640">
    <w:name w:val="cke_editable_file_1341"/>
    <w:basedOn w:val="623"/>
    <w:qFormat/>
    <w:uiPriority w:val="0"/>
    <w:rPr>
      <w:rFonts w:ascii="仿宋_GB2312" w:eastAsia="仿宋_GB2312"/>
    </w:rPr>
  </w:style>
  <w:style w:type="paragraph" w:customStyle="1" w:styleId="641">
    <w:name w:val="marker_file_1341"/>
    <w:basedOn w:val="623"/>
    <w:qFormat/>
    <w:uiPriority w:val="0"/>
    <w:pPr>
      <w:shd w:val="clear" w:color="auto" w:fill="FFFF00"/>
    </w:pPr>
  </w:style>
  <w:style w:type="paragraph" w:customStyle="1" w:styleId="642">
    <w:name w:val="Normal (Web)_file_1341"/>
    <w:basedOn w:val="623"/>
    <w:semiHidden/>
    <w:unhideWhenUsed/>
    <w:qFormat/>
    <w:uiPriority w:val="99"/>
  </w:style>
  <w:style w:type="paragraph" w:customStyle="1" w:styleId="643">
    <w:name w:val="Normal_file_1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4">
    <w:name w:val="heading 1_file_1342"/>
    <w:basedOn w:val="643"/>
    <w:qFormat/>
    <w:uiPriority w:val="9"/>
    <w:pPr>
      <w:outlineLvl w:val="0"/>
    </w:pPr>
    <w:rPr>
      <w:kern w:val="36"/>
      <w:sz w:val="48"/>
      <w:szCs w:val="48"/>
    </w:rPr>
  </w:style>
  <w:style w:type="paragraph" w:customStyle="1" w:styleId="645">
    <w:name w:val="heading 2_file_1342"/>
    <w:basedOn w:val="643"/>
    <w:qFormat/>
    <w:uiPriority w:val="9"/>
    <w:pPr>
      <w:outlineLvl w:val="1"/>
    </w:pPr>
    <w:rPr>
      <w:sz w:val="36"/>
      <w:szCs w:val="36"/>
    </w:rPr>
  </w:style>
  <w:style w:type="paragraph" w:customStyle="1" w:styleId="646">
    <w:name w:val="heading 3_file_1342"/>
    <w:basedOn w:val="643"/>
    <w:qFormat/>
    <w:uiPriority w:val="9"/>
    <w:pPr>
      <w:outlineLvl w:val="2"/>
    </w:pPr>
    <w:rPr>
      <w:sz w:val="27"/>
      <w:szCs w:val="27"/>
    </w:rPr>
  </w:style>
  <w:style w:type="paragraph" w:customStyle="1" w:styleId="647">
    <w:name w:val="heading 4_file_1342"/>
    <w:basedOn w:val="643"/>
    <w:qFormat/>
    <w:uiPriority w:val="9"/>
    <w:pPr>
      <w:outlineLvl w:val="3"/>
    </w:pPr>
  </w:style>
  <w:style w:type="paragraph" w:customStyle="1" w:styleId="648">
    <w:name w:val="heading 5_file_1342"/>
    <w:basedOn w:val="643"/>
    <w:qFormat/>
    <w:uiPriority w:val="9"/>
    <w:pPr>
      <w:outlineLvl w:val="4"/>
    </w:pPr>
    <w:rPr>
      <w:sz w:val="20"/>
      <w:szCs w:val="20"/>
    </w:rPr>
  </w:style>
  <w:style w:type="paragraph" w:customStyle="1" w:styleId="649">
    <w:name w:val="heading 6_file_1342"/>
    <w:basedOn w:val="643"/>
    <w:qFormat/>
    <w:uiPriority w:val="9"/>
    <w:pPr>
      <w:outlineLvl w:val="5"/>
    </w:pPr>
    <w:rPr>
      <w:sz w:val="15"/>
      <w:szCs w:val="15"/>
    </w:rPr>
  </w:style>
  <w:style w:type="character" w:customStyle="1" w:styleId="650">
    <w:name w:val="Default Paragraph Font_file_1342"/>
    <w:semiHidden/>
    <w:unhideWhenUsed/>
    <w:qFormat/>
    <w:uiPriority w:val="1"/>
  </w:style>
  <w:style w:type="table" w:customStyle="1" w:styleId="651">
    <w:name w:val="Normal Table_file_1342"/>
    <w:semiHidden/>
    <w:unhideWhenUsed/>
    <w:qFormat/>
    <w:uiPriority w:val="99"/>
    <w:tblPr>
      <w:tblCellMar>
        <w:top w:w="0" w:type="dxa"/>
        <w:left w:w="108" w:type="dxa"/>
        <w:bottom w:w="0" w:type="dxa"/>
        <w:right w:w="108" w:type="dxa"/>
      </w:tblCellMar>
    </w:tblPr>
  </w:style>
  <w:style w:type="character" w:customStyle="1" w:styleId="652">
    <w:name w:val="Hyperlink_file_1342"/>
    <w:basedOn w:val="650"/>
    <w:semiHidden/>
    <w:unhideWhenUsed/>
    <w:qFormat/>
    <w:uiPriority w:val="99"/>
    <w:rPr>
      <w:color w:val="0782C1"/>
      <w:u w:val="single"/>
    </w:rPr>
  </w:style>
  <w:style w:type="character" w:customStyle="1" w:styleId="653">
    <w:name w:val="FollowedHyperlink_file_1342"/>
    <w:basedOn w:val="650"/>
    <w:semiHidden/>
    <w:unhideWhenUsed/>
    <w:qFormat/>
    <w:uiPriority w:val="99"/>
    <w:rPr>
      <w:color w:val="0782C1"/>
      <w:u w:val="single"/>
    </w:rPr>
  </w:style>
  <w:style w:type="character" w:customStyle="1" w:styleId="654">
    <w:name w:val="标题 1 Char_file_1342"/>
    <w:basedOn w:val="650"/>
    <w:qFormat/>
    <w:uiPriority w:val="9"/>
    <w:rPr>
      <w:rFonts w:ascii="宋体" w:hAnsi="宋体" w:eastAsia="宋体" w:cs="宋体"/>
      <w:b/>
      <w:bCs/>
      <w:kern w:val="44"/>
      <w:sz w:val="44"/>
      <w:szCs w:val="44"/>
    </w:rPr>
  </w:style>
  <w:style w:type="character" w:customStyle="1" w:styleId="655">
    <w:name w:val="标题 2 Char_file_1342"/>
    <w:basedOn w:val="650"/>
    <w:semiHidden/>
    <w:qFormat/>
    <w:uiPriority w:val="9"/>
    <w:rPr>
      <w:rFonts w:asciiTheme="majorHAnsi" w:hAnsiTheme="majorHAnsi" w:eastAsiaTheme="majorEastAsia" w:cstheme="majorBidi"/>
      <w:b/>
      <w:bCs/>
      <w:sz w:val="32"/>
      <w:szCs w:val="32"/>
    </w:rPr>
  </w:style>
  <w:style w:type="character" w:customStyle="1" w:styleId="656">
    <w:name w:val="标题 3 Char_file_1342"/>
    <w:basedOn w:val="650"/>
    <w:semiHidden/>
    <w:qFormat/>
    <w:uiPriority w:val="9"/>
    <w:rPr>
      <w:rFonts w:ascii="宋体" w:hAnsi="宋体" w:eastAsia="宋体" w:cs="宋体"/>
      <w:b/>
      <w:bCs/>
      <w:sz w:val="32"/>
      <w:szCs w:val="32"/>
    </w:rPr>
  </w:style>
  <w:style w:type="character" w:customStyle="1" w:styleId="657">
    <w:name w:val="标题 4 Char_file_1342"/>
    <w:basedOn w:val="650"/>
    <w:semiHidden/>
    <w:qFormat/>
    <w:uiPriority w:val="9"/>
    <w:rPr>
      <w:rFonts w:asciiTheme="majorHAnsi" w:hAnsiTheme="majorHAnsi" w:eastAsiaTheme="majorEastAsia" w:cstheme="majorBidi"/>
      <w:b/>
      <w:bCs/>
      <w:sz w:val="28"/>
      <w:szCs w:val="28"/>
    </w:rPr>
  </w:style>
  <w:style w:type="character" w:customStyle="1" w:styleId="658">
    <w:name w:val="标题 5 Char_file_1342"/>
    <w:basedOn w:val="650"/>
    <w:semiHidden/>
    <w:qFormat/>
    <w:uiPriority w:val="9"/>
    <w:rPr>
      <w:rFonts w:ascii="宋体" w:hAnsi="宋体" w:eastAsia="宋体" w:cs="宋体"/>
      <w:b/>
      <w:bCs/>
      <w:sz w:val="28"/>
      <w:szCs w:val="28"/>
    </w:rPr>
  </w:style>
  <w:style w:type="character" w:customStyle="1" w:styleId="659">
    <w:name w:val="标题 6 Char_file_1342"/>
    <w:basedOn w:val="650"/>
    <w:semiHidden/>
    <w:qFormat/>
    <w:uiPriority w:val="9"/>
    <w:rPr>
      <w:rFonts w:asciiTheme="majorHAnsi" w:hAnsiTheme="majorHAnsi" w:eastAsiaTheme="majorEastAsia" w:cstheme="majorBidi"/>
      <w:b/>
      <w:bCs/>
      <w:sz w:val="24"/>
      <w:szCs w:val="24"/>
    </w:rPr>
  </w:style>
  <w:style w:type="paragraph" w:customStyle="1" w:styleId="660">
    <w:name w:val="cke_editable_file_1342"/>
    <w:basedOn w:val="643"/>
    <w:qFormat/>
    <w:uiPriority w:val="0"/>
    <w:rPr>
      <w:rFonts w:ascii="仿宋_GB2312" w:eastAsia="仿宋_GB2312"/>
    </w:rPr>
  </w:style>
  <w:style w:type="paragraph" w:customStyle="1" w:styleId="661">
    <w:name w:val="marker_file_1342"/>
    <w:basedOn w:val="643"/>
    <w:qFormat/>
    <w:uiPriority w:val="0"/>
    <w:pPr>
      <w:shd w:val="clear" w:color="auto" w:fill="FFFF00"/>
    </w:pPr>
  </w:style>
  <w:style w:type="paragraph" w:customStyle="1" w:styleId="662">
    <w:name w:val="Normal (Web)_file_1342"/>
    <w:basedOn w:val="643"/>
    <w:semiHidden/>
    <w:unhideWhenUsed/>
    <w:qFormat/>
    <w:uiPriority w:val="99"/>
  </w:style>
  <w:style w:type="paragraph" w:customStyle="1" w:styleId="663">
    <w:name w:val="Normal_file_13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4">
    <w:name w:val="heading 1_file_1343"/>
    <w:basedOn w:val="663"/>
    <w:qFormat/>
    <w:uiPriority w:val="9"/>
    <w:pPr>
      <w:outlineLvl w:val="0"/>
    </w:pPr>
    <w:rPr>
      <w:kern w:val="36"/>
      <w:sz w:val="48"/>
      <w:szCs w:val="48"/>
    </w:rPr>
  </w:style>
  <w:style w:type="paragraph" w:customStyle="1" w:styleId="665">
    <w:name w:val="heading 2_file_1343"/>
    <w:basedOn w:val="663"/>
    <w:qFormat/>
    <w:uiPriority w:val="9"/>
    <w:pPr>
      <w:outlineLvl w:val="1"/>
    </w:pPr>
    <w:rPr>
      <w:sz w:val="36"/>
      <w:szCs w:val="36"/>
    </w:rPr>
  </w:style>
  <w:style w:type="paragraph" w:customStyle="1" w:styleId="666">
    <w:name w:val="heading 3_file_1343"/>
    <w:basedOn w:val="663"/>
    <w:qFormat/>
    <w:uiPriority w:val="9"/>
    <w:pPr>
      <w:outlineLvl w:val="2"/>
    </w:pPr>
    <w:rPr>
      <w:sz w:val="27"/>
      <w:szCs w:val="27"/>
    </w:rPr>
  </w:style>
  <w:style w:type="paragraph" w:customStyle="1" w:styleId="667">
    <w:name w:val="heading 4_file_1343"/>
    <w:basedOn w:val="663"/>
    <w:qFormat/>
    <w:uiPriority w:val="9"/>
    <w:pPr>
      <w:outlineLvl w:val="3"/>
    </w:pPr>
  </w:style>
  <w:style w:type="paragraph" w:customStyle="1" w:styleId="668">
    <w:name w:val="heading 5_file_1343"/>
    <w:basedOn w:val="663"/>
    <w:qFormat/>
    <w:uiPriority w:val="9"/>
    <w:pPr>
      <w:outlineLvl w:val="4"/>
    </w:pPr>
    <w:rPr>
      <w:sz w:val="20"/>
      <w:szCs w:val="20"/>
    </w:rPr>
  </w:style>
  <w:style w:type="paragraph" w:customStyle="1" w:styleId="669">
    <w:name w:val="heading 6_file_1343"/>
    <w:basedOn w:val="663"/>
    <w:qFormat/>
    <w:uiPriority w:val="9"/>
    <w:pPr>
      <w:outlineLvl w:val="5"/>
    </w:pPr>
    <w:rPr>
      <w:sz w:val="15"/>
      <w:szCs w:val="15"/>
    </w:rPr>
  </w:style>
  <w:style w:type="character" w:customStyle="1" w:styleId="670">
    <w:name w:val="Default Paragraph Font_file_1343"/>
    <w:semiHidden/>
    <w:unhideWhenUsed/>
    <w:qFormat/>
    <w:uiPriority w:val="1"/>
  </w:style>
  <w:style w:type="table" w:customStyle="1" w:styleId="671">
    <w:name w:val="Normal Table_file_1343"/>
    <w:semiHidden/>
    <w:unhideWhenUsed/>
    <w:qFormat/>
    <w:uiPriority w:val="99"/>
    <w:tblPr>
      <w:tblCellMar>
        <w:top w:w="0" w:type="dxa"/>
        <w:left w:w="108" w:type="dxa"/>
        <w:bottom w:w="0" w:type="dxa"/>
        <w:right w:w="108" w:type="dxa"/>
      </w:tblCellMar>
    </w:tblPr>
  </w:style>
  <w:style w:type="character" w:customStyle="1" w:styleId="672">
    <w:name w:val="Hyperlink_file_1343"/>
    <w:basedOn w:val="670"/>
    <w:semiHidden/>
    <w:unhideWhenUsed/>
    <w:qFormat/>
    <w:uiPriority w:val="99"/>
    <w:rPr>
      <w:color w:val="0782C1"/>
      <w:u w:val="single"/>
    </w:rPr>
  </w:style>
  <w:style w:type="character" w:customStyle="1" w:styleId="673">
    <w:name w:val="FollowedHyperlink_file_1343"/>
    <w:basedOn w:val="670"/>
    <w:semiHidden/>
    <w:unhideWhenUsed/>
    <w:qFormat/>
    <w:uiPriority w:val="99"/>
    <w:rPr>
      <w:color w:val="0782C1"/>
      <w:u w:val="single"/>
    </w:rPr>
  </w:style>
  <w:style w:type="character" w:customStyle="1" w:styleId="674">
    <w:name w:val="标题 1 Char_file_1343"/>
    <w:basedOn w:val="670"/>
    <w:qFormat/>
    <w:uiPriority w:val="9"/>
    <w:rPr>
      <w:rFonts w:ascii="宋体" w:hAnsi="宋体" w:eastAsia="宋体" w:cs="宋体"/>
      <w:b/>
      <w:bCs/>
      <w:kern w:val="44"/>
      <w:sz w:val="44"/>
      <w:szCs w:val="44"/>
    </w:rPr>
  </w:style>
  <w:style w:type="character" w:customStyle="1" w:styleId="675">
    <w:name w:val="标题 2 Char_file_1343"/>
    <w:basedOn w:val="670"/>
    <w:semiHidden/>
    <w:qFormat/>
    <w:uiPriority w:val="9"/>
    <w:rPr>
      <w:rFonts w:asciiTheme="majorHAnsi" w:hAnsiTheme="majorHAnsi" w:eastAsiaTheme="majorEastAsia" w:cstheme="majorBidi"/>
      <w:b/>
      <w:bCs/>
      <w:sz w:val="32"/>
      <w:szCs w:val="32"/>
    </w:rPr>
  </w:style>
  <w:style w:type="character" w:customStyle="1" w:styleId="676">
    <w:name w:val="标题 3 Char_file_1343"/>
    <w:basedOn w:val="670"/>
    <w:semiHidden/>
    <w:qFormat/>
    <w:uiPriority w:val="9"/>
    <w:rPr>
      <w:rFonts w:ascii="宋体" w:hAnsi="宋体" w:eastAsia="宋体" w:cs="宋体"/>
      <w:b/>
      <w:bCs/>
      <w:sz w:val="32"/>
      <w:szCs w:val="32"/>
    </w:rPr>
  </w:style>
  <w:style w:type="character" w:customStyle="1" w:styleId="677">
    <w:name w:val="标题 4 Char_file_1343"/>
    <w:basedOn w:val="670"/>
    <w:semiHidden/>
    <w:qFormat/>
    <w:uiPriority w:val="9"/>
    <w:rPr>
      <w:rFonts w:asciiTheme="majorHAnsi" w:hAnsiTheme="majorHAnsi" w:eastAsiaTheme="majorEastAsia" w:cstheme="majorBidi"/>
      <w:b/>
      <w:bCs/>
      <w:sz w:val="28"/>
      <w:szCs w:val="28"/>
    </w:rPr>
  </w:style>
  <w:style w:type="character" w:customStyle="1" w:styleId="678">
    <w:name w:val="标题 5 Char_file_1343"/>
    <w:basedOn w:val="670"/>
    <w:semiHidden/>
    <w:qFormat/>
    <w:uiPriority w:val="9"/>
    <w:rPr>
      <w:rFonts w:ascii="宋体" w:hAnsi="宋体" w:eastAsia="宋体" w:cs="宋体"/>
      <w:b/>
      <w:bCs/>
      <w:sz w:val="28"/>
      <w:szCs w:val="28"/>
    </w:rPr>
  </w:style>
  <w:style w:type="character" w:customStyle="1" w:styleId="679">
    <w:name w:val="标题 6 Char_file_1343"/>
    <w:basedOn w:val="670"/>
    <w:semiHidden/>
    <w:qFormat/>
    <w:uiPriority w:val="9"/>
    <w:rPr>
      <w:rFonts w:asciiTheme="majorHAnsi" w:hAnsiTheme="majorHAnsi" w:eastAsiaTheme="majorEastAsia" w:cstheme="majorBidi"/>
      <w:b/>
      <w:bCs/>
      <w:sz w:val="24"/>
      <w:szCs w:val="24"/>
    </w:rPr>
  </w:style>
  <w:style w:type="paragraph" w:customStyle="1" w:styleId="680">
    <w:name w:val="cke_editable_file_1343"/>
    <w:basedOn w:val="663"/>
    <w:qFormat/>
    <w:uiPriority w:val="0"/>
    <w:rPr>
      <w:rFonts w:ascii="仿宋_GB2312" w:eastAsia="仿宋_GB2312"/>
    </w:rPr>
  </w:style>
  <w:style w:type="paragraph" w:customStyle="1" w:styleId="681">
    <w:name w:val="marker_file_1343"/>
    <w:basedOn w:val="663"/>
    <w:qFormat/>
    <w:uiPriority w:val="0"/>
    <w:pPr>
      <w:shd w:val="clear" w:color="auto" w:fill="FFFF00"/>
    </w:pPr>
  </w:style>
  <w:style w:type="paragraph" w:customStyle="1" w:styleId="682">
    <w:name w:val="Normal (Web)_file_1343"/>
    <w:basedOn w:val="663"/>
    <w:semiHidden/>
    <w:unhideWhenUsed/>
    <w:qFormat/>
    <w:uiPriority w:val="99"/>
  </w:style>
  <w:style w:type="paragraph" w:customStyle="1" w:styleId="683">
    <w:name w:val="Normal_file_1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4">
    <w:name w:val="heading 1_file_1344"/>
    <w:basedOn w:val="683"/>
    <w:qFormat/>
    <w:uiPriority w:val="9"/>
    <w:pPr>
      <w:outlineLvl w:val="0"/>
    </w:pPr>
    <w:rPr>
      <w:kern w:val="36"/>
      <w:sz w:val="48"/>
      <w:szCs w:val="48"/>
    </w:rPr>
  </w:style>
  <w:style w:type="paragraph" w:customStyle="1" w:styleId="685">
    <w:name w:val="heading 2_file_1344"/>
    <w:basedOn w:val="683"/>
    <w:qFormat/>
    <w:uiPriority w:val="9"/>
    <w:pPr>
      <w:outlineLvl w:val="1"/>
    </w:pPr>
    <w:rPr>
      <w:sz w:val="36"/>
      <w:szCs w:val="36"/>
    </w:rPr>
  </w:style>
  <w:style w:type="paragraph" w:customStyle="1" w:styleId="686">
    <w:name w:val="heading 3_file_1344"/>
    <w:basedOn w:val="683"/>
    <w:qFormat/>
    <w:uiPriority w:val="9"/>
    <w:pPr>
      <w:outlineLvl w:val="2"/>
    </w:pPr>
    <w:rPr>
      <w:sz w:val="27"/>
      <w:szCs w:val="27"/>
    </w:rPr>
  </w:style>
  <w:style w:type="paragraph" w:customStyle="1" w:styleId="687">
    <w:name w:val="heading 4_file_1344"/>
    <w:basedOn w:val="683"/>
    <w:qFormat/>
    <w:uiPriority w:val="9"/>
    <w:pPr>
      <w:outlineLvl w:val="3"/>
    </w:pPr>
  </w:style>
  <w:style w:type="paragraph" w:customStyle="1" w:styleId="688">
    <w:name w:val="heading 5_file_1344"/>
    <w:basedOn w:val="683"/>
    <w:qFormat/>
    <w:uiPriority w:val="9"/>
    <w:pPr>
      <w:outlineLvl w:val="4"/>
    </w:pPr>
    <w:rPr>
      <w:sz w:val="20"/>
      <w:szCs w:val="20"/>
    </w:rPr>
  </w:style>
  <w:style w:type="paragraph" w:customStyle="1" w:styleId="689">
    <w:name w:val="heading 6_file_1344"/>
    <w:basedOn w:val="683"/>
    <w:qFormat/>
    <w:uiPriority w:val="9"/>
    <w:pPr>
      <w:outlineLvl w:val="5"/>
    </w:pPr>
    <w:rPr>
      <w:sz w:val="15"/>
      <w:szCs w:val="15"/>
    </w:rPr>
  </w:style>
  <w:style w:type="character" w:customStyle="1" w:styleId="690">
    <w:name w:val="Default Paragraph Font_file_1344"/>
    <w:semiHidden/>
    <w:unhideWhenUsed/>
    <w:qFormat/>
    <w:uiPriority w:val="1"/>
  </w:style>
  <w:style w:type="table" w:customStyle="1" w:styleId="691">
    <w:name w:val="Normal Table_file_1344"/>
    <w:semiHidden/>
    <w:unhideWhenUsed/>
    <w:qFormat/>
    <w:uiPriority w:val="99"/>
    <w:tblPr>
      <w:tblCellMar>
        <w:top w:w="0" w:type="dxa"/>
        <w:left w:w="108" w:type="dxa"/>
        <w:bottom w:w="0" w:type="dxa"/>
        <w:right w:w="108" w:type="dxa"/>
      </w:tblCellMar>
    </w:tblPr>
  </w:style>
  <w:style w:type="character" w:customStyle="1" w:styleId="692">
    <w:name w:val="Hyperlink_file_1344"/>
    <w:basedOn w:val="690"/>
    <w:semiHidden/>
    <w:unhideWhenUsed/>
    <w:qFormat/>
    <w:uiPriority w:val="99"/>
    <w:rPr>
      <w:color w:val="0782C1"/>
      <w:u w:val="single"/>
    </w:rPr>
  </w:style>
  <w:style w:type="character" w:customStyle="1" w:styleId="693">
    <w:name w:val="FollowedHyperlink_file_1344"/>
    <w:basedOn w:val="690"/>
    <w:semiHidden/>
    <w:unhideWhenUsed/>
    <w:qFormat/>
    <w:uiPriority w:val="99"/>
    <w:rPr>
      <w:color w:val="0782C1"/>
      <w:u w:val="single"/>
    </w:rPr>
  </w:style>
  <w:style w:type="character" w:customStyle="1" w:styleId="694">
    <w:name w:val="标题 1 字符1"/>
    <w:basedOn w:val="690"/>
    <w:link w:val="3"/>
    <w:qFormat/>
    <w:uiPriority w:val="9"/>
    <w:rPr>
      <w:rFonts w:ascii="宋体" w:hAnsi="宋体" w:eastAsia="宋体" w:cs="宋体"/>
      <w:b/>
      <w:bCs/>
      <w:kern w:val="44"/>
      <w:sz w:val="44"/>
      <w:szCs w:val="44"/>
    </w:rPr>
  </w:style>
  <w:style w:type="character" w:customStyle="1" w:styleId="695">
    <w:name w:val="标题 2 字符1"/>
    <w:basedOn w:val="690"/>
    <w:link w:val="4"/>
    <w:semiHidden/>
    <w:qFormat/>
    <w:uiPriority w:val="9"/>
    <w:rPr>
      <w:rFonts w:asciiTheme="majorHAnsi" w:hAnsiTheme="majorHAnsi" w:eastAsiaTheme="majorEastAsia" w:cstheme="majorBidi"/>
      <w:b/>
      <w:bCs/>
      <w:sz w:val="32"/>
      <w:szCs w:val="32"/>
    </w:rPr>
  </w:style>
  <w:style w:type="character" w:customStyle="1" w:styleId="696">
    <w:name w:val="标题 3 字符1"/>
    <w:basedOn w:val="690"/>
    <w:link w:val="5"/>
    <w:semiHidden/>
    <w:qFormat/>
    <w:uiPriority w:val="9"/>
    <w:rPr>
      <w:rFonts w:ascii="宋体" w:hAnsi="宋体" w:eastAsia="宋体" w:cs="宋体"/>
      <w:b/>
      <w:bCs/>
      <w:sz w:val="32"/>
      <w:szCs w:val="32"/>
    </w:rPr>
  </w:style>
  <w:style w:type="character" w:customStyle="1" w:styleId="697">
    <w:name w:val="标题 4 字符1"/>
    <w:basedOn w:val="690"/>
    <w:link w:val="6"/>
    <w:semiHidden/>
    <w:qFormat/>
    <w:uiPriority w:val="9"/>
    <w:rPr>
      <w:rFonts w:asciiTheme="majorHAnsi" w:hAnsiTheme="majorHAnsi" w:eastAsiaTheme="majorEastAsia" w:cstheme="majorBidi"/>
      <w:b/>
      <w:bCs/>
      <w:sz w:val="28"/>
      <w:szCs w:val="28"/>
    </w:rPr>
  </w:style>
  <w:style w:type="character" w:customStyle="1" w:styleId="698">
    <w:name w:val="标题 5 字符1"/>
    <w:basedOn w:val="690"/>
    <w:link w:val="7"/>
    <w:semiHidden/>
    <w:qFormat/>
    <w:uiPriority w:val="9"/>
    <w:rPr>
      <w:rFonts w:ascii="宋体" w:hAnsi="宋体" w:eastAsia="宋体" w:cs="宋体"/>
      <w:b/>
      <w:bCs/>
      <w:sz w:val="28"/>
      <w:szCs w:val="28"/>
    </w:rPr>
  </w:style>
  <w:style w:type="character" w:customStyle="1" w:styleId="699">
    <w:name w:val="标题 6 字符1"/>
    <w:basedOn w:val="690"/>
    <w:link w:val="9"/>
    <w:semiHidden/>
    <w:qFormat/>
    <w:uiPriority w:val="9"/>
    <w:rPr>
      <w:rFonts w:asciiTheme="majorHAnsi" w:hAnsiTheme="majorHAnsi" w:eastAsiaTheme="majorEastAsia" w:cstheme="majorBidi"/>
      <w:b/>
      <w:bCs/>
      <w:sz w:val="24"/>
      <w:szCs w:val="24"/>
    </w:rPr>
  </w:style>
  <w:style w:type="paragraph" w:customStyle="1" w:styleId="700">
    <w:name w:val="cke_editable_file_1344"/>
    <w:basedOn w:val="683"/>
    <w:qFormat/>
    <w:uiPriority w:val="0"/>
    <w:rPr>
      <w:rFonts w:ascii="仿宋_GB2312" w:eastAsia="仿宋_GB2312"/>
    </w:rPr>
  </w:style>
  <w:style w:type="paragraph" w:customStyle="1" w:styleId="701">
    <w:name w:val="marker_file_1344"/>
    <w:basedOn w:val="683"/>
    <w:qFormat/>
    <w:uiPriority w:val="0"/>
    <w:pPr>
      <w:shd w:val="clear" w:color="auto" w:fill="FFFF00"/>
    </w:pPr>
  </w:style>
  <w:style w:type="paragraph" w:customStyle="1" w:styleId="702">
    <w:name w:val="Normal (Web)_file_1344"/>
    <w:basedOn w:val="683"/>
    <w:semiHidden/>
    <w:unhideWhenUsed/>
    <w:qFormat/>
    <w:uiPriority w:val="99"/>
  </w:style>
  <w:style w:type="character" w:customStyle="1" w:styleId="703">
    <w:name w:val="font61"/>
    <w:basedOn w:val="51"/>
    <w:qFormat/>
    <w:uiPriority w:val="0"/>
    <w:rPr>
      <w:rFonts w:ascii="Calibri" w:hAnsi="Calibri" w:cs="Calibri"/>
      <w:color w:val="000000"/>
      <w:sz w:val="20"/>
      <w:szCs w:val="20"/>
      <w:u w:val="none"/>
    </w:rPr>
  </w:style>
  <w:style w:type="paragraph" w:customStyle="1" w:styleId="704">
    <w:name w:val="Normal (Web)_file_336"/>
    <w:basedOn w:val="705"/>
    <w:unhideWhenUsed/>
    <w:qFormat/>
    <w:uiPriority w:val="99"/>
  </w:style>
  <w:style w:type="paragraph" w:customStyle="1" w:styleId="705">
    <w:name w:val="Normal_file_3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6">
    <w:name w:val="Normal (Web)_file_341"/>
    <w:basedOn w:val="707"/>
    <w:unhideWhenUsed/>
    <w:qFormat/>
    <w:uiPriority w:val="99"/>
  </w:style>
  <w:style w:type="paragraph" w:customStyle="1" w:styleId="707">
    <w:name w:val="Normal_file_3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8">
    <w:name w:val="Normal (Web)_file_334_file_342"/>
    <w:basedOn w:val="709"/>
    <w:unhideWhenUsed/>
    <w:qFormat/>
    <w:uiPriority w:val="99"/>
  </w:style>
  <w:style w:type="paragraph" w:customStyle="1" w:styleId="709">
    <w:name w:val="Normal_file_334_file_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0">
    <w:name w:val="Normal (Web)_file_1666"/>
    <w:basedOn w:val="711"/>
    <w:semiHidden/>
    <w:unhideWhenUsed/>
    <w:qFormat/>
    <w:uiPriority w:val="99"/>
  </w:style>
  <w:style w:type="paragraph" w:customStyle="1" w:styleId="711">
    <w:name w:val="Normal_file_16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2">
    <w:name w:val="Normal (Web)_file_344"/>
    <w:basedOn w:val="713"/>
    <w:unhideWhenUsed/>
    <w:qFormat/>
    <w:uiPriority w:val="99"/>
  </w:style>
  <w:style w:type="paragraph" w:customStyle="1" w:styleId="713">
    <w:name w:val="Normal_file_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4">
    <w:name w:val="Normal (Web)_file_343"/>
    <w:basedOn w:val="715"/>
    <w:unhideWhenUsed/>
    <w:qFormat/>
    <w:uiPriority w:val="99"/>
  </w:style>
  <w:style w:type="paragraph" w:customStyle="1" w:styleId="715">
    <w:name w:val="Normal_file_343"/>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16">
    <w:name w:val="Normal Table_file_592_file_509_file_669_file_674_file_222"/>
    <w:semiHidden/>
    <w:qFormat/>
    <w:uiPriority w:val="0"/>
    <w:tblPr>
      <w:tblCellMar>
        <w:top w:w="0" w:type="dxa"/>
        <w:left w:w="108" w:type="dxa"/>
        <w:bottom w:w="0" w:type="dxa"/>
        <w:right w:w="108" w:type="dxa"/>
      </w:tblCellMar>
    </w:tblPr>
  </w:style>
  <w:style w:type="paragraph" w:customStyle="1" w:styleId="717">
    <w:name w:val="Plain Text_file_592_file_509_file_669_file_674_file_222"/>
    <w:basedOn w:val="718"/>
    <w:qFormat/>
    <w:uiPriority w:val="0"/>
    <w:rPr>
      <w:rFonts w:ascii="宋体" w:hAnsi="Courier New" w:cs="Courier New"/>
      <w:szCs w:val="21"/>
    </w:rPr>
  </w:style>
  <w:style w:type="paragraph" w:customStyle="1" w:styleId="718">
    <w:name w:val="Normal_file_592_file_509_file_669_file_674_file_2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9">
    <w:name w:val="表格文字_file_592_file_509_file_457_file_528_file_222"/>
    <w:basedOn w:val="720"/>
    <w:qFormat/>
    <w:uiPriority w:val="99"/>
    <w:pPr>
      <w:spacing w:before="25" w:after="25"/>
      <w:jc w:val="left"/>
    </w:pPr>
    <w:rPr>
      <w:bCs/>
      <w:spacing w:val="10"/>
      <w:kern w:val="0"/>
      <w:sz w:val="24"/>
    </w:rPr>
  </w:style>
  <w:style w:type="paragraph" w:customStyle="1" w:styleId="720">
    <w:name w:val="Normal_file_592_file_509_file_457_file_528_file_2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1">
    <w:name w:val="表格文字_file_457_file_528_file_222"/>
    <w:basedOn w:val="722"/>
    <w:qFormat/>
    <w:uiPriority w:val="99"/>
    <w:pPr>
      <w:spacing w:before="25" w:after="25"/>
      <w:jc w:val="left"/>
    </w:pPr>
    <w:rPr>
      <w:bCs/>
      <w:spacing w:val="10"/>
      <w:kern w:val="0"/>
      <w:sz w:val="24"/>
    </w:rPr>
  </w:style>
  <w:style w:type="paragraph" w:customStyle="1" w:styleId="722">
    <w:name w:val="Normal_file_457_file_528_file_222"/>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3">
    <w:name w:val="Plain Text_file_457_file_528_file_222"/>
    <w:basedOn w:val="722"/>
    <w:next w:val="6"/>
    <w:qFormat/>
    <w:uiPriority w:val="0"/>
    <w:rPr>
      <w:rFonts w:ascii="宋体" w:hAnsi="Courier New" w:cs="Courier New"/>
      <w:szCs w:val="21"/>
    </w:rPr>
  </w:style>
  <w:style w:type="paragraph" w:customStyle="1" w:styleId="724">
    <w:name w:val="Plain Text_file_222"/>
    <w:basedOn w:val="725"/>
    <w:next w:val="6"/>
    <w:qFormat/>
    <w:uiPriority w:val="0"/>
    <w:rPr>
      <w:rFonts w:ascii="宋体" w:hAnsi="Courier New" w:cs="Courier New"/>
      <w:szCs w:val="21"/>
    </w:rPr>
  </w:style>
  <w:style w:type="paragraph" w:customStyle="1" w:styleId="725">
    <w:name w:val="Normal_file_222"/>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6">
    <w:name w:val="Plain Text_file_372_file_669_file_674_file_222"/>
    <w:basedOn w:val="727"/>
    <w:qFormat/>
    <w:uiPriority w:val="0"/>
    <w:rPr>
      <w:rFonts w:ascii="宋体" w:hAnsi="Courier New" w:cs="Courier New"/>
      <w:szCs w:val="21"/>
    </w:rPr>
  </w:style>
  <w:style w:type="paragraph" w:customStyle="1" w:styleId="727">
    <w:name w:val="Normal_file_372_file_669_file_674_file_222"/>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8">
    <w:name w:val="Normal (Web)_file_325"/>
    <w:basedOn w:val="729"/>
    <w:unhideWhenUsed/>
    <w:qFormat/>
    <w:uiPriority w:val="99"/>
  </w:style>
  <w:style w:type="paragraph" w:customStyle="1" w:styleId="729">
    <w:name w:val="Normal_file_3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0">
    <w:name w:val="石墨文档正文"/>
    <w:qFormat/>
    <w:uiPriority w:val="0"/>
    <w:rPr>
      <w:rFonts w:ascii="Arial Unicode MS" w:hAnsi="Arial Unicode MS" w:cs="Arial Unicode MS" w:eastAsiaTheme="minorEastAsia"/>
      <w:sz w:val="22"/>
      <w:szCs w:val="22"/>
      <w:lang w:val="en-US" w:eastAsia="zh-CN" w:bidi="ar-SA"/>
    </w:rPr>
  </w:style>
  <w:style w:type="table" w:customStyle="1" w:styleId="731">
    <w:name w:val="Normal Table_file_592_file_509_file_669_file_674_file_104"/>
    <w:semiHidden/>
    <w:qFormat/>
    <w:uiPriority w:val="0"/>
    <w:tblPr>
      <w:tblCellMar>
        <w:top w:w="0" w:type="dxa"/>
        <w:left w:w="108" w:type="dxa"/>
        <w:bottom w:w="0" w:type="dxa"/>
        <w:right w:w="108" w:type="dxa"/>
      </w:tblCellMar>
    </w:tblPr>
  </w:style>
  <w:style w:type="paragraph" w:customStyle="1" w:styleId="732">
    <w:name w:val="表格文字_file_372_file_669_file_674_file_104"/>
    <w:basedOn w:val="733"/>
    <w:qFormat/>
    <w:uiPriority w:val="99"/>
    <w:pPr>
      <w:spacing w:before="25" w:after="25"/>
      <w:jc w:val="left"/>
    </w:pPr>
    <w:rPr>
      <w:bCs/>
      <w:spacing w:val="10"/>
      <w:kern w:val="0"/>
      <w:sz w:val="24"/>
    </w:rPr>
  </w:style>
  <w:style w:type="paragraph" w:customStyle="1" w:styleId="733">
    <w:name w:val="Normal_file_372_file_669_file_674_file_104"/>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4">
    <w:name w:val="Table Text"/>
    <w:basedOn w:val="1"/>
    <w:semiHidden/>
    <w:qFormat/>
    <w:uiPriority w:val="0"/>
    <w:rPr>
      <w:rFonts w:ascii="宋体" w:hAnsi="宋体" w:cs="宋体"/>
      <w:sz w:val="19"/>
      <w:szCs w:val="19"/>
      <w:lang w:eastAsia="en-US"/>
    </w:rPr>
  </w:style>
  <w:style w:type="table" w:customStyle="1" w:styleId="735">
    <w:name w:val="Table Normal"/>
    <w:semiHidden/>
    <w:unhideWhenUsed/>
    <w:qFormat/>
    <w:uiPriority w:val="0"/>
    <w:tblPr>
      <w:tblCellMar>
        <w:top w:w="0" w:type="dxa"/>
        <w:left w:w="0" w:type="dxa"/>
        <w:bottom w:w="0" w:type="dxa"/>
        <w:right w:w="0" w:type="dxa"/>
      </w:tblCellMar>
    </w:tblPr>
  </w:style>
  <w:style w:type="character" w:customStyle="1" w:styleId="736">
    <w:name w:val="Strong_file_349"/>
    <w:qFormat/>
    <w:uiPriority w:val="22"/>
    <w:rPr>
      <w:b/>
      <w:bCs/>
    </w:rPr>
  </w:style>
  <w:style w:type="character" w:customStyle="1" w:styleId="737">
    <w:name w:val="Strong_file_494"/>
    <w:basedOn w:val="738"/>
    <w:qFormat/>
    <w:uiPriority w:val="22"/>
    <w:rPr>
      <w:b/>
      <w:bCs/>
    </w:rPr>
  </w:style>
  <w:style w:type="character" w:customStyle="1" w:styleId="738">
    <w:name w:val="Default Paragraph Font_file_494"/>
    <w:unhideWhenUsed/>
    <w:qFormat/>
    <w:uiPriority w:val="1"/>
  </w:style>
  <w:style w:type="character" w:customStyle="1" w:styleId="739">
    <w:name w:val="Strong_file_279"/>
    <w:basedOn w:val="740"/>
    <w:qFormat/>
    <w:uiPriority w:val="22"/>
    <w:rPr>
      <w:b/>
      <w:bCs/>
    </w:rPr>
  </w:style>
  <w:style w:type="character" w:customStyle="1" w:styleId="740">
    <w:name w:val="Default Paragraph Font_file_279"/>
    <w:semiHidden/>
    <w:unhideWhenUsed/>
    <w:qFormat/>
    <w:uiPriority w:val="1"/>
  </w:style>
  <w:style w:type="paragraph" w:customStyle="1" w:styleId="741">
    <w:name w:val="Normal (Web)_file_486"/>
    <w:basedOn w:val="742"/>
    <w:unhideWhenUsed/>
    <w:qFormat/>
    <w:uiPriority w:val="99"/>
  </w:style>
  <w:style w:type="paragraph" w:customStyle="1" w:styleId="742">
    <w:name w:val="Normal_file_4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3">
    <w:name w:val="Normal (Web)_file_330"/>
    <w:basedOn w:val="744"/>
    <w:unhideWhenUsed/>
    <w:qFormat/>
    <w:uiPriority w:val="99"/>
  </w:style>
  <w:style w:type="paragraph" w:customStyle="1" w:styleId="744">
    <w:name w:val="Normal_file_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5">
    <w:name w:val="Normal (Web)_file_496"/>
    <w:basedOn w:val="746"/>
    <w:unhideWhenUsed/>
    <w:qFormat/>
    <w:uiPriority w:val="99"/>
  </w:style>
  <w:style w:type="paragraph" w:customStyle="1" w:styleId="746">
    <w:name w:val="Normal_file_496"/>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47">
    <w:name w:val="Normal Table_file_1078_file_331"/>
    <w:semiHidden/>
    <w:qFormat/>
    <w:uiPriority w:val="0"/>
    <w:tblPr>
      <w:tblCellMar>
        <w:top w:w="0" w:type="dxa"/>
        <w:left w:w="108" w:type="dxa"/>
        <w:bottom w:w="0" w:type="dxa"/>
        <w:right w:w="108" w:type="dxa"/>
      </w:tblCellMar>
    </w:tblPr>
  </w:style>
  <w:style w:type="paragraph" w:customStyle="1" w:styleId="748">
    <w:name w:val="Plain Text_file_1078_file_331"/>
    <w:basedOn w:val="749"/>
    <w:qFormat/>
    <w:uiPriority w:val="0"/>
    <w:rPr>
      <w:rFonts w:ascii="宋体" w:hAnsi="Courier New" w:cs="Courier New"/>
      <w:szCs w:val="21"/>
    </w:rPr>
  </w:style>
  <w:style w:type="paragraph" w:customStyle="1" w:styleId="749">
    <w:name w:val="Normal_file_1078_file_331"/>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0">
    <w:name w:val="Normal (Web)_file_266"/>
    <w:basedOn w:val="751"/>
    <w:semiHidden/>
    <w:unhideWhenUsed/>
    <w:qFormat/>
    <w:uiPriority w:val="99"/>
  </w:style>
  <w:style w:type="paragraph" w:customStyle="1" w:styleId="751">
    <w:name w:val="Normal_file_2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2">
    <w:name w:val="Table Paragraph_file_2049"/>
    <w:basedOn w:val="1"/>
    <w:qFormat/>
    <w:uiPriority w:val="1"/>
    <w:pPr>
      <w:autoSpaceDE w:val="0"/>
      <w:autoSpaceDN w:val="0"/>
      <w:adjustRightInd w:val="0"/>
      <w:jc w:val="left"/>
    </w:pPr>
    <w:rPr>
      <w:rFonts w:ascii="黑体" w:eastAsia="黑体" w:cs="黑体"/>
      <w:kern w:val="0"/>
      <w:sz w:val="24"/>
    </w:rPr>
  </w:style>
  <w:style w:type="table" w:customStyle="1" w:styleId="753">
    <w:name w:val="Normal Table_file_423_file_2052"/>
    <w:semiHidden/>
    <w:qFormat/>
    <w:uiPriority w:val="0"/>
    <w:tblPr>
      <w:tblCellMar>
        <w:top w:w="0" w:type="dxa"/>
        <w:left w:w="108" w:type="dxa"/>
        <w:bottom w:w="0" w:type="dxa"/>
        <w:right w:w="108" w:type="dxa"/>
      </w:tblCellMar>
    </w:tblPr>
  </w:style>
  <w:style w:type="paragraph" w:customStyle="1" w:styleId="754">
    <w:name w:val="Normal (Web)_file_262_file_274"/>
    <w:basedOn w:val="755"/>
    <w:semiHidden/>
    <w:unhideWhenUsed/>
    <w:qFormat/>
    <w:uiPriority w:val="99"/>
  </w:style>
  <w:style w:type="paragraph" w:customStyle="1" w:styleId="755">
    <w:name w:val="Normal_file_262_file_274"/>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56">
    <w:name w:val="Normal Table_file_390"/>
    <w:semiHidden/>
    <w:unhideWhenUsed/>
    <w:qFormat/>
    <w:uiPriority w:val="99"/>
    <w:tblPr>
      <w:tblCellMar>
        <w:top w:w="0" w:type="dxa"/>
        <w:left w:w="108" w:type="dxa"/>
        <w:bottom w:w="0" w:type="dxa"/>
        <w:right w:w="108" w:type="dxa"/>
      </w:tblCellMar>
    </w:tblPr>
  </w:style>
  <w:style w:type="paragraph" w:customStyle="1" w:styleId="757">
    <w:name w:val="表格文字_file_423_file_369"/>
    <w:basedOn w:val="1"/>
    <w:qFormat/>
    <w:uiPriority w:val="99"/>
    <w:pPr>
      <w:spacing w:before="25" w:after="25"/>
      <w:jc w:val="left"/>
    </w:pPr>
    <w:rPr>
      <w:bCs/>
      <w:spacing w:val="10"/>
      <w:kern w:val="0"/>
      <w:sz w:val="24"/>
    </w:rPr>
  </w:style>
  <w:style w:type="character" w:customStyle="1" w:styleId="758">
    <w:name w:val="FollowedHyperlink_file_390"/>
    <w:basedOn w:val="51"/>
    <w:semiHidden/>
    <w:unhideWhenUsed/>
    <w:qFormat/>
    <w:uiPriority w:val="99"/>
    <w:rPr>
      <w:color w:val="0782C1"/>
      <w:u w:val="single"/>
    </w:rPr>
  </w:style>
  <w:style w:type="paragraph" w:customStyle="1" w:styleId="759">
    <w:name w:val="Plain Text_file_423_file_1527_file_369"/>
    <w:basedOn w:val="1"/>
    <w:qFormat/>
    <w:uiPriority w:val="0"/>
    <w:rPr>
      <w:rFonts w:ascii="宋体" w:hAnsi="Courier New" w:cs="Courier New"/>
      <w:szCs w:val="21"/>
    </w:rPr>
  </w:style>
  <w:style w:type="paragraph" w:customStyle="1" w:styleId="760">
    <w:name w:val="heading 3_file_392"/>
    <w:basedOn w:val="1"/>
    <w:qFormat/>
    <w:uiPriority w:val="9"/>
    <w:pPr>
      <w:widowControl/>
      <w:spacing w:before="100" w:beforeAutospacing="1" w:after="100" w:afterAutospacing="1"/>
      <w:jc w:val="left"/>
      <w:outlineLvl w:val="2"/>
    </w:pPr>
    <w:rPr>
      <w:rFonts w:ascii="宋体" w:hAnsi="宋体" w:cs="宋体"/>
      <w:kern w:val="0"/>
      <w:sz w:val="27"/>
      <w:szCs w:val="27"/>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1"/>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051124-CB0E-48E6-9A89-7C28D6026A04}">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87</Pages>
  <Words>20524</Words>
  <Characters>23769</Characters>
  <Lines>660</Lines>
  <Paragraphs>186</Paragraphs>
  <TotalTime>12</TotalTime>
  <ScaleCrop>false</ScaleCrop>
  <LinksUpToDate>false</LinksUpToDate>
  <CharactersWithSpaces>24041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2024-06-12T00:45:00Z</dcterms:created>
  <dc:creator>柳州市政府集中采购中心</dc:creator>
  <cp:lastModifiedBy>小潘潘</cp:lastModifiedBy>
  <cp:lastPrinted>2018-11-29T23:27:00Z</cp:lastPrinted>
  <dcterms:modified xsi:type="dcterms:W3CDTF">2025-12-23T03:38:18Z</dcterms:modified>
  <dc:title>询价通知书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eyJoZGlkIjoiNzA5MWM5ZWQxNGIyMjQyNTFkMDEwM2Q1NzE4NTlhZjAiLCJ1c2VySWQiOiIyMzYzNDM0MDUifQ==</vt:lpwstr>
  </property>
  <property fmtid="{D5CDD505-2E9C-101B-9397-08002B2CF9AE}" pid="4" name="ICV">
    <vt:lpwstr>C203ED992445433B8CF388855746FA23_13</vt:lpwstr>
  </property>
  <property fmtid="{D5CDD505-2E9C-101B-9397-08002B2CF9AE}" pid="5" name="GSEDS_TWMT">
    <vt:lpwstr>d46a6755_b77b54e0_e66cc0f6bbf8805bb8310888b211725734fd4e8e174721e7e2c03e4dcd041924</vt:lpwstr>
  </property>
  <property fmtid="{D5CDD505-2E9C-101B-9397-08002B2CF9AE}" pid="6" name="GSEDS_HWMT_d46a6755">
    <vt:lpwstr>f245b199_mFV3xz85ICk3PspOmHv4qRtDTng=_8QYrr1ZNQU9SQbpSkwj8q1ctmhl2bFtGLiL1JCGDC/8tyWqrSH6AcQTtH8bsmXFLlCsIKoYNyGW3r4BafMEXjyBRcMlSqw==_ea65b717</vt:lpwstr>
  </property>
</Properties>
</file>