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8F22FE">
      <w:pPr>
        <w:spacing w:line="360" w:lineRule="auto"/>
        <w:jc w:val="center"/>
        <w:rPr>
          <w:rFonts w:hint="default" w:ascii="Times New Roman" w:hAnsi="Times New Roman" w:eastAsia="宋体" w:cs="Times New Roman"/>
          <w:b/>
          <w:i/>
          <w:iCs/>
          <w:snapToGrid w:val="0"/>
          <w:color w:val="auto"/>
          <w:kern w:val="0"/>
          <w:sz w:val="30"/>
          <w:szCs w:val="30"/>
        </w:rPr>
      </w:pPr>
      <w:r>
        <w:rPr>
          <w:rFonts w:hint="default" w:ascii="Times New Roman" w:hAnsi="Times New Roman" w:eastAsia="宋体" w:cs="Times New Roman"/>
          <w:b/>
          <w:snapToGrid w:val="0"/>
          <w:color w:val="auto"/>
          <w:kern w:val="0"/>
          <w:sz w:val="30"/>
          <w:szCs w:val="30"/>
          <w:lang w:val="en-US" w:eastAsia="zh-CN"/>
        </w:rPr>
        <w:t>施工图</w:t>
      </w:r>
      <w:r>
        <w:rPr>
          <w:rFonts w:hint="default" w:ascii="Times New Roman" w:hAnsi="Times New Roman" w:eastAsia="宋体" w:cs="Times New Roman"/>
          <w:b/>
          <w:snapToGrid w:val="0"/>
          <w:color w:val="auto"/>
          <w:kern w:val="0"/>
          <w:sz w:val="30"/>
          <w:szCs w:val="30"/>
        </w:rPr>
        <w:t>设计总说明</w:t>
      </w:r>
    </w:p>
    <w:p w14:paraId="272C54A0">
      <w:pPr>
        <w:pStyle w:val="3"/>
        <w:numPr>
          <w:ilvl w:val="0"/>
          <w:numId w:val="2"/>
        </w:numPr>
        <w:spacing w:before="0" w:after="0" w:line="360" w:lineRule="auto"/>
        <w:ind w:firstLine="482" w:firstLineChars="200"/>
        <w:jc w:val="left"/>
        <w:rPr>
          <w:rFonts w:hint="default" w:ascii="Times New Roman" w:hAnsi="Times New Roman" w:eastAsia="宋体" w:cs="Times New Roman"/>
          <w:i w:val="0"/>
          <w:iCs w:val="0"/>
          <w:color w:val="auto"/>
        </w:rPr>
      </w:pPr>
      <w:r>
        <w:rPr>
          <w:rFonts w:hint="default" w:ascii="Times New Roman" w:hAnsi="Times New Roman" w:eastAsia="宋体" w:cs="Times New Roman"/>
          <w:i w:val="0"/>
          <w:iCs w:val="0"/>
          <w:color w:val="auto"/>
          <w:sz w:val="24"/>
          <w:szCs w:val="24"/>
        </w:rPr>
        <w:t>工程概况</w:t>
      </w:r>
    </w:p>
    <w:p w14:paraId="4FDBAC7F">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本项目位于桂林市七星区</w:t>
      </w:r>
      <w:r>
        <w:rPr>
          <w:rFonts w:hint="eastAsia" w:cs="Times New Roman"/>
          <w:snapToGrid w:val="0"/>
          <w:color w:val="auto"/>
          <w:kern w:val="0"/>
          <w:sz w:val="24"/>
          <w:szCs w:val="24"/>
          <w:lang w:val="en-US" w:eastAsia="zh-CN"/>
        </w:rPr>
        <w:t>竹桥7组</w:t>
      </w:r>
      <w:r>
        <w:rPr>
          <w:rFonts w:hint="default" w:ascii="Times New Roman" w:hAnsi="Times New Roman" w:eastAsia="宋体" w:cs="Times New Roman"/>
          <w:snapToGrid w:val="0"/>
          <w:color w:val="auto"/>
          <w:kern w:val="0"/>
          <w:sz w:val="24"/>
          <w:szCs w:val="24"/>
          <w:lang w:val="en-US" w:eastAsia="zh-CN"/>
        </w:rPr>
        <w:t>，村屯内道路四通八达，交通便利，具备良好的施工条件。</w:t>
      </w:r>
      <w:r>
        <w:rPr>
          <w:rFonts w:hint="default" w:ascii="Times New Roman" w:hAnsi="Times New Roman" w:eastAsia="宋体" w:cs="Times New Roman"/>
          <w:color w:val="auto"/>
          <w:sz w:val="24"/>
          <w:szCs w:val="22"/>
          <w:highlight w:val="none"/>
          <w:lang w:val="zh-CN"/>
        </w:rPr>
        <w:t>建设农村</w:t>
      </w:r>
      <w:r>
        <w:rPr>
          <w:rFonts w:hint="default" w:ascii="Times New Roman" w:hAnsi="Times New Roman" w:eastAsia="宋体" w:cs="Times New Roman"/>
          <w:color w:val="auto"/>
          <w:sz w:val="24"/>
          <w:szCs w:val="22"/>
          <w:highlight w:val="none"/>
          <w:lang w:val="en-US" w:eastAsia="zh-CN"/>
        </w:rPr>
        <w:t>地埋分散</w:t>
      </w:r>
      <w:r>
        <w:rPr>
          <w:rFonts w:hint="default" w:ascii="Times New Roman" w:hAnsi="Times New Roman" w:eastAsia="宋体" w:cs="Times New Roman"/>
          <w:color w:val="auto"/>
          <w:sz w:val="24"/>
          <w:szCs w:val="22"/>
          <w:highlight w:val="none"/>
          <w:lang w:eastAsia="zh-CN"/>
        </w:rPr>
        <w:t>式污水处理站</w:t>
      </w:r>
      <w:r>
        <w:rPr>
          <w:rFonts w:hint="default" w:ascii="Times New Roman" w:hAnsi="Times New Roman" w:eastAsia="宋体" w:cs="Times New Roman"/>
          <w:color w:val="auto"/>
          <w:sz w:val="24"/>
          <w:szCs w:val="22"/>
          <w:highlight w:val="none"/>
          <w:lang w:val="en-US" w:eastAsia="zh-CN"/>
        </w:rPr>
        <w:t>1</w:t>
      </w:r>
      <w:r>
        <w:rPr>
          <w:rFonts w:hint="default" w:ascii="Times New Roman" w:hAnsi="Times New Roman" w:eastAsia="宋体" w:cs="Times New Roman"/>
          <w:color w:val="auto"/>
          <w:sz w:val="24"/>
          <w:szCs w:val="22"/>
          <w:highlight w:val="none"/>
          <w:lang w:val="zh-CN"/>
        </w:rPr>
        <w:t>座，处理规模为</w:t>
      </w:r>
      <w:r>
        <w:rPr>
          <w:rFonts w:hint="default" w:ascii="Times New Roman" w:hAnsi="Times New Roman" w:eastAsia="宋体" w:cs="Times New Roman"/>
          <w:color w:val="auto"/>
          <w:sz w:val="24"/>
          <w:szCs w:val="22"/>
          <w:highlight w:val="none"/>
          <w:lang w:val="en-US" w:eastAsia="zh-CN"/>
        </w:rPr>
        <w:t>1</w:t>
      </w:r>
      <w:r>
        <w:rPr>
          <w:rFonts w:hint="eastAsia" w:cs="Times New Roman"/>
          <w:color w:val="auto"/>
          <w:sz w:val="24"/>
          <w:szCs w:val="22"/>
          <w:highlight w:val="none"/>
          <w:lang w:val="en-US" w:eastAsia="zh-CN"/>
        </w:rPr>
        <w:t>0</w:t>
      </w:r>
      <w:r>
        <w:rPr>
          <w:rFonts w:hint="default" w:ascii="Times New Roman" w:hAnsi="Times New Roman" w:eastAsia="宋体" w:cs="Times New Roman"/>
          <w:color w:val="auto"/>
          <w:sz w:val="24"/>
          <w:szCs w:val="22"/>
          <w:highlight w:val="none"/>
          <w:lang w:val="en-US" w:eastAsia="zh-CN"/>
        </w:rPr>
        <w:t>0</w:t>
      </w:r>
      <w:r>
        <w:rPr>
          <w:rFonts w:hint="default" w:ascii="Times New Roman" w:hAnsi="Times New Roman" w:eastAsia="宋体" w:cs="Times New Roman"/>
          <w:color w:val="auto"/>
          <w:sz w:val="24"/>
          <w:szCs w:val="22"/>
          <w:highlight w:val="none"/>
        </w:rPr>
        <w:t>m</w:t>
      </w:r>
      <w:r>
        <w:rPr>
          <w:rFonts w:hint="default" w:ascii="Times New Roman" w:hAnsi="Times New Roman" w:eastAsia="宋体" w:cs="Times New Roman"/>
          <w:color w:val="auto"/>
          <w:sz w:val="24"/>
          <w:szCs w:val="22"/>
          <w:highlight w:val="none"/>
          <w:vertAlign w:val="superscript"/>
        </w:rPr>
        <w:t>3</w:t>
      </w:r>
      <w:r>
        <w:rPr>
          <w:rFonts w:hint="default" w:ascii="Times New Roman" w:hAnsi="Times New Roman" w:eastAsia="宋体" w:cs="Times New Roman"/>
          <w:color w:val="auto"/>
          <w:sz w:val="24"/>
          <w:szCs w:val="22"/>
          <w:highlight w:val="none"/>
        </w:rPr>
        <w:t>/d</w:t>
      </w:r>
      <w:r>
        <w:rPr>
          <w:rFonts w:hint="default" w:ascii="Times New Roman" w:hAnsi="Times New Roman" w:eastAsia="宋体" w:cs="Times New Roman"/>
          <w:color w:val="auto"/>
          <w:sz w:val="24"/>
          <w:szCs w:val="22"/>
          <w:highlight w:val="none"/>
          <w:lang w:eastAsia="zh-CN"/>
        </w:rPr>
        <w:t>，</w:t>
      </w:r>
      <w:r>
        <w:rPr>
          <w:rFonts w:hint="default" w:ascii="Times New Roman" w:hAnsi="Times New Roman" w:eastAsia="宋体" w:cs="Times New Roman"/>
          <w:snapToGrid w:val="0"/>
          <w:color w:val="auto"/>
          <w:kern w:val="0"/>
          <w:sz w:val="24"/>
          <w:szCs w:val="24"/>
          <w:lang w:val="en-US" w:eastAsia="zh-CN"/>
        </w:rPr>
        <w:t>采用的工艺为</w:t>
      </w:r>
      <w:r>
        <w:rPr>
          <w:rFonts w:hint="default" w:ascii="Times New Roman" w:hAnsi="Times New Roman" w:eastAsia="宋体" w:cs="Times New Roman"/>
          <w:color w:val="auto"/>
          <w:sz w:val="24"/>
          <w:szCs w:val="22"/>
          <w:highlight w:val="none"/>
        </w:rPr>
        <w:t>FBBR固定床生物膜工艺</w:t>
      </w:r>
      <w:r>
        <w:rPr>
          <w:rFonts w:hint="default" w:ascii="Times New Roman" w:hAnsi="Times New Roman" w:eastAsia="宋体" w:cs="Times New Roman"/>
          <w:color w:val="auto"/>
          <w:sz w:val="24"/>
          <w:szCs w:val="22"/>
          <w:highlight w:val="none"/>
          <w:lang w:val="en-US" w:eastAsia="zh-CN"/>
        </w:rPr>
        <w:t>。</w:t>
      </w:r>
      <w:r>
        <w:rPr>
          <w:rFonts w:hint="default" w:ascii="Times New Roman" w:hAnsi="Times New Roman" w:eastAsia="宋体" w:cs="Times New Roman"/>
          <w:snapToGrid w:val="0"/>
          <w:color w:val="auto"/>
          <w:kern w:val="0"/>
          <w:sz w:val="24"/>
          <w:szCs w:val="24"/>
          <w:lang w:val="en-US" w:eastAsia="zh-CN"/>
        </w:rPr>
        <w:t>受益户数约2</w:t>
      </w:r>
      <w:r>
        <w:rPr>
          <w:rFonts w:hint="eastAsia" w:cs="Times New Roman"/>
          <w:snapToGrid w:val="0"/>
          <w:color w:val="auto"/>
          <w:kern w:val="0"/>
          <w:sz w:val="24"/>
          <w:szCs w:val="24"/>
          <w:lang w:val="en-US" w:eastAsia="zh-CN"/>
        </w:rPr>
        <w:t>46</w:t>
      </w:r>
      <w:r>
        <w:rPr>
          <w:rFonts w:hint="default" w:ascii="Times New Roman" w:hAnsi="Times New Roman" w:eastAsia="宋体" w:cs="Times New Roman"/>
          <w:snapToGrid w:val="0"/>
          <w:color w:val="auto"/>
          <w:kern w:val="0"/>
          <w:sz w:val="24"/>
          <w:szCs w:val="24"/>
          <w:lang w:val="en-US" w:eastAsia="zh-CN"/>
        </w:rPr>
        <w:t>户，受益人口约</w:t>
      </w:r>
      <w:r>
        <w:rPr>
          <w:rFonts w:hint="eastAsia" w:cs="Times New Roman"/>
          <w:snapToGrid w:val="0"/>
          <w:color w:val="auto"/>
          <w:kern w:val="0"/>
          <w:sz w:val="24"/>
          <w:szCs w:val="24"/>
          <w:lang w:val="en-US" w:eastAsia="zh-CN"/>
        </w:rPr>
        <w:t>887</w:t>
      </w:r>
      <w:r>
        <w:rPr>
          <w:rFonts w:hint="default" w:ascii="Times New Roman" w:hAnsi="Times New Roman" w:eastAsia="宋体" w:cs="Times New Roman"/>
          <w:snapToGrid w:val="0"/>
          <w:color w:val="auto"/>
          <w:kern w:val="0"/>
          <w:sz w:val="24"/>
          <w:szCs w:val="24"/>
          <w:lang w:val="en-US" w:eastAsia="zh-CN"/>
        </w:rPr>
        <w:t>人。</w:t>
      </w:r>
    </w:p>
    <w:p w14:paraId="15782DD7">
      <w:pPr>
        <w:pStyle w:val="3"/>
        <w:numPr>
          <w:ilvl w:val="0"/>
          <w:numId w:val="2"/>
        </w:numPr>
        <w:spacing w:before="0" w:after="0" w:line="360" w:lineRule="auto"/>
        <w:ind w:firstLine="482" w:firstLineChars="20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设计依据及参考资料</w:t>
      </w:r>
      <w:bookmarkStart w:id="0" w:name="_GoBack"/>
      <w:bookmarkEnd w:id="0"/>
    </w:p>
    <w:p w14:paraId="1C138C08">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《室外排水设计标准》（GB 50014-2021）；</w:t>
      </w:r>
    </w:p>
    <w:p w14:paraId="1681D36B">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《镇（乡）村排水工程技术规范》（CJJ 124-2008）；</w:t>
      </w:r>
    </w:p>
    <w:p w14:paraId="4007117C">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《给水排水管道工程施工及验收规范》（GB 50268-2008）；</w:t>
      </w:r>
    </w:p>
    <w:p w14:paraId="278212E8">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《给水排水工程管道结构设计规范》（GB 50332-2002）；</w:t>
      </w:r>
    </w:p>
    <w:p w14:paraId="046251FD">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《给水排水构筑物工程施工及验收规范》（GB 50141-2008）；</w:t>
      </w:r>
    </w:p>
    <w:p w14:paraId="2F40D71D">
      <w:pPr>
        <w:pStyle w:val="71"/>
        <w:numPr>
          <w:ilvl w:val="0"/>
          <w:numId w:val="3"/>
        </w:numPr>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《城市排水工程规划规范》（GB 50318-2017）；</w:t>
      </w:r>
    </w:p>
    <w:p w14:paraId="65A6B6BB">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rPr>
        <w:t>8、《室外给水排水和燃气热力工程抗震设计规范》（GB 50032-2003）；</w:t>
      </w:r>
    </w:p>
    <w:p w14:paraId="51525AA6">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rPr>
        <w:t>9、《民用建筑节水设计标准》（GB 50555-2010）；</w:t>
      </w:r>
    </w:p>
    <w:p w14:paraId="43C80CB4">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rPr>
        <w:t>10、《建筑给水排水设计</w:t>
      </w:r>
      <w:r>
        <w:rPr>
          <w:rFonts w:hint="default" w:ascii="Times New Roman" w:hAnsi="Times New Roman" w:eastAsia="宋体" w:cs="Times New Roman"/>
          <w:color w:val="auto"/>
          <w:lang w:val="en-US" w:eastAsia="zh-CN"/>
        </w:rPr>
        <w:t>标准</w:t>
      </w:r>
      <w:r>
        <w:rPr>
          <w:rFonts w:hint="default" w:ascii="Times New Roman" w:hAnsi="Times New Roman" w:eastAsia="宋体" w:cs="Times New Roman"/>
          <w:color w:val="auto"/>
        </w:rPr>
        <w:t>》（GB 50015-2019）；</w:t>
      </w:r>
    </w:p>
    <w:p w14:paraId="784F5CEB">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11、《</w:t>
      </w:r>
      <w:r>
        <w:rPr>
          <w:rFonts w:hint="default" w:ascii="Times New Roman" w:hAnsi="Times New Roman" w:eastAsia="宋体" w:cs="Times New Roman"/>
          <w:color w:val="auto"/>
        </w:rPr>
        <w:t>农村生活污水处理设施水污染物排放标准</w:t>
      </w:r>
      <w:r>
        <w:rPr>
          <w:rFonts w:hint="default" w:ascii="Times New Roman" w:hAnsi="Times New Roman" w:eastAsia="宋体" w:cs="Times New Roman"/>
          <w:color w:val="auto"/>
          <w:lang w:val="en-US" w:eastAsia="zh-CN"/>
        </w:rPr>
        <w:t>》（</w:t>
      </w:r>
      <w:r>
        <w:rPr>
          <w:rFonts w:hint="default" w:ascii="Times New Roman" w:hAnsi="Times New Roman" w:eastAsia="宋体" w:cs="Times New Roman"/>
          <w:color w:val="auto"/>
        </w:rPr>
        <w:t>DB45_2413-2021</w:t>
      </w:r>
      <w:r>
        <w:rPr>
          <w:rFonts w:hint="default" w:ascii="Times New Roman" w:hAnsi="Times New Roman" w:eastAsia="宋体" w:cs="Times New Roman"/>
          <w:color w:val="auto"/>
          <w:lang w:val="en-US" w:eastAsia="zh-CN"/>
        </w:rPr>
        <w:t>）</w:t>
      </w:r>
    </w:p>
    <w:p w14:paraId="3D661CCF">
      <w:pPr>
        <w:pStyle w:val="71"/>
        <w:snapToGrid/>
        <w:ind w:firstLine="480"/>
        <w:jc w:val="left"/>
        <w:rPr>
          <w:rFonts w:hint="default" w:ascii="Times New Roman" w:hAnsi="Times New Roman" w:eastAsia="宋体" w:cs="Times New Roman"/>
          <w:color w:val="auto"/>
        </w:rPr>
      </w:pPr>
      <w:r>
        <w:rPr>
          <w:rFonts w:hint="default" w:ascii="Times New Roman" w:hAnsi="Times New Roman" w:eastAsia="宋体" w:cs="Times New Roman"/>
          <w:color w:val="auto"/>
        </w:rPr>
        <w:t>12、《市政公用工程设计文件编制深度规定》（2013年版）；</w:t>
      </w:r>
    </w:p>
    <w:p w14:paraId="1A9B046C">
      <w:pPr>
        <w:pStyle w:val="71"/>
        <w:snapToGrid/>
        <w:ind w:firstLine="480"/>
        <w:jc w:val="left"/>
        <w:rPr>
          <w:rFonts w:hint="default" w:ascii="Times New Roman" w:hAnsi="Times New Roman" w:eastAsia="宋体" w:cs="Times New Roman"/>
          <w:snapToGrid w:val="0"/>
          <w:color w:val="auto"/>
          <w:kern w:val="0"/>
        </w:rPr>
      </w:pPr>
      <w:r>
        <w:rPr>
          <w:rFonts w:hint="default" w:ascii="Times New Roman" w:hAnsi="Times New Roman" w:eastAsia="宋体" w:cs="Times New Roman"/>
          <w:color w:val="auto"/>
        </w:rPr>
        <w:t>13、</w:t>
      </w:r>
      <w:r>
        <w:rPr>
          <w:rFonts w:hint="default" w:ascii="Times New Roman" w:hAnsi="Times New Roman" w:eastAsia="宋体" w:cs="Times New Roman"/>
          <w:snapToGrid w:val="0"/>
          <w:color w:val="auto"/>
          <w:kern w:val="0"/>
        </w:rPr>
        <w:t>《检查井盖》(GB/T23858-2009)；</w:t>
      </w:r>
    </w:p>
    <w:p w14:paraId="6D5AB0C0">
      <w:pPr>
        <w:pStyle w:val="71"/>
        <w:snapToGrid/>
        <w:ind w:firstLine="480"/>
        <w:jc w:val="left"/>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14、《铸铁检查井盖》(CJ/T511-2017)；</w:t>
      </w:r>
    </w:p>
    <w:p w14:paraId="24F8A651">
      <w:pPr>
        <w:pStyle w:val="71"/>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15、《市政排水管道工程及附属设施》（06MS201）；</w:t>
      </w:r>
    </w:p>
    <w:p w14:paraId="447166D5">
      <w:pPr>
        <w:pStyle w:val="71"/>
        <w:snapToGrid/>
        <w:ind w:firstLine="480"/>
        <w:rPr>
          <w:rFonts w:hint="default" w:ascii="Times New Roman" w:hAnsi="Times New Roman" w:eastAsia="宋体" w:cs="Times New Roman"/>
          <w:color w:val="auto"/>
        </w:rPr>
      </w:pPr>
      <w:r>
        <w:rPr>
          <w:rFonts w:hint="default" w:ascii="Times New Roman" w:hAnsi="Times New Roman" w:eastAsia="宋体" w:cs="Times New Roman"/>
          <w:color w:val="auto"/>
        </w:rPr>
        <w:t>16、《钢筋混凝土及砖砌排水检查井》（20S515）；</w:t>
      </w:r>
    </w:p>
    <w:p w14:paraId="6A347B24">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17、《小城镇污水处理建设标准》建标148-2010；</w:t>
      </w:r>
    </w:p>
    <w:p w14:paraId="7E02FCFA">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18、《国家电网公司380/220V架空配电线路典型设计（2014版）》；</w:t>
      </w:r>
    </w:p>
    <w:p w14:paraId="3819BD60">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19、《低压配电系统设计规范》 GB50052-2024；</w:t>
      </w:r>
    </w:p>
    <w:p w14:paraId="40F7D591">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20、《交流电气装置的接地设计规范》 GB50065-2018；</w:t>
      </w:r>
    </w:p>
    <w:p w14:paraId="36D96A00">
      <w:pPr>
        <w:pStyle w:val="71"/>
        <w:snapToGrid/>
        <w:ind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21、《建筑物防雷设计规范》GB50057-2022；</w:t>
      </w:r>
    </w:p>
    <w:p w14:paraId="32878D59">
      <w:pPr>
        <w:pStyle w:val="71"/>
        <w:snapToGrid/>
        <w:ind w:firstLine="480"/>
        <w:rPr>
          <w:rFonts w:hint="default"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rPr>
        <w:t>22、《电力工程电缆设计标准》GB50217-2022</w:t>
      </w:r>
      <w:r>
        <w:rPr>
          <w:rFonts w:hint="default" w:ascii="Times New Roman" w:hAnsi="Times New Roman" w:eastAsia="宋体" w:cs="Times New Roman"/>
          <w:color w:val="auto"/>
          <w:highlight w:val="none"/>
          <w:lang w:eastAsia="zh-CN"/>
        </w:rPr>
        <w:t>；</w:t>
      </w:r>
    </w:p>
    <w:p w14:paraId="7D1F4D23">
      <w:pPr>
        <w:pStyle w:val="71"/>
        <w:snapToGrid/>
        <w:ind w:firstLine="48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23</w:t>
      </w:r>
      <w:r>
        <w:rPr>
          <w:rFonts w:hint="default" w:ascii="Times New Roman" w:hAnsi="Times New Roman" w:eastAsia="宋体" w:cs="Times New Roman"/>
          <w:color w:val="auto"/>
          <w:highlight w:val="none"/>
        </w:rPr>
        <w:t>、《建筑与市政工程抗震通用规范》（GB55002-2021）。</w:t>
      </w:r>
    </w:p>
    <w:p w14:paraId="70900C87">
      <w:pPr>
        <w:pStyle w:val="3"/>
        <w:numPr>
          <w:ilvl w:val="0"/>
          <w:numId w:val="2"/>
        </w:numPr>
        <w:spacing w:before="0" w:after="0" w:line="360" w:lineRule="auto"/>
        <w:ind w:firstLine="482" w:firstLineChars="20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管</w:t>
      </w:r>
      <w:r>
        <w:rPr>
          <w:rFonts w:hint="default" w:ascii="Times New Roman" w:hAnsi="Times New Roman" w:eastAsia="宋体" w:cs="Times New Roman"/>
          <w:color w:val="auto"/>
          <w:sz w:val="24"/>
          <w:szCs w:val="24"/>
          <w:lang w:val="en-US" w:eastAsia="zh-CN"/>
        </w:rPr>
        <w:t>渠</w:t>
      </w:r>
      <w:r>
        <w:rPr>
          <w:rFonts w:hint="default" w:ascii="Times New Roman" w:hAnsi="Times New Roman" w:eastAsia="宋体" w:cs="Times New Roman"/>
          <w:color w:val="auto"/>
          <w:sz w:val="24"/>
          <w:szCs w:val="24"/>
        </w:rPr>
        <w:t>设计</w:t>
      </w:r>
    </w:p>
    <w:p w14:paraId="04833F4A">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一</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设计标准</w:t>
      </w:r>
    </w:p>
    <w:p w14:paraId="0F099498">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本工程</w:t>
      </w:r>
      <w:r>
        <w:rPr>
          <w:rFonts w:hint="eastAsia" w:cs="Times New Roman"/>
          <w:snapToGrid w:val="0"/>
          <w:color w:val="auto"/>
          <w:kern w:val="0"/>
          <w:sz w:val="24"/>
          <w:szCs w:val="24"/>
          <w:lang w:val="en-US" w:eastAsia="zh-CN"/>
        </w:rPr>
        <w:t>排水体制</w:t>
      </w:r>
      <w:r>
        <w:rPr>
          <w:rFonts w:hint="default" w:ascii="Times New Roman" w:hAnsi="Times New Roman" w:eastAsia="宋体" w:cs="Times New Roman"/>
          <w:snapToGrid w:val="0"/>
          <w:color w:val="auto"/>
          <w:kern w:val="0"/>
          <w:sz w:val="24"/>
          <w:szCs w:val="24"/>
          <w:lang w:val="en-US" w:eastAsia="zh-CN"/>
        </w:rPr>
        <w:t>采用雨污</w:t>
      </w:r>
      <w:r>
        <w:rPr>
          <w:rFonts w:hint="eastAsia" w:cs="Times New Roman"/>
          <w:snapToGrid w:val="0"/>
          <w:color w:val="auto"/>
          <w:kern w:val="0"/>
          <w:sz w:val="24"/>
          <w:szCs w:val="24"/>
          <w:lang w:val="en-US" w:eastAsia="zh-CN"/>
        </w:rPr>
        <w:t>分流</w:t>
      </w:r>
      <w:r>
        <w:rPr>
          <w:rFonts w:hint="default" w:ascii="Times New Roman" w:hAnsi="Times New Roman" w:eastAsia="宋体" w:cs="Times New Roman"/>
          <w:snapToGrid w:val="0"/>
          <w:color w:val="auto"/>
          <w:kern w:val="0"/>
          <w:sz w:val="24"/>
          <w:szCs w:val="24"/>
          <w:lang w:val="en-US" w:eastAsia="zh-CN"/>
        </w:rPr>
        <w:t>制的形式。</w:t>
      </w:r>
    </w:p>
    <w:p w14:paraId="597A03DD">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二</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管材及基础</w:t>
      </w:r>
    </w:p>
    <w:p w14:paraId="46063531">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1、污水主管采用聚乙烯（HDPE）缠绕结构壁B型管，环刚度≥8KN/㎡，橡胶圈承插连接，管材需满足《埋地用聚乙烯（PE）结构壁管道系统 第2部分：聚乙烯缠绕结构壁管材》（GBT19472.2-2017）的要求。</w:t>
      </w:r>
    </w:p>
    <w:p w14:paraId="31D053E3">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2、接户管采用UPVC管，粘接连接，管材需满足《</w:t>
      </w:r>
      <w:r>
        <w:rPr>
          <w:rFonts w:hint="default" w:ascii="Times New Roman" w:hAnsi="Times New Roman" w:eastAsia="宋体" w:cs="Times New Roman"/>
          <w:snapToGrid w:val="0"/>
          <w:color w:val="auto"/>
          <w:kern w:val="0"/>
          <w:sz w:val="24"/>
          <w:szCs w:val="24"/>
          <w:lang w:val="en-US" w:eastAsia="zh-CN"/>
        </w:rPr>
        <w:fldChar w:fldCharType="begin"/>
      </w:r>
      <w:r>
        <w:rPr>
          <w:rFonts w:hint="default" w:ascii="Times New Roman" w:hAnsi="Times New Roman" w:eastAsia="宋体" w:cs="Times New Roman"/>
          <w:snapToGrid w:val="0"/>
          <w:color w:val="auto"/>
          <w:kern w:val="0"/>
          <w:sz w:val="24"/>
          <w:szCs w:val="24"/>
          <w:lang w:val="en-US" w:eastAsia="zh-CN"/>
        </w:rPr>
        <w:instrText xml:space="preserve"> HYPERLINK "http://www.jianbiaoku.com/webarbs/book/69937/4056506.shtml" \t "http://www.jianbiaoku.com/webarbs/book/69937/_self" </w:instrText>
      </w:r>
      <w:r>
        <w:rPr>
          <w:rFonts w:hint="default" w:ascii="Times New Roman" w:hAnsi="Times New Roman" w:eastAsia="宋体" w:cs="Times New Roman"/>
          <w:snapToGrid w:val="0"/>
          <w:color w:val="auto"/>
          <w:kern w:val="0"/>
          <w:sz w:val="24"/>
          <w:szCs w:val="24"/>
          <w:lang w:val="en-US" w:eastAsia="zh-CN"/>
        </w:rPr>
        <w:fldChar w:fldCharType="separate"/>
      </w:r>
      <w:r>
        <w:rPr>
          <w:rFonts w:hint="default" w:ascii="Times New Roman" w:hAnsi="Times New Roman" w:eastAsia="宋体" w:cs="Times New Roman"/>
          <w:snapToGrid w:val="0"/>
          <w:color w:val="auto"/>
          <w:kern w:val="0"/>
          <w:sz w:val="24"/>
          <w:szCs w:val="24"/>
          <w:lang w:val="en-US" w:eastAsia="zh-CN"/>
        </w:rPr>
        <w:t>建筑排水用硬聚氯乙烯(PVC-U)管材</w:t>
      </w:r>
      <w:r>
        <w:rPr>
          <w:rFonts w:hint="default" w:ascii="Times New Roman" w:hAnsi="Times New Roman" w:eastAsia="宋体" w:cs="Times New Roman"/>
          <w:snapToGrid w:val="0"/>
          <w:color w:val="auto"/>
          <w:kern w:val="0"/>
          <w:sz w:val="24"/>
          <w:szCs w:val="24"/>
          <w:lang w:val="en-US" w:eastAsia="zh-CN"/>
        </w:rPr>
        <w:fldChar w:fldCharType="end"/>
      </w:r>
      <w:r>
        <w:rPr>
          <w:rFonts w:hint="default" w:ascii="Times New Roman" w:hAnsi="Times New Roman" w:eastAsia="宋体" w:cs="Times New Roman"/>
          <w:snapToGrid w:val="0"/>
          <w:color w:val="auto"/>
          <w:kern w:val="0"/>
          <w:sz w:val="24"/>
          <w:szCs w:val="24"/>
          <w:lang w:val="en-US" w:eastAsia="zh-CN"/>
        </w:rPr>
        <w:t>》（ GB/T5836.1-2018）的要求。</w:t>
      </w:r>
    </w:p>
    <w:p w14:paraId="05C397F6">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3、埋地排水管道采用100mm厚石屑基础。</w:t>
      </w:r>
    </w:p>
    <w:p w14:paraId="310A62A0">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lang w:val="en-US" w:eastAsia="zh-CN"/>
        </w:rPr>
        <w:t>1</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对于一般土质，应在管底以下原状土地基或回填夯实的地基上铺设一层厚度为100mm的</w:t>
      </w:r>
      <w:r>
        <w:rPr>
          <w:rFonts w:hint="default" w:ascii="Times New Roman" w:hAnsi="Times New Roman" w:eastAsia="宋体" w:cs="Times New Roman"/>
          <w:snapToGrid w:val="0"/>
          <w:color w:val="auto"/>
          <w:kern w:val="0"/>
          <w:sz w:val="24"/>
          <w:szCs w:val="24"/>
          <w:lang w:val="en-US" w:eastAsia="zh-CN"/>
        </w:rPr>
        <w:t>石屑</w:t>
      </w:r>
      <w:r>
        <w:rPr>
          <w:rFonts w:hint="default" w:ascii="Times New Roman" w:hAnsi="Times New Roman" w:eastAsia="宋体" w:cs="Times New Roman"/>
          <w:color w:val="auto"/>
          <w:sz w:val="24"/>
          <w:shd w:val="clear" w:color="auto" w:fill="FFFFFF"/>
        </w:rPr>
        <w:t>基础层；</w:t>
      </w:r>
    </w:p>
    <w:p w14:paraId="4703F669">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lang w:val="en-US" w:eastAsia="zh-CN"/>
        </w:rPr>
        <w:t>2</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当地基土质较差时，可采用铺垫厚度不小于200mm的砂砾石基础层，也可分层铺设，下层用粒径5-32mm的碎石，厚度100-150mm，上层铺</w:t>
      </w:r>
      <w:r>
        <w:rPr>
          <w:rFonts w:hint="default" w:ascii="Times New Roman" w:hAnsi="Times New Roman" w:eastAsia="宋体" w:cs="Times New Roman"/>
          <w:snapToGrid w:val="0"/>
          <w:color w:val="auto"/>
          <w:kern w:val="0"/>
          <w:sz w:val="24"/>
          <w:szCs w:val="24"/>
          <w:lang w:val="en-US" w:eastAsia="zh-CN"/>
        </w:rPr>
        <w:t>石粉渣</w:t>
      </w:r>
      <w:r>
        <w:rPr>
          <w:rFonts w:hint="default" w:ascii="Times New Roman" w:hAnsi="Times New Roman" w:eastAsia="宋体" w:cs="Times New Roman"/>
          <w:color w:val="auto"/>
          <w:sz w:val="24"/>
          <w:shd w:val="clear" w:color="auto" w:fill="FFFFFF"/>
        </w:rPr>
        <w:t>，厚度不小于100mm；</w:t>
      </w:r>
    </w:p>
    <w:p w14:paraId="2506E965">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lang w:val="en-US" w:eastAsia="zh-CN"/>
        </w:rPr>
        <w:t>3</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当基础承载力小于100KPa或由于施工期降水等原因，地基原状土被扰动而影响地基承载能力时，必须对地基进行加固处理，在达到规范的地基承载力后，再敷设</w:t>
      </w:r>
      <w:r>
        <w:rPr>
          <w:rFonts w:hint="default" w:ascii="Times New Roman" w:hAnsi="Times New Roman" w:eastAsia="宋体" w:cs="Times New Roman"/>
          <w:snapToGrid w:val="0"/>
          <w:color w:val="auto"/>
          <w:kern w:val="0"/>
          <w:sz w:val="24"/>
          <w:szCs w:val="24"/>
          <w:lang w:val="en-US" w:eastAsia="zh-CN"/>
        </w:rPr>
        <w:t>石粉渣</w:t>
      </w:r>
      <w:r>
        <w:rPr>
          <w:rFonts w:hint="default" w:ascii="Times New Roman" w:hAnsi="Times New Roman" w:eastAsia="宋体" w:cs="Times New Roman"/>
          <w:color w:val="auto"/>
          <w:sz w:val="24"/>
          <w:shd w:val="clear" w:color="auto" w:fill="FFFFFF"/>
        </w:rPr>
        <w:t>砂基础层，若遇流沙、淤泥、松散杂填土等软弱地基，应采取加固措施（由设计人员现场处理）；</w:t>
      </w:r>
    </w:p>
    <w:p w14:paraId="093BE9B2">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lang w:val="en-US" w:eastAsia="zh-CN"/>
        </w:rPr>
        <w:t>4</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对于由于管道荷载</w:t>
      </w:r>
      <w:r>
        <w:rPr>
          <w:rFonts w:hint="default" w:ascii="Times New Roman" w:hAnsi="Times New Roman" w:eastAsia="宋体" w:cs="Times New Roman"/>
          <w:color w:val="auto"/>
          <w:sz w:val="24"/>
          <w:shd w:val="clear" w:color="auto" w:fill="FFFFFF"/>
          <w:lang w:eastAsia="zh-CN"/>
        </w:rPr>
        <w:t>、</w:t>
      </w:r>
      <w:r>
        <w:rPr>
          <w:rFonts w:hint="default" w:ascii="Times New Roman" w:hAnsi="Times New Roman" w:eastAsia="宋体" w:cs="Times New Roman"/>
          <w:color w:val="auto"/>
          <w:sz w:val="24"/>
          <w:shd w:val="clear" w:color="auto" w:fill="FFFFFF"/>
        </w:rPr>
        <w:t>地层土质变化等因素可能产生管道纵向局部不均匀沉降时，应在管道敷设前对地基进行加固处理。</w:t>
      </w:r>
    </w:p>
    <w:p w14:paraId="078DCD6A">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三</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沟槽开挖及回填</w:t>
      </w:r>
    </w:p>
    <w:p w14:paraId="68AB7544">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rPr>
        <w:t>沟槽开挖：基管基坑槽的开挖及支护方案由施工单位根据工程地质条件和施工经验确定，但必须采取可靠措施保证边坡稳定，以确保施工人员及邻近构筑物和地下设施的安全。沟槽开挖的宽度、边坡坡度、分层开挖每层深度等应根据现行《给水排水管道工程施工及验收规范》（GB 50268-2008）的有关规定并结合实际情况确定，沟槽开挖边坡系数</w:t>
      </w:r>
      <w:r>
        <w:rPr>
          <w:rFonts w:hint="default" w:ascii="Times New Roman" w:hAnsi="Times New Roman" w:eastAsia="宋体" w:cs="Times New Roman"/>
          <w:snapToGrid w:val="0"/>
          <w:color w:val="auto"/>
          <w:kern w:val="0"/>
          <w:sz w:val="24"/>
          <w:szCs w:val="24"/>
          <w:lang w:val="en-US" w:eastAsia="zh-CN"/>
        </w:rPr>
        <w:t>m</w:t>
      </w:r>
      <w:r>
        <w:rPr>
          <w:rFonts w:hint="default" w:ascii="Times New Roman" w:hAnsi="Times New Roman" w:eastAsia="宋体" w:cs="Times New Roman"/>
          <w:snapToGrid w:val="0"/>
          <w:color w:val="auto"/>
          <w:kern w:val="0"/>
          <w:sz w:val="24"/>
          <w:szCs w:val="24"/>
        </w:rPr>
        <w:t>值根据地质情况确定，取值见《给水排水管道工程施工及验收规范》（GB 50268-2008）的有关规定执行，如果采用直壁开挖必须进行有效支护以确保施工安全。严格按设计控制开挖高程，不得超挖和欠挖，挖至设计高程尚差200mm时，采用人工开挖至设计高程。管槽开挖如遇素填土、杂填土、泥炭土应全部清除，换填砾卵石并分层夯实至设计管底标高下100-150mm，要求压实度不小于95%。管道沿线有地下水时，应进行施工降水，地下水位应降至槽底最低点0.5m以下，以保证干槽施工。沟槽的开挖和管线敷设与回填应一致，开槽后应组织相关单位验槽，合格后尽快进行下一道工序的施工，开槽距离和亮槽时间应尽量短。</w:t>
      </w:r>
    </w:p>
    <w:p w14:paraId="68247D9E">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rPr>
        <w:t>沟槽回填：管基达到设计强度及闭水试验合格后应及时进行沟槽回填，以确保工程质量；应特别重视管道工程的沟槽回填质量，应加强施工组织设计和选用适当回填机具设备；采取各种有效技术措施，加强检测手段，设专人负责沟槽回填工作的自监和检查；沟槽回填土须分层（每层厚度小于或等于0.2m)夯实，管道两则要同时进行，均匀上升，不得一边超载而另一边空载。沟槽回填按《管道沟槽开挖及回填图》的要求执行，详见图“管道沟槽开挖及回填图”。</w:t>
      </w:r>
    </w:p>
    <w:p w14:paraId="2E20A2F8">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四</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管道敷设</w:t>
      </w:r>
    </w:p>
    <w:p w14:paraId="53422FB7">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rPr>
        <w:t>重力流主管</w:t>
      </w:r>
      <w:r>
        <w:rPr>
          <w:rFonts w:hint="default" w:ascii="Times New Roman" w:hAnsi="Times New Roman" w:eastAsia="宋体" w:cs="Times New Roman"/>
          <w:snapToGrid w:val="0"/>
          <w:color w:val="auto"/>
          <w:kern w:val="0"/>
          <w:sz w:val="24"/>
          <w:szCs w:val="24"/>
          <w:lang w:val="en-US" w:eastAsia="zh-CN"/>
        </w:rPr>
        <w:t>不淤流速不小于0.6m/s</w:t>
      </w:r>
      <w:r>
        <w:rPr>
          <w:rFonts w:hint="default" w:ascii="Times New Roman" w:hAnsi="Times New Roman" w:eastAsia="宋体" w:cs="Times New Roman"/>
          <w:snapToGrid w:val="0"/>
          <w:color w:val="auto"/>
          <w:kern w:val="0"/>
          <w:sz w:val="24"/>
          <w:szCs w:val="24"/>
        </w:rPr>
        <w:t>。</w:t>
      </w:r>
    </w:p>
    <w:p w14:paraId="2CA56787">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rPr>
        <w:t>排水管道应在沟槽地基、管基质量检验合格后安装，安装时宜自下游开始，承口应朝向施工前进的方向。</w:t>
      </w:r>
    </w:p>
    <w:p w14:paraId="4FBBA7F6">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3、</w:t>
      </w:r>
      <w:r>
        <w:rPr>
          <w:rFonts w:hint="default" w:ascii="Times New Roman" w:hAnsi="Times New Roman" w:eastAsia="宋体" w:cs="Times New Roman"/>
          <w:snapToGrid w:val="0"/>
          <w:color w:val="auto"/>
          <w:kern w:val="0"/>
          <w:sz w:val="24"/>
          <w:szCs w:val="24"/>
        </w:rPr>
        <w:t>排水管道均应采用管顶平接，检查井的内径和构造要求应根据管径、埋深、管道的敷设、地面荷载、维护检修等因素按照国标图集</w:t>
      </w:r>
      <w:r>
        <w:rPr>
          <w:rFonts w:hint="default" w:ascii="Times New Roman" w:hAnsi="Times New Roman" w:eastAsia="宋体" w:cs="Times New Roman"/>
          <w:snapToGrid w:val="0"/>
          <w:color w:val="auto"/>
          <w:kern w:val="0"/>
          <w:sz w:val="24"/>
          <w:szCs w:val="24"/>
          <w:lang w:eastAsia="zh-CN"/>
        </w:rPr>
        <w:t>（22S521）</w:t>
      </w:r>
      <w:r>
        <w:rPr>
          <w:rFonts w:hint="default" w:ascii="Times New Roman" w:hAnsi="Times New Roman" w:eastAsia="宋体" w:cs="Times New Roman"/>
          <w:snapToGrid w:val="0"/>
          <w:color w:val="auto"/>
          <w:kern w:val="0"/>
          <w:sz w:val="24"/>
          <w:szCs w:val="24"/>
        </w:rPr>
        <w:t>选用。</w:t>
      </w:r>
    </w:p>
    <w:p w14:paraId="1AA80651">
      <w:pPr>
        <w:spacing w:line="360" w:lineRule="auto"/>
        <w:ind w:firstLine="480" w:firstLineChars="200"/>
        <w:jc w:val="left"/>
        <w:rPr>
          <w:rFonts w:hint="default" w:ascii="Times New Roman" w:hAnsi="Times New Roman" w:eastAsia="宋体" w:cs="Times New Roman"/>
          <w:color w:val="auto"/>
          <w:lang w:val="en-US" w:eastAsia="zh-CN"/>
        </w:rPr>
      </w:pPr>
      <w:r>
        <w:rPr>
          <w:rFonts w:hint="default" w:ascii="Times New Roman" w:hAnsi="Times New Roman" w:eastAsia="宋体" w:cs="Times New Roman"/>
          <w:snapToGrid w:val="0"/>
          <w:color w:val="auto"/>
          <w:kern w:val="0"/>
          <w:sz w:val="24"/>
          <w:szCs w:val="24"/>
          <w:lang w:val="en-US" w:eastAsia="zh-CN"/>
        </w:rPr>
        <w:t>4、</w:t>
      </w:r>
      <w:r>
        <w:rPr>
          <w:rFonts w:hint="default" w:ascii="Times New Roman" w:hAnsi="Times New Roman" w:eastAsia="宋体" w:cs="Times New Roman"/>
          <w:snapToGrid w:val="0"/>
          <w:color w:val="auto"/>
          <w:kern w:val="0"/>
          <w:sz w:val="24"/>
          <w:szCs w:val="24"/>
        </w:rPr>
        <w:t>管道在回填前应采用闭水法进行严密性试验，试验要求按照国标《给水排水管道工程施工及验收规范》（GB 50268-2008）的第10.3部分有关的条文执行。</w:t>
      </w:r>
    </w:p>
    <w:p w14:paraId="56F99F8C">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（五）检查井与排水沟</w:t>
      </w:r>
    </w:p>
    <w:p w14:paraId="0A220072">
      <w:pPr>
        <w:spacing w:line="360" w:lineRule="auto"/>
        <w:ind w:firstLine="480" w:firstLineChars="200"/>
        <w:jc w:val="left"/>
        <w:rPr>
          <w:rFonts w:hint="default" w:ascii="Times New Roman" w:hAnsi="Times New Roman" w:eastAsia="宋体" w:cs="Times New Roman"/>
          <w:color w:val="auto"/>
          <w:sz w:val="24"/>
          <w:shd w:val="clear" w:color="auto" w:fill="FFFFFF"/>
        </w:rPr>
      </w:pPr>
      <w:r>
        <w:rPr>
          <w:rFonts w:hint="default" w:ascii="Times New Roman" w:hAnsi="Times New Roman" w:eastAsia="宋体" w:cs="Times New Roman"/>
          <w:color w:val="auto"/>
          <w:sz w:val="24"/>
          <w:shd w:val="clear" w:color="auto" w:fill="FFFFFF"/>
          <w:lang w:val="en-US" w:eastAsia="zh-CN"/>
        </w:rPr>
        <w:t>1、</w:t>
      </w:r>
      <w:r>
        <w:rPr>
          <w:rFonts w:hint="default" w:ascii="Times New Roman" w:hAnsi="Times New Roman" w:eastAsia="宋体" w:cs="Times New Roman"/>
          <w:color w:val="auto"/>
          <w:sz w:val="24"/>
          <w:shd w:val="clear" w:color="auto" w:fill="FFFFFF"/>
        </w:rPr>
        <w:t>所有检查井采用</w:t>
      </w:r>
      <w:r>
        <w:rPr>
          <w:rFonts w:hint="default" w:ascii="Times New Roman" w:hAnsi="Times New Roman" w:eastAsia="宋体" w:cs="Times New Roman"/>
          <w:color w:val="auto"/>
          <w:sz w:val="24"/>
          <w:shd w:val="clear" w:color="auto" w:fill="FFFFFF"/>
          <w:lang w:val="en-US" w:eastAsia="zh-CN"/>
        </w:rPr>
        <w:t>预制钢筋混凝土</w:t>
      </w:r>
      <w:r>
        <w:rPr>
          <w:rFonts w:hint="default" w:ascii="Times New Roman" w:hAnsi="Times New Roman" w:eastAsia="宋体" w:cs="Times New Roman"/>
          <w:color w:val="auto"/>
          <w:sz w:val="24"/>
          <w:shd w:val="clear" w:color="auto" w:fill="FFFFFF"/>
        </w:rPr>
        <w:t>检查井，位于道路车行道下的检查井井周需加固处理，井周80cm范围内采用二灰砂粒（或二灰碎石）加强，从井底至井顶。</w:t>
      </w:r>
    </w:p>
    <w:p w14:paraId="3E3E4EAF">
      <w:pPr>
        <w:spacing w:line="360" w:lineRule="auto"/>
        <w:ind w:firstLine="480" w:firstLineChars="200"/>
        <w:jc w:val="left"/>
        <w:rPr>
          <w:rFonts w:hint="default" w:ascii="Times New Roman" w:hAnsi="Times New Roman" w:eastAsia="宋体" w:cs="Times New Roman"/>
          <w:color w:val="auto"/>
        </w:rPr>
      </w:pPr>
      <w:r>
        <w:rPr>
          <w:rFonts w:hint="default" w:ascii="Times New Roman" w:hAnsi="Times New Roman" w:eastAsia="宋体" w:cs="Times New Roman"/>
          <w:color w:val="auto"/>
          <w:sz w:val="24"/>
          <w:shd w:val="clear" w:color="auto" w:fill="FFFFFF"/>
          <w:lang w:val="en-US" w:eastAsia="zh-CN"/>
        </w:rPr>
        <w:t>2、</w:t>
      </w:r>
      <w:r>
        <w:rPr>
          <w:rFonts w:hint="default" w:ascii="Times New Roman" w:hAnsi="Times New Roman" w:eastAsia="宋体" w:cs="Times New Roman"/>
          <w:snapToGrid w:val="0"/>
          <w:color w:val="auto"/>
          <w:kern w:val="0"/>
          <w:sz w:val="24"/>
          <w:szCs w:val="24"/>
        </w:rPr>
        <w:t>排水沟采用砖砌，做法详见排水沟做法大样图。</w:t>
      </w:r>
    </w:p>
    <w:p w14:paraId="69E68306">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3、</w:t>
      </w:r>
      <w:r>
        <w:rPr>
          <w:rFonts w:hint="default" w:ascii="Times New Roman" w:hAnsi="Times New Roman" w:eastAsia="宋体" w:cs="Times New Roman"/>
          <w:snapToGrid w:val="0"/>
          <w:color w:val="auto"/>
          <w:kern w:val="0"/>
          <w:sz w:val="24"/>
          <w:szCs w:val="24"/>
        </w:rPr>
        <w:t>检查井</w:t>
      </w:r>
      <w:r>
        <w:rPr>
          <w:rFonts w:hint="default" w:ascii="Times New Roman" w:hAnsi="Times New Roman" w:eastAsia="宋体" w:cs="Times New Roman"/>
          <w:snapToGrid w:val="0"/>
          <w:color w:val="auto"/>
          <w:kern w:val="0"/>
          <w:sz w:val="24"/>
          <w:szCs w:val="24"/>
          <w:lang w:val="en-US" w:eastAsia="zh-CN"/>
        </w:rPr>
        <w:t>盖采用C250球墨铸铁井盖</w:t>
      </w:r>
      <w:r>
        <w:rPr>
          <w:rFonts w:hint="default" w:ascii="Times New Roman" w:hAnsi="Times New Roman" w:eastAsia="宋体" w:cs="Times New Roman"/>
          <w:snapToGrid w:val="0"/>
          <w:color w:val="auto"/>
          <w:kern w:val="0"/>
          <w:sz w:val="24"/>
          <w:szCs w:val="24"/>
        </w:rPr>
        <w:t>。</w:t>
      </w:r>
      <w:r>
        <w:rPr>
          <w:rFonts w:hint="default" w:ascii="Times New Roman" w:hAnsi="Times New Roman" w:eastAsia="宋体" w:cs="Times New Roman"/>
          <w:snapToGrid w:val="0"/>
          <w:color w:val="auto"/>
          <w:kern w:val="0"/>
          <w:sz w:val="24"/>
          <w:szCs w:val="24"/>
          <w:lang w:val="en-US" w:eastAsia="zh-CN"/>
        </w:rPr>
        <w:t>位于农田</w:t>
      </w:r>
      <w:r>
        <w:rPr>
          <w:rFonts w:hint="default" w:ascii="Times New Roman" w:hAnsi="Times New Roman" w:eastAsia="宋体" w:cs="Times New Roman"/>
          <w:color w:val="auto"/>
          <w:sz w:val="24"/>
          <w:shd w:val="clear" w:color="auto" w:fill="FFFFFF"/>
          <w:lang w:val="en-US" w:eastAsia="zh-CN"/>
        </w:rPr>
        <w:t>中的检查井，井盖面不低于田埂高度；位于绿化带中的检查井，井盖面高于绿化带地表15cm；车行道</w:t>
      </w:r>
      <w:r>
        <w:rPr>
          <w:rFonts w:hint="default" w:ascii="Times New Roman" w:hAnsi="Times New Roman" w:eastAsia="宋体" w:cs="Times New Roman"/>
          <w:snapToGrid w:val="0"/>
          <w:color w:val="auto"/>
          <w:kern w:val="0"/>
          <w:sz w:val="24"/>
          <w:szCs w:val="24"/>
        </w:rPr>
        <w:t>所选井盖、井座应符合国家标准《检查井盖》（GB/T 23858-2009）和《铸铁检查井盖》（CJ/T 511-2017）的要求，检查井井盖、盖座安装要求与路面平整。</w:t>
      </w:r>
    </w:p>
    <w:p w14:paraId="03F5F981">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4、</w:t>
      </w:r>
      <w:r>
        <w:rPr>
          <w:rFonts w:hint="default" w:ascii="Times New Roman" w:hAnsi="Times New Roman" w:eastAsia="宋体" w:cs="Times New Roman"/>
          <w:snapToGrid w:val="0"/>
          <w:color w:val="auto"/>
          <w:kern w:val="0"/>
          <w:sz w:val="24"/>
          <w:szCs w:val="24"/>
        </w:rPr>
        <w:t>所有检查井应安装防坠落网，要求其承载重量不小于</w:t>
      </w:r>
      <w:r>
        <w:rPr>
          <w:rFonts w:hint="default" w:ascii="Times New Roman" w:hAnsi="Times New Roman" w:eastAsia="宋体" w:cs="Times New Roman"/>
          <w:snapToGrid w:val="0"/>
          <w:color w:val="auto"/>
          <w:kern w:val="0"/>
          <w:sz w:val="24"/>
          <w:szCs w:val="24"/>
          <w:lang w:val="en-US" w:eastAsia="zh-CN"/>
        </w:rPr>
        <w:t>120</w:t>
      </w:r>
      <w:r>
        <w:rPr>
          <w:rFonts w:hint="default" w:ascii="Times New Roman" w:hAnsi="Times New Roman" w:eastAsia="宋体" w:cs="Times New Roman"/>
          <w:snapToGrid w:val="0"/>
          <w:color w:val="auto"/>
          <w:kern w:val="0"/>
          <w:sz w:val="24"/>
          <w:szCs w:val="24"/>
        </w:rPr>
        <w:t>KG。</w:t>
      </w:r>
    </w:p>
    <w:p w14:paraId="49251DA3">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5、</w:t>
      </w:r>
      <w:r>
        <w:rPr>
          <w:rFonts w:hint="default" w:ascii="Times New Roman" w:hAnsi="Times New Roman" w:eastAsia="宋体" w:cs="Times New Roman"/>
          <w:snapToGrid w:val="0"/>
          <w:color w:val="auto"/>
          <w:kern w:val="0"/>
          <w:sz w:val="24"/>
          <w:szCs w:val="24"/>
        </w:rPr>
        <w:t>在排水管道每隔200米左右的距离的检查井内设置沉泥槽，沉泥槽深度为0.5m。</w:t>
      </w:r>
    </w:p>
    <w:p w14:paraId="7D5C063A">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六</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施工验收</w:t>
      </w:r>
    </w:p>
    <w:p w14:paraId="12C0EF84">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rPr>
        <w:t>按《给水排水管道工程施工及验收规范（GB 50268-2008）》作施工验收。</w:t>
      </w:r>
    </w:p>
    <w:p w14:paraId="19620E67">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rPr>
        <w:t>全部污水管</w:t>
      </w:r>
      <w:r>
        <w:rPr>
          <w:rFonts w:hint="default" w:ascii="Times New Roman" w:hAnsi="Times New Roman" w:eastAsia="宋体" w:cs="Times New Roman"/>
          <w:snapToGrid w:val="0"/>
          <w:color w:val="auto"/>
          <w:kern w:val="0"/>
          <w:sz w:val="24"/>
          <w:szCs w:val="24"/>
          <w:lang w:val="en-US" w:eastAsia="zh-CN"/>
        </w:rPr>
        <w:t>渠</w:t>
      </w:r>
      <w:r>
        <w:rPr>
          <w:rFonts w:hint="default" w:ascii="Times New Roman" w:hAnsi="Times New Roman" w:eastAsia="宋体" w:cs="Times New Roman"/>
          <w:snapToGrid w:val="0"/>
          <w:color w:val="auto"/>
          <w:kern w:val="0"/>
          <w:sz w:val="24"/>
          <w:szCs w:val="24"/>
        </w:rPr>
        <w:t>要求作闭水试验。</w:t>
      </w:r>
    </w:p>
    <w:p w14:paraId="24B5BC1C">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七</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施工注意事项</w:t>
      </w:r>
    </w:p>
    <w:p w14:paraId="077A4A9D">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1、</w:t>
      </w:r>
      <w:r>
        <w:rPr>
          <w:rFonts w:hint="default" w:ascii="Times New Roman" w:hAnsi="Times New Roman" w:eastAsia="宋体" w:cs="Times New Roman"/>
          <w:snapToGrid w:val="0"/>
          <w:color w:val="auto"/>
          <w:kern w:val="0"/>
          <w:sz w:val="24"/>
          <w:szCs w:val="24"/>
        </w:rPr>
        <w:t>本工程属于市政基础设施工程，建议需由符合国家要求的具有管道施工经验的施工单位承担。</w:t>
      </w:r>
    </w:p>
    <w:p w14:paraId="4AA6EE6F">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rPr>
        <w:t>在认真熟悉设计图纸的基础上，做好整个工程的施工组织设计，宜安排在非雨季节施工。</w:t>
      </w:r>
    </w:p>
    <w:p w14:paraId="7455E85D">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3、</w:t>
      </w:r>
      <w:r>
        <w:rPr>
          <w:rFonts w:hint="default" w:ascii="Times New Roman" w:hAnsi="Times New Roman" w:eastAsia="宋体" w:cs="Times New Roman"/>
          <w:snapToGrid w:val="0"/>
          <w:color w:val="auto"/>
          <w:kern w:val="0"/>
          <w:sz w:val="24"/>
          <w:szCs w:val="24"/>
        </w:rPr>
        <w:t>施工单位应根据建设单位提供的施工界域内地下管线等构建筑物资料、工程地质、水文地质和河道水文资料，组织有关施工技术管理人员深入沿线调查，掌握现场实际情况，做好施工准备工作。</w:t>
      </w:r>
    </w:p>
    <w:p w14:paraId="075D92C5">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4、</w:t>
      </w:r>
      <w:r>
        <w:rPr>
          <w:rFonts w:hint="default" w:ascii="Times New Roman" w:hAnsi="Times New Roman" w:eastAsia="宋体" w:cs="Times New Roman"/>
          <w:snapToGrid w:val="0"/>
          <w:color w:val="auto"/>
          <w:kern w:val="0"/>
          <w:sz w:val="24"/>
          <w:szCs w:val="24"/>
        </w:rPr>
        <w:t>施工前应严格按照《给水排水管道工程施工及验收规范（GB 50268-2008）》作施工准备，施工前，必须调查核实道路、排水管、管道接口、河道及其它管线等相关构筑物位置、高程等基本资料，若存在矛盾或其它实施障碍，应在正式开工前提出并解决。若在施工期间出现因前期调查不清而未提前解决的实施障碍，由施工方负责解决方案，并经设计人员审核。</w:t>
      </w:r>
    </w:p>
    <w:p w14:paraId="3E923F7B">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5、</w:t>
      </w:r>
      <w:r>
        <w:rPr>
          <w:rFonts w:hint="default" w:ascii="Times New Roman" w:hAnsi="Times New Roman" w:eastAsia="宋体" w:cs="Times New Roman"/>
          <w:snapToGrid w:val="0"/>
          <w:color w:val="auto"/>
          <w:kern w:val="0"/>
          <w:sz w:val="24"/>
          <w:szCs w:val="24"/>
        </w:rPr>
        <w:t>施工中应严格执行国家现行各有关施工及验收规范，构筑物执行《给水排水构筑物工程施工及验收规范》（GB 50141-2008），管道施工执行《给水排水管道工程施工及验收规范》（GB 50268-2008）。</w:t>
      </w:r>
    </w:p>
    <w:p w14:paraId="56053054">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6、</w:t>
      </w:r>
      <w:r>
        <w:rPr>
          <w:rFonts w:hint="default" w:ascii="Times New Roman" w:hAnsi="Times New Roman" w:eastAsia="宋体" w:cs="Times New Roman"/>
          <w:snapToGrid w:val="0"/>
          <w:color w:val="auto"/>
          <w:kern w:val="0"/>
          <w:sz w:val="24"/>
          <w:szCs w:val="24"/>
        </w:rPr>
        <w:t>施工中建设单位、监理单位、地勘单位、质量监督部门和施工单位应共同做好各个阶段的施工验收工作，特别是隐蔽工程的施工记录和验收工作（应严格按照《给水排水构筑物工程施工及验收规范》9.3节执行），必要时通知设计单位参加验收。</w:t>
      </w:r>
    </w:p>
    <w:p w14:paraId="06F59C58">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7、</w:t>
      </w:r>
      <w:r>
        <w:rPr>
          <w:rFonts w:hint="default" w:ascii="Times New Roman" w:hAnsi="Times New Roman" w:eastAsia="宋体" w:cs="Times New Roman"/>
          <w:snapToGrid w:val="0"/>
          <w:color w:val="auto"/>
          <w:kern w:val="0"/>
          <w:sz w:val="24"/>
          <w:szCs w:val="24"/>
        </w:rPr>
        <w:t>沟漕开挖中，应对适宜回填的土方分别堆放并采取保护措施，尽可能避免或减少借土回填。</w:t>
      </w:r>
    </w:p>
    <w:p w14:paraId="23E4EAF2">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8、</w:t>
      </w:r>
      <w:r>
        <w:rPr>
          <w:rFonts w:hint="default" w:ascii="Times New Roman" w:hAnsi="Times New Roman" w:eastAsia="宋体" w:cs="Times New Roman"/>
          <w:snapToGrid w:val="0"/>
          <w:color w:val="auto"/>
          <w:kern w:val="0"/>
          <w:sz w:val="24"/>
          <w:szCs w:val="24"/>
        </w:rPr>
        <w:t>施工时应做好现有管线的保护工作，避免破坏其他管线，如损坏，应及时修复，具体修复工作量以现场发生为准。</w:t>
      </w:r>
    </w:p>
    <w:p w14:paraId="56F3D251">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lang w:val="en-US" w:eastAsia="zh-CN"/>
        </w:rPr>
        <w:t>9、</w:t>
      </w:r>
      <w:r>
        <w:rPr>
          <w:rFonts w:hint="default" w:ascii="Times New Roman" w:hAnsi="Times New Roman" w:eastAsia="宋体" w:cs="Times New Roman"/>
          <w:snapToGrid w:val="0"/>
          <w:color w:val="auto"/>
          <w:kern w:val="0"/>
          <w:sz w:val="24"/>
          <w:szCs w:val="24"/>
        </w:rPr>
        <w:t>本说明未尽事宜，按《给水排水管道工程施工及验收规范（GB 50268-2008）》和国标图集</w:t>
      </w:r>
      <w:r>
        <w:rPr>
          <w:rFonts w:hint="default" w:ascii="Times New Roman" w:hAnsi="Times New Roman" w:eastAsia="宋体" w:cs="Times New Roman"/>
          <w:snapToGrid w:val="0"/>
          <w:color w:val="auto"/>
          <w:kern w:val="0"/>
          <w:sz w:val="24"/>
          <w:szCs w:val="24"/>
          <w:lang w:val="en-US" w:eastAsia="zh-CN"/>
        </w:rPr>
        <w:t>20S515</w:t>
      </w:r>
      <w:r>
        <w:rPr>
          <w:rFonts w:hint="default" w:ascii="Times New Roman" w:hAnsi="Times New Roman" w:eastAsia="宋体" w:cs="Times New Roman"/>
          <w:snapToGrid w:val="0"/>
          <w:color w:val="auto"/>
          <w:kern w:val="0"/>
          <w:sz w:val="24"/>
          <w:szCs w:val="24"/>
        </w:rPr>
        <w:t>执行。</w:t>
      </w:r>
    </w:p>
    <w:p w14:paraId="1576C7ED">
      <w:pP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br w:type="page"/>
      </w:r>
    </w:p>
    <w:p w14:paraId="28BB5244">
      <w:pPr>
        <w:pStyle w:val="3"/>
        <w:numPr>
          <w:ilvl w:val="0"/>
          <w:numId w:val="2"/>
        </w:numPr>
        <w:spacing w:before="0" w:after="0" w:line="360" w:lineRule="auto"/>
        <w:ind w:firstLine="482" w:firstLineChars="200"/>
        <w:jc w:val="left"/>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一体化污水处理站设计</w:t>
      </w:r>
    </w:p>
    <w:p w14:paraId="513B3DBB">
      <w:pPr>
        <w:pStyle w:val="3"/>
        <w:numPr>
          <w:ilvl w:val="0"/>
          <w:numId w:val="0"/>
        </w:numPr>
        <w:spacing w:before="0" w:after="0" w:line="360" w:lineRule="auto"/>
        <w:ind w:left="482" w:leftChars="0"/>
        <w:jc w:val="left"/>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（一）工艺设计</w:t>
      </w:r>
    </w:p>
    <w:p w14:paraId="3E8727DC">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1、设计规模</w:t>
      </w:r>
    </w:p>
    <w:p w14:paraId="495A16F0">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本项目污水处理站设计处理规模为1</w:t>
      </w:r>
      <w:r>
        <w:rPr>
          <w:rFonts w:hint="eastAsia" w:cs="Times New Roman"/>
          <w:snapToGrid w:val="0"/>
          <w:color w:val="auto"/>
          <w:kern w:val="0"/>
          <w:sz w:val="24"/>
          <w:szCs w:val="24"/>
          <w:highlight w:val="none"/>
          <w:lang w:val="en-US" w:eastAsia="zh-CN"/>
        </w:rPr>
        <w:t>0</w:t>
      </w:r>
      <w:r>
        <w:rPr>
          <w:rFonts w:hint="default" w:ascii="Times New Roman" w:hAnsi="Times New Roman" w:eastAsia="宋体" w:cs="Times New Roman"/>
          <w:snapToGrid w:val="0"/>
          <w:color w:val="auto"/>
          <w:kern w:val="0"/>
          <w:sz w:val="24"/>
          <w:szCs w:val="24"/>
          <w:highlight w:val="none"/>
          <w:lang w:val="en-US" w:eastAsia="zh-CN"/>
        </w:rPr>
        <w:t>0m³/d。</w:t>
      </w:r>
    </w:p>
    <w:p w14:paraId="567E6492">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2、工艺流程</w:t>
      </w:r>
    </w:p>
    <w:p w14:paraId="6F61038A">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本工程采用两微智能污水一体化处理设备，利用生长于填料表面的微生物同步达到去除COD，脱氮除磷的效果，出水水质达到广西壮族自治区《农村生活污水处理设施水污染物排放标准》（DB45_2413-2021）中的一级标准。</w:t>
      </w:r>
    </w:p>
    <w:p w14:paraId="523145D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生活污水→格栅井→调节池→一体化设备→回用水池→达标排放。</w:t>
      </w:r>
    </w:p>
    <w:p w14:paraId="41643C6B">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3、设计进出水水质</w:t>
      </w:r>
    </w:p>
    <w:p w14:paraId="2E94BA42">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出水水质达到广西壮族自治区《农村生活污水处理设施水污染物排放标准》（DB45_2413-2021）中的一级标准。</w:t>
      </w:r>
    </w:p>
    <w:tbl>
      <w:tblPr>
        <w:tblStyle w:val="51"/>
        <w:tblW w:w="41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3"/>
        <w:gridCol w:w="1305"/>
        <w:gridCol w:w="1245"/>
        <w:gridCol w:w="1355"/>
        <w:gridCol w:w="1446"/>
        <w:gridCol w:w="1466"/>
      </w:tblGrid>
      <w:tr w14:paraId="4E52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jc w:val="center"/>
        </w:trPr>
        <w:tc>
          <w:tcPr>
            <w:tcW w:w="928" w:type="pct"/>
            <w:noWrap w:val="0"/>
            <w:vAlign w:val="center"/>
          </w:tcPr>
          <w:p w14:paraId="24C91AD8">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指标</w:t>
            </w:r>
          </w:p>
        </w:tc>
        <w:tc>
          <w:tcPr>
            <w:tcW w:w="779" w:type="pct"/>
            <w:noWrap w:val="0"/>
            <w:vAlign w:val="center"/>
          </w:tcPr>
          <w:p w14:paraId="4F3F0327">
            <w:pPr>
              <w:pStyle w:val="114"/>
              <w:rPr>
                <w:rFonts w:hint="default" w:ascii="Times New Roman" w:hAnsi="Times New Roman" w:eastAsia="宋体" w:cs="Times New Roman"/>
                <w:color w:val="auto"/>
                <w:sz w:val="24"/>
                <w:szCs w:val="24"/>
                <w:highlight w:val="none"/>
                <w:vertAlign w:val="subscript"/>
              </w:rPr>
            </w:pPr>
            <w:r>
              <w:rPr>
                <w:rFonts w:hint="default" w:ascii="Times New Roman" w:hAnsi="Times New Roman" w:eastAsia="宋体" w:cs="Times New Roman"/>
                <w:color w:val="auto"/>
                <w:sz w:val="24"/>
                <w:szCs w:val="24"/>
                <w:highlight w:val="none"/>
              </w:rPr>
              <w:t>COD</w:t>
            </w:r>
            <w:r>
              <w:rPr>
                <w:rFonts w:hint="default" w:ascii="Times New Roman" w:hAnsi="Times New Roman" w:eastAsia="宋体" w:cs="Times New Roman"/>
                <w:color w:val="auto"/>
                <w:sz w:val="24"/>
                <w:szCs w:val="24"/>
                <w:highlight w:val="none"/>
                <w:vertAlign w:val="subscript"/>
              </w:rPr>
              <w:t>cr</w:t>
            </w:r>
          </w:p>
          <w:p w14:paraId="21B331E1">
            <w:pPr>
              <w:pStyle w:val="114"/>
              <w:rPr>
                <w:rFonts w:hint="default" w:ascii="Times New Roman" w:hAnsi="Times New Roman" w:eastAsia="宋体" w:cs="Times New Roman"/>
                <w:color w:val="auto"/>
                <w:sz w:val="24"/>
                <w:szCs w:val="24"/>
                <w:highlight w:val="none"/>
                <w:vertAlign w:val="subscript"/>
              </w:rPr>
            </w:pPr>
            <w:r>
              <w:rPr>
                <w:rFonts w:hint="default" w:ascii="Times New Roman" w:hAnsi="Times New Roman" w:eastAsia="宋体" w:cs="Times New Roman"/>
                <w:color w:val="auto"/>
                <w:sz w:val="24"/>
                <w:szCs w:val="24"/>
                <w:highlight w:val="none"/>
              </w:rPr>
              <w:t>(mg/L)</w:t>
            </w:r>
          </w:p>
        </w:tc>
        <w:tc>
          <w:tcPr>
            <w:tcW w:w="743" w:type="pct"/>
            <w:noWrap w:val="0"/>
            <w:vAlign w:val="center"/>
          </w:tcPr>
          <w:p w14:paraId="65F50E2B">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SS</w:t>
            </w:r>
          </w:p>
          <w:p w14:paraId="7EC40BBA">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09" w:type="pct"/>
            <w:noWrap w:val="0"/>
            <w:vAlign w:val="center"/>
          </w:tcPr>
          <w:p w14:paraId="5E28693C">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NH</w:t>
            </w:r>
            <w:r>
              <w:rPr>
                <w:rFonts w:hint="default" w:ascii="Times New Roman" w:hAnsi="Times New Roman" w:eastAsia="宋体" w:cs="Times New Roman"/>
                <w:color w:val="auto"/>
                <w:sz w:val="24"/>
                <w:szCs w:val="24"/>
                <w:highlight w:val="none"/>
                <w:vertAlign w:val="subscript"/>
              </w:rPr>
              <w:t>3</w:t>
            </w:r>
            <w:r>
              <w:rPr>
                <w:rFonts w:hint="default" w:ascii="Times New Roman" w:hAnsi="Times New Roman" w:eastAsia="宋体" w:cs="Times New Roman"/>
                <w:color w:val="auto"/>
                <w:sz w:val="24"/>
                <w:szCs w:val="24"/>
                <w:highlight w:val="none"/>
              </w:rPr>
              <w:t>-N</w:t>
            </w:r>
          </w:p>
          <w:p w14:paraId="34319FAF">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63" w:type="pct"/>
            <w:noWrap w:val="0"/>
            <w:vAlign w:val="center"/>
          </w:tcPr>
          <w:p w14:paraId="4E87AD4E">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TN</w:t>
            </w:r>
          </w:p>
          <w:p w14:paraId="27DAD68E">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75" w:type="pct"/>
            <w:noWrap w:val="0"/>
            <w:vAlign w:val="center"/>
          </w:tcPr>
          <w:p w14:paraId="58D297B3">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TP</w:t>
            </w:r>
          </w:p>
          <w:p w14:paraId="71763562">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(mg/L)</w:t>
            </w:r>
          </w:p>
        </w:tc>
      </w:tr>
      <w:tr w14:paraId="2CB9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1BC23608">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进水水质</w:t>
            </w:r>
          </w:p>
        </w:tc>
        <w:tc>
          <w:tcPr>
            <w:tcW w:w="779" w:type="pct"/>
            <w:noWrap w:val="0"/>
            <w:vAlign w:val="center"/>
          </w:tcPr>
          <w:p w14:paraId="1CBBC39B">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250</w:t>
            </w:r>
          </w:p>
        </w:tc>
        <w:tc>
          <w:tcPr>
            <w:tcW w:w="743" w:type="pct"/>
            <w:noWrap w:val="0"/>
            <w:vAlign w:val="center"/>
          </w:tcPr>
          <w:p w14:paraId="7C860E6A">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16</w:t>
            </w:r>
          </w:p>
        </w:tc>
        <w:tc>
          <w:tcPr>
            <w:tcW w:w="809" w:type="pct"/>
            <w:noWrap w:val="0"/>
            <w:vAlign w:val="center"/>
          </w:tcPr>
          <w:p w14:paraId="0107E9B6">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40</w:t>
            </w:r>
          </w:p>
        </w:tc>
        <w:tc>
          <w:tcPr>
            <w:tcW w:w="863" w:type="pct"/>
            <w:noWrap w:val="0"/>
            <w:vAlign w:val="center"/>
          </w:tcPr>
          <w:p w14:paraId="56088644">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45</w:t>
            </w:r>
          </w:p>
        </w:tc>
        <w:tc>
          <w:tcPr>
            <w:tcW w:w="875" w:type="pct"/>
            <w:noWrap w:val="0"/>
            <w:vAlign w:val="center"/>
          </w:tcPr>
          <w:p w14:paraId="26A9E973">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4</w:t>
            </w:r>
          </w:p>
        </w:tc>
      </w:tr>
      <w:tr w14:paraId="6880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4FC239C6">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出水水质</w:t>
            </w:r>
          </w:p>
        </w:tc>
        <w:tc>
          <w:tcPr>
            <w:tcW w:w="779" w:type="pct"/>
            <w:noWrap w:val="0"/>
            <w:vAlign w:val="center"/>
          </w:tcPr>
          <w:p w14:paraId="7787AAFE">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60</w:t>
            </w:r>
          </w:p>
        </w:tc>
        <w:tc>
          <w:tcPr>
            <w:tcW w:w="743" w:type="pct"/>
            <w:noWrap w:val="0"/>
            <w:vAlign w:val="center"/>
          </w:tcPr>
          <w:p w14:paraId="26706FD4">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20</w:t>
            </w:r>
          </w:p>
        </w:tc>
        <w:tc>
          <w:tcPr>
            <w:tcW w:w="809" w:type="pct"/>
            <w:noWrap w:val="0"/>
            <w:vAlign w:val="center"/>
          </w:tcPr>
          <w:p w14:paraId="43CE3444">
            <w:pPr>
              <w:pStyle w:val="114"/>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8（15）</w:t>
            </w:r>
          </w:p>
        </w:tc>
        <w:tc>
          <w:tcPr>
            <w:tcW w:w="863" w:type="pct"/>
            <w:noWrap w:val="0"/>
            <w:vAlign w:val="center"/>
          </w:tcPr>
          <w:p w14:paraId="0322890A">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20</w:t>
            </w:r>
          </w:p>
        </w:tc>
        <w:tc>
          <w:tcPr>
            <w:tcW w:w="875" w:type="pct"/>
            <w:noWrap w:val="0"/>
            <w:vAlign w:val="center"/>
          </w:tcPr>
          <w:p w14:paraId="283D6CBF">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1.5</w:t>
            </w:r>
          </w:p>
        </w:tc>
      </w:tr>
    </w:tbl>
    <w:p w14:paraId="0AB135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括号外的数值为水温＞12 ℃的控制指标，括号内的数值为水温≤12 ℃的控制指标。</w:t>
      </w:r>
    </w:p>
    <w:p w14:paraId="6F997265">
      <w:pPr>
        <w:numPr>
          <w:ilvl w:val="0"/>
          <w:numId w:val="0"/>
        </w:numPr>
        <w:spacing w:line="360" w:lineRule="auto"/>
        <w:ind w:leftChars="200"/>
        <w:jc w:val="left"/>
        <w:rPr>
          <w:rFonts w:hint="default" w:ascii="Times New Roman" w:hAnsi="Times New Roman" w:eastAsia="宋体" w:cs="Times New Roman"/>
          <w:b/>
          <w:bCs/>
          <w:snapToGrid w:val="0"/>
          <w:color w:val="auto"/>
          <w:kern w:val="0"/>
          <w:sz w:val="24"/>
          <w:szCs w:val="24"/>
          <w:highlight w:val="none"/>
        </w:rPr>
      </w:pPr>
      <w:r>
        <w:rPr>
          <w:rFonts w:hint="default" w:ascii="Times New Roman" w:hAnsi="Times New Roman" w:eastAsia="宋体" w:cs="Times New Roman"/>
          <w:b/>
          <w:bCs/>
          <w:snapToGrid w:val="0"/>
          <w:color w:val="auto"/>
          <w:kern w:val="0"/>
          <w:sz w:val="24"/>
          <w:szCs w:val="24"/>
          <w:highlight w:val="none"/>
          <w:lang w:val="en-US" w:eastAsia="zh-CN"/>
        </w:rPr>
        <w:t>4、工艺</w:t>
      </w:r>
      <w:r>
        <w:rPr>
          <w:rFonts w:hint="default" w:ascii="Times New Roman" w:hAnsi="Times New Roman" w:eastAsia="宋体" w:cs="Times New Roman"/>
          <w:b/>
          <w:bCs/>
          <w:snapToGrid w:val="0"/>
          <w:color w:val="auto"/>
          <w:kern w:val="0"/>
          <w:sz w:val="24"/>
          <w:szCs w:val="24"/>
          <w:highlight w:val="none"/>
        </w:rPr>
        <w:t>设计</w:t>
      </w:r>
    </w:p>
    <w:p w14:paraId="7F3432C9">
      <w:pPr>
        <w:spacing w:line="360" w:lineRule="auto"/>
        <w:ind w:firstLine="482" w:firstLineChars="200"/>
        <w:jc w:val="left"/>
        <w:rPr>
          <w:rFonts w:hint="default" w:ascii="Times New Roman" w:hAnsi="Times New Roman" w:eastAsia="宋体" w:cs="Times New Roman"/>
          <w:b/>
          <w:bCs/>
          <w:snapToGrid w:val="0"/>
          <w:color w:val="auto"/>
          <w:kern w:val="0"/>
          <w:sz w:val="24"/>
          <w:szCs w:val="24"/>
          <w:highlight w:val="none"/>
          <w:lang w:val="en-US" w:eastAsia="zh-CN"/>
        </w:rPr>
      </w:pPr>
      <w:r>
        <w:rPr>
          <w:rFonts w:hint="default" w:ascii="Times New Roman" w:hAnsi="Times New Roman" w:eastAsia="宋体" w:cs="Times New Roman"/>
          <w:b/>
          <w:bCs/>
          <w:snapToGrid w:val="0"/>
          <w:color w:val="auto"/>
          <w:kern w:val="0"/>
          <w:sz w:val="24"/>
          <w:szCs w:val="24"/>
          <w:highlight w:val="none"/>
          <w:lang w:val="en-US" w:eastAsia="zh-CN"/>
        </w:rPr>
        <w:t>（1）格栅井及调节池</w:t>
      </w:r>
    </w:p>
    <w:p w14:paraId="01E8862D">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1）</w:t>
      </w:r>
      <w:r>
        <w:rPr>
          <w:rFonts w:hint="default" w:ascii="Times New Roman" w:hAnsi="Times New Roman" w:eastAsia="宋体" w:cs="Times New Roman"/>
          <w:snapToGrid w:val="0"/>
          <w:color w:val="auto"/>
          <w:kern w:val="0"/>
          <w:sz w:val="24"/>
          <w:szCs w:val="24"/>
          <w:highlight w:val="none"/>
        </w:rPr>
        <w:t>设计功能：拦截污水中的杂物、渣滓；</w:t>
      </w:r>
    </w:p>
    <w:p w14:paraId="18B8011D">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eastAsia="zh-CN"/>
        </w:rPr>
      </w:pPr>
      <w:r>
        <w:rPr>
          <w:rFonts w:hint="default" w:ascii="Times New Roman" w:hAnsi="Times New Roman" w:eastAsia="宋体" w:cs="Times New Roman"/>
          <w:snapToGrid w:val="0"/>
          <w:color w:val="auto"/>
          <w:kern w:val="0"/>
          <w:sz w:val="24"/>
          <w:szCs w:val="24"/>
          <w:highlight w:val="none"/>
          <w:lang w:val="en-US" w:eastAsia="zh-CN"/>
        </w:rPr>
        <w:t>2）</w:t>
      </w:r>
      <w:r>
        <w:rPr>
          <w:rFonts w:hint="default" w:ascii="Times New Roman" w:hAnsi="Times New Roman" w:eastAsia="宋体" w:cs="Times New Roman"/>
          <w:snapToGrid w:val="0"/>
          <w:color w:val="auto"/>
          <w:kern w:val="0"/>
          <w:sz w:val="24"/>
          <w:szCs w:val="24"/>
          <w:highlight w:val="none"/>
        </w:rPr>
        <w:t>格栅设计流量：Q平均=</w:t>
      </w:r>
      <w:r>
        <w:rPr>
          <w:rFonts w:hint="eastAsia" w:ascii="Times New Roman" w:hAnsi="Times New Roman" w:eastAsia="宋体" w:cs="Times New Roman"/>
          <w:snapToGrid w:val="0"/>
          <w:color w:val="auto"/>
          <w:kern w:val="0"/>
          <w:sz w:val="24"/>
          <w:szCs w:val="24"/>
          <w:highlight w:val="none"/>
          <w:lang w:val="en-US" w:eastAsia="zh-CN"/>
        </w:rPr>
        <w:t>5</w:t>
      </w:r>
      <w:r>
        <w:rPr>
          <w:rFonts w:hint="default" w:ascii="Times New Roman" w:hAnsi="Times New Roman" w:eastAsia="宋体" w:cs="Times New Roman"/>
          <w:snapToGrid w:val="0"/>
          <w:color w:val="auto"/>
          <w:kern w:val="0"/>
          <w:sz w:val="24"/>
          <w:szCs w:val="24"/>
          <w:highlight w:val="none"/>
        </w:rPr>
        <w:t>m</w:t>
      </w:r>
      <w:r>
        <w:rPr>
          <w:rFonts w:hint="default" w:ascii="Times New Roman" w:hAnsi="Times New Roman" w:eastAsia="宋体" w:cs="Times New Roman"/>
          <w:snapToGrid w:val="0"/>
          <w:color w:val="auto"/>
          <w:kern w:val="0"/>
          <w:sz w:val="24"/>
          <w:szCs w:val="24"/>
          <w:highlight w:val="none"/>
          <w:vertAlign w:val="superscript"/>
        </w:rPr>
        <w:t>3</w:t>
      </w:r>
      <w:r>
        <w:rPr>
          <w:rFonts w:hint="default" w:ascii="Times New Roman" w:hAnsi="Times New Roman" w:eastAsia="宋体" w:cs="Times New Roman"/>
          <w:snapToGrid w:val="0"/>
          <w:color w:val="auto"/>
          <w:kern w:val="0"/>
          <w:sz w:val="24"/>
          <w:szCs w:val="24"/>
          <w:highlight w:val="none"/>
        </w:rPr>
        <w:t>/h，变化系数Kz=2.</w:t>
      </w:r>
      <w:r>
        <w:rPr>
          <w:rFonts w:hint="default" w:ascii="Times New Roman" w:hAnsi="Times New Roman" w:eastAsia="宋体" w:cs="Times New Roman"/>
          <w:snapToGrid w:val="0"/>
          <w:color w:val="auto"/>
          <w:kern w:val="0"/>
          <w:sz w:val="24"/>
          <w:szCs w:val="24"/>
          <w:highlight w:val="none"/>
          <w:lang w:val="en-US" w:eastAsia="zh-CN"/>
        </w:rPr>
        <w:t>7</w:t>
      </w:r>
      <w:r>
        <w:rPr>
          <w:rFonts w:hint="default" w:ascii="Times New Roman" w:hAnsi="Times New Roman" w:eastAsia="宋体" w:cs="Times New Roman"/>
          <w:snapToGrid w:val="0"/>
          <w:color w:val="auto"/>
          <w:kern w:val="0"/>
          <w:sz w:val="24"/>
          <w:szCs w:val="24"/>
          <w:highlight w:val="none"/>
        </w:rPr>
        <w:t>，Qmax=</w:t>
      </w:r>
      <w:r>
        <w:rPr>
          <w:rFonts w:hint="eastAsia" w:ascii="Times New Roman" w:hAnsi="Times New Roman" w:eastAsia="宋体" w:cs="Times New Roman"/>
          <w:snapToGrid w:val="0"/>
          <w:color w:val="auto"/>
          <w:kern w:val="0"/>
          <w:sz w:val="24"/>
          <w:szCs w:val="24"/>
          <w:highlight w:val="none"/>
          <w:lang w:val="en-US" w:eastAsia="zh-CN"/>
        </w:rPr>
        <w:t>13.5</w:t>
      </w:r>
      <w:r>
        <w:rPr>
          <w:rFonts w:hint="default" w:ascii="Times New Roman" w:hAnsi="Times New Roman" w:eastAsia="宋体" w:cs="Times New Roman"/>
          <w:snapToGrid w:val="0"/>
          <w:color w:val="auto"/>
          <w:kern w:val="0"/>
          <w:sz w:val="24"/>
          <w:szCs w:val="24"/>
          <w:highlight w:val="none"/>
        </w:rPr>
        <w:t>m</w:t>
      </w:r>
      <w:r>
        <w:rPr>
          <w:rFonts w:hint="default" w:ascii="Times New Roman" w:hAnsi="Times New Roman" w:eastAsia="宋体" w:cs="Times New Roman"/>
          <w:snapToGrid w:val="0"/>
          <w:color w:val="auto"/>
          <w:kern w:val="0"/>
          <w:sz w:val="24"/>
          <w:szCs w:val="24"/>
          <w:highlight w:val="none"/>
          <w:vertAlign w:val="superscript"/>
        </w:rPr>
        <w:t>3</w:t>
      </w:r>
      <w:r>
        <w:rPr>
          <w:rFonts w:hint="default" w:ascii="Times New Roman" w:hAnsi="Times New Roman" w:eastAsia="宋体" w:cs="Times New Roman"/>
          <w:snapToGrid w:val="0"/>
          <w:color w:val="auto"/>
          <w:kern w:val="0"/>
          <w:sz w:val="24"/>
          <w:szCs w:val="24"/>
          <w:highlight w:val="none"/>
        </w:rPr>
        <w:t>/h</w:t>
      </w:r>
      <w:r>
        <w:rPr>
          <w:rFonts w:hint="default" w:ascii="Times New Roman" w:hAnsi="Times New Roman" w:eastAsia="宋体" w:cs="Times New Roman"/>
          <w:snapToGrid w:val="0"/>
          <w:color w:val="auto"/>
          <w:kern w:val="0"/>
          <w:sz w:val="24"/>
          <w:szCs w:val="24"/>
          <w:highlight w:val="none"/>
          <w:lang w:eastAsia="zh-CN"/>
        </w:rPr>
        <w:t>。</w:t>
      </w:r>
    </w:p>
    <w:p w14:paraId="26353C07">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3）主要设备材料：</w:t>
      </w:r>
    </w:p>
    <w:p w14:paraId="609471DC">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①不锈钢平面格栅，1套，尺寸800×700；</w:t>
      </w:r>
    </w:p>
    <w:p w14:paraId="6B7B858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②潜污泵，2台，流量</w:t>
      </w:r>
      <w:r>
        <w:rPr>
          <w:rFonts w:hint="eastAsia" w:ascii="Times New Roman" w:hAnsi="Times New Roman" w:eastAsia="宋体" w:cs="Times New Roman"/>
          <w:snapToGrid w:val="0"/>
          <w:color w:val="auto"/>
          <w:kern w:val="0"/>
          <w:sz w:val="24"/>
          <w:szCs w:val="24"/>
          <w:highlight w:val="none"/>
          <w:lang w:val="en-US" w:eastAsia="zh-CN"/>
        </w:rPr>
        <w:t>8</w:t>
      </w:r>
      <w:r>
        <w:rPr>
          <w:rFonts w:hint="default" w:ascii="Times New Roman" w:hAnsi="Times New Roman" w:eastAsia="宋体" w:cs="Times New Roman"/>
          <w:snapToGrid w:val="0"/>
          <w:color w:val="auto"/>
          <w:kern w:val="0"/>
          <w:sz w:val="24"/>
          <w:szCs w:val="24"/>
          <w:highlight w:val="none"/>
          <w:lang w:val="en-US" w:eastAsia="zh-CN"/>
        </w:rPr>
        <w:t>m</w:t>
      </w:r>
      <w:r>
        <w:rPr>
          <w:rFonts w:hint="default" w:ascii="Times New Roman" w:hAnsi="Times New Roman" w:eastAsia="宋体" w:cs="Times New Roman"/>
          <w:snapToGrid w:val="0"/>
          <w:color w:val="auto"/>
          <w:kern w:val="0"/>
          <w:sz w:val="24"/>
          <w:szCs w:val="24"/>
          <w:highlight w:val="none"/>
          <w:vertAlign w:val="superscript"/>
          <w:lang w:val="en-US" w:eastAsia="zh-CN"/>
        </w:rPr>
        <w:t>3</w:t>
      </w:r>
      <w:r>
        <w:rPr>
          <w:rFonts w:hint="default" w:ascii="Times New Roman" w:hAnsi="Times New Roman" w:eastAsia="宋体" w:cs="Times New Roman"/>
          <w:snapToGrid w:val="0"/>
          <w:color w:val="auto"/>
          <w:kern w:val="0"/>
          <w:sz w:val="24"/>
          <w:szCs w:val="24"/>
          <w:highlight w:val="none"/>
          <w:lang w:val="en-US" w:eastAsia="zh-CN"/>
        </w:rPr>
        <w:t>/h，扬程</w:t>
      </w:r>
      <w:r>
        <w:rPr>
          <w:rFonts w:hint="eastAsia" w:ascii="Times New Roman" w:hAnsi="Times New Roman" w:eastAsia="宋体" w:cs="Times New Roman"/>
          <w:snapToGrid w:val="0"/>
          <w:color w:val="auto"/>
          <w:kern w:val="0"/>
          <w:sz w:val="24"/>
          <w:szCs w:val="24"/>
          <w:highlight w:val="none"/>
          <w:lang w:val="en-US" w:eastAsia="zh-CN"/>
        </w:rPr>
        <w:t>8</w:t>
      </w:r>
      <w:r>
        <w:rPr>
          <w:rFonts w:hint="default" w:ascii="Times New Roman" w:hAnsi="Times New Roman" w:eastAsia="宋体" w:cs="Times New Roman"/>
          <w:snapToGrid w:val="0"/>
          <w:color w:val="auto"/>
          <w:kern w:val="0"/>
          <w:sz w:val="24"/>
          <w:szCs w:val="24"/>
          <w:highlight w:val="none"/>
          <w:lang w:val="en-US" w:eastAsia="zh-CN"/>
        </w:rPr>
        <w:t>m，功率</w:t>
      </w:r>
      <w:r>
        <w:rPr>
          <w:rFonts w:hint="eastAsia" w:ascii="Times New Roman" w:hAnsi="Times New Roman" w:eastAsia="宋体" w:cs="Times New Roman"/>
          <w:snapToGrid w:val="0"/>
          <w:color w:val="auto"/>
          <w:kern w:val="0"/>
          <w:sz w:val="24"/>
          <w:szCs w:val="24"/>
          <w:highlight w:val="none"/>
          <w:lang w:val="en-US" w:eastAsia="zh-CN"/>
        </w:rPr>
        <w:t>55</w:t>
      </w:r>
      <w:r>
        <w:rPr>
          <w:rFonts w:hint="default" w:ascii="Times New Roman" w:hAnsi="Times New Roman" w:eastAsia="宋体" w:cs="Times New Roman"/>
          <w:snapToGrid w:val="0"/>
          <w:color w:val="auto"/>
          <w:kern w:val="0"/>
          <w:sz w:val="24"/>
          <w:szCs w:val="24"/>
          <w:highlight w:val="none"/>
          <w:lang w:val="en-US" w:eastAsia="zh-CN"/>
        </w:rPr>
        <w:t>0W。</w:t>
      </w:r>
    </w:p>
    <w:p w14:paraId="01674E36">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③浮球液位计0~5m，4~20mA。</w:t>
      </w:r>
    </w:p>
    <w:p w14:paraId="7C4D1110">
      <w:pPr>
        <w:spacing w:line="360" w:lineRule="auto"/>
        <w:ind w:firstLine="482" w:firstLineChars="200"/>
        <w:jc w:val="left"/>
        <w:rPr>
          <w:rFonts w:hint="default" w:ascii="Times New Roman" w:hAnsi="Times New Roman" w:eastAsia="宋体" w:cs="Times New Roman"/>
          <w:b/>
          <w:bCs/>
          <w:snapToGrid w:val="0"/>
          <w:color w:val="auto"/>
          <w:kern w:val="0"/>
          <w:sz w:val="24"/>
          <w:szCs w:val="24"/>
          <w:highlight w:val="none"/>
          <w:lang w:val="en-US"/>
        </w:rPr>
      </w:pPr>
      <w:r>
        <w:rPr>
          <w:rFonts w:hint="default" w:ascii="Times New Roman" w:hAnsi="Times New Roman" w:eastAsia="宋体" w:cs="Times New Roman"/>
          <w:b/>
          <w:bCs/>
          <w:snapToGrid w:val="0"/>
          <w:color w:val="auto"/>
          <w:kern w:val="0"/>
          <w:sz w:val="24"/>
          <w:szCs w:val="24"/>
          <w:highlight w:val="none"/>
          <w:lang w:val="en-US" w:eastAsia="zh-CN"/>
        </w:rPr>
        <w:t>（2）两微智能污水一体化处理设备</w:t>
      </w:r>
    </w:p>
    <w:p w14:paraId="06FEE4FD">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1）</w:t>
      </w:r>
      <w:r>
        <w:rPr>
          <w:rFonts w:hint="default" w:ascii="Times New Roman" w:hAnsi="Times New Roman" w:eastAsia="宋体" w:cs="Times New Roman"/>
          <w:snapToGrid w:val="0"/>
          <w:color w:val="auto"/>
          <w:kern w:val="0"/>
          <w:sz w:val="24"/>
          <w:szCs w:val="24"/>
          <w:highlight w:val="none"/>
        </w:rPr>
        <w:t>设计功能：去除各类污染物、固液分离。</w:t>
      </w:r>
    </w:p>
    <w:p w14:paraId="42CB7E6B">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2）</w:t>
      </w:r>
      <w:r>
        <w:rPr>
          <w:rFonts w:hint="default" w:ascii="Times New Roman" w:hAnsi="Times New Roman" w:eastAsia="宋体" w:cs="Times New Roman"/>
          <w:snapToGrid w:val="0"/>
          <w:color w:val="auto"/>
          <w:kern w:val="0"/>
          <w:sz w:val="24"/>
          <w:szCs w:val="24"/>
          <w:highlight w:val="none"/>
        </w:rPr>
        <w:t>设备规格：</w:t>
      </w:r>
      <w:r>
        <w:rPr>
          <w:rFonts w:hint="eastAsia" w:ascii="Times New Roman" w:hAnsi="Times New Roman" w:eastAsia="宋体" w:cs="Times New Roman"/>
          <w:snapToGrid w:val="0"/>
          <w:color w:val="auto"/>
          <w:kern w:val="0"/>
          <w:sz w:val="24"/>
          <w:szCs w:val="24"/>
          <w:highlight w:val="none"/>
          <w:lang w:val="en-US" w:eastAsia="zh-CN"/>
        </w:rPr>
        <w:t>长8.8m，宽2.4m</w:t>
      </w:r>
      <w:r>
        <w:rPr>
          <w:rFonts w:hint="default" w:ascii="Times New Roman" w:hAnsi="Times New Roman" w:eastAsia="宋体" w:cs="Times New Roman"/>
          <w:snapToGrid w:val="0"/>
          <w:color w:val="auto"/>
          <w:kern w:val="0"/>
          <w:sz w:val="24"/>
          <w:szCs w:val="24"/>
          <w:highlight w:val="none"/>
        </w:rPr>
        <w:t>，高</w:t>
      </w:r>
      <w:r>
        <w:rPr>
          <w:rFonts w:hint="eastAsia" w:ascii="Times New Roman" w:hAnsi="Times New Roman" w:eastAsia="宋体" w:cs="Times New Roman"/>
          <w:snapToGrid w:val="0"/>
          <w:color w:val="auto"/>
          <w:kern w:val="0"/>
          <w:sz w:val="24"/>
          <w:szCs w:val="24"/>
          <w:highlight w:val="none"/>
          <w:lang w:val="en-US" w:eastAsia="zh-CN"/>
        </w:rPr>
        <w:t>2.5</w:t>
      </w:r>
      <w:r>
        <w:rPr>
          <w:rFonts w:hint="default" w:ascii="Times New Roman" w:hAnsi="Times New Roman" w:eastAsia="宋体" w:cs="Times New Roman"/>
          <w:snapToGrid w:val="0"/>
          <w:color w:val="auto"/>
          <w:kern w:val="0"/>
          <w:sz w:val="24"/>
          <w:szCs w:val="24"/>
          <w:highlight w:val="none"/>
        </w:rPr>
        <w:t>m，</w:t>
      </w:r>
      <w:r>
        <w:rPr>
          <w:rFonts w:hint="eastAsia" w:ascii="Times New Roman" w:hAnsi="Times New Roman" w:eastAsia="宋体" w:cs="Times New Roman"/>
          <w:snapToGrid w:val="0"/>
          <w:color w:val="auto"/>
          <w:kern w:val="0"/>
          <w:sz w:val="24"/>
          <w:szCs w:val="24"/>
          <w:highlight w:val="none"/>
          <w:lang w:val="en-US" w:eastAsia="zh-CN"/>
        </w:rPr>
        <w:t>1</w:t>
      </w:r>
      <w:r>
        <w:rPr>
          <w:rFonts w:hint="default" w:ascii="Times New Roman" w:hAnsi="Times New Roman" w:eastAsia="宋体" w:cs="Times New Roman"/>
          <w:snapToGrid w:val="0"/>
          <w:color w:val="auto"/>
          <w:kern w:val="0"/>
          <w:sz w:val="24"/>
          <w:szCs w:val="24"/>
          <w:highlight w:val="none"/>
          <w:lang w:val="en-US" w:eastAsia="zh-CN"/>
        </w:rPr>
        <w:t>套</w:t>
      </w:r>
      <w:r>
        <w:rPr>
          <w:rFonts w:hint="default" w:ascii="Times New Roman" w:hAnsi="Times New Roman" w:eastAsia="宋体" w:cs="Times New Roman"/>
          <w:snapToGrid w:val="0"/>
          <w:color w:val="auto"/>
          <w:kern w:val="0"/>
          <w:sz w:val="24"/>
          <w:szCs w:val="24"/>
          <w:highlight w:val="none"/>
        </w:rPr>
        <w:t>。</w:t>
      </w:r>
    </w:p>
    <w:p w14:paraId="792D9518">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3)设备材质：</w:t>
      </w:r>
      <w:r>
        <w:rPr>
          <w:rFonts w:hint="eastAsia" w:ascii="Times New Roman" w:hAnsi="Times New Roman" w:eastAsia="宋体" w:cs="Times New Roman"/>
          <w:snapToGrid w:val="0"/>
          <w:color w:val="auto"/>
          <w:kern w:val="0"/>
          <w:sz w:val="24"/>
          <w:szCs w:val="24"/>
          <w:highlight w:val="none"/>
          <w:lang w:val="en-US" w:eastAsia="zh-CN"/>
        </w:rPr>
        <w:t>碳钢材质</w:t>
      </w:r>
      <w:r>
        <w:rPr>
          <w:rFonts w:hint="default" w:ascii="Times New Roman" w:hAnsi="Times New Roman" w:eastAsia="宋体" w:cs="Times New Roman"/>
          <w:snapToGrid w:val="0"/>
          <w:color w:val="auto"/>
          <w:kern w:val="0"/>
          <w:sz w:val="24"/>
          <w:szCs w:val="24"/>
          <w:highlight w:val="none"/>
          <w:lang w:val="en-US" w:eastAsia="zh-CN"/>
        </w:rPr>
        <w:t>。</w:t>
      </w:r>
    </w:p>
    <w:p w14:paraId="3EF936C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4)</w:t>
      </w:r>
      <w:r>
        <w:rPr>
          <w:rFonts w:hint="default" w:ascii="Times New Roman" w:hAnsi="Times New Roman" w:eastAsia="宋体" w:cs="Times New Roman"/>
          <w:snapToGrid w:val="0"/>
          <w:color w:val="auto"/>
          <w:kern w:val="0"/>
          <w:sz w:val="24"/>
          <w:szCs w:val="24"/>
          <w:highlight w:val="none"/>
        </w:rPr>
        <w:t>设计参数：</w:t>
      </w:r>
    </w:p>
    <w:p w14:paraId="34257F67">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①表面有机负荷：5</w:t>
      </w:r>
      <w:r>
        <w:rPr>
          <w:rFonts w:hint="default" w:ascii="Times New Roman" w:hAnsi="Times New Roman" w:eastAsia="宋体" w:cs="Times New Roman"/>
          <w:snapToGrid w:val="0"/>
          <w:color w:val="auto"/>
          <w:kern w:val="0"/>
          <w:sz w:val="24"/>
          <w:szCs w:val="24"/>
          <w:highlight w:val="none"/>
        </w:rPr>
        <w:t>gBOD/</w:t>
      </w:r>
      <w:r>
        <w:rPr>
          <w:rFonts w:hint="default" w:ascii="Times New Roman" w:hAnsi="Times New Roman" w:eastAsia="宋体" w:cs="Times New Roman"/>
          <w:snapToGrid w:val="0"/>
          <w:color w:val="auto"/>
          <w:kern w:val="0"/>
          <w:sz w:val="24"/>
          <w:szCs w:val="24"/>
          <w:highlight w:val="none"/>
          <w:lang w:val="en-US" w:eastAsia="zh-CN"/>
        </w:rPr>
        <w:t>m</w:t>
      </w:r>
      <w:r>
        <w:rPr>
          <w:rFonts w:hint="default" w:ascii="Times New Roman" w:hAnsi="Times New Roman" w:eastAsia="宋体" w:cs="Times New Roman"/>
          <w:snapToGrid w:val="0"/>
          <w:color w:val="auto"/>
          <w:kern w:val="0"/>
          <w:sz w:val="24"/>
          <w:szCs w:val="24"/>
          <w:highlight w:val="none"/>
          <w:vertAlign w:val="superscript"/>
          <w:lang w:val="en-US" w:eastAsia="zh-CN"/>
        </w:rPr>
        <w:t>2</w:t>
      </w:r>
      <w:r>
        <w:rPr>
          <w:rFonts w:hint="default" w:ascii="Times New Roman" w:hAnsi="Times New Roman" w:eastAsia="宋体" w:cs="Times New Roman"/>
          <w:snapToGrid w:val="0"/>
          <w:color w:val="auto"/>
          <w:kern w:val="0"/>
          <w:sz w:val="24"/>
          <w:szCs w:val="24"/>
          <w:highlight w:val="none"/>
        </w:rPr>
        <w:t>·d</w:t>
      </w:r>
    </w:p>
    <w:p w14:paraId="6B6D5EA3">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②表面硝化负荷：0.5</w:t>
      </w:r>
      <w:r>
        <w:rPr>
          <w:rFonts w:hint="default" w:ascii="Times New Roman" w:hAnsi="Times New Roman" w:eastAsia="宋体" w:cs="Times New Roman"/>
          <w:snapToGrid w:val="0"/>
          <w:color w:val="auto"/>
          <w:kern w:val="0"/>
          <w:sz w:val="24"/>
          <w:szCs w:val="24"/>
          <w:highlight w:val="none"/>
        </w:rPr>
        <w:t>gNH3-Ng/</w:t>
      </w:r>
      <w:r>
        <w:rPr>
          <w:rFonts w:hint="default" w:ascii="Times New Roman" w:hAnsi="Times New Roman" w:eastAsia="宋体" w:cs="Times New Roman"/>
          <w:snapToGrid w:val="0"/>
          <w:color w:val="auto"/>
          <w:kern w:val="0"/>
          <w:sz w:val="24"/>
          <w:szCs w:val="24"/>
          <w:highlight w:val="none"/>
          <w:lang w:val="en-US" w:eastAsia="zh-CN"/>
        </w:rPr>
        <w:t>m</w:t>
      </w:r>
      <w:r>
        <w:rPr>
          <w:rFonts w:hint="default" w:ascii="Times New Roman" w:hAnsi="Times New Roman" w:eastAsia="宋体" w:cs="Times New Roman"/>
          <w:snapToGrid w:val="0"/>
          <w:color w:val="auto"/>
          <w:kern w:val="0"/>
          <w:sz w:val="24"/>
          <w:szCs w:val="24"/>
          <w:highlight w:val="none"/>
          <w:vertAlign w:val="superscript"/>
          <w:lang w:val="en-US" w:eastAsia="zh-CN"/>
        </w:rPr>
        <w:t>2</w:t>
      </w:r>
      <w:r>
        <w:rPr>
          <w:rFonts w:hint="default" w:ascii="Times New Roman" w:hAnsi="Times New Roman" w:eastAsia="宋体" w:cs="Times New Roman"/>
          <w:snapToGrid w:val="0"/>
          <w:color w:val="auto"/>
          <w:kern w:val="0"/>
          <w:sz w:val="24"/>
          <w:szCs w:val="24"/>
          <w:highlight w:val="none"/>
        </w:rPr>
        <w:t>·d</w:t>
      </w:r>
    </w:p>
    <w:p w14:paraId="207A851A">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③填料比表面积：≥260m</w:t>
      </w:r>
      <w:r>
        <w:rPr>
          <w:rFonts w:hint="default" w:ascii="Times New Roman" w:hAnsi="Times New Roman" w:eastAsia="宋体" w:cs="Times New Roman"/>
          <w:snapToGrid w:val="0"/>
          <w:color w:val="auto"/>
          <w:kern w:val="0"/>
          <w:sz w:val="24"/>
          <w:szCs w:val="24"/>
          <w:highlight w:val="none"/>
          <w:vertAlign w:val="superscript"/>
          <w:lang w:val="en-US" w:eastAsia="zh-CN"/>
        </w:rPr>
        <w:t>2</w:t>
      </w:r>
      <w:r>
        <w:rPr>
          <w:rFonts w:hint="default" w:ascii="Times New Roman" w:hAnsi="Times New Roman" w:eastAsia="宋体" w:cs="Times New Roman"/>
          <w:snapToGrid w:val="0"/>
          <w:color w:val="auto"/>
          <w:kern w:val="0"/>
          <w:sz w:val="24"/>
          <w:szCs w:val="24"/>
          <w:highlight w:val="none"/>
        </w:rPr>
        <w:t>/</w:t>
      </w:r>
      <w:r>
        <w:rPr>
          <w:rFonts w:hint="default" w:ascii="Times New Roman" w:hAnsi="Times New Roman" w:eastAsia="宋体" w:cs="Times New Roman"/>
          <w:snapToGrid w:val="0"/>
          <w:color w:val="auto"/>
          <w:kern w:val="0"/>
          <w:sz w:val="24"/>
          <w:szCs w:val="24"/>
          <w:highlight w:val="none"/>
          <w:lang w:val="en-US" w:eastAsia="zh-CN"/>
        </w:rPr>
        <w:t>m3</w:t>
      </w:r>
    </w:p>
    <w:p w14:paraId="15C7E5B4">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④有效容积：</w:t>
      </w:r>
      <w:r>
        <w:rPr>
          <w:rFonts w:hint="eastAsia" w:ascii="Times New Roman" w:hAnsi="Times New Roman" w:eastAsia="宋体" w:cs="Times New Roman"/>
          <w:snapToGrid w:val="0"/>
          <w:color w:val="auto"/>
          <w:kern w:val="0"/>
          <w:sz w:val="24"/>
          <w:szCs w:val="24"/>
          <w:highlight w:val="none"/>
          <w:lang w:val="en-US" w:eastAsia="zh-CN"/>
        </w:rPr>
        <w:t>1</w:t>
      </w:r>
      <w:r>
        <w:rPr>
          <w:rFonts w:hint="eastAsia" w:cs="Times New Roman"/>
          <w:snapToGrid w:val="0"/>
          <w:color w:val="auto"/>
          <w:kern w:val="0"/>
          <w:sz w:val="24"/>
          <w:szCs w:val="24"/>
          <w:highlight w:val="none"/>
          <w:lang w:val="en-US" w:eastAsia="zh-CN"/>
        </w:rPr>
        <w:t>0</w:t>
      </w:r>
      <w:r>
        <w:rPr>
          <w:rFonts w:hint="eastAsia" w:ascii="Times New Roman" w:hAnsi="Times New Roman" w:eastAsia="宋体" w:cs="Times New Roman"/>
          <w:snapToGrid w:val="0"/>
          <w:color w:val="auto"/>
          <w:kern w:val="0"/>
          <w:sz w:val="24"/>
          <w:szCs w:val="24"/>
          <w:highlight w:val="none"/>
          <w:lang w:val="en-US" w:eastAsia="zh-CN"/>
        </w:rPr>
        <w:t>0</w:t>
      </w:r>
      <w:r>
        <w:rPr>
          <w:rFonts w:hint="default" w:ascii="Times New Roman" w:hAnsi="Times New Roman" w:eastAsia="宋体" w:cs="Times New Roman"/>
          <w:snapToGrid w:val="0"/>
          <w:color w:val="auto"/>
          <w:kern w:val="0"/>
          <w:sz w:val="24"/>
          <w:szCs w:val="24"/>
          <w:highlight w:val="none"/>
          <w:lang w:val="en-US" w:eastAsia="zh-CN"/>
        </w:rPr>
        <w:t>m</w:t>
      </w:r>
      <w:r>
        <w:rPr>
          <w:rFonts w:hint="default" w:ascii="Times New Roman" w:hAnsi="Times New Roman" w:eastAsia="宋体" w:cs="Times New Roman"/>
          <w:snapToGrid w:val="0"/>
          <w:color w:val="auto"/>
          <w:kern w:val="0"/>
          <w:sz w:val="24"/>
          <w:szCs w:val="24"/>
          <w:highlight w:val="none"/>
          <w:vertAlign w:val="superscript"/>
          <w:lang w:val="en-US" w:eastAsia="zh-CN"/>
        </w:rPr>
        <w:t>3</w:t>
      </w:r>
    </w:p>
    <w:p w14:paraId="7604EC3A">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⑤总停留时间：1</w:t>
      </w:r>
      <w:r>
        <w:rPr>
          <w:rFonts w:hint="eastAsia" w:ascii="Times New Roman" w:hAnsi="Times New Roman" w:eastAsia="宋体" w:cs="Times New Roman"/>
          <w:snapToGrid w:val="0"/>
          <w:color w:val="auto"/>
          <w:kern w:val="0"/>
          <w:sz w:val="24"/>
          <w:szCs w:val="24"/>
          <w:highlight w:val="none"/>
          <w:lang w:val="en-US" w:eastAsia="zh-CN"/>
        </w:rPr>
        <w:t>2</w:t>
      </w:r>
      <w:r>
        <w:rPr>
          <w:rFonts w:hint="default" w:ascii="Times New Roman" w:hAnsi="Times New Roman" w:eastAsia="宋体" w:cs="Times New Roman"/>
          <w:snapToGrid w:val="0"/>
          <w:color w:val="auto"/>
          <w:kern w:val="0"/>
          <w:sz w:val="24"/>
          <w:szCs w:val="24"/>
          <w:highlight w:val="none"/>
          <w:lang w:val="en-US" w:eastAsia="zh-CN"/>
        </w:rPr>
        <w:t>.</w:t>
      </w:r>
      <w:r>
        <w:rPr>
          <w:rFonts w:hint="eastAsia" w:ascii="Times New Roman" w:hAnsi="Times New Roman" w:eastAsia="宋体" w:cs="Times New Roman"/>
          <w:snapToGrid w:val="0"/>
          <w:color w:val="auto"/>
          <w:kern w:val="0"/>
          <w:sz w:val="24"/>
          <w:szCs w:val="24"/>
          <w:highlight w:val="none"/>
          <w:lang w:val="en-US" w:eastAsia="zh-CN"/>
        </w:rPr>
        <w:t>1</w:t>
      </w:r>
      <w:r>
        <w:rPr>
          <w:rFonts w:hint="default" w:ascii="Times New Roman" w:hAnsi="Times New Roman" w:eastAsia="宋体" w:cs="Times New Roman"/>
          <w:snapToGrid w:val="0"/>
          <w:color w:val="auto"/>
          <w:kern w:val="0"/>
          <w:sz w:val="24"/>
          <w:szCs w:val="24"/>
          <w:highlight w:val="none"/>
          <w:lang w:val="en-US" w:eastAsia="zh-CN"/>
        </w:rPr>
        <w:t>h</w:t>
      </w:r>
    </w:p>
    <w:p w14:paraId="05C06287">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5)主要设备材料：</w:t>
      </w:r>
    </w:p>
    <w:p w14:paraId="30E6C682">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①VFG填料及支架，曝气盘及支架等附件;</w:t>
      </w:r>
    </w:p>
    <w:p w14:paraId="6CA5F0A1">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eastAsia="宋体" w:cs="Times New Roman"/>
          <w:snapToGrid w:val="0"/>
          <w:color w:val="auto"/>
          <w:kern w:val="0"/>
          <w:sz w:val="24"/>
          <w:szCs w:val="24"/>
          <w:highlight w:val="none"/>
          <w:lang w:val="en-US" w:eastAsia="zh-CN"/>
        </w:rPr>
        <w:t>②</w:t>
      </w:r>
      <w:r>
        <w:rPr>
          <w:rFonts w:hint="default" w:ascii="Times New Roman" w:hAnsi="Times New Roman" w:eastAsia="宋体" w:cs="Times New Roman"/>
          <w:snapToGrid w:val="0"/>
          <w:color w:val="auto"/>
          <w:kern w:val="0"/>
          <w:sz w:val="24"/>
          <w:szCs w:val="24"/>
          <w:highlight w:val="none"/>
        </w:rPr>
        <w:t>风机：风量</w:t>
      </w:r>
      <w:r>
        <w:rPr>
          <w:rFonts w:hint="eastAsia" w:ascii="Times New Roman" w:hAnsi="Times New Roman" w:eastAsia="宋体" w:cs="Times New Roman"/>
          <w:snapToGrid w:val="0"/>
          <w:color w:val="auto"/>
          <w:kern w:val="0"/>
          <w:sz w:val="24"/>
          <w:szCs w:val="24"/>
          <w:highlight w:val="none"/>
          <w:lang w:val="en-US" w:eastAsia="zh-CN"/>
        </w:rPr>
        <w:t>200</w:t>
      </w:r>
      <w:r>
        <w:rPr>
          <w:rFonts w:hint="default" w:ascii="Times New Roman" w:hAnsi="Times New Roman" w:eastAsia="宋体" w:cs="Times New Roman"/>
          <w:snapToGrid w:val="0"/>
          <w:color w:val="auto"/>
          <w:kern w:val="0"/>
          <w:sz w:val="24"/>
          <w:szCs w:val="24"/>
          <w:highlight w:val="none"/>
        </w:rPr>
        <w:t>L/min，</w:t>
      </w:r>
      <w:r>
        <w:rPr>
          <w:rFonts w:hint="default" w:ascii="Times New Roman" w:hAnsi="Times New Roman" w:eastAsia="宋体" w:cs="Times New Roman"/>
          <w:snapToGrid w:val="0"/>
          <w:color w:val="auto"/>
          <w:kern w:val="0"/>
          <w:sz w:val="24"/>
          <w:szCs w:val="24"/>
          <w:highlight w:val="none"/>
          <w:lang w:val="en-US" w:eastAsia="zh-CN"/>
        </w:rPr>
        <w:t>14.7</w:t>
      </w:r>
      <w:r>
        <w:rPr>
          <w:rFonts w:hint="default" w:ascii="Times New Roman" w:hAnsi="Times New Roman" w:eastAsia="宋体" w:cs="Times New Roman"/>
          <w:snapToGrid w:val="0"/>
          <w:color w:val="auto"/>
          <w:kern w:val="0"/>
          <w:sz w:val="24"/>
          <w:szCs w:val="24"/>
          <w:highlight w:val="none"/>
        </w:rPr>
        <w:t>kPa，</w:t>
      </w:r>
      <w:r>
        <w:rPr>
          <w:rFonts w:hint="eastAsia" w:ascii="Times New Roman" w:hAnsi="Times New Roman" w:eastAsia="宋体" w:cs="Times New Roman"/>
          <w:snapToGrid w:val="0"/>
          <w:color w:val="auto"/>
          <w:kern w:val="0"/>
          <w:sz w:val="24"/>
          <w:szCs w:val="24"/>
          <w:highlight w:val="none"/>
          <w:lang w:val="en-US" w:eastAsia="zh-CN"/>
        </w:rPr>
        <w:t>250</w:t>
      </w:r>
      <w:r>
        <w:rPr>
          <w:rFonts w:hint="default" w:ascii="Times New Roman" w:hAnsi="Times New Roman" w:eastAsia="宋体" w:cs="Times New Roman"/>
          <w:snapToGrid w:val="0"/>
          <w:color w:val="auto"/>
          <w:kern w:val="0"/>
          <w:sz w:val="24"/>
          <w:szCs w:val="24"/>
          <w:highlight w:val="none"/>
        </w:rPr>
        <w:t>W，</w:t>
      </w:r>
      <w:r>
        <w:rPr>
          <w:rFonts w:hint="eastAsia" w:ascii="Times New Roman" w:hAnsi="Times New Roman" w:eastAsia="宋体" w:cs="Times New Roman"/>
          <w:snapToGrid w:val="0"/>
          <w:color w:val="auto"/>
          <w:kern w:val="0"/>
          <w:sz w:val="24"/>
          <w:szCs w:val="24"/>
          <w:highlight w:val="none"/>
          <w:lang w:val="en-US" w:eastAsia="zh-CN"/>
        </w:rPr>
        <w:t>5</w:t>
      </w:r>
      <w:r>
        <w:rPr>
          <w:rFonts w:hint="default" w:ascii="Times New Roman" w:hAnsi="Times New Roman" w:eastAsia="宋体" w:cs="Times New Roman"/>
          <w:snapToGrid w:val="0"/>
          <w:color w:val="auto"/>
          <w:kern w:val="0"/>
          <w:sz w:val="24"/>
          <w:szCs w:val="24"/>
          <w:highlight w:val="none"/>
          <w:lang w:val="en-US" w:eastAsia="zh-CN"/>
        </w:rPr>
        <w:t>台</w:t>
      </w:r>
      <w:r>
        <w:rPr>
          <w:rFonts w:hint="default" w:ascii="Times New Roman" w:hAnsi="Times New Roman" w:eastAsia="宋体" w:cs="Times New Roman"/>
          <w:snapToGrid w:val="0"/>
          <w:color w:val="auto"/>
          <w:kern w:val="0"/>
          <w:sz w:val="24"/>
          <w:szCs w:val="24"/>
          <w:highlight w:val="none"/>
        </w:rPr>
        <w:t>。</w:t>
      </w:r>
    </w:p>
    <w:p w14:paraId="5E116E8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③详细设备参数、技术性能：</w:t>
      </w:r>
    </w:p>
    <w:p w14:paraId="07DE97D8">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安装方式：地埋式；</w:t>
      </w:r>
    </w:p>
    <w:p w14:paraId="339642DA">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COD处理负荷不小于3kg COD/m</w:t>
      </w:r>
      <w:r>
        <w:rPr>
          <w:rFonts w:hint="default" w:ascii="Times New Roman" w:hAnsi="Times New Roman" w:eastAsia="宋体" w:cs="Times New Roman"/>
          <w:snapToGrid w:val="0"/>
          <w:color w:val="auto"/>
          <w:kern w:val="0"/>
          <w:sz w:val="24"/>
          <w:szCs w:val="24"/>
          <w:highlight w:val="none"/>
          <w:vertAlign w:val="superscript"/>
          <w:lang w:val="en-US" w:eastAsia="zh-CN"/>
        </w:rPr>
        <w:t>3</w:t>
      </w:r>
      <w:r>
        <w:rPr>
          <w:rFonts w:hint="default" w:ascii="Times New Roman" w:hAnsi="Times New Roman" w:eastAsia="宋体" w:cs="Times New Roman"/>
          <w:snapToGrid w:val="0"/>
          <w:color w:val="auto"/>
          <w:kern w:val="0"/>
          <w:sz w:val="24"/>
          <w:szCs w:val="24"/>
          <w:highlight w:val="none"/>
          <w:lang w:val="en-US" w:eastAsia="zh-CN"/>
        </w:rPr>
        <w:t>d，最大日处理量不低于1</w:t>
      </w:r>
      <w:r>
        <w:rPr>
          <w:rFonts w:hint="eastAsia" w:cs="Times New Roman"/>
          <w:snapToGrid w:val="0"/>
          <w:color w:val="auto"/>
          <w:kern w:val="0"/>
          <w:sz w:val="24"/>
          <w:szCs w:val="24"/>
          <w:highlight w:val="none"/>
          <w:lang w:val="en-US" w:eastAsia="zh-CN"/>
        </w:rPr>
        <w:t>0</w:t>
      </w:r>
      <w:r>
        <w:rPr>
          <w:rFonts w:hint="default" w:ascii="Times New Roman" w:hAnsi="Times New Roman" w:eastAsia="宋体" w:cs="Times New Roman"/>
          <w:snapToGrid w:val="0"/>
          <w:color w:val="auto"/>
          <w:kern w:val="0"/>
          <w:sz w:val="24"/>
          <w:szCs w:val="24"/>
          <w:highlight w:val="none"/>
          <w:lang w:val="en-US" w:eastAsia="zh-CN"/>
        </w:rPr>
        <w:t>0m</w:t>
      </w:r>
      <w:r>
        <w:rPr>
          <w:rFonts w:hint="default" w:ascii="Times New Roman" w:hAnsi="Times New Roman" w:eastAsia="宋体" w:cs="Times New Roman"/>
          <w:snapToGrid w:val="0"/>
          <w:color w:val="auto"/>
          <w:kern w:val="0"/>
          <w:sz w:val="24"/>
          <w:szCs w:val="24"/>
          <w:highlight w:val="none"/>
          <w:vertAlign w:val="superscript"/>
          <w:lang w:val="en-US" w:eastAsia="zh-CN"/>
        </w:rPr>
        <w:t>3</w:t>
      </w:r>
      <w:r>
        <w:rPr>
          <w:rFonts w:hint="default" w:ascii="Times New Roman" w:hAnsi="Times New Roman" w:eastAsia="宋体" w:cs="Times New Roman"/>
          <w:snapToGrid w:val="0"/>
          <w:color w:val="auto"/>
          <w:kern w:val="0"/>
          <w:sz w:val="24"/>
          <w:szCs w:val="24"/>
          <w:highlight w:val="none"/>
          <w:lang w:val="en-US" w:eastAsia="zh-CN"/>
        </w:rPr>
        <w:t>/d。</w:t>
      </w:r>
    </w:p>
    <w:p w14:paraId="59AEBF54">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6)固定床生物膜工艺</w:t>
      </w:r>
    </w:p>
    <w:p w14:paraId="764DA60B">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①固定床生物膜工艺内的填料（FBBR填料）以固定状态填充于生物反应器内，填料填充体积占反应器总体积超过80%。</w:t>
      </w:r>
    </w:p>
    <w:p w14:paraId="0067E45E">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②FBBR填料由多块波纹板片螺杆串装而成的弯曲导流规整填料；每块波纹板片粘接后每层填料顶部/底部构成菱形孔隙，中部如漏斗般逐渐收缩；层与层之间交叉叠放，使得菱形管腔通道中心竖直对着下一层通道的交叉点。</w:t>
      </w:r>
    </w:p>
    <w:p w14:paraId="47808B31">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③填料材质为PVC。</w:t>
      </w:r>
    </w:p>
    <w:p w14:paraId="700C8881">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④单块FBBR填料尺寸长度1200mm，宽度600mm，高度100mm，误差控制在±2%内。</w:t>
      </w:r>
    </w:p>
    <w:p w14:paraId="282671CC">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⑤95%以上的微生物以附着形式生长，调试时无需投加活性污泥。</w:t>
      </w:r>
    </w:p>
    <w:p w14:paraId="44E1DC53">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⑥采用间歇曝气和精确曝气方式，根据溶解氧上下限控制曝气量。</w:t>
      </w:r>
    </w:p>
    <w:p w14:paraId="29B91656">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好氧池间歇曝气的方式可实现同步硝化反硝化过程，无需二沉池、内回流泵和外回流泵。</w:t>
      </w:r>
    </w:p>
    <w:p w14:paraId="4A3228B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采用微孔曝气管，气孔密度大于2500个/m，气泡直径1±0.1mm（池底），标准氧转移效率大于40%，标准氧转移速率大于等于0.5kg/h，理论动力效率大于等于5kg/kw.h，服务面积0.2~0.4m2，阻力损失小于2500Pa，壁厚0.4~0.5mm，带自清洗功能，支持不停产更换，使用寿命大于10年，能长期维持曝气的均匀性和较高的氧利用率（大于40%）。</w:t>
      </w:r>
    </w:p>
    <w:p w14:paraId="5F893623">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⑦保证出水水质主要指标达到广西壮族自治区《农村生活污水处理设施水污染物排放标准》（DB45/2413-2021）中的一级标准。</w:t>
      </w:r>
    </w:p>
    <w:p w14:paraId="48F8EE6C">
      <w:pPr>
        <w:rPr>
          <w:rFonts w:hint="default" w:ascii="Times New Roman" w:hAnsi="Times New Roman" w:eastAsia="宋体" w:cs="Times New Roman"/>
          <w:b/>
          <w:bCs/>
          <w:snapToGrid w:val="0"/>
          <w:color w:val="auto"/>
          <w:kern w:val="0"/>
          <w:sz w:val="24"/>
          <w:szCs w:val="24"/>
          <w:highlight w:val="none"/>
          <w:lang w:val="en-US" w:eastAsia="zh-CN"/>
        </w:rPr>
      </w:pPr>
      <w:r>
        <w:rPr>
          <w:rFonts w:hint="default" w:ascii="Times New Roman" w:hAnsi="Times New Roman" w:eastAsia="宋体" w:cs="Times New Roman"/>
          <w:b/>
          <w:bCs/>
          <w:snapToGrid w:val="0"/>
          <w:color w:val="auto"/>
          <w:kern w:val="0"/>
          <w:sz w:val="24"/>
          <w:szCs w:val="24"/>
          <w:highlight w:val="none"/>
          <w:lang w:val="en-US" w:eastAsia="zh-CN"/>
        </w:rPr>
        <w:br w:type="page"/>
      </w:r>
    </w:p>
    <w:p w14:paraId="07B1A3EC">
      <w:pPr>
        <w:spacing w:line="360" w:lineRule="auto"/>
        <w:ind w:firstLine="482" w:firstLineChars="200"/>
        <w:jc w:val="left"/>
        <w:rPr>
          <w:rFonts w:hint="default" w:ascii="Times New Roman" w:hAnsi="Times New Roman" w:eastAsia="宋体" w:cs="Times New Roman"/>
          <w:b/>
          <w:bCs/>
          <w:snapToGrid w:val="0"/>
          <w:color w:val="auto"/>
          <w:kern w:val="0"/>
          <w:sz w:val="24"/>
          <w:szCs w:val="24"/>
          <w:highlight w:val="none"/>
          <w:lang w:val="en-US" w:eastAsia="zh-CN"/>
        </w:rPr>
      </w:pPr>
      <w:r>
        <w:rPr>
          <w:rFonts w:hint="default" w:ascii="Times New Roman" w:hAnsi="Times New Roman" w:eastAsia="宋体" w:cs="Times New Roman"/>
          <w:b/>
          <w:bCs/>
          <w:snapToGrid w:val="0"/>
          <w:color w:val="auto"/>
          <w:kern w:val="0"/>
          <w:sz w:val="24"/>
          <w:szCs w:val="24"/>
          <w:highlight w:val="none"/>
          <w:lang w:val="en-US" w:eastAsia="zh-CN"/>
        </w:rPr>
        <w:t>（3）回用水池</w:t>
      </w:r>
    </w:p>
    <w:p w14:paraId="11C7F425">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highlight w:val="none"/>
        </w:rPr>
        <w:t>设计功能：</w:t>
      </w:r>
      <w:r>
        <w:rPr>
          <w:rFonts w:hint="default" w:ascii="Times New Roman" w:hAnsi="Times New Roman" w:eastAsia="宋体" w:cs="Times New Roman"/>
          <w:snapToGrid w:val="0"/>
          <w:color w:val="auto"/>
          <w:kern w:val="0"/>
          <w:sz w:val="24"/>
          <w:szCs w:val="24"/>
          <w:highlight w:val="none"/>
          <w:lang w:val="en-US" w:eastAsia="zh-CN"/>
        </w:rPr>
        <w:t>暂存清水供回用</w:t>
      </w:r>
      <w:r>
        <w:rPr>
          <w:rFonts w:hint="default" w:ascii="Times New Roman" w:hAnsi="Times New Roman" w:eastAsia="宋体" w:cs="Times New Roman"/>
          <w:snapToGrid w:val="0"/>
          <w:color w:val="auto"/>
          <w:kern w:val="0"/>
          <w:sz w:val="24"/>
          <w:szCs w:val="24"/>
          <w:highlight w:val="none"/>
        </w:rPr>
        <w:t>和出</w:t>
      </w:r>
      <w:r>
        <w:rPr>
          <w:rFonts w:hint="default" w:ascii="Times New Roman" w:hAnsi="Times New Roman" w:eastAsia="宋体" w:cs="Times New Roman"/>
          <w:snapToGrid w:val="0"/>
          <w:color w:val="auto"/>
          <w:kern w:val="0"/>
          <w:sz w:val="24"/>
          <w:szCs w:val="24"/>
        </w:rPr>
        <w:t>水计量。</w:t>
      </w:r>
    </w:p>
    <w:p w14:paraId="2F0FC5C0">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rPr>
        <w:t>设计</w:t>
      </w:r>
      <w:r>
        <w:rPr>
          <w:rFonts w:hint="default" w:ascii="Times New Roman" w:hAnsi="Times New Roman" w:eastAsia="宋体" w:cs="Times New Roman"/>
          <w:snapToGrid w:val="0"/>
          <w:color w:val="auto"/>
          <w:kern w:val="0"/>
          <w:sz w:val="24"/>
          <w:szCs w:val="24"/>
          <w:lang w:val="en-US" w:eastAsia="zh-CN"/>
        </w:rPr>
        <w:t>规模</w:t>
      </w:r>
      <w:r>
        <w:rPr>
          <w:rFonts w:hint="default" w:ascii="Times New Roman" w:hAnsi="Times New Roman" w:eastAsia="宋体" w:cs="Times New Roman"/>
          <w:snapToGrid w:val="0"/>
          <w:color w:val="auto"/>
          <w:kern w:val="0"/>
          <w:sz w:val="24"/>
          <w:szCs w:val="24"/>
        </w:rPr>
        <w:t>：Q=</w:t>
      </w:r>
      <w:r>
        <w:rPr>
          <w:rFonts w:hint="eastAsia" w:ascii="Times New Roman" w:hAnsi="Times New Roman" w:eastAsia="宋体" w:cs="Times New Roman"/>
          <w:snapToGrid w:val="0"/>
          <w:color w:val="auto"/>
          <w:kern w:val="0"/>
          <w:sz w:val="24"/>
          <w:szCs w:val="24"/>
          <w:lang w:val="en-US" w:eastAsia="zh-CN"/>
        </w:rPr>
        <w:t>1</w:t>
      </w:r>
      <w:r>
        <w:rPr>
          <w:rFonts w:hint="eastAsia" w:cs="Times New Roman"/>
          <w:snapToGrid w:val="0"/>
          <w:color w:val="auto"/>
          <w:kern w:val="0"/>
          <w:sz w:val="24"/>
          <w:szCs w:val="24"/>
          <w:lang w:val="en-US" w:eastAsia="zh-CN"/>
        </w:rPr>
        <w:t>0</w:t>
      </w:r>
      <w:r>
        <w:rPr>
          <w:rFonts w:hint="default" w:ascii="Times New Roman" w:hAnsi="Times New Roman" w:eastAsia="宋体" w:cs="Times New Roman"/>
          <w:snapToGrid w:val="0"/>
          <w:color w:val="auto"/>
          <w:kern w:val="0"/>
          <w:sz w:val="24"/>
          <w:szCs w:val="24"/>
          <w:lang w:val="en-US" w:eastAsia="zh-CN"/>
        </w:rPr>
        <w:t>0</w:t>
      </w:r>
      <w:r>
        <w:rPr>
          <w:rFonts w:hint="default" w:ascii="Times New Roman" w:hAnsi="Times New Roman" w:eastAsia="宋体" w:cs="Times New Roman"/>
          <w:snapToGrid w:val="0"/>
          <w:color w:val="auto"/>
          <w:kern w:val="0"/>
          <w:sz w:val="24"/>
          <w:szCs w:val="24"/>
        </w:rPr>
        <w:t>m</w:t>
      </w:r>
      <w:r>
        <w:rPr>
          <w:rFonts w:hint="default" w:ascii="Times New Roman" w:hAnsi="Times New Roman" w:eastAsia="宋体" w:cs="Times New Roman"/>
          <w:snapToGrid w:val="0"/>
          <w:color w:val="auto"/>
          <w:kern w:val="0"/>
          <w:sz w:val="24"/>
          <w:szCs w:val="24"/>
          <w:vertAlign w:val="superscript"/>
        </w:rPr>
        <w:t>3</w:t>
      </w:r>
      <w:r>
        <w:rPr>
          <w:rFonts w:hint="default" w:ascii="Times New Roman" w:hAnsi="Times New Roman" w:eastAsia="宋体" w:cs="Times New Roman"/>
          <w:snapToGrid w:val="0"/>
          <w:color w:val="auto"/>
          <w:kern w:val="0"/>
          <w:sz w:val="24"/>
          <w:szCs w:val="24"/>
        </w:rPr>
        <w:t>/</w:t>
      </w:r>
      <w:r>
        <w:rPr>
          <w:rFonts w:hint="default" w:ascii="Times New Roman" w:hAnsi="Times New Roman" w:eastAsia="宋体" w:cs="Times New Roman"/>
          <w:snapToGrid w:val="0"/>
          <w:color w:val="auto"/>
          <w:kern w:val="0"/>
          <w:sz w:val="24"/>
          <w:szCs w:val="24"/>
          <w:lang w:val="en-US" w:eastAsia="zh-CN"/>
        </w:rPr>
        <w:t>d</w:t>
      </w:r>
      <w:r>
        <w:rPr>
          <w:rFonts w:hint="default" w:ascii="Times New Roman" w:hAnsi="Times New Roman" w:eastAsia="宋体" w:cs="Times New Roman"/>
          <w:snapToGrid w:val="0"/>
          <w:color w:val="auto"/>
          <w:kern w:val="0"/>
          <w:sz w:val="24"/>
          <w:szCs w:val="24"/>
        </w:rPr>
        <w:t>。</w:t>
      </w:r>
    </w:p>
    <w:p w14:paraId="5859A326">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清水井容积：</w:t>
      </w:r>
      <w:r>
        <w:rPr>
          <w:rFonts w:hint="eastAsia" w:ascii="Times New Roman" w:hAnsi="Times New Roman" w:eastAsia="宋体" w:cs="Times New Roman"/>
          <w:snapToGrid w:val="0"/>
          <w:color w:val="auto"/>
          <w:kern w:val="0"/>
          <w:sz w:val="24"/>
          <w:szCs w:val="24"/>
          <w:lang w:val="en-US" w:eastAsia="zh-CN"/>
        </w:rPr>
        <w:t>6</w:t>
      </w:r>
      <w:r>
        <w:rPr>
          <w:rFonts w:hint="default" w:ascii="Times New Roman" w:hAnsi="Times New Roman" w:eastAsia="宋体" w:cs="Times New Roman"/>
          <w:snapToGrid w:val="0"/>
          <w:color w:val="auto"/>
          <w:kern w:val="0"/>
          <w:sz w:val="24"/>
          <w:szCs w:val="24"/>
          <w:lang w:val="en-US" w:eastAsia="zh-CN"/>
        </w:rPr>
        <w:t>m</w:t>
      </w:r>
      <w:r>
        <w:rPr>
          <w:rFonts w:hint="default" w:ascii="Times New Roman" w:hAnsi="Times New Roman" w:eastAsia="宋体" w:cs="Times New Roman"/>
          <w:snapToGrid w:val="0"/>
          <w:color w:val="auto"/>
          <w:kern w:val="0"/>
          <w:sz w:val="24"/>
          <w:szCs w:val="24"/>
          <w:vertAlign w:val="superscript"/>
          <w:lang w:val="en-US" w:eastAsia="zh-CN"/>
        </w:rPr>
        <w:t>3</w:t>
      </w:r>
      <w:r>
        <w:rPr>
          <w:rFonts w:hint="default" w:ascii="Times New Roman" w:hAnsi="Times New Roman" w:eastAsia="宋体" w:cs="Times New Roman"/>
          <w:snapToGrid w:val="0"/>
          <w:color w:val="auto"/>
          <w:kern w:val="0"/>
          <w:sz w:val="24"/>
          <w:szCs w:val="24"/>
          <w:lang w:val="en-US" w:eastAsia="zh-CN"/>
        </w:rPr>
        <w:t>。</w:t>
      </w:r>
    </w:p>
    <w:p w14:paraId="6421A81D">
      <w:pPr>
        <w:spacing w:line="360" w:lineRule="auto"/>
        <w:ind w:firstLine="480" w:firstLineChars="200"/>
        <w:jc w:val="left"/>
        <w:rPr>
          <w:rFonts w:hint="default" w:ascii="Times New Roman" w:hAnsi="Times New Roman" w:eastAsia="宋体" w:cs="Times New Roman"/>
          <w:snapToGrid w:val="0"/>
          <w:color w:val="auto"/>
          <w:kern w:val="0"/>
          <w:sz w:val="24"/>
          <w:szCs w:val="24"/>
        </w:rPr>
      </w:pPr>
      <w:r>
        <w:rPr>
          <w:rFonts w:hint="default" w:ascii="Times New Roman" w:hAnsi="Times New Roman" w:eastAsia="宋体" w:cs="Times New Roman"/>
          <w:snapToGrid w:val="0"/>
          <w:color w:val="auto"/>
          <w:kern w:val="0"/>
          <w:sz w:val="24"/>
          <w:szCs w:val="24"/>
        </w:rPr>
        <w:t>主要设备：</w:t>
      </w:r>
    </w:p>
    <w:p w14:paraId="2DA43805">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①潜污泵，</w:t>
      </w:r>
      <w:r>
        <w:rPr>
          <w:rFonts w:hint="eastAsia" w:ascii="Times New Roman" w:hAnsi="Times New Roman" w:eastAsia="宋体" w:cs="Times New Roman"/>
          <w:snapToGrid w:val="0"/>
          <w:color w:val="auto"/>
          <w:kern w:val="0"/>
          <w:sz w:val="24"/>
          <w:szCs w:val="24"/>
          <w:lang w:val="en-US" w:eastAsia="zh-CN"/>
        </w:rPr>
        <w:t>2</w:t>
      </w:r>
      <w:r>
        <w:rPr>
          <w:rFonts w:hint="default" w:ascii="Times New Roman" w:hAnsi="Times New Roman" w:eastAsia="宋体" w:cs="Times New Roman"/>
          <w:snapToGrid w:val="0"/>
          <w:color w:val="auto"/>
          <w:kern w:val="0"/>
          <w:sz w:val="24"/>
          <w:szCs w:val="24"/>
          <w:lang w:val="en-US" w:eastAsia="zh-CN"/>
        </w:rPr>
        <w:t>台，</w:t>
      </w:r>
      <w:r>
        <w:rPr>
          <w:rFonts w:hint="eastAsia" w:ascii="Times New Roman" w:hAnsi="Times New Roman" w:eastAsia="宋体" w:cs="Times New Roman"/>
          <w:snapToGrid w:val="0"/>
          <w:color w:val="auto"/>
          <w:kern w:val="0"/>
          <w:sz w:val="24"/>
          <w:szCs w:val="24"/>
          <w:lang w:val="en-US" w:eastAsia="zh-CN"/>
        </w:rPr>
        <w:t>一用一备，</w:t>
      </w:r>
      <w:r>
        <w:rPr>
          <w:rFonts w:hint="default" w:ascii="Times New Roman" w:hAnsi="Times New Roman" w:eastAsia="宋体" w:cs="Times New Roman"/>
          <w:snapToGrid w:val="0"/>
          <w:color w:val="auto"/>
          <w:kern w:val="0"/>
          <w:sz w:val="24"/>
          <w:szCs w:val="24"/>
          <w:lang w:val="en-US" w:eastAsia="zh-CN"/>
        </w:rPr>
        <w:t>流量</w:t>
      </w:r>
      <w:r>
        <w:rPr>
          <w:rFonts w:hint="eastAsia" w:ascii="Times New Roman" w:hAnsi="Times New Roman" w:eastAsia="宋体" w:cs="Times New Roman"/>
          <w:snapToGrid w:val="0"/>
          <w:color w:val="auto"/>
          <w:kern w:val="0"/>
          <w:sz w:val="24"/>
          <w:szCs w:val="24"/>
          <w:lang w:val="en-US" w:eastAsia="zh-CN"/>
        </w:rPr>
        <w:t>8</w:t>
      </w:r>
      <w:r>
        <w:rPr>
          <w:rFonts w:hint="default" w:ascii="Times New Roman" w:hAnsi="Times New Roman" w:eastAsia="宋体" w:cs="Times New Roman"/>
          <w:snapToGrid w:val="0"/>
          <w:color w:val="auto"/>
          <w:kern w:val="0"/>
          <w:sz w:val="24"/>
          <w:szCs w:val="24"/>
          <w:lang w:val="en-US" w:eastAsia="zh-CN"/>
        </w:rPr>
        <w:t>m</w:t>
      </w:r>
      <w:r>
        <w:rPr>
          <w:rFonts w:hint="default" w:ascii="Times New Roman" w:hAnsi="Times New Roman" w:eastAsia="宋体" w:cs="Times New Roman"/>
          <w:snapToGrid w:val="0"/>
          <w:color w:val="auto"/>
          <w:kern w:val="0"/>
          <w:sz w:val="24"/>
          <w:szCs w:val="24"/>
          <w:vertAlign w:val="superscript"/>
          <w:lang w:val="en-US" w:eastAsia="zh-CN"/>
        </w:rPr>
        <w:t>3</w:t>
      </w:r>
      <w:r>
        <w:rPr>
          <w:rFonts w:hint="default" w:ascii="Times New Roman" w:hAnsi="Times New Roman" w:eastAsia="宋体" w:cs="Times New Roman"/>
          <w:snapToGrid w:val="0"/>
          <w:color w:val="auto"/>
          <w:kern w:val="0"/>
          <w:sz w:val="24"/>
          <w:szCs w:val="24"/>
          <w:lang w:val="en-US" w:eastAsia="zh-CN"/>
        </w:rPr>
        <w:t>/h，扬程</w:t>
      </w:r>
      <w:r>
        <w:rPr>
          <w:rFonts w:hint="eastAsia" w:ascii="Times New Roman" w:hAnsi="Times New Roman" w:eastAsia="宋体" w:cs="Times New Roman"/>
          <w:snapToGrid w:val="0"/>
          <w:color w:val="auto"/>
          <w:kern w:val="0"/>
          <w:sz w:val="24"/>
          <w:szCs w:val="24"/>
          <w:lang w:val="en-US" w:eastAsia="zh-CN"/>
        </w:rPr>
        <w:t>8</w:t>
      </w:r>
      <w:r>
        <w:rPr>
          <w:rFonts w:hint="default" w:ascii="Times New Roman" w:hAnsi="Times New Roman" w:eastAsia="宋体" w:cs="Times New Roman"/>
          <w:snapToGrid w:val="0"/>
          <w:color w:val="auto"/>
          <w:kern w:val="0"/>
          <w:sz w:val="24"/>
          <w:szCs w:val="24"/>
          <w:lang w:val="en-US" w:eastAsia="zh-CN"/>
        </w:rPr>
        <w:t>m，功率</w:t>
      </w:r>
      <w:r>
        <w:rPr>
          <w:rFonts w:hint="eastAsia" w:ascii="Times New Roman" w:hAnsi="Times New Roman" w:eastAsia="宋体" w:cs="Times New Roman"/>
          <w:snapToGrid w:val="0"/>
          <w:color w:val="auto"/>
          <w:kern w:val="0"/>
          <w:sz w:val="24"/>
          <w:szCs w:val="24"/>
          <w:lang w:val="en-US" w:eastAsia="zh-CN"/>
        </w:rPr>
        <w:t>55</w:t>
      </w:r>
      <w:r>
        <w:rPr>
          <w:rFonts w:hint="default" w:ascii="Times New Roman" w:hAnsi="Times New Roman" w:eastAsia="宋体" w:cs="Times New Roman"/>
          <w:snapToGrid w:val="0"/>
          <w:color w:val="auto"/>
          <w:kern w:val="0"/>
          <w:sz w:val="24"/>
          <w:szCs w:val="24"/>
          <w:lang w:val="en-US" w:eastAsia="zh-CN"/>
        </w:rPr>
        <w:t>0W。</w:t>
      </w:r>
    </w:p>
    <w:p w14:paraId="55BACE25">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②浮球液位计0~5m，4~20mA。</w:t>
      </w:r>
    </w:p>
    <w:p w14:paraId="2FB17565">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③电磁流量计，DN25,PN1.6MPa。</w:t>
      </w:r>
    </w:p>
    <w:p w14:paraId="75F0FC4F">
      <w:pPr>
        <w:spacing w:line="360" w:lineRule="auto"/>
        <w:ind w:firstLine="482" w:firstLineChars="200"/>
        <w:jc w:val="left"/>
        <w:rPr>
          <w:rFonts w:hint="default" w:ascii="Times New Roman" w:hAnsi="Times New Roman" w:eastAsia="宋体" w:cs="Times New Roman"/>
          <w:b/>
          <w:bCs/>
          <w:snapToGrid w:val="0"/>
          <w:color w:val="auto"/>
          <w:kern w:val="0"/>
          <w:sz w:val="24"/>
          <w:szCs w:val="24"/>
          <w:highlight w:val="none"/>
          <w:lang w:val="en-US" w:eastAsia="zh-CN"/>
        </w:rPr>
      </w:pPr>
      <w:r>
        <w:rPr>
          <w:rFonts w:hint="default" w:ascii="Times New Roman" w:hAnsi="Times New Roman" w:eastAsia="宋体" w:cs="Times New Roman"/>
          <w:b/>
          <w:bCs/>
          <w:snapToGrid w:val="0"/>
          <w:color w:val="auto"/>
          <w:kern w:val="0"/>
          <w:sz w:val="24"/>
          <w:szCs w:val="24"/>
          <w:highlight w:val="none"/>
          <w:lang w:val="en-US" w:eastAsia="zh-CN"/>
        </w:rPr>
        <w:t>（4）其他</w:t>
      </w:r>
    </w:p>
    <w:p w14:paraId="5C4591ED">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lang w:val="en-US" w:eastAsia="zh-CN"/>
        </w:rPr>
        <w:t>配电箱、控制柜、阀门阀件、管道等附件。</w:t>
      </w:r>
    </w:p>
    <w:p w14:paraId="463A9DCB">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智慧管家控制柜：</w:t>
      </w:r>
    </w:p>
    <w:p w14:paraId="1709E144">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尺寸1760×600×400mm，误差控制在±2%以内；</w:t>
      </w:r>
    </w:p>
    <w:p w14:paraId="2FD0F282">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主要功能：</w:t>
      </w:r>
    </w:p>
    <w:p w14:paraId="53763EC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1）可远程上传数据，配合农村污水智能巡维系统实现远程控制功能；</w:t>
      </w:r>
    </w:p>
    <w:p w14:paraId="7F2F872D">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2）自动精准曝气，可实现间歇曝气、常曝气、按照溶解氧自动调节曝气；</w:t>
      </w:r>
    </w:p>
    <w:p w14:paraId="19D034FC">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3）进水具备时间和液位双重控制功能；</w:t>
      </w:r>
    </w:p>
    <w:p w14:paraId="67183287">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4）出水具备液位控制功能；</w:t>
      </w:r>
    </w:p>
    <w:p w14:paraId="30FA6235">
      <w:pPr>
        <w:spacing w:line="360" w:lineRule="auto"/>
        <w:ind w:firstLine="480" w:firstLineChars="200"/>
        <w:jc w:val="left"/>
        <w:rPr>
          <w:rFonts w:hint="default" w:ascii="Times New Roman" w:hAnsi="Times New Roman" w:eastAsia="宋体" w:cs="Times New Roman"/>
          <w:snapToGrid w:val="0"/>
          <w:color w:val="auto"/>
          <w:kern w:val="0"/>
          <w:sz w:val="24"/>
          <w:szCs w:val="24"/>
          <w:highlight w:val="none"/>
          <w:lang w:val="en-US" w:eastAsia="zh-CN"/>
        </w:rPr>
      </w:pPr>
      <w:r>
        <w:rPr>
          <w:rFonts w:hint="default" w:ascii="Times New Roman" w:hAnsi="Times New Roman" w:eastAsia="宋体" w:cs="Times New Roman"/>
          <w:snapToGrid w:val="0"/>
          <w:color w:val="auto"/>
          <w:kern w:val="0"/>
          <w:sz w:val="24"/>
          <w:szCs w:val="24"/>
          <w:highlight w:val="none"/>
          <w:lang w:val="en-US" w:eastAsia="zh-CN"/>
        </w:rPr>
        <w:t>配备12寸触摸屏4G网关等硬件；</w:t>
      </w:r>
    </w:p>
    <w:p w14:paraId="2EC56C87">
      <w:pPr>
        <w:spacing w:line="360" w:lineRule="auto"/>
        <w:ind w:firstLine="480" w:firstLineChars="200"/>
        <w:jc w:val="left"/>
        <w:rPr>
          <w:rFonts w:hint="default" w:ascii="Times New Roman" w:hAnsi="Times New Roman" w:eastAsia="宋体" w:cs="Times New Roman"/>
          <w:snapToGrid w:val="0"/>
          <w:color w:val="auto"/>
          <w:kern w:val="0"/>
          <w:sz w:val="24"/>
          <w:szCs w:val="24"/>
          <w:lang w:val="en-US" w:eastAsia="zh-CN"/>
        </w:rPr>
      </w:pPr>
      <w:r>
        <w:rPr>
          <w:rFonts w:hint="default" w:ascii="Times New Roman" w:hAnsi="Times New Roman" w:eastAsia="宋体" w:cs="Times New Roman"/>
          <w:snapToGrid w:val="0"/>
          <w:color w:val="auto"/>
          <w:kern w:val="0"/>
          <w:sz w:val="24"/>
          <w:szCs w:val="24"/>
          <w:highlight w:val="none"/>
          <w:lang w:val="en-US" w:eastAsia="zh-CN"/>
        </w:rPr>
        <w:t>电柜内可同时放置多台曝气风机。</w:t>
      </w:r>
    </w:p>
    <w:p w14:paraId="1E0CA2F9">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lang w:val="en-US" w:eastAsia="zh-CN"/>
        </w:rPr>
        <w:t>5、工艺</w:t>
      </w:r>
      <w:r>
        <w:rPr>
          <w:rFonts w:hint="default" w:ascii="Times New Roman" w:hAnsi="Times New Roman" w:eastAsia="宋体" w:cs="Times New Roman"/>
          <w:b/>
          <w:bCs/>
          <w:color w:val="auto"/>
          <w:sz w:val="24"/>
          <w:szCs w:val="24"/>
        </w:rPr>
        <w:t>管道</w:t>
      </w:r>
    </w:p>
    <w:p w14:paraId="1B1276D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管材与接口：本工程</w:t>
      </w:r>
      <w:r>
        <w:rPr>
          <w:rFonts w:hint="default" w:ascii="Times New Roman" w:hAnsi="Times New Roman" w:eastAsia="宋体" w:cs="Times New Roman"/>
          <w:color w:val="auto"/>
          <w:sz w:val="24"/>
          <w:szCs w:val="24"/>
          <w:lang w:val="en-US" w:eastAsia="zh-CN"/>
        </w:rPr>
        <w:t>工艺管道采用压力性PVC给水管，厂家配套的管件连接</w:t>
      </w:r>
      <w:r>
        <w:rPr>
          <w:rFonts w:hint="default" w:ascii="Times New Roman" w:hAnsi="Times New Roman" w:eastAsia="宋体" w:cs="Times New Roman"/>
          <w:color w:val="auto"/>
          <w:sz w:val="24"/>
          <w:szCs w:val="24"/>
        </w:rPr>
        <w:t>。塑料管与金属管及管路附件的连接采用法兰连接。</w:t>
      </w:r>
    </w:p>
    <w:p w14:paraId="61BF1B3C">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管道基础</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一般采用大开挖埋设</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参见管道沟槽开挖与回填大样图</w:t>
      </w:r>
      <w:r>
        <w:rPr>
          <w:rFonts w:hint="default" w:ascii="Times New Roman" w:hAnsi="Times New Roman" w:eastAsia="宋体" w:cs="Times New Roman"/>
          <w:color w:val="auto"/>
          <w:sz w:val="24"/>
          <w:szCs w:val="24"/>
        </w:rPr>
        <w:t>，如遇不良地基,需另按要求进行地基处理后再做管基施工,需通知设计人员到现场协调处理。</w:t>
      </w:r>
    </w:p>
    <w:p w14:paraId="7CBB103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管道防腐</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本工程工艺管道采用PVC材质，不需进行特殊防腐处理。</w:t>
      </w:r>
    </w:p>
    <w:p w14:paraId="3D7A12EC">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lang w:val="en-US" w:eastAsia="zh-CN"/>
        </w:rPr>
        <w:t>6、</w:t>
      </w:r>
      <w:r>
        <w:rPr>
          <w:rFonts w:hint="default" w:ascii="Times New Roman" w:hAnsi="Times New Roman" w:eastAsia="宋体" w:cs="Times New Roman"/>
          <w:b/>
          <w:bCs/>
          <w:color w:val="auto"/>
          <w:sz w:val="24"/>
          <w:szCs w:val="24"/>
        </w:rPr>
        <w:t>抗震设计</w:t>
      </w:r>
    </w:p>
    <w:p w14:paraId="1EDFC65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为防止地震时工艺设备及给排水管道系统失效或跌落造成人员伤亡及财产损失，根据《建筑抗震设计规范》（GB50011-2010）（2016年版）第1.0.2条、第3.7.1条及《建筑机电工程抗震设计规范》（GB50981－2014）第1.0.4条等强制性条文，应对工艺设备及管线系统进行抗震加固。</w:t>
      </w:r>
    </w:p>
    <w:p w14:paraId="12CD4F82">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对直径≥DN65的管道设置抗震支吊架，与混凝土、钢结构等须采取可靠的锚固形式，具体深化设计由设备安装单位完成。抗震支吊架的设置原则为：刚性管道侧向抗震支撑最大设计间距12米，纵向抗震支撑最大设计间距24米，柔性管道上述参数减半，为保证抗震系统的整体安全性，对长度低于300mm的吊杆，也建议进行适当的补强，最终间距根据现场实际情况确定，其他未尽事宜必须满足《建筑机电工程抗震设计》 GB 50981-2014及《室外给水排水和燃气热力工程抗震设计规范》 GB 50032-2003的相关要求。</w:t>
      </w:r>
    </w:p>
    <w:p w14:paraId="435A28CD">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lang w:val="en-US" w:eastAsia="zh-CN"/>
        </w:rPr>
        <w:t>7、</w:t>
      </w:r>
      <w:r>
        <w:rPr>
          <w:rFonts w:hint="default" w:ascii="Times New Roman" w:hAnsi="Times New Roman" w:eastAsia="宋体" w:cs="Times New Roman"/>
          <w:b/>
          <w:bCs/>
          <w:color w:val="auto"/>
          <w:sz w:val="24"/>
          <w:szCs w:val="24"/>
        </w:rPr>
        <w:t>运行管理要求及安全措施</w:t>
      </w:r>
    </w:p>
    <w:p w14:paraId="5E6B9C9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rPr>
        <w:t>考虑到格栅渠、</w:t>
      </w:r>
      <w:r>
        <w:rPr>
          <w:rFonts w:hint="default" w:ascii="Times New Roman" w:hAnsi="Times New Roman" w:eastAsia="宋体" w:cs="Times New Roman"/>
          <w:color w:val="auto"/>
          <w:sz w:val="24"/>
          <w:szCs w:val="24"/>
          <w:lang w:val="en-US" w:eastAsia="zh-CN"/>
        </w:rPr>
        <w:t>提升井</w:t>
      </w:r>
      <w:r>
        <w:rPr>
          <w:rFonts w:hint="default" w:ascii="Times New Roman" w:hAnsi="Times New Roman" w:eastAsia="宋体" w:cs="Times New Roman"/>
          <w:color w:val="auto"/>
          <w:sz w:val="24"/>
          <w:szCs w:val="24"/>
        </w:rPr>
        <w:t>的操作条件和确保操作人员安全，</w:t>
      </w:r>
      <w:r>
        <w:rPr>
          <w:rFonts w:hint="default" w:ascii="Times New Roman" w:hAnsi="Times New Roman" w:eastAsia="宋体" w:cs="Times New Roman"/>
          <w:color w:val="auto"/>
          <w:sz w:val="24"/>
          <w:szCs w:val="24"/>
          <w:lang w:val="en-US" w:eastAsia="zh-CN"/>
        </w:rPr>
        <w:t>在下井检修时应采用</w:t>
      </w:r>
      <w:r>
        <w:rPr>
          <w:rFonts w:hint="default" w:ascii="Times New Roman" w:hAnsi="Times New Roman" w:eastAsia="宋体" w:cs="Times New Roman"/>
          <w:color w:val="auto"/>
          <w:sz w:val="24"/>
          <w:szCs w:val="24"/>
        </w:rPr>
        <w:t>移动式</w:t>
      </w:r>
      <w:r>
        <w:rPr>
          <w:rFonts w:hint="default" w:ascii="Times New Roman" w:hAnsi="Times New Roman" w:eastAsia="宋体" w:cs="Times New Roman"/>
          <w:color w:val="auto"/>
          <w:sz w:val="24"/>
          <w:szCs w:val="24"/>
          <w:lang w:val="en-US" w:eastAsia="zh-CN"/>
        </w:rPr>
        <w:t>通风</w:t>
      </w:r>
      <w:r>
        <w:rPr>
          <w:rFonts w:hint="default" w:ascii="Times New Roman" w:hAnsi="Times New Roman" w:eastAsia="宋体" w:cs="Times New Roman"/>
          <w:color w:val="auto"/>
          <w:sz w:val="24"/>
          <w:szCs w:val="24"/>
        </w:rPr>
        <w:t>设备</w:t>
      </w:r>
      <w:r>
        <w:rPr>
          <w:rFonts w:hint="default" w:ascii="Times New Roman" w:hAnsi="Times New Roman" w:eastAsia="宋体" w:cs="Times New Roman"/>
          <w:color w:val="auto"/>
          <w:sz w:val="24"/>
          <w:szCs w:val="24"/>
          <w:lang w:val="en-US" w:eastAsia="zh-CN"/>
        </w:rPr>
        <w:t>并携带</w:t>
      </w:r>
      <w:r>
        <w:rPr>
          <w:rFonts w:hint="default" w:ascii="Times New Roman" w:hAnsi="Times New Roman" w:eastAsia="宋体" w:cs="Times New Roman"/>
          <w:color w:val="auto"/>
          <w:sz w:val="24"/>
          <w:szCs w:val="24"/>
        </w:rPr>
        <w:t>便携式有害气体检测和报警装置，</w:t>
      </w:r>
      <w:r>
        <w:rPr>
          <w:rFonts w:hint="default" w:ascii="Times New Roman" w:hAnsi="Times New Roman" w:eastAsia="宋体" w:cs="Times New Roman"/>
          <w:color w:val="auto"/>
          <w:sz w:val="24"/>
          <w:szCs w:val="24"/>
          <w:lang w:val="en-US" w:eastAsia="zh-CN"/>
        </w:rPr>
        <w:t>确保安全的前提下下井操作</w:t>
      </w:r>
      <w:r>
        <w:rPr>
          <w:rFonts w:hint="default" w:ascii="Times New Roman" w:hAnsi="Times New Roman" w:eastAsia="宋体" w:cs="Times New Roman"/>
          <w:color w:val="auto"/>
          <w:sz w:val="24"/>
          <w:szCs w:val="24"/>
        </w:rPr>
        <w:t>。</w:t>
      </w:r>
    </w:p>
    <w:p w14:paraId="4F60C28F">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处理站试运行前，应加强上岗前的教育，进行人员培训，了解设计意图，熟悉设备性能，学习、遵照操作管理规程操作。</w:t>
      </w:r>
    </w:p>
    <w:p w14:paraId="045F4C9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处理站运行管理除按设计说明书中相关要求外，还应执行《城镇污水处理厂运行、维护及安全技术规程》CJJ60-2011中有关规定。</w:t>
      </w:r>
    </w:p>
    <w:p w14:paraId="175E45D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污水处理站运行前应由技术人员编制水厂操作管理规程。由于本处理站核心处理工艺为一体化设备，应请该设备厂家参与操作管理规程的编制。</w:t>
      </w:r>
    </w:p>
    <w:p w14:paraId="1F0AE7C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rPr>
        <w:t>设备操作管理应严格遵守供货方有关的安装、调试、使用说明中的要求。</w:t>
      </w:r>
    </w:p>
    <w:p w14:paraId="6B60C1B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所有管道施工安装时应在适当位置（地坪、池壁上、拐弯处及三通处）采用管卡。</w:t>
      </w:r>
    </w:p>
    <w:p w14:paraId="28755403">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（7）</w:t>
      </w:r>
      <w:r>
        <w:rPr>
          <w:rFonts w:hint="default" w:ascii="Times New Roman" w:hAnsi="Times New Roman" w:eastAsia="宋体" w:cs="Times New Roman"/>
          <w:color w:val="auto"/>
          <w:sz w:val="24"/>
          <w:szCs w:val="24"/>
        </w:rPr>
        <w:t>所有设备基础应待定货核实后，方可进行施工。</w:t>
      </w:r>
    </w:p>
    <w:p w14:paraId="3050DD2C">
      <w:pPr>
        <w:pStyle w:val="3"/>
        <w:keepNext/>
        <w:keepLines/>
        <w:pageBreakBefore w:val="0"/>
        <w:widowControl w:val="0"/>
        <w:kinsoku/>
        <w:wordWrap/>
        <w:overflowPunct/>
        <w:topLinePunct w:val="0"/>
        <w:autoSpaceDE/>
        <w:autoSpaceDN/>
        <w:bidi w:val="0"/>
        <w:adjustRightInd/>
        <w:snapToGrid/>
        <w:spacing w:before="0" w:after="0" w:line="360" w:lineRule="auto"/>
        <w:ind w:firstLine="482" w:firstLineChars="200"/>
        <w:jc w:val="left"/>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二</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电气</w:t>
      </w:r>
      <w:r>
        <w:rPr>
          <w:rFonts w:hint="default" w:ascii="Times New Roman" w:hAnsi="Times New Roman" w:eastAsia="宋体" w:cs="Times New Roman"/>
          <w:color w:val="auto"/>
          <w:sz w:val="24"/>
          <w:szCs w:val="24"/>
          <w:lang w:val="en-US" w:eastAsia="zh-CN"/>
        </w:rPr>
        <w:t>设计</w:t>
      </w:r>
    </w:p>
    <w:p w14:paraId="79443244">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负荷计算</w:t>
      </w:r>
    </w:p>
    <w:p w14:paraId="08A41B35">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根据《小城镇污水处理建设标准》，负荷等级均为三级负荷。负荷计算表详见下表：</w:t>
      </w:r>
    </w:p>
    <w:p w14:paraId="5083F129">
      <w:pPr>
        <w:pStyle w:val="71"/>
        <w:snapToGrid/>
        <w:ind w:firstLine="0" w:firstLineChars="0"/>
        <w:jc w:val="center"/>
        <w:rPr>
          <w:rFonts w:hint="default" w:ascii="Times New Roman" w:hAnsi="Times New Roman" w:eastAsia="宋体" w:cs="Times New Roman"/>
          <w:b/>
          <w:bCs/>
          <w:snapToGrid w:val="0"/>
          <w:color w:val="auto"/>
          <w:kern w:val="0"/>
        </w:rPr>
      </w:pPr>
      <w:r>
        <w:rPr>
          <w:rFonts w:hint="default" w:ascii="Times New Roman" w:hAnsi="Times New Roman" w:eastAsia="宋体" w:cs="Times New Roman"/>
          <w:b/>
          <w:bCs/>
          <w:snapToGrid w:val="0"/>
          <w:color w:val="auto"/>
          <w:kern w:val="0"/>
        </w:rPr>
        <w:t>负荷计算表</w:t>
      </w:r>
    </w:p>
    <w:tbl>
      <w:tblPr>
        <w:tblStyle w:val="52"/>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3443"/>
        <w:gridCol w:w="3923"/>
      </w:tblGrid>
      <w:tr w14:paraId="1311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9" w:type="pct"/>
          </w:tcPr>
          <w:p w14:paraId="394EB9E4">
            <w:pPr>
              <w:pStyle w:val="71"/>
              <w:snapToGrid/>
              <w:ind w:firstLine="0" w:firstLineChars="0"/>
              <w:jc w:val="center"/>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序号</w:t>
            </w:r>
          </w:p>
        </w:tc>
        <w:tc>
          <w:tcPr>
            <w:tcW w:w="2000" w:type="pct"/>
          </w:tcPr>
          <w:p w14:paraId="5DEDF99D">
            <w:pPr>
              <w:pStyle w:val="71"/>
              <w:snapToGrid/>
              <w:ind w:firstLine="0" w:firstLineChars="0"/>
              <w:jc w:val="center"/>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污水处理站规模</w:t>
            </w:r>
          </w:p>
        </w:tc>
        <w:tc>
          <w:tcPr>
            <w:tcW w:w="2279" w:type="pct"/>
          </w:tcPr>
          <w:p w14:paraId="1727CBFE">
            <w:pPr>
              <w:pStyle w:val="71"/>
              <w:snapToGrid/>
              <w:ind w:firstLine="0" w:firstLineChars="0"/>
              <w:jc w:val="center"/>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用电负荷</w:t>
            </w:r>
          </w:p>
        </w:tc>
      </w:tr>
      <w:tr w14:paraId="1304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pct"/>
          </w:tcPr>
          <w:p w14:paraId="0E16C30B">
            <w:pPr>
              <w:pStyle w:val="71"/>
              <w:snapToGrid/>
              <w:ind w:firstLine="0" w:firstLineChars="0"/>
              <w:jc w:val="center"/>
              <w:rPr>
                <w:rFonts w:hint="default" w:ascii="Times New Roman" w:hAnsi="Times New Roman" w:eastAsia="宋体" w:cs="Times New Roman"/>
                <w:snapToGrid w:val="0"/>
                <w:color w:val="auto"/>
                <w:kern w:val="0"/>
                <w:lang w:eastAsia="zh-CN"/>
              </w:rPr>
            </w:pPr>
            <w:r>
              <w:rPr>
                <w:rFonts w:hint="default" w:ascii="Times New Roman" w:hAnsi="Times New Roman" w:eastAsia="宋体" w:cs="Times New Roman"/>
                <w:snapToGrid w:val="0"/>
                <w:color w:val="auto"/>
                <w:kern w:val="0"/>
                <w:lang w:val="en-US" w:eastAsia="zh-CN"/>
              </w:rPr>
              <w:t>1</w:t>
            </w:r>
          </w:p>
        </w:tc>
        <w:tc>
          <w:tcPr>
            <w:tcW w:w="2000" w:type="pct"/>
          </w:tcPr>
          <w:p w14:paraId="38E11FF6">
            <w:pPr>
              <w:pStyle w:val="71"/>
              <w:snapToGrid/>
              <w:ind w:firstLine="0" w:firstLineChars="0"/>
              <w:jc w:val="center"/>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eastAsia" w:cs="Times New Roman"/>
                <w:snapToGrid w:val="0"/>
                <w:color w:val="auto"/>
                <w:kern w:val="0"/>
                <w:lang w:val="en-US" w:eastAsia="zh-CN"/>
              </w:rPr>
              <w:t>0</w:t>
            </w:r>
            <w:r>
              <w:rPr>
                <w:rFonts w:hint="default" w:ascii="Times New Roman" w:hAnsi="Times New Roman" w:eastAsia="宋体" w:cs="Times New Roman"/>
                <w:snapToGrid w:val="0"/>
                <w:color w:val="auto"/>
                <w:kern w:val="0"/>
                <w:lang w:val="en-US" w:eastAsia="zh-CN"/>
              </w:rPr>
              <w:t>0</w:t>
            </w:r>
            <w:r>
              <w:rPr>
                <w:rFonts w:hint="default" w:ascii="Times New Roman" w:hAnsi="Times New Roman" w:eastAsia="宋体" w:cs="Times New Roman"/>
                <w:snapToGrid w:val="0"/>
                <w:color w:val="auto"/>
                <w:kern w:val="0"/>
              </w:rPr>
              <w:t>m</w:t>
            </w:r>
            <w:r>
              <w:rPr>
                <w:rFonts w:hint="default" w:ascii="Times New Roman" w:hAnsi="Times New Roman" w:eastAsia="宋体" w:cs="Times New Roman"/>
                <w:snapToGrid w:val="0"/>
                <w:color w:val="auto"/>
                <w:kern w:val="0"/>
                <w:vertAlign w:val="superscript"/>
              </w:rPr>
              <w:t>3</w:t>
            </w:r>
          </w:p>
        </w:tc>
        <w:tc>
          <w:tcPr>
            <w:tcW w:w="2279" w:type="pct"/>
          </w:tcPr>
          <w:p w14:paraId="18AFBF19">
            <w:pPr>
              <w:pStyle w:val="71"/>
              <w:snapToGrid/>
              <w:ind w:firstLine="0" w:firstLineChars="0"/>
              <w:jc w:val="center"/>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2.70</w:t>
            </w:r>
            <w:r>
              <w:rPr>
                <w:rFonts w:hint="default" w:ascii="Times New Roman" w:hAnsi="Times New Roman" w:eastAsia="宋体" w:cs="Times New Roman"/>
                <w:snapToGrid w:val="0"/>
                <w:color w:val="auto"/>
                <w:kern w:val="0"/>
              </w:rPr>
              <w:t>kW</w:t>
            </w:r>
          </w:p>
        </w:tc>
      </w:tr>
    </w:tbl>
    <w:p w14:paraId="7754B50E">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供电电源</w:t>
      </w:r>
    </w:p>
    <w:p w14:paraId="76A3F0C4">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经过现场调查，本次设计污水处理站所处位置农村电网丰富，均能就近接入220V农村电网。</w:t>
      </w:r>
    </w:p>
    <w:p w14:paraId="76F9C575">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供电设计</w:t>
      </w:r>
    </w:p>
    <w:p w14:paraId="6CC022EE">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本次设计项目均为一体化处理设备，成套设备包含工艺设备、设备控制柜、设备内部连接管道及线缆等附件均由工艺设备厂家成套提供并集成于</w:t>
      </w:r>
      <w:r>
        <w:rPr>
          <w:rFonts w:hint="default" w:ascii="Times New Roman" w:hAnsi="Times New Roman" w:eastAsia="宋体" w:cs="Times New Roman"/>
          <w:snapToGrid w:val="0"/>
          <w:color w:val="auto"/>
          <w:kern w:val="0"/>
          <w:lang w:val="en-US" w:eastAsia="zh-CN"/>
        </w:rPr>
        <w:t>设备</w:t>
      </w:r>
      <w:r>
        <w:rPr>
          <w:rFonts w:hint="default" w:ascii="Times New Roman" w:hAnsi="Times New Roman" w:eastAsia="宋体" w:cs="Times New Roman"/>
          <w:snapToGrid w:val="0"/>
          <w:color w:val="auto"/>
          <w:kern w:val="0"/>
        </w:rPr>
        <w:t>外壳内。本次设计仅需考虑外部电源接入。采用架空线路就近接入农村电网。</w:t>
      </w:r>
    </w:p>
    <w:p w14:paraId="73DC3D4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rPr>
        <w:t>防雷接地</w:t>
      </w:r>
    </w:p>
    <w:p w14:paraId="1A734A1F">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（1）项目防雷接地、工作接地、保护接地、控制系统接地采用共用接地体方式，要求共用接地体接地电阻值不大于</w:t>
      </w: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rPr>
        <w:t>欧姆，并于成套设备内采用等电位联接。</w:t>
      </w:r>
    </w:p>
    <w:p w14:paraId="4441F300">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 xml:space="preserve">（2）低压配电系统采用TN-S接地形式，N线与PE线在变电所分开后不再合并。两线应以不同颜色区分，线路敷设时两线不得混接或错接。所有正常不带电，而当绝缘破坏有可能呈现电压的电气设备金属外壳、金属支架、电缆金属外皮、穿线钢管等均应可靠接PE线保护。 </w:t>
      </w:r>
    </w:p>
    <w:p w14:paraId="61B274D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（3）处理站所有外露金属管道、金属器件均应与箱体接地网可靠连接。</w:t>
      </w:r>
    </w:p>
    <w:p w14:paraId="1E13DD5D">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5、</w:t>
      </w:r>
      <w:r>
        <w:rPr>
          <w:rFonts w:hint="default" w:ascii="Times New Roman" w:hAnsi="Times New Roman" w:eastAsia="宋体" w:cs="Times New Roman"/>
          <w:snapToGrid w:val="0"/>
          <w:color w:val="auto"/>
          <w:kern w:val="0"/>
        </w:rPr>
        <w:t>电气抗震</w:t>
      </w:r>
    </w:p>
    <w:p w14:paraId="2EF4C1AF">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配电箱（柜）的安装：</w:t>
      </w:r>
    </w:p>
    <w:p w14:paraId="6C28D22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配电箱（柜）的安装螺栓或焊接强度应满足抗震要求；当底部安装螺栓或焊接强度不够时，应将顶部与进行连接；</w:t>
      </w:r>
    </w:p>
    <w:p w14:paraId="1C549CF9">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当配电箱（柜）非靠墙落地安装时，根部应采用金属膨胀螺栓或焊接的固定方式。壁式安装的配电箱与墙壁之间应采用金属膨胀螺栓连接；</w:t>
      </w:r>
    </w:p>
    <w:p w14:paraId="0F088220">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配电箱（柜）内的元器件应考虑与支承结构间的相互作用，元器件之间采用软连接，接线处应做防震处理；</w:t>
      </w:r>
    </w:p>
    <w:p w14:paraId="4C750188">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rPr>
        <w:t>配电箱（柜）面上的仪表应与柜体组装牢固。</w:t>
      </w:r>
    </w:p>
    <w:p w14:paraId="736F3F51">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配电导体应符合下列规定：</w:t>
      </w:r>
    </w:p>
    <w:p w14:paraId="4C2A62D4">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采用电缆或电线；</w:t>
      </w:r>
    </w:p>
    <w:p w14:paraId="5A84320F">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在电缆桥架、电缆槽盒内敷设的缆线在引进、引出和转弯处，应在长度上留有余量；</w:t>
      </w:r>
    </w:p>
    <w:p w14:paraId="00B90CA4">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接地线应采取防止地震时被切断的措施。</w:t>
      </w:r>
    </w:p>
    <w:p w14:paraId="5E18B95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电气管路敷设时应符合下列规定：</w:t>
      </w:r>
    </w:p>
    <w:p w14:paraId="3DAAAEA3">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线路采用金属导管、刚性塑料导管、电缆梯架或电缆槽盒敷设时，应使用刚性托架或支架固定，不宜使用吊架。当必须使用吊架时，应安装横向防晃吊架；</w:t>
      </w:r>
    </w:p>
    <w:p w14:paraId="3F0E43AA">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当金属导管、刚性塑料导管、电缆梯架或电缆槽盒穿越防火分区时，其缝隙应采用柔性防火封堵材料封堵，并应在贯穿部位附近设置抗震支撑；</w:t>
      </w:r>
    </w:p>
    <w:p w14:paraId="20126FFD">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金属导管、刚性塑料导管的直线段部分每隔30m应设置伸缩节。</w:t>
      </w:r>
    </w:p>
    <w:p w14:paraId="2454C426">
      <w:pPr>
        <w:pStyle w:val="71"/>
        <w:snapToGrid/>
        <w:ind w:firstLine="480"/>
        <w:rPr>
          <w:rFonts w:hint="default" w:ascii="Times New Roman" w:hAnsi="Times New Roman" w:eastAsia="宋体" w:cs="Times New Roman"/>
          <w:b/>
          <w:bCs/>
          <w:snapToGrid w:val="0"/>
          <w:color w:val="auto"/>
          <w:kern w:val="0"/>
          <w:lang w:val="en-US" w:eastAsia="zh-CN"/>
        </w:rPr>
      </w:pPr>
    </w:p>
    <w:p w14:paraId="6B37DEE0">
      <w:pPr>
        <w:pStyle w:val="71"/>
        <w:snapToGrid/>
        <w:ind w:firstLine="480"/>
        <w:rPr>
          <w:rFonts w:hint="default" w:ascii="Times New Roman" w:hAnsi="Times New Roman" w:eastAsia="宋体" w:cs="Times New Roman"/>
          <w:b/>
          <w:bCs/>
          <w:snapToGrid w:val="0"/>
          <w:color w:val="auto"/>
          <w:kern w:val="0"/>
        </w:rPr>
      </w:pPr>
      <w:r>
        <w:rPr>
          <w:rFonts w:hint="default" w:ascii="Times New Roman" w:hAnsi="Times New Roman" w:eastAsia="宋体" w:cs="Times New Roman"/>
          <w:b/>
          <w:bCs/>
          <w:snapToGrid w:val="0"/>
          <w:color w:val="auto"/>
          <w:kern w:val="0"/>
          <w:lang w:val="en-US" w:eastAsia="zh-CN"/>
        </w:rPr>
        <w:t>6、</w:t>
      </w:r>
      <w:r>
        <w:rPr>
          <w:rFonts w:hint="default" w:ascii="Times New Roman" w:hAnsi="Times New Roman" w:eastAsia="宋体" w:cs="Times New Roman"/>
          <w:b/>
          <w:bCs/>
          <w:snapToGrid w:val="0"/>
          <w:color w:val="auto"/>
          <w:kern w:val="0"/>
        </w:rPr>
        <w:t>其他</w:t>
      </w:r>
    </w:p>
    <w:p w14:paraId="18350DDD">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凡与施工有关而又未说明之处，参见国家标准图集施工，或与设计院协商解决。</w:t>
      </w:r>
    </w:p>
    <w:p w14:paraId="29754CE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施工时电气安装人员应与土建施工密切配合，做好电气管线的预埋，有关箱体的预留孔洞以及接地等工作。</w:t>
      </w:r>
    </w:p>
    <w:p w14:paraId="11BB394D">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电气设备及管线的安装应符合国家现行的电气装置安装工程施工及验收规范。</w:t>
      </w:r>
    </w:p>
    <w:p w14:paraId="59599832">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在厂家深化设计及提供的配套系统和施工时应严格执行《城镇给水排水技术规范》GB50788-2012第7.1、7.3、7.4节对电气专业、自控系统的要求。</w:t>
      </w:r>
    </w:p>
    <w:p w14:paraId="710BC2C6">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5</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厂家提供配电电气设备及系统时以及施工时还应严格执行CJJ 120-2018，第4、5章中相应的电气和自动控制系统要求。</w:t>
      </w:r>
    </w:p>
    <w:p w14:paraId="70AA9A1E">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6</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本工程应满足GB51348-2019，3.2.1、3.2.8、3.3.4、4.10.1、8.1.6、9.4.5、11.8.8、12.4.10、12.4.14、12.5.8、14.4.3、14.9.4条的要求。</w:t>
      </w:r>
    </w:p>
    <w:p w14:paraId="07DE0655">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7</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在施工时应严格执行GB50303-2015、GB50617-2010等施工及验收规范的要求。</w:t>
      </w:r>
    </w:p>
    <w:p w14:paraId="09DA197D">
      <w:pPr>
        <w:pStyle w:val="71"/>
        <w:snapToGrid/>
        <w:ind w:firstLine="480"/>
        <w:rPr>
          <w:rFonts w:hint="default" w:ascii="Times New Roman" w:hAnsi="Times New Roman" w:eastAsia="宋体" w:cs="Times New Roman"/>
          <w:snapToGrid w:val="0"/>
          <w:color w:val="auto"/>
          <w:kern w:val="0"/>
          <w:lang w:eastAsia="zh-CN"/>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8</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本工程在厂家深化设计及提供的配套系统和施工时应严格执行《城镇给水排水技术规范》GB50788-2012第7.1、7.3、7.4节</w:t>
      </w:r>
      <w:r>
        <w:rPr>
          <w:rFonts w:hint="default" w:ascii="Times New Roman" w:hAnsi="Times New Roman" w:eastAsia="宋体" w:cs="Times New Roman"/>
          <w:snapToGrid w:val="0"/>
          <w:color w:val="auto"/>
          <w:kern w:val="0"/>
          <w:lang w:eastAsia="zh-CN"/>
        </w:rPr>
        <w:t>。</w:t>
      </w:r>
    </w:p>
    <w:p w14:paraId="1E5EED35">
      <w:pPr>
        <w:pStyle w:val="71"/>
        <w:snapToGrid/>
        <w:ind w:firstLine="480"/>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五、抗震论证专项说明</w:t>
      </w:r>
    </w:p>
    <w:p w14:paraId="698CBBA8">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一</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场地条件判断：根据地勘资料本项目所在地无不良地质构造，无液化土和软土地基等不良地质情况，适宜排水管道</w:t>
      </w:r>
      <w:r>
        <w:rPr>
          <w:rFonts w:hint="default" w:ascii="Times New Roman" w:hAnsi="Times New Roman" w:eastAsia="宋体" w:cs="Times New Roman"/>
          <w:snapToGrid w:val="0"/>
          <w:color w:val="auto"/>
          <w:kern w:val="0"/>
          <w:lang w:val="en-US" w:eastAsia="zh-CN"/>
        </w:rPr>
        <w:t>及污水站的</w:t>
      </w:r>
      <w:r>
        <w:rPr>
          <w:rFonts w:hint="default" w:ascii="Times New Roman" w:hAnsi="Times New Roman" w:eastAsia="宋体" w:cs="Times New Roman"/>
          <w:snapToGrid w:val="0"/>
          <w:color w:val="auto"/>
          <w:kern w:val="0"/>
        </w:rPr>
        <w:t>建设。</w:t>
      </w:r>
    </w:p>
    <w:p w14:paraId="34E15320">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lang w:val="en-US" w:eastAsia="zh-CN"/>
        </w:rPr>
        <w:t>二</w:t>
      </w:r>
      <w:r>
        <w:rPr>
          <w:rFonts w:hint="default" w:ascii="Times New Roman" w:hAnsi="Times New Roman" w:eastAsia="宋体" w:cs="Times New Roman"/>
          <w:snapToGrid w:val="0"/>
          <w:color w:val="auto"/>
          <w:kern w:val="0"/>
          <w:lang w:eastAsia="zh-CN"/>
        </w:rPr>
        <w:t>）</w:t>
      </w:r>
      <w:r>
        <w:rPr>
          <w:rFonts w:hint="default" w:ascii="Times New Roman" w:hAnsi="Times New Roman" w:eastAsia="宋体" w:cs="Times New Roman"/>
          <w:snapToGrid w:val="0"/>
          <w:color w:val="auto"/>
          <w:kern w:val="0"/>
        </w:rPr>
        <w:t>本项目排水工程主要采用的管道结构及构造措施</w:t>
      </w:r>
    </w:p>
    <w:p w14:paraId="682BF23C">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1、</w:t>
      </w:r>
      <w:r>
        <w:rPr>
          <w:rFonts w:hint="default" w:ascii="Times New Roman" w:hAnsi="Times New Roman" w:eastAsia="宋体" w:cs="Times New Roman"/>
          <w:snapToGrid w:val="0"/>
          <w:color w:val="auto"/>
          <w:kern w:val="0"/>
        </w:rPr>
        <w:t>本项目埋地污水管主要采用承插口连接，采用柔性接口方式，基础采用</w:t>
      </w:r>
      <w:r>
        <w:rPr>
          <w:rFonts w:hint="default" w:ascii="Times New Roman" w:hAnsi="Times New Roman" w:eastAsia="宋体" w:cs="Times New Roman"/>
          <w:snapToGrid w:val="0"/>
          <w:color w:val="auto"/>
          <w:kern w:val="0"/>
          <w:lang w:val="en-US" w:eastAsia="zh-CN"/>
        </w:rPr>
        <w:t>中粗砂</w:t>
      </w:r>
      <w:r>
        <w:rPr>
          <w:rFonts w:hint="default" w:ascii="Times New Roman" w:hAnsi="Times New Roman" w:eastAsia="宋体" w:cs="Times New Roman"/>
          <w:snapToGrid w:val="0"/>
          <w:color w:val="auto"/>
          <w:kern w:val="0"/>
        </w:rPr>
        <w:t>基础，附属构筑物为砖砌检查井。</w:t>
      </w:r>
    </w:p>
    <w:p w14:paraId="364B3A1C">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2、</w:t>
      </w:r>
      <w:r>
        <w:rPr>
          <w:rFonts w:hint="default" w:ascii="Times New Roman" w:hAnsi="Times New Roman" w:eastAsia="宋体" w:cs="Times New Roman"/>
          <w:snapToGrid w:val="0"/>
          <w:color w:val="auto"/>
          <w:kern w:val="0"/>
        </w:rPr>
        <w:t>结构设计基准期：50年；结构设计使用年限：50年；结构设计安全等级：二级；结构重要性系数：1.0；地震烈度：依据《中国地震动峰值加速度区划图》（GB18306-2015），项目所在地的抗震设防烈度为6度，基本地震加速度为0.05g；抗震设防分类：标准设防类。</w:t>
      </w:r>
    </w:p>
    <w:p w14:paraId="3EBDEBD7">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3、</w:t>
      </w:r>
      <w:r>
        <w:rPr>
          <w:rFonts w:hint="default" w:ascii="Times New Roman" w:hAnsi="Times New Roman" w:eastAsia="宋体" w:cs="Times New Roman"/>
          <w:snapToGrid w:val="0"/>
          <w:color w:val="auto"/>
          <w:kern w:val="0"/>
        </w:rPr>
        <w:t>天然地基上的埋地管道，可不进行地基和基础的抗震验算；管道及检查井的选择满足设防烈度为6度，设计基本加速度峰值0.05g的地区使用。</w:t>
      </w:r>
    </w:p>
    <w:p w14:paraId="790BDAF6">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lang w:val="en-US" w:eastAsia="zh-CN"/>
        </w:rPr>
        <w:t>4、</w:t>
      </w:r>
      <w:r>
        <w:rPr>
          <w:rFonts w:hint="default" w:ascii="Times New Roman" w:hAnsi="Times New Roman" w:eastAsia="宋体" w:cs="Times New Roman"/>
          <w:snapToGrid w:val="0"/>
          <w:color w:val="auto"/>
          <w:kern w:val="0"/>
        </w:rPr>
        <w:t>根据《室外给水排水和燃气热力工程抗震设计规范》(GB 50032</w:t>
      </w:r>
      <w:r>
        <w:rPr>
          <w:rFonts w:hint="default" w:ascii="Times New Roman" w:hAnsi="Times New Roman" w:eastAsia="宋体" w:cs="Times New Roman"/>
          <w:snapToGrid w:val="0"/>
          <w:color w:val="auto"/>
          <w:kern w:val="0"/>
          <w:lang w:val="en-US" w:eastAsia="zh-CN"/>
        </w:rPr>
        <w:t>-</w:t>
      </w:r>
      <w:r>
        <w:rPr>
          <w:rFonts w:hint="default" w:ascii="Times New Roman" w:hAnsi="Times New Roman" w:eastAsia="宋体" w:cs="Times New Roman"/>
          <w:snapToGrid w:val="0"/>
          <w:color w:val="auto"/>
          <w:kern w:val="0"/>
        </w:rPr>
        <w:t>2003)中10.1.4条的规定及抗震论证分析，本工程不对管道结构及检查井进行抗震验算。</w:t>
      </w:r>
    </w:p>
    <w:p w14:paraId="4CC4275B">
      <w:pPr>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br w:type="page"/>
      </w:r>
    </w:p>
    <w:p w14:paraId="121C377F">
      <w:pPr>
        <w:pStyle w:val="71"/>
        <w:snapToGrid/>
        <w:ind w:firstLine="480"/>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六、“危大工·程”专项说明</w:t>
      </w:r>
    </w:p>
    <w:p w14:paraId="0F5AC6C0">
      <w:pPr>
        <w:pStyle w:val="71"/>
        <w:snapToGrid/>
        <w:ind w:firstLine="480"/>
        <w:rPr>
          <w:rFonts w:hint="default" w:ascii="Times New Roman" w:hAnsi="Times New Roman" w:eastAsia="宋体" w:cs="Times New Roman"/>
          <w:snapToGrid w:val="0"/>
          <w:color w:val="auto"/>
          <w:kern w:val="0"/>
        </w:rPr>
      </w:pPr>
      <w:r>
        <w:rPr>
          <w:rFonts w:hint="default" w:ascii="Times New Roman" w:hAnsi="Times New Roman" w:eastAsia="宋体" w:cs="Times New Roman"/>
          <w:snapToGrid w:val="0"/>
          <w:color w:val="auto"/>
          <w:kern w:val="0"/>
        </w:rPr>
        <w:t>根据2018年2月12日第37次部常务会议通过的《危险性较大的分部分项工程安全管理规定》（自2018年6月1日起施行），本项目涉及危险性较大的分部分项工程（简称“危大工程”）主要情况参见下表，施工单位在投标时应根据施工场地范围内的工程水文地质条件、周围环境及地下管线等构（建）筑的情况补充完善“危大工程”清单并明确相应的安全管理措施。</w:t>
      </w:r>
    </w:p>
    <w:tbl>
      <w:tblPr>
        <w:tblStyle w:val="51"/>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4"/>
        <w:gridCol w:w="3119"/>
        <w:gridCol w:w="2836"/>
        <w:gridCol w:w="2693"/>
      </w:tblGrid>
      <w:tr w14:paraId="39F3B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84" w:type="dxa"/>
          </w:tcPr>
          <w:p w14:paraId="01B5F30F">
            <w:pPr>
              <w:pStyle w:val="115"/>
              <w:spacing w:before="175"/>
              <w:ind w:left="165"/>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危险性分类</w:t>
            </w:r>
          </w:p>
        </w:tc>
        <w:tc>
          <w:tcPr>
            <w:tcW w:w="3119" w:type="dxa"/>
          </w:tcPr>
          <w:p w14:paraId="799A9D22">
            <w:pPr>
              <w:pStyle w:val="115"/>
              <w:spacing w:before="175"/>
              <w:ind w:left="718"/>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分部分项工程范围</w:t>
            </w:r>
          </w:p>
        </w:tc>
        <w:tc>
          <w:tcPr>
            <w:tcW w:w="2836" w:type="dxa"/>
          </w:tcPr>
          <w:p w14:paraId="640CF5B4">
            <w:pPr>
              <w:pStyle w:val="115"/>
              <w:spacing w:before="175"/>
              <w:ind w:left="470"/>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对应本工程范围识别</w:t>
            </w:r>
          </w:p>
        </w:tc>
        <w:tc>
          <w:tcPr>
            <w:tcW w:w="2693" w:type="dxa"/>
          </w:tcPr>
          <w:p w14:paraId="3EC4EF43">
            <w:pPr>
              <w:pStyle w:val="115"/>
              <w:spacing w:before="19"/>
              <w:ind w:left="165" w:right="155"/>
              <w:jc w:val="center"/>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对工程周边环境安全和工</w:t>
            </w:r>
          </w:p>
          <w:p w14:paraId="61C99744">
            <w:pPr>
              <w:pStyle w:val="115"/>
              <w:spacing w:before="43"/>
              <w:ind w:left="165" w:right="155"/>
              <w:jc w:val="center"/>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程施工安全的意见</w:t>
            </w:r>
          </w:p>
        </w:tc>
      </w:tr>
      <w:tr w14:paraId="16EFC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1384" w:type="dxa"/>
            <w:vMerge w:val="restart"/>
          </w:tcPr>
          <w:p w14:paraId="696C0BD0">
            <w:pPr>
              <w:pStyle w:val="115"/>
              <w:rPr>
                <w:rFonts w:hint="default" w:ascii="Times New Roman" w:hAnsi="Times New Roman" w:eastAsia="宋体" w:cs="Times New Roman"/>
                <w:color w:val="auto"/>
                <w:sz w:val="20"/>
              </w:rPr>
            </w:pPr>
          </w:p>
          <w:p w14:paraId="143A39B8">
            <w:pPr>
              <w:pStyle w:val="115"/>
              <w:rPr>
                <w:rFonts w:hint="default" w:ascii="Times New Roman" w:hAnsi="Times New Roman" w:eastAsia="宋体" w:cs="Times New Roman"/>
                <w:color w:val="auto"/>
                <w:sz w:val="20"/>
              </w:rPr>
            </w:pPr>
          </w:p>
          <w:p w14:paraId="1400E83F">
            <w:pPr>
              <w:pStyle w:val="115"/>
              <w:rPr>
                <w:rFonts w:hint="default" w:ascii="Times New Roman" w:hAnsi="Times New Roman" w:eastAsia="宋体" w:cs="Times New Roman"/>
                <w:color w:val="auto"/>
                <w:sz w:val="20"/>
              </w:rPr>
            </w:pPr>
          </w:p>
          <w:p w14:paraId="750E4CC0">
            <w:pPr>
              <w:pStyle w:val="115"/>
              <w:spacing w:before="1"/>
              <w:rPr>
                <w:rFonts w:hint="default" w:ascii="Times New Roman" w:hAnsi="Times New Roman" w:eastAsia="宋体" w:cs="Times New Roman"/>
                <w:color w:val="auto"/>
                <w:sz w:val="29"/>
              </w:rPr>
            </w:pPr>
          </w:p>
          <w:p w14:paraId="301C5718">
            <w:pPr>
              <w:pStyle w:val="115"/>
              <w:spacing w:before="1" w:line="278" w:lineRule="auto"/>
              <w:ind w:left="165" w:right="151"/>
              <w:jc w:val="both"/>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危险性较大的分部分项工程范围</w:t>
            </w:r>
          </w:p>
        </w:tc>
        <w:tc>
          <w:tcPr>
            <w:tcW w:w="3119" w:type="dxa"/>
          </w:tcPr>
          <w:p w14:paraId="5CF59CAA">
            <w:pPr>
              <w:pStyle w:val="115"/>
              <w:spacing w:before="9"/>
              <w:rPr>
                <w:rFonts w:hint="default" w:ascii="Times New Roman" w:hAnsi="Times New Roman" w:eastAsia="宋体" w:cs="Times New Roman"/>
                <w:color w:val="auto"/>
                <w:sz w:val="15"/>
              </w:rPr>
            </w:pPr>
          </w:p>
          <w:p w14:paraId="2DA1CEB8">
            <w:pPr>
              <w:pStyle w:val="115"/>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土方开挖工程</w:t>
            </w:r>
          </w:p>
          <w:p w14:paraId="4229371A">
            <w:pPr>
              <w:pStyle w:val="115"/>
              <w:spacing w:before="43" w:line="278" w:lineRule="auto"/>
              <w:ind w:right="165"/>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8"/>
                <w:sz w:val="21"/>
              </w:rPr>
              <w:t xml:space="preserve">开挖深度超过 </w:t>
            </w:r>
            <w:r>
              <w:rPr>
                <w:rFonts w:hint="default" w:ascii="Times New Roman" w:hAnsi="Times New Roman" w:eastAsia="宋体" w:cs="Times New Roman"/>
                <w:color w:val="auto"/>
                <w:sz w:val="21"/>
              </w:rPr>
              <w:t>3m（</w:t>
            </w:r>
            <w:r>
              <w:rPr>
                <w:rFonts w:hint="default" w:ascii="Times New Roman" w:hAnsi="Times New Roman" w:eastAsia="宋体" w:cs="Times New Roman"/>
                <w:color w:val="auto"/>
                <w:spacing w:val="-27"/>
                <w:sz w:val="21"/>
              </w:rPr>
              <w:t xml:space="preserve">含 </w:t>
            </w:r>
            <w:r>
              <w:rPr>
                <w:rFonts w:hint="default" w:ascii="Times New Roman" w:hAnsi="Times New Roman" w:eastAsia="宋体" w:cs="Times New Roman"/>
                <w:color w:val="auto"/>
                <w:sz w:val="21"/>
              </w:rPr>
              <w:t>3m）</w:t>
            </w:r>
            <w:r>
              <w:rPr>
                <w:rFonts w:hint="default" w:ascii="Times New Roman" w:hAnsi="Times New Roman" w:eastAsia="宋体" w:cs="Times New Roman"/>
                <w:color w:val="auto"/>
                <w:spacing w:val="-8"/>
                <w:sz w:val="21"/>
              </w:rPr>
              <w:t>的基</w:t>
            </w:r>
            <w:r>
              <w:rPr>
                <w:rFonts w:hint="default" w:ascii="Times New Roman" w:hAnsi="Times New Roman" w:eastAsia="宋体" w:cs="Times New Roman"/>
                <w:color w:val="auto"/>
                <w:sz w:val="21"/>
              </w:rPr>
              <w:t>坑（槽）的土方开挖工程。</w:t>
            </w:r>
          </w:p>
        </w:tc>
        <w:tc>
          <w:tcPr>
            <w:tcW w:w="2836" w:type="dxa"/>
          </w:tcPr>
          <w:p w14:paraId="59F437B3">
            <w:pPr>
              <w:pStyle w:val="115"/>
              <w:spacing w:before="9"/>
              <w:rPr>
                <w:rFonts w:hint="default" w:ascii="Times New Roman" w:hAnsi="Times New Roman" w:eastAsia="宋体" w:cs="Times New Roman"/>
                <w:color w:val="auto"/>
                <w:sz w:val="15"/>
              </w:rPr>
            </w:pPr>
          </w:p>
          <w:p w14:paraId="50B94A29">
            <w:pPr>
              <w:pStyle w:val="115"/>
              <w:spacing w:line="278" w:lineRule="auto"/>
              <w:ind w:left="107" w:right="-15"/>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6"/>
                <w:sz w:val="21"/>
                <w:lang w:val="en-US" w:eastAsia="zh-CN"/>
              </w:rPr>
              <w:t>污水处理站</w:t>
            </w:r>
            <w:r>
              <w:rPr>
                <w:rFonts w:hint="default" w:ascii="Times New Roman" w:hAnsi="Times New Roman" w:eastAsia="宋体" w:cs="Times New Roman"/>
                <w:color w:val="auto"/>
                <w:spacing w:val="-6"/>
                <w:sz w:val="21"/>
              </w:rPr>
              <w:t xml:space="preserve">基坑开挖深度大于 </w:t>
            </w:r>
            <w:r>
              <w:rPr>
                <w:rFonts w:hint="default" w:ascii="Times New Roman" w:hAnsi="Times New Roman" w:eastAsia="宋体" w:cs="Times New Roman"/>
                <w:color w:val="auto"/>
                <w:sz w:val="21"/>
              </w:rPr>
              <w:t>3</w:t>
            </w:r>
            <w:r>
              <w:rPr>
                <w:rFonts w:hint="default" w:ascii="Times New Roman" w:hAnsi="Times New Roman" w:eastAsia="宋体" w:cs="Times New Roman"/>
                <w:color w:val="auto"/>
                <w:spacing w:val="-22"/>
                <w:sz w:val="21"/>
              </w:rPr>
              <w:t xml:space="preserve"> 米， </w:t>
            </w:r>
            <w:r>
              <w:rPr>
                <w:rFonts w:hint="default" w:ascii="Times New Roman" w:hAnsi="Times New Roman" w:eastAsia="宋体" w:cs="Times New Roman"/>
                <w:color w:val="auto"/>
                <w:sz w:val="21"/>
              </w:rPr>
              <w:t>且采用放坡开挖的管道沟</w:t>
            </w:r>
          </w:p>
          <w:p w14:paraId="4CF16BD5">
            <w:pPr>
              <w:pStyle w:val="115"/>
              <w:spacing w:line="269" w:lineRule="exact"/>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槽。</w:t>
            </w:r>
          </w:p>
        </w:tc>
        <w:tc>
          <w:tcPr>
            <w:tcW w:w="2693" w:type="dxa"/>
            <w:vMerge w:val="restart"/>
          </w:tcPr>
          <w:p w14:paraId="6D183558">
            <w:pPr>
              <w:pStyle w:val="115"/>
              <w:spacing w:before="9" w:line="310" w:lineRule="atLeast"/>
              <w:ind w:left="105" w:right="98" w:firstLine="4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施工单位应当在危大工程施工前组织工程技术</w:t>
            </w:r>
            <w:r>
              <w:rPr>
                <w:rFonts w:hint="default" w:ascii="Times New Roman" w:hAnsi="Times New Roman" w:eastAsia="宋体" w:cs="Times New Roman"/>
                <w:color w:val="auto"/>
                <w:spacing w:val="-5"/>
                <w:sz w:val="21"/>
              </w:rPr>
              <w:t>人员编制专项施工方案。此</w:t>
            </w:r>
            <w:r>
              <w:rPr>
                <w:rFonts w:hint="default" w:ascii="Times New Roman" w:hAnsi="Times New Roman" w:eastAsia="宋体" w:cs="Times New Roman"/>
                <w:color w:val="auto"/>
                <w:spacing w:val="-9"/>
                <w:sz w:val="21"/>
              </w:rPr>
              <w:t>外，还需严格遵循《市政工程施工组织设计规范》</w:t>
            </w:r>
            <w:r>
              <w:rPr>
                <w:rFonts w:hint="default" w:ascii="Times New Roman" w:hAnsi="Times New Roman" w:eastAsia="宋体" w:cs="Times New Roman"/>
                <w:color w:val="auto"/>
                <w:spacing w:val="-62"/>
                <w:sz w:val="21"/>
              </w:rPr>
              <w:t>、《城</w:t>
            </w:r>
            <w:r>
              <w:rPr>
                <w:rFonts w:hint="default" w:ascii="Times New Roman" w:hAnsi="Times New Roman" w:eastAsia="宋体" w:cs="Times New Roman"/>
                <w:color w:val="auto"/>
                <w:sz w:val="21"/>
              </w:rPr>
              <w:t>镇排水管道维护安全技术</w:t>
            </w:r>
            <w:r>
              <w:rPr>
                <w:rFonts w:hint="default" w:ascii="Times New Roman" w:hAnsi="Times New Roman" w:eastAsia="宋体" w:cs="Times New Roman"/>
                <w:color w:val="auto"/>
                <w:spacing w:val="-8"/>
                <w:sz w:val="21"/>
              </w:rPr>
              <w:t>规程》、《城镇排水管渠与泵站运行、维护及安全技术规程》以及国家现行相关法</w:t>
            </w:r>
            <w:r>
              <w:rPr>
                <w:rFonts w:hint="default" w:ascii="Times New Roman" w:hAnsi="Times New Roman" w:eastAsia="宋体" w:cs="Times New Roman"/>
                <w:color w:val="auto"/>
                <w:sz w:val="21"/>
              </w:rPr>
              <w:t>律法规、标准的规定。</w:t>
            </w:r>
          </w:p>
        </w:tc>
      </w:tr>
      <w:tr w14:paraId="52A92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84" w:type="dxa"/>
            <w:vMerge w:val="continue"/>
          </w:tcPr>
          <w:p w14:paraId="1DB4508A">
            <w:pPr>
              <w:rPr>
                <w:rFonts w:hint="default" w:ascii="Times New Roman" w:hAnsi="Times New Roman" w:eastAsia="宋体" w:cs="Times New Roman"/>
                <w:color w:val="auto"/>
                <w:sz w:val="2"/>
                <w:szCs w:val="2"/>
              </w:rPr>
            </w:pPr>
          </w:p>
        </w:tc>
        <w:tc>
          <w:tcPr>
            <w:tcW w:w="3119" w:type="dxa"/>
          </w:tcPr>
          <w:p w14:paraId="5F122CBB">
            <w:pPr>
              <w:pStyle w:val="115"/>
              <w:spacing w:before="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起重吊装及安装拆卸工程</w:t>
            </w:r>
          </w:p>
          <w:p w14:paraId="50E13B6E">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pacing w:val="-2"/>
                <w:sz w:val="21"/>
                <w:lang w:val="en-US" w:eastAsia="zh-CN"/>
              </w:rPr>
              <w:t>1.</w:t>
            </w:r>
            <w:r>
              <w:rPr>
                <w:rFonts w:hint="default" w:ascii="Times New Roman" w:hAnsi="Times New Roman" w:eastAsia="宋体" w:cs="Times New Roman"/>
                <w:color w:val="auto"/>
                <w:spacing w:val="-2"/>
                <w:sz w:val="21"/>
              </w:rPr>
              <w:t xml:space="preserve">采用非常规起重设备、方法， </w:t>
            </w:r>
            <w:r>
              <w:rPr>
                <w:rFonts w:hint="default" w:ascii="Times New Roman" w:hAnsi="Times New Roman" w:eastAsia="宋体" w:cs="Times New Roman"/>
                <w:color w:val="auto"/>
                <w:spacing w:val="-6"/>
                <w:sz w:val="21"/>
              </w:rPr>
              <w:t xml:space="preserve">且单件起吊重量在 </w:t>
            </w:r>
            <w:r>
              <w:rPr>
                <w:rFonts w:hint="default" w:ascii="Times New Roman" w:hAnsi="Times New Roman" w:eastAsia="宋体" w:cs="Times New Roman"/>
                <w:color w:val="auto"/>
                <w:sz w:val="21"/>
              </w:rPr>
              <w:t>10kN</w:t>
            </w:r>
            <w:r>
              <w:rPr>
                <w:rFonts w:hint="default" w:ascii="Times New Roman" w:hAnsi="Times New Roman" w:eastAsia="宋体" w:cs="Times New Roman"/>
                <w:color w:val="auto"/>
                <w:spacing w:val="-14"/>
                <w:sz w:val="21"/>
              </w:rPr>
              <w:t xml:space="preserve"> 及以上的起重吊装工程。</w:t>
            </w:r>
          </w:p>
          <w:p w14:paraId="6D724C81">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pacing w:val="-14"/>
                <w:sz w:val="21"/>
              </w:rPr>
              <w:t>2.采用起重机械进行安装的工程。</w:t>
            </w:r>
          </w:p>
          <w:p w14:paraId="226BDDD2">
            <w:pPr>
              <w:pStyle w:val="115"/>
              <w:spacing w:before="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3.起重机械设备自身的安装、拆</w:t>
            </w:r>
          </w:p>
          <w:p w14:paraId="280E5030">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z w:val="21"/>
              </w:rPr>
              <w:t>卸。</w:t>
            </w:r>
          </w:p>
        </w:tc>
        <w:tc>
          <w:tcPr>
            <w:tcW w:w="2836" w:type="dxa"/>
          </w:tcPr>
          <w:p w14:paraId="095249FA">
            <w:pPr>
              <w:pStyle w:val="115"/>
              <w:rPr>
                <w:rFonts w:hint="default" w:ascii="Times New Roman" w:hAnsi="Times New Roman" w:eastAsia="宋体" w:cs="Times New Roman"/>
                <w:color w:val="auto"/>
                <w:sz w:val="20"/>
              </w:rPr>
            </w:pPr>
          </w:p>
          <w:p w14:paraId="4AD431FD">
            <w:pPr>
              <w:pStyle w:val="115"/>
              <w:rPr>
                <w:rFonts w:hint="default" w:ascii="Times New Roman" w:hAnsi="Times New Roman" w:eastAsia="宋体" w:cs="Times New Roman"/>
                <w:color w:val="auto"/>
                <w:sz w:val="20"/>
              </w:rPr>
            </w:pPr>
          </w:p>
          <w:p w14:paraId="0D4B401E">
            <w:pPr>
              <w:pStyle w:val="115"/>
              <w:spacing w:before="5"/>
              <w:rPr>
                <w:rFonts w:hint="default" w:ascii="Times New Roman" w:hAnsi="Times New Roman" w:eastAsia="宋体" w:cs="Times New Roman"/>
                <w:color w:val="auto"/>
                <w:sz w:val="22"/>
              </w:rPr>
            </w:pPr>
          </w:p>
          <w:p w14:paraId="78A22D08">
            <w:pPr>
              <w:pStyle w:val="115"/>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整体设备吊装。</w:t>
            </w:r>
          </w:p>
        </w:tc>
        <w:tc>
          <w:tcPr>
            <w:tcW w:w="2693" w:type="dxa"/>
            <w:vMerge w:val="continue"/>
          </w:tcPr>
          <w:p w14:paraId="71CD96D0">
            <w:pPr>
              <w:rPr>
                <w:rFonts w:hint="default" w:ascii="Times New Roman" w:hAnsi="Times New Roman" w:eastAsia="宋体" w:cs="Times New Roman"/>
                <w:color w:val="auto"/>
                <w:sz w:val="2"/>
                <w:szCs w:val="2"/>
              </w:rPr>
            </w:pPr>
          </w:p>
        </w:tc>
      </w:tr>
      <w:tr w14:paraId="2CC48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1384" w:type="dxa"/>
            <w:vMerge w:val="continue"/>
          </w:tcPr>
          <w:p w14:paraId="125793CE">
            <w:pPr>
              <w:rPr>
                <w:rFonts w:hint="default" w:ascii="Times New Roman" w:hAnsi="Times New Roman" w:eastAsia="宋体" w:cs="Times New Roman"/>
                <w:color w:val="auto"/>
                <w:sz w:val="2"/>
                <w:szCs w:val="2"/>
              </w:rPr>
            </w:pPr>
          </w:p>
        </w:tc>
        <w:tc>
          <w:tcPr>
            <w:tcW w:w="3119" w:type="dxa"/>
          </w:tcPr>
          <w:p w14:paraId="5F67DC30">
            <w:pPr>
              <w:pStyle w:val="115"/>
              <w:spacing w:before="19"/>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模板工程及支撑体系</w:t>
            </w:r>
          </w:p>
          <w:p w14:paraId="4B09F323">
            <w:pPr>
              <w:pStyle w:val="115"/>
              <w:numPr>
                <w:ilvl w:val="0"/>
                <w:numId w:val="0"/>
              </w:numPr>
              <w:spacing w:before="2" w:line="310" w:lineRule="atLeast"/>
              <w:ind w:right="60" w:rightChars="0"/>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11"/>
                <w:sz w:val="21"/>
              </w:rPr>
              <w:t xml:space="preserve">搭设高度 </w:t>
            </w:r>
            <w:r>
              <w:rPr>
                <w:rFonts w:hint="default" w:ascii="Times New Roman" w:hAnsi="Times New Roman" w:eastAsia="宋体" w:cs="Times New Roman"/>
                <w:color w:val="auto"/>
                <w:sz w:val="21"/>
              </w:rPr>
              <w:t>5m</w:t>
            </w:r>
            <w:r>
              <w:rPr>
                <w:rFonts w:hint="default" w:ascii="Times New Roman" w:hAnsi="Times New Roman" w:eastAsia="宋体" w:cs="Times New Roman"/>
                <w:color w:val="auto"/>
                <w:spacing w:val="-9"/>
                <w:sz w:val="21"/>
              </w:rPr>
              <w:t xml:space="preserve"> 及以上的混凝土模</w:t>
            </w:r>
            <w:r>
              <w:rPr>
                <w:rFonts w:hint="default" w:ascii="Times New Roman" w:hAnsi="Times New Roman" w:eastAsia="宋体" w:cs="Times New Roman"/>
                <w:color w:val="auto"/>
                <w:sz w:val="21"/>
              </w:rPr>
              <w:t>板</w:t>
            </w:r>
          </w:p>
        </w:tc>
        <w:tc>
          <w:tcPr>
            <w:tcW w:w="2836" w:type="dxa"/>
          </w:tcPr>
          <w:p w14:paraId="1D8FED7B">
            <w:pPr>
              <w:pStyle w:val="115"/>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检查井、跌水井等构筑物的模板工程</w:t>
            </w:r>
          </w:p>
        </w:tc>
        <w:tc>
          <w:tcPr>
            <w:tcW w:w="2693" w:type="dxa"/>
            <w:vMerge w:val="continue"/>
          </w:tcPr>
          <w:p w14:paraId="577327B9">
            <w:pPr>
              <w:rPr>
                <w:rFonts w:hint="default" w:ascii="Times New Roman" w:hAnsi="Times New Roman" w:eastAsia="宋体" w:cs="Times New Roman"/>
                <w:color w:val="auto"/>
                <w:sz w:val="2"/>
                <w:szCs w:val="2"/>
              </w:rPr>
            </w:pPr>
          </w:p>
        </w:tc>
      </w:tr>
    </w:tbl>
    <w:p w14:paraId="7F3B287D">
      <w:pPr>
        <w:pStyle w:val="71"/>
        <w:snapToGrid/>
        <w:ind w:firstLine="480"/>
        <w:rPr>
          <w:rFonts w:hint="default" w:ascii="Times New Roman" w:hAnsi="Times New Roman" w:eastAsia="宋体" w:cs="Times New Roman"/>
          <w:snapToGrid w:val="0"/>
          <w:color w:val="auto"/>
          <w:kern w:val="0"/>
        </w:rPr>
      </w:pPr>
    </w:p>
    <w:p w14:paraId="7D464FE8">
      <w:pPr>
        <w:pStyle w:val="71"/>
        <w:snapToGrid/>
        <w:ind w:firstLine="480"/>
        <w:rPr>
          <w:rFonts w:hint="eastAsia" w:ascii="宋体" w:hAnsi="宋体" w:eastAsia="宋体" w:cs="宋体"/>
          <w:snapToGrid w:val="0"/>
          <w:color w:val="auto"/>
          <w:kern w:val="0"/>
        </w:rPr>
      </w:pPr>
    </w:p>
    <w:sectPr>
      <w:headerReference r:id="rId3" w:type="default"/>
      <w:footerReference r:id="rId4" w:type="default"/>
      <w:footerReference r:id="rId5" w:type="even"/>
      <w:type w:val="continuous"/>
      <w:pgSz w:w="23814" w:h="16840" w:orient="landscape"/>
      <w:pgMar w:top="1588" w:right="1134" w:bottom="1304" w:left="1701"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A8B4D">
    <w:pPr>
      <w:pStyle w:val="29"/>
      <w:framePr w:wrap="around" w:vAnchor="text" w:hAnchor="page" w:x="21967" w:y="14"/>
      <w:rPr>
        <w:rFonts w:ascii="宋体" w:hAnsi="宋体"/>
        <w:b/>
        <w:bCs/>
        <w:w w:val="95"/>
        <w:szCs w:val="18"/>
      </w:rPr>
    </w:pPr>
    <w:r>
      <w:rPr>
        <w:rFonts w:hint="eastAsia" w:ascii="宋体" w:hAnsi="宋体"/>
        <w:b/>
        <w:bCs/>
        <w:w w:val="95"/>
        <w:szCs w:val="18"/>
      </w:rPr>
      <w:t xml:space="preserve">第 </w:t>
    </w:r>
    <w:r>
      <w:rPr>
        <w:rFonts w:hint="eastAsia" w:ascii="宋体" w:hAnsi="宋体"/>
        <w:b/>
        <w:bCs/>
        <w:w w:val="95"/>
        <w:szCs w:val="18"/>
      </w:rPr>
      <w:fldChar w:fldCharType="begin"/>
    </w:r>
    <w:r>
      <w:rPr>
        <w:rStyle w:val="54"/>
        <w:rFonts w:hint="eastAsia" w:ascii="宋体" w:hAnsi="宋体"/>
        <w:b/>
        <w:bCs/>
        <w:w w:val="95"/>
        <w:szCs w:val="18"/>
      </w:rPr>
      <w:instrText xml:space="preserve"> PAGE  </w:instrText>
    </w:r>
    <w:r>
      <w:rPr>
        <w:rFonts w:hint="eastAsia" w:ascii="宋体" w:hAnsi="宋体"/>
        <w:b/>
        <w:bCs/>
        <w:w w:val="95"/>
        <w:szCs w:val="18"/>
      </w:rPr>
      <w:fldChar w:fldCharType="separate"/>
    </w:r>
    <w:r>
      <w:rPr>
        <w:rStyle w:val="54"/>
        <w:rFonts w:ascii="宋体" w:hAnsi="宋体"/>
        <w:b/>
        <w:bCs/>
        <w:w w:val="95"/>
        <w:szCs w:val="18"/>
      </w:rPr>
      <w:t>32</w:t>
    </w:r>
    <w:r>
      <w:rPr>
        <w:rFonts w:hint="eastAsia" w:ascii="宋体" w:hAnsi="宋体"/>
        <w:b/>
        <w:bCs/>
        <w:w w:val="95"/>
        <w:szCs w:val="18"/>
      </w:rPr>
      <w:fldChar w:fldCharType="end"/>
    </w:r>
    <w:r>
      <w:rPr>
        <w:rFonts w:hint="eastAsia" w:ascii="宋体" w:hAnsi="宋体"/>
        <w:b/>
        <w:bCs/>
        <w:w w:val="95"/>
        <w:szCs w:val="18"/>
      </w:rPr>
      <w:t xml:space="preserve"> 页</w:t>
    </w:r>
  </w:p>
  <w:p w14:paraId="0A65A7D6">
    <w:pPr>
      <w:pStyle w:val="29"/>
      <w:ind w:firstLine="172" w:firstLineChars="100"/>
      <w:rPr>
        <w:rFonts w:ascii="宋体" w:hAnsi="宋体"/>
        <w:b/>
        <w:bCs/>
        <w:w w:val="95"/>
        <w:szCs w:val="18"/>
      </w:rPr>
    </w:pPr>
    <w:r>
      <w:rPr>
        <w:rFonts w:hint="default" w:ascii="宋体" w:hAnsi="宋体"/>
        <w:b/>
        <w:bCs/>
        <w:w w:val="95"/>
        <w:szCs w:val="18"/>
        <w:lang w:val="en-US"/>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-53340</wp:posOffset>
              </wp:positionV>
              <wp:extent cx="1476375" cy="635"/>
              <wp:effectExtent l="0" t="0" r="0" b="0"/>
              <wp:wrapNone/>
              <wp:docPr id="1" name="Line 1"/>
              <wp:cNvGraphicFramePr/>
              <a:graphic xmlns:a="http://schemas.openxmlformats.org/drawingml/2006/main">
                <a:graphicData uri="http://schemas.microsoft.com/office/word/2010/wordprocessingShape">
                  <wps:wsp>
                    <wps:cNvCnPr>
                      <a:cxnSpLocks noChangeShapeType="1"/>
                    </wps:cNvCnPr>
                    <wps:spPr bwMode="auto">
                      <a:xfrm>
                        <a:off x="0" y="0"/>
                        <a:ext cx="1476375" cy="635"/>
                      </a:xfrm>
                      <a:prstGeom prst="line">
                        <a:avLst/>
                      </a:prstGeom>
                      <a:noFill/>
                      <a:ln w="9525">
                        <a:solidFill>
                          <a:srgbClr val="000000"/>
                        </a:solidFill>
                        <a:round/>
                      </a:ln>
                      <a:effectLst/>
                    </wps:spPr>
                    <wps:bodyPr/>
                  </wps:wsp>
                </a:graphicData>
              </a:graphic>
            </wp:anchor>
          </w:drawing>
        </mc:Choice>
        <mc:Fallback>
          <w:pict>
            <v:line id="Line 1" o:spid="_x0000_s1026" o:spt="20" style="position:absolute;left:0pt;margin-left:8.4pt;margin-top:-4.2pt;height:0.05pt;width:116.25pt;z-index:251659264;mso-width-relative:page;mso-height-relative:page;" filled="f" stroked="t" coordsize="21600,21600" o:gfxdata="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M6Ru9YAAAAIAQAADwAAAAAAAAABACAAAAAiAAAA&#10;ZHJzL2Rvd25yZXYueG1sUEsBAhQAFAAAAAgAh07iQFiHqjbQAQAArwMAAA4AAAAAAAAAAQAgAAAA&#10;JQEAAGRycy9lMm9Eb2MueG1sUEsFBgAAAAAGAAYAWQEAAGcFAAAAAA==&#10;">
              <v:fill on="f" focussize="0,0"/>
              <v:stroke color="#000000" joinstyle="round"/>
              <v:imagedata o:title=""/>
              <o:lock v:ext="edit" aspectratio="f"/>
            </v:line>
          </w:pict>
        </mc:Fallback>
      </mc:AlternateContent>
    </w:r>
    <w:r>
      <w:rPr>
        <w:rFonts w:hint="eastAsia" w:ascii="宋体" w:hAnsi="宋体"/>
        <w:b/>
        <w:bCs/>
        <w:w w:val="95"/>
        <w:szCs w:val="18"/>
        <w:lang w:val="en-US" w:eastAsia="zh-CN"/>
      </w:rPr>
      <w:t>施工图</w:t>
    </w:r>
    <w:r>
      <w:rPr>
        <w:rFonts w:hint="eastAsia" w:ascii="宋体" w:hAnsi="宋体"/>
        <w:b/>
        <w:bCs/>
        <w:w w:val="95"/>
        <w:szCs w:val="18"/>
      </w:rPr>
      <w:t xml:space="preserve">设计 </w:t>
    </w:r>
    <w:r>
      <w:rPr>
        <w:rFonts w:hint="eastAsia" w:ascii="宋体" w:hAnsi="宋体"/>
        <w:b/>
        <w:bCs/>
        <w:w w:val="95"/>
        <w:szCs w:val="18"/>
        <w:highlight w:val="none"/>
      </w:rPr>
      <w:t xml:space="preserve"> 20</w:t>
    </w:r>
    <w:r>
      <w:rPr>
        <w:rFonts w:hint="eastAsia" w:ascii="宋体" w:hAnsi="宋体"/>
        <w:b/>
        <w:bCs/>
        <w:w w:val="95"/>
        <w:szCs w:val="18"/>
        <w:highlight w:val="none"/>
        <w:lang w:val="en-US" w:eastAsia="zh-CN"/>
      </w:rPr>
      <w:t>25.10</w:t>
    </w:r>
    <w:r>
      <w:rPr>
        <w:rFonts w:hint="eastAsia" w:ascii="宋体" w:hAnsi="宋体"/>
        <w:b/>
        <w:bCs/>
        <w:w w:val="95"/>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96AAB">
    <w:pPr>
      <w:pStyle w:val="29"/>
      <w:framePr w:wrap="around" w:vAnchor="text" w:hAnchor="margin" w:xAlign="right" w:y="1"/>
      <w:rPr>
        <w:rStyle w:val="54"/>
      </w:rPr>
    </w:pPr>
    <w:r>
      <w:fldChar w:fldCharType="begin"/>
    </w:r>
    <w:r>
      <w:rPr>
        <w:rStyle w:val="54"/>
      </w:rPr>
      <w:instrText xml:space="preserve">PAGE  </w:instrText>
    </w:r>
    <w:r>
      <w:fldChar w:fldCharType="separate"/>
    </w:r>
    <w:r>
      <w:rPr>
        <w:rStyle w:val="54"/>
      </w:rPr>
      <w:t>1</w:t>
    </w:r>
    <w:r>
      <w:fldChar w:fldCharType="end"/>
    </w:r>
  </w:p>
  <w:p w14:paraId="437D5B87">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A9C06">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b/>
        <w:snapToGrid w:val="0"/>
        <w:kern w:val="0"/>
        <w:sz w:val="21"/>
        <w:szCs w:val="21"/>
        <w:highlight w:val="none"/>
        <w:lang w:val="en-US" w:eastAsia="zh-CN"/>
      </w:rPr>
    </w:pPr>
    <w:r>
      <w:rPr>
        <w:rFonts w:hint="eastAsia" w:ascii="宋体" w:hAnsi="宋体"/>
        <w:b/>
        <w:snapToGrid w:val="0"/>
        <w:kern w:val="0"/>
        <w:sz w:val="21"/>
        <w:szCs w:val="21"/>
        <w:highlight w:val="none"/>
        <w:lang w:val="en-US" w:eastAsia="zh-CN"/>
      </w:rPr>
      <w:t xml:space="preserve"> </w:t>
    </w:r>
  </w:p>
  <w:p w14:paraId="07DF792A">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eastAsia="宋体"/>
        <w:b/>
        <w:snapToGrid w:val="0"/>
        <w:sz w:val="21"/>
        <w:szCs w:val="21"/>
        <w:lang w:val="en-US" w:eastAsia="zh-CN"/>
      </w:rPr>
    </w:pPr>
    <w:r>
      <w:rPr>
        <w:rFonts w:hint="eastAsia" w:ascii="宋体" w:hAnsi="宋体"/>
        <w:b/>
        <w:bCs/>
        <w:snapToGrid w:val="0"/>
        <w:kern w:val="0"/>
        <w:sz w:val="21"/>
        <w:szCs w:val="21"/>
        <w:lang w:val="en-US" w:eastAsia="zh-CN"/>
      </w:rPr>
      <w:t>桂林市漓江干支流“消劣返清”项目（七星区竹桥7组）</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b/>
        <w:snapToGrid w:val="0"/>
        <w:sz w:val="21"/>
        <w:szCs w:val="21"/>
        <w:lang w:val="en-US" w:eastAsia="zh-CN"/>
      </w:rPr>
      <w:t>施工图</w:t>
    </w:r>
    <w:r>
      <w:rPr>
        <w:rFonts w:hint="eastAsia" w:ascii="宋体" w:hAnsi="宋体"/>
        <w:b/>
        <w:snapToGrid w:val="0"/>
        <w:sz w:val="21"/>
        <w:szCs w:val="21"/>
      </w:rPr>
      <w:t>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7676"/>
    <w:multiLevelType w:val="singleLevel"/>
    <w:tmpl w:val="94137676"/>
    <w:lvl w:ilvl="0" w:tentative="0">
      <w:start w:val="1"/>
      <w:numFmt w:val="chineseCounting"/>
      <w:suff w:val="nothing"/>
      <w:lvlText w:val="%1、"/>
      <w:lvlJc w:val="left"/>
      <w:rPr>
        <w:rFonts w:hint="eastAsia"/>
      </w:rPr>
    </w:lvl>
  </w:abstractNum>
  <w:abstractNum w:abstractNumId="1">
    <w:nsid w:val="D9AC755B"/>
    <w:multiLevelType w:val="singleLevel"/>
    <w:tmpl w:val="D9AC755B"/>
    <w:lvl w:ilvl="0" w:tentative="0">
      <w:start w:val="1"/>
      <w:numFmt w:val="decimal"/>
      <w:suff w:val="nothing"/>
      <w:lvlText w:val="%1、"/>
      <w:lvlJc w:val="left"/>
    </w:lvl>
  </w:abstractNum>
  <w:abstractNum w:abstractNumId="2">
    <w:nsid w:val="0000001E"/>
    <w:multiLevelType w:val="singleLevel"/>
    <w:tmpl w:val="0000001E"/>
    <w:lvl w:ilvl="0" w:tentative="0">
      <w:start w:val="1"/>
      <w:numFmt w:val="upperLetter"/>
      <w:lvlText w:val="%1、"/>
      <w:lvlJc w:val="left"/>
      <w:pPr>
        <w:tabs>
          <w:tab w:val="left" w:pos="2070"/>
        </w:tabs>
        <w:ind w:left="2070" w:hanging="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ZDcwZDc2MGQ5ZjkxZjA5ZTFhMDAxNTRhOTVlMDgifQ=="/>
    <w:docVar w:name="KSO_WPS_MARK_KEY" w:val="06cf65f5-f8a9-4e38-bfad-a03f578d8350"/>
  </w:docVars>
  <w:rsids>
    <w:rsidRoot w:val="00172A27"/>
    <w:rsid w:val="0000083D"/>
    <w:rsid w:val="00001058"/>
    <w:rsid w:val="00001F8A"/>
    <w:rsid w:val="00001FD3"/>
    <w:rsid w:val="000049CA"/>
    <w:rsid w:val="00004E9B"/>
    <w:rsid w:val="00005216"/>
    <w:rsid w:val="00005FF3"/>
    <w:rsid w:val="000060CC"/>
    <w:rsid w:val="0000642D"/>
    <w:rsid w:val="00006768"/>
    <w:rsid w:val="000072A1"/>
    <w:rsid w:val="000073BC"/>
    <w:rsid w:val="000104CD"/>
    <w:rsid w:val="0001060F"/>
    <w:rsid w:val="00010F39"/>
    <w:rsid w:val="00011504"/>
    <w:rsid w:val="000123B1"/>
    <w:rsid w:val="000124F3"/>
    <w:rsid w:val="00012F58"/>
    <w:rsid w:val="00015ECF"/>
    <w:rsid w:val="000161BB"/>
    <w:rsid w:val="00017E07"/>
    <w:rsid w:val="000225A1"/>
    <w:rsid w:val="00022819"/>
    <w:rsid w:val="000230AD"/>
    <w:rsid w:val="00023181"/>
    <w:rsid w:val="000249BA"/>
    <w:rsid w:val="00024C20"/>
    <w:rsid w:val="000254A2"/>
    <w:rsid w:val="00025BCD"/>
    <w:rsid w:val="00025E7C"/>
    <w:rsid w:val="0002699A"/>
    <w:rsid w:val="000278E6"/>
    <w:rsid w:val="00030D2A"/>
    <w:rsid w:val="00031D09"/>
    <w:rsid w:val="000330A4"/>
    <w:rsid w:val="00033A8D"/>
    <w:rsid w:val="0003477E"/>
    <w:rsid w:val="00034852"/>
    <w:rsid w:val="00034B18"/>
    <w:rsid w:val="0003623F"/>
    <w:rsid w:val="00036CDF"/>
    <w:rsid w:val="00036DA3"/>
    <w:rsid w:val="00037368"/>
    <w:rsid w:val="00037522"/>
    <w:rsid w:val="0003754E"/>
    <w:rsid w:val="00042EE4"/>
    <w:rsid w:val="00043D40"/>
    <w:rsid w:val="0004498F"/>
    <w:rsid w:val="00045E07"/>
    <w:rsid w:val="00046383"/>
    <w:rsid w:val="00047844"/>
    <w:rsid w:val="000506D4"/>
    <w:rsid w:val="00052F3E"/>
    <w:rsid w:val="000537FF"/>
    <w:rsid w:val="000557CF"/>
    <w:rsid w:val="00055DE3"/>
    <w:rsid w:val="0005668A"/>
    <w:rsid w:val="00056829"/>
    <w:rsid w:val="000601F5"/>
    <w:rsid w:val="00061BA4"/>
    <w:rsid w:val="00062A0F"/>
    <w:rsid w:val="00062BE0"/>
    <w:rsid w:val="0006517C"/>
    <w:rsid w:val="0006649C"/>
    <w:rsid w:val="00066A85"/>
    <w:rsid w:val="00066AC7"/>
    <w:rsid w:val="00070858"/>
    <w:rsid w:val="00071E19"/>
    <w:rsid w:val="00072CA0"/>
    <w:rsid w:val="0007355F"/>
    <w:rsid w:val="00074423"/>
    <w:rsid w:val="0007488E"/>
    <w:rsid w:val="00074BEB"/>
    <w:rsid w:val="00075147"/>
    <w:rsid w:val="000754CF"/>
    <w:rsid w:val="00075A04"/>
    <w:rsid w:val="0007610F"/>
    <w:rsid w:val="00076832"/>
    <w:rsid w:val="00077204"/>
    <w:rsid w:val="000778D1"/>
    <w:rsid w:val="000805F5"/>
    <w:rsid w:val="00080F60"/>
    <w:rsid w:val="0008231A"/>
    <w:rsid w:val="000828F8"/>
    <w:rsid w:val="00082E4F"/>
    <w:rsid w:val="0008387C"/>
    <w:rsid w:val="00083FD0"/>
    <w:rsid w:val="00086787"/>
    <w:rsid w:val="00087C22"/>
    <w:rsid w:val="0009063A"/>
    <w:rsid w:val="00092C5C"/>
    <w:rsid w:val="00092D3B"/>
    <w:rsid w:val="000933ED"/>
    <w:rsid w:val="00093889"/>
    <w:rsid w:val="000943E1"/>
    <w:rsid w:val="0009456D"/>
    <w:rsid w:val="00094758"/>
    <w:rsid w:val="00094836"/>
    <w:rsid w:val="000956A1"/>
    <w:rsid w:val="00095F7C"/>
    <w:rsid w:val="00096CE9"/>
    <w:rsid w:val="000A0FB8"/>
    <w:rsid w:val="000A1057"/>
    <w:rsid w:val="000A10AC"/>
    <w:rsid w:val="000A2C81"/>
    <w:rsid w:val="000A2DB0"/>
    <w:rsid w:val="000A33A1"/>
    <w:rsid w:val="000A3CEC"/>
    <w:rsid w:val="000A4DE9"/>
    <w:rsid w:val="000A5F07"/>
    <w:rsid w:val="000A786F"/>
    <w:rsid w:val="000A7A21"/>
    <w:rsid w:val="000A7EB5"/>
    <w:rsid w:val="000B1214"/>
    <w:rsid w:val="000B29BC"/>
    <w:rsid w:val="000B3A19"/>
    <w:rsid w:val="000B51AE"/>
    <w:rsid w:val="000B5690"/>
    <w:rsid w:val="000B5A62"/>
    <w:rsid w:val="000B7778"/>
    <w:rsid w:val="000B7D18"/>
    <w:rsid w:val="000C16B6"/>
    <w:rsid w:val="000C2B79"/>
    <w:rsid w:val="000C3ADC"/>
    <w:rsid w:val="000C5516"/>
    <w:rsid w:val="000C5534"/>
    <w:rsid w:val="000C7890"/>
    <w:rsid w:val="000C79C0"/>
    <w:rsid w:val="000C7C3F"/>
    <w:rsid w:val="000D2232"/>
    <w:rsid w:val="000D311A"/>
    <w:rsid w:val="000D3795"/>
    <w:rsid w:val="000D48A9"/>
    <w:rsid w:val="000D53D2"/>
    <w:rsid w:val="000D724C"/>
    <w:rsid w:val="000E0AC4"/>
    <w:rsid w:val="000E0B76"/>
    <w:rsid w:val="000E4A5C"/>
    <w:rsid w:val="000E65D8"/>
    <w:rsid w:val="000E72DB"/>
    <w:rsid w:val="000E7B31"/>
    <w:rsid w:val="000F1420"/>
    <w:rsid w:val="000F25DB"/>
    <w:rsid w:val="000F3682"/>
    <w:rsid w:val="000F46AB"/>
    <w:rsid w:val="000F5213"/>
    <w:rsid w:val="000F562F"/>
    <w:rsid w:val="000F63F1"/>
    <w:rsid w:val="000F669D"/>
    <w:rsid w:val="000F6CF9"/>
    <w:rsid w:val="001004C3"/>
    <w:rsid w:val="00101043"/>
    <w:rsid w:val="001019D8"/>
    <w:rsid w:val="00101EE4"/>
    <w:rsid w:val="00101F48"/>
    <w:rsid w:val="001036FA"/>
    <w:rsid w:val="0010499A"/>
    <w:rsid w:val="00105895"/>
    <w:rsid w:val="0010593A"/>
    <w:rsid w:val="001074CB"/>
    <w:rsid w:val="00110849"/>
    <w:rsid w:val="00110E82"/>
    <w:rsid w:val="001110C2"/>
    <w:rsid w:val="0011361C"/>
    <w:rsid w:val="001148A3"/>
    <w:rsid w:val="00115360"/>
    <w:rsid w:val="001153A6"/>
    <w:rsid w:val="001175A1"/>
    <w:rsid w:val="00117C7D"/>
    <w:rsid w:val="00120108"/>
    <w:rsid w:val="00121530"/>
    <w:rsid w:val="0012190B"/>
    <w:rsid w:val="00122EFC"/>
    <w:rsid w:val="00124D51"/>
    <w:rsid w:val="001257DB"/>
    <w:rsid w:val="00125B72"/>
    <w:rsid w:val="00125F5F"/>
    <w:rsid w:val="00126252"/>
    <w:rsid w:val="00126A69"/>
    <w:rsid w:val="00126E9A"/>
    <w:rsid w:val="00127C9D"/>
    <w:rsid w:val="001306E4"/>
    <w:rsid w:val="00130C91"/>
    <w:rsid w:val="00131269"/>
    <w:rsid w:val="0013253C"/>
    <w:rsid w:val="001336AB"/>
    <w:rsid w:val="00135EBE"/>
    <w:rsid w:val="00135FB1"/>
    <w:rsid w:val="00137EB4"/>
    <w:rsid w:val="00140B91"/>
    <w:rsid w:val="00142343"/>
    <w:rsid w:val="001426F2"/>
    <w:rsid w:val="001428DA"/>
    <w:rsid w:val="00142DC2"/>
    <w:rsid w:val="00143237"/>
    <w:rsid w:val="001454D8"/>
    <w:rsid w:val="00146123"/>
    <w:rsid w:val="0014628E"/>
    <w:rsid w:val="001467BC"/>
    <w:rsid w:val="00147D4F"/>
    <w:rsid w:val="00150ED9"/>
    <w:rsid w:val="00152225"/>
    <w:rsid w:val="00153947"/>
    <w:rsid w:val="00153F5C"/>
    <w:rsid w:val="00154B04"/>
    <w:rsid w:val="00155E85"/>
    <w:rsid w:val="001560B9"/>
    <w:rsid w:val="00156CFE"/>
    <w:rsid w:val="00157A6F"/>
    <w:rsid w:val="00157E77"/>
    <w:rsid w:val="00161E40"/>
    <w:rsid w:val="001624F1"/>
    <w:rsid w:val="00164920"/>
    <w:rsid w:val="00165430"/>
    <w:rsid w:val="0017033C"/>
    <w:rsid w:val="0017095B"/>
    <w:rsid w:val="0017142A"/>
    <w:rsid w:val="00171CFF"/>
    <w:rsid w:val="00171F0B"/>
    <w:rsid w:val="0017246F"/>
    <w:rsid w:val="00172943"/>
    <w:rsid w:val="00172A27"/>
    <w:rsid w:val="00173710"/>
    <w:rsid w:val="00173A54"/>
    <w:rsid w:val="00174668"/>
    <w:rsid w:val="00174CB1"/>
    <w:rsid w:val="00176303"/>
    <w:rsid w:val="001803DD"/>
    <w:rsid w:val="001816A4"/>
    <w:rsid w:val="00181863"/>
    <w:rsid w:val="00182D8F"/>
    <w:rsid w:val="00183EB7"/>
    <w:rsid w:val="00184274"/>
    <w:rsid w:val="00185CB2"/>
    <w:rsid w:val="00187A64"/>
    <w:rsid w:val="00191A46"/>
    <w:rsid w:val="00192EB5"/>
    <w:rsid w:val="00194A7C"/>
    <w:rsid w:val="00195A94"/>
    <w:rsid w:val="0019701B"/>
    <w:rsid w:val="001A183E"/>
    <w:rsid w:val="001A2366"/>
    <w:rsid w:val="001A2B0E"/>
    <w:rsid w:val="001A30B4"/>
    <w:rsid w:val="001A3D50"/>
    <w:rsid w:val="001A4E41"/>
    <w:rsid w:val="001A5B0A"/>
    <w:rsid w:val="001A73DA"/>
    <w:rsid w:val="001A771C"/>
    <w:rsid w:val="001B057F"/>
    <w:rsid w:val="001B069E"/>
    <w:rsid w:val="001B0F5B"/>
    <w:rsid w:val="001B3591"/>
    <w:rsid w:val="001B375D"/>
    <w:rsid w:val="001B3C98"/>
    <w:rsid w:val="001B5326"/>
    <w:rsid w:val="001B55A9"/>
    <w:rsid w:val="001B5854"/>
    <w:rsid w:val="001B5C7E"/>
    <w:rsid w:val="001C02AF"/>
    <w:rsid w:val="001C1147"/>
    <w:rsid w:val="001C1605"/>
    <w:rsid w:val="001C1B8B"/>
    <w:rsid w:val="001C296D"/>
    <w:rsid w:val="001C30E3"/>
    <w:rsid w:val="001C3B12"/>
    <w:rsid w:val="001C3BEE"/>
    <w:rsid w:val="001C494A"/>
    <w:rsid w:val="001C5C48"/>
    <w:rsid w:val="001C7454"/>
    <w:rsid w:val="001D14B6"/>
    <w:rsid w:val="001D1906"/>
    <w:rsid w:val="001D1ABF"/>
    <w:rsid w:val="001D36CF"/>
    <w:rsid w:val="001D3859"/>
    <w:rsid w:val="001D4957"/>
    <w:rsid w:val="001D60BF"/>
    <w:rsid w:val="001D66BF"/>
    <w:rsid w:val="001E0B3A"/>
    <w:rsid w:val="001E1CA0"/>
    <w:rsid w:val="001E2624"/>
    <w:rsid w:val="001E263A"/>
    <w:rsid w:val="001E38BB"/>
    <w:rsid w:val="001E3E2E"/>
    <w:rsid w:val="001E6499"/>
    <w:rsid w:val="001E66FE"/>
    <w:rsid w:val="001E7531"/>
    <w:rsid w:val="001E76B2"/>
    <w:rsid w:val="001E7A43"/>
    <w:rsid w:val="001F1355"/>
    <w:rsid w:val="001F27AD"/>
    <w:rsid w:val="001F2BA2"/>
    <w:rsid w:val="001F2C65"/>
    <w:rsid w:val="001F2D57"/>
    <w:rsid w:val="001F4167"/>
    <w:rsid w:val="001F4621"/>
    <w:rsid w:val="001F4DE8"/>
    <w:rsid w:val="001F5D77"/>
    <w:rsid w:val="002006D8"/>
    <w:rsid w:val="00201BB3"/>
    <w:rsid w:val="00201C9F"/>
    <w:rsid w:val="002021DF"/>
    <w:rsid w:val="00203C89"/>
    <w:rsid w:val="002040AC"/>
    <w:rsid w:val="00204F11"/>
    <w:rsid w:val="00205222"/>
    <w:rsid w:val="0020555A"/>
    <w:rsid w:val="00205A86"/>
    <w:rsid w:val="00211F27"/>
    <w:rsid w:val="0021289A"/>
    <w:rsid w:val="00213BD9"/>
    <w:rsid w:val="0021437A"/>
    <w:rsid w:val="00216271"/>
    <w:rsid w:val="0021773E"/>
    <w:rsid w:val="00220224"/>
    <w:rsid w:val="00220DA7"/>
    <w:rsid w:val="00221CEC"/>
    <w:rsid w:val="00222028"/>
    <w:rsid w:val="00222EBC"/>
    <w:rsid w:val="00223C33"/>
    <w:rsid w:val="0022520C"/>
    <w:rsid w:val="00225406"/>
    <w:rsid w:val="00225F9F"/>
    <w:rsid w:val="00226FC6"/>
    <w:rsid w:val="00230C48"/>
    <w:rsid w:val="00233146"/>
    <w:rsid w:val="0023369D"/>
    <w:rsid w:val="00233EA9"/>
    <w:rsid w:val="00234B4C"/>
    <w:rsid w:val="00236B95"/>
    <w:rsid w:val="00236E4D"/>
    <w:rsid w:val="00237446"/>
    <w:rsid w:val="002374A4"/>
    <w:rsid w:val="00240BF3"/>
    <w:rsid w:val="00240CD5"/>
    <w:rsid w:val="00242A61"/>
    <w:rsid w:val="0024364E"/>
    <w:rsid w:val="00246202"/>
    <w:rsid w:val="00246A88"/>
    <w:rsid w:val="00246D5C"/>
    <w:rsid w:val="0024713C"/>
    <w:rsid w:val="00250EB0"/>
    <w:rsid w:val="002534D3"/>
    <w:rsid w:val="00253C30"/>
    <w:rsid w:val="00255208"/>
    <w:rsid w:val="0025534B"/>
    <w:rsid w:val="002554E5"/>
    <w:rsid w:val="00255622"/>
    <w:rsid w:val="00257023"/>
    <w:rsid w:val="00257676"/>
    <w:rsid w:val="002602E7"/>
    <w:rsid w:val="00260956"/>
    <w:rsid w:val="002611CF"/>
    <w:rsid w:val="002637AC"/>
    <w:rsid w:val="00263F97"/>
    <w:rsid w:val="00266024"/>
    <w:rsid w:val="002665E2"/>
    <w:rsid w:val="00266BDA"/>
    <w:rsid w:val="002672E4"/>
    <w:rsid w:val="00267612"/>
    <w:rsid w:val="002676FD"/>
    <w:rsid w:val="00267717"/>
    <w:rsid w:val="002716DA"/>
    <w:rsid w:val="00271A23"/>
    <w:rsid w:val="00272253"/>
    <w:rsid w:val="002722E7"/>
    <w:rsid w:val="00272377"/>
    <w:rsid w:val="0027424A"/>
    <w:rsid w:val="0027698C"/>
    <w:rsid w:val="002769CF"/>
    <w:rsid w:val="00277420"/>
    <w:rsid w:val="00277CB8"/>
    <w:rsid w:val="00277F7E"/>
    <w:rsid w:val="00280A55"/>
    <w:rsid w:val="0028186B"/>
    <w:rsid w:val="00282040"/>
    <w:rsid w:val="0028278B"/>
    <w:rsid w:val="00282CAB"/>
    <w:rsid w:val="00282D89"/>
    <w:rsid w:val="00283C3D"/>
    <w:rsid w:val="00283E7C"/>
    <w:rsid w:val="002846C3"/>
    <w:rsid w:val="00284938"/>
    <w:rsid w:val="0028773B"/>
    <w:rsid w:val="00287EB6"/>
    <w:rsid w:val="0029044F"/>
    <w:rsid w:val="002904D0"/>
    <w:rsid w:val="00290A20"/>
    <w:rsid w:val="002915E4"/>
    <w:rsid w:val="002925A4"/>
    <w:rsid w:val="0029267A"/>
    <w:rsid w:val="00292B51"/>
    <w:rsid w:val="00292F47"/>
    <w:rsid w:val="002936C6"/>
    <w:rsid w:val="00294667"/>
    <w:rsid w:val="00294A02"/>
    <w:rsid w:val="00294CA7"/>
    <w:rsid w:val="0029527D"/>
    <w:rsid w:val="002953B7"/>
    <w:rsid w:val="00295644"/>
    <w:rsid w:val="002971F2"/>
    <w:rsid w:val="002A00CD"/>
    <w:rsid w:val="002A01D2"/>
    <w:rsid w:val="002A063C"/>
    <w:rsid w:val="002A10AB"/>
    <w:rsid w:val="002A157E"/>
    <w:rsid w:val="002A2465"/>
    <w:rsid w:val="002A2A3D"/>
    <w:rsid w:val="002A37F9"/>
    <w:rsid w:val="002A4E4B"/>
    <w:rsid w:val="002A608C"/>
    <w:rsid w:val="002A6538"/>
    <w:rsid w:val="002A71DA"/>
    <w:rsid w:val="002B11A0"/>
    <w:rsid w:val="002B1E26"/>
    <w:rsid w:val="002B2263"/>
    <w:rsid w:val="002B29C9"/>
    <w:rsid w:val="002B4950"/>
    <w:rsid w:val="002B504D"/>
    <w:rsid w:val="002B53E7"/>
    <w:rsid w:val="002B5BC3"/>
    <w:rsid w:val="002C0A4A"/>
    <w:rsid w:val="002C0D42"/>
    <w:rsid w:val="002C106A"/>
    <w:rsid w:val="002C1EA4"/>
    <w:rsid w:val="002C3596"/>
    <w:rsid w:val="002C3725"/>
    <w:rsid w:val="002C4D30"/>
    <w:rsid w:val="002C5676"/>
    <w:rsid w:val="002C679E"/>
    <w:rsid w:val="002C68CC"/>
    <w:rsid w:val="002C6F43"/>
    <w:rsid w:val="002C6F9C"/>
    <w:rsid w:val="002D1751"/>
    <w:rsid w:val="002D1CD5"/>
    <w:rsid w:val="002D2A45"/>
    <w:rsid w:val="002D462D"/>
    <w:rsid w:val="002D4C78"/>
    <w:rsid w:val="002D51D4"/>
    <w:rsid w:val="002D5BE6"/>
    <w:rsid w:val="002D61C4"/>
    <w:rsid w:val="002D68BB"/>
    <w:rsid w:val="002D68BC"/>
    <w:rsid w:val="002D6E3A"/>
    <w:rsid w:val="002D6EE6"/>
    <w:rsid w:val="002D6F06"/>
    <w:rsid w:val="002D75F1"/>
    <w:rsid w:val="002E0086"/>
    <w:rsid w:val="002E16AD"/>
    <w:rsid w:val="002E17F8"/>
    <w:rsid w:val="002E1C86"/>
    <w:rsid w:val="002E1E12"/>
    <w:rsid w:val="002E22E9"/>
    <w:rsid w:val="002E2496"/>
    <w:rsid w:val="002E2883"/>
    <w:rsid w:val="002E2A11"/>
    <w:rsid w:val="002E38D3"/>
    <w:rsid w:val="002E3BB6"/>
    <w:rsid w:val="002E4064"/>
    <w:rsid w:val="002E42AB"/>
    <w:rsid w:val="002E64E2"/>
    <w:rsid w:val="002E7786"/>
    <w:rsid w:val="002F048C"/>
    <w:rsid w:val="002F2CA2"/>
    <w:rsid w:val="002F3290"/>
    <w:rsid w:val="002F3416"/>
    <w:rsid w:val="002F4E4D"/>
    <w:rsid w:val="002F689C"/>
    <w:rsid w:val="002F7716"/>
    <w:rsid w:val="003007D1"/>
    <w:rsid w:val="00300CF4"/>
    <w:rsid w:val="00303DF9"/>
    <w:rsid w:val="00304709"/>
    <w:rsid w:val="00304B1E"/>
    <w:rsid w:val="003054ED"/>
    <w:rsid w:val="003054F5"/>
    <w:rsid w:val="003067A3"/>
    <w:rsid w:val="00306A89"/>
    <w:rsid w:val="00306F9A"/>
    <w:rsid w:val="00307669"/>
    <w:rsid w:val="00307AF7"/>
    <w:rsid w:val="00307D72"/>
    <w:rsid w:val="00307EED"/>
    <w:rsid w:val="00311F74"/>
    <w:rsid w:val="003129DB"/>
    <w:rsid w:val="00313B70"/>
    <w:rsid w:val="0031404B"/>
    <w:rsid w:val="00314C55"/>
    <w:rsid w:val="00316023"/>
    <w:rsid w:val="00317D45"/>
    <w:rsid w:val="00321773"/>
    <w:rsid w:val="00321F50"/>
    <w:rsid w:val="00321F61"/>
    <w:rsid w:val="00323C1B"/>
    <w:rsid w:val="003245D7"/>
    <w:rsid w:val="003249A9"/>
    <w:rsid w:val="00325E47"/>
    <w:rsid w:val="003263E9"/>
    <w:rsid w:val="0032682B"/>
    <w:rsid w:val="00326EA5"/>
    <w:rsid w:val="00330A38"/>
    <w:rsid w:val="00331677"/>
    <w:rsid w:val="00331833"/>
    <w:rsid w:val="003330A6"/>
    <w:rsid w:val="00334F29"/>
    <w:rsid w:val="00335DA1"/>
    <w:rsid w:val="00336ECB"/>
    <w:rsid w:val="00340302"/>
    <w:rsid w:val="003404D6"/>
    <w:rsid w:val="003411D1"/>
    <w:rsid w:val="003430DA"/>
    <w:rsid w:val="00346693"/>
    <w:rsid w:val="0034738D"/>
    <w:rsid w:val="00350D6D"/>
    <w:rsid w:val="003516FF"/>
    <w:rsid w:val="00351A49"/>
    <w:rsid w:val="00352DC4"/>
    <w:rsid w:val="003530D9"/>
    <w:rsid w:val="003531FE"/>
    <w:rsid w:val="00354AF0"/>
    <w:rsid w:val="00354E4B"/>
    <w:rsid w:val="00355C6C"/>
    <w:rsid w:val="003563C5"/>
    <w:rsid w:val="00356EBA"/>
    <w:rsid w:val="00357810"/>
    <w:rsid w:val="00360BC8"/>
    <w:rsid w:val="00360C30"/>
    <w:rsid w:val="00360FDD"/>
    <w:rsid w:val="00360FE7"/>
    <w:rsid w:val="00361803"/>
    <w:rsid w:val="00361FC5"/>
    <w:rsid w:val="00364062"/>
    <w:rsid w:val="0036464A"/>
    <w:rsid w:val="00364A07"/>
    <w:rsid w:val="0036526D"/>
    <w:rsid w:val="00365619"/>
    <w:rsid w:val="00365B80"/>
    <w:rsid w:val="003676C7"/>
    <w:rsid w:val="00370019"/>
    <w:rsid w:val="00370647"/>
    <w:rsid w:val="00371939"/>
    <w:rsid w:val="0037259E"/>
    <w:rsid w:val="0037266E"/>
    <w:rsid w:val="00372F35"/>
    <w:rsid w:val="00373D9B"/>
    <w:rsid w:val="003740B2"/>
    <w:rsid w:val="0037462D"/>
    <w:rsid w:val="003747D3"/>
    <w:rsid w:val="00374E7B"/>
    <w:rsid w:val="00374F97"/>
    <w:rsid w:val="00375684"/>
    <w:rsid w:val="00375A37"/>
    <w:rsid w:val="00376586"/>
    <w:rsid w:val="003765C4"/>
    <w:rsid w:val="00377D5F"/>
    <w:rsid w:val="003825A3"/>
    <w:rsid w:val="003836AE"/>
    <w:rsid w:val="00384167"/>
    <w:rsid w:val="00386E7E"/>
    <w:rsid w:val="00387AD5"/>
    <w:rsid w:val="00391F5A"/>
    <w:rsid w:val="00392023"/>
    <w:rsid w:val="003925FF"/>
    <w:rsid w:val="00392CC4"/>
    <w:rsid w:val="00392F58"/>
    <w:rsid w:val="003946FE"/>
    <w:rsid w:val="0039592E"/>
    <w:rsid w:val="00397101"/>
    <w:rsid w:val="00397A5B"/>
    <w:rsid w:val="003A04BD"/>
    <w:rsid w:val="003A07D0"/>
    <w:rsid w:val="003A1F3C"/>
    <w:rsid w:val="003A2B38"/>
    <w:rsid w:val="003A2BB2"/>
    <w:rsid w:val="003A32F1"/>
    <w:rsid w:val="003A4489"/>
    <w:rsid w:val="003A5102"/>
    <w:rsid w:val="003A58A0"/>
    <w:rsid w:val="003A5BFC"/>
    <w:rsid w:val="003B1DBB"/>
    <w:rsid w:val="003B318E"/>
    <w:rsid w:val="003B34FE"/>
    <w:rsid w:val="003B3953"/>
    <w:rsid w:val="003B436A"/>
    <w:rsid w:val="003B44C6"/>
    <w:rsid w:val="003B506B"/>
    <w:rsid w:val="003B6D2A"/>
    <w:rsid w:val="003C00C2"/>
    <w:rsid w:val="003C0182"/>
    <w:rsid w:val="003C3B14"/>
    <w:rsid w:val="003C3E6A"/>
    <w:rsid w:val="003C5440"/>
    <w:rsid w:val="003C578A"/>
    <w:rsid w:val="003C57CF"/>
    <w:rsid w:val="003C6475"/>
    <w:rsid w:val="003D0B72"/>
    <w:rsid w:val="003D1260"/>
    <w:rsid w:val="003D1575"/>
    <w:rsid w:val="003D1DC4"/>
    <w:rsid w:val="003D39FE"/>
    <w:rsid w:val="003D3AA3"/>
    <w:rsid w:val="003D3C94"/>
    <w:rsid w:val="003D4ACD"/>
    <w:rsid w:val="003D519F"/>
    <w:rsid w:val="003D5D48"/>
    <w:rsid w:val="003D78E2"/>
    <w:rsid w:val="003D7FB0"/>
    <w:rsid w:val="003E0256"/>
    <w:rsid w:val="003E0CFD"/>
    <w:rsid w:val="003E1A4C"/>
    <w:rsid w:val="003E2AE4"/>
    <w:rsid w:val="003E3059"/>
    <w:rsid w:val="003E3646"/>
    <w:rsid w:val="003E3DD5"/>
    <w:rsid w:val="003E4C5A"/>
    <w:rsid w:val="003E6616"/>
    <w:rsid w:val="003E6E84"/>
    <w:rsid w:val="003E7558"/>
    <w:rsid w:val="003F06D1"/>
    <w:rsid w:val="003F13FB"/>
    <w:rsid w:val="003F20A7"/>
    <w:rsid w:val="003F2A74"/>
    <w:rsid w:val="003F4607"/>
    <w:rsid w:val="003F46EA"/>
    <w:rsid w:val="003F472F"/>
    <w:rsid w:val="003F4EEE"/>
    <w:rsid w:val="003F5068"/>
    <w:rsid w:val="003F53D8"/>
    <w:rsid w:val="003F598E"/>
    <w:rsid w:val="003F5FAA"/>
    <w:rsid w:val="003F687D"/>
    <w:rsid w:val="003F6B91"/>
    <w:rsid w:val="003F7098"/>
    <w:rsid w:val="003F7750"/>
    <w:rsid w:val="003F7A17"/>
    <w:rsid w:val="00400E39"/>
    <w:rsid w:val="004017B9"/>
    <w:rsid w:val="00401816"/>
    <w:rsid w:val="00401D18"/>
    <w:rsid w:val="0040218C"/>
    <w:rsid w:val="00402352"/>
    <w:rsid w:val="00402BF0"/>
    <w:rsid w:val="00403001"/>
    <w:rsid w:val="004042D7"/>
    <w:rsid w:val="004052E0"/>
    <w:rsid w:val="004061CD"/>
    <w:rsid w:val="0040627C"/>
    <w:rsid w:val="00406323"/>
    <w:rsid w:val="00407371"/>
    <w:rsid w:val="00407514"/>
    <w:rsid w:val="004106C9"/>
    <w:rsid w:val="00410890"/>
    <w:rsid w:val="0041130C"/>
    <w:rsid w:val="00411F58"/>
    <w:rsid w:val="004137A0"/>
    <w:rsid w:val="00414178"/>
    <w:rsid w:val="00415F91"/>
    <w:rsid w:val="00416479"/>
    <w:rsid w:val="00420013"/>
    <w:rsid w:val="0042146A"/>
    <w:rsid w:val="00422B15"/>
    <w:rsid w:val="00423080"/>
    <w:rsid w:val="00423679"/>
    <w:rsid w:val="00423C5F"/>
    <w:rsid w:val="0042424D"/>
    <w:rsid w:val="00425A72"/>
    <w:rsid w:val="00425FC4"/>
    <w:rsid w:val="004268A9"/>
    <w:rsid w:val="00430910"/>
    <w:rsid w:val="004333E9"/>
    <w:rsid w:val="0043489A"/>
    <w:rsid w:val="00434C2D"/>
    <w:rsid w:val="00437279"/>
    <w:rsid w:val="00437905"/>
    <w:rsid w:val="00440DFA"/>
    <w:rsid w:val="00441360"/>
    <w:rsid w:val="00441525"/>
    <w:rsid w:val="00442373"/>
    <w:rsid w:val="0044266A"/>
    <w:rsid w:val="00443914"/>
    <w:rsid w:val="004449D8"/>
    <w:rsid w:val="00444E87"/>
    <w:rsid w:val="00445964"/>
    <w:rsid w:val="00446BD9"/>
    <w:rsid w:val="00446EC9"/>
    <w:rsid w:val="00450647"/>
    <w:rsid w:val="00451704"/>
    <w:rsid w:val="00453F99"/>
    <w:rsid w:val="00454316"/>
    <w:rsid w:val="00455697"/>
    <w:rsid w:val="00455C8C"/>
    <w:rsid w:val="00457189"/>
    <w:rsid w:val="00457DEB"/>
    <w:rsid w:val="00460587"/>
    <w:rsid w:val="00461273"/>
    <w:rsid w:val="004615EF"/>
    <w:rsid w:val="00461CA3"/>
    <w:rsid w:val="00463C06"/>
    <w:rsid w:val="00463E70"/>
    <w:rsid w:val="00464101"/>
    <w:rsid w:val="00465322"/>
    <w:rsid w:val="004656BE"/>
    <w:rsid w:val="00465CF7"/>
    <w:rsid w:val="00465F4F"/>
    <w:rsid w:val="00466C58"/>
    <w:rsid w:val="00467E2E"/>
    <w:rsid w:val="00472F00"/>
    <w:rsid w:val="00473F4E"/>
    <w:rsid w:val="00476565"/>
    <w:rsid w:val="00476B9F"/>
    <w:rsid w:val="004772BD"/>
    <w:rsid w:val="00477339"/>
    <w:rsid w:val="00480269"/>
    <w:rsid w:val="00481B05"/>
    <w:rsid w:val="00481D6F"/>
    <w:rsid w:val="004821A8"/>
    <w:rsid w:val="004826D6"/>
    <w:rsid w:val="00482C24"/>
    <w:rsid w:val="0048330C"/>
    <w:rsid w:val="004838B8"/>
    <w:rsid w:val="00484A5D"/>
    <w:rsid w:val="00484DE8"/>
    <w:rsid w:val="0048514F"/>
    <w:rsid w:val="00485278"/>
    <w:rsid w:val="004856F7"/>
    <w:rsid w:val="00485A46"/>
    <w:rsid w:val="00486877"/>
    <w:rsid w:val="0048747E"/>
    <w:rsid w:val="00490280"/>
    <w:rsid w:val="00491107"/>
    <w:rsid w:val="00491538"/>
    <w:rsid w:val="0049166A"/>
    <w:rsid w:val="00491743"/>
    <w:rsid w:val="00491ABE"/>
    <w:rsid w:val="00491CBE"/>
    <w:rsid w:val="0049235A"/>
    <w:rsid w:val="00496730"/>
    <w:rsid w:val="00497FED"/>
    <w:rsid w:val="004A068C"/>
    <w:rsid w:val="004A17FA"/>
    <w:rsid w:val="004A1C7C"/>
    <w:rsid w:val="004A3DBF"/>
    <w:rsid w:val="004A4D47"/>
    <w:rsid w:val="004A510E"/>
    <w:rsid w:val="004A529F"/>
    <w:rsid w:val="004A5988"/>
    <w:rsid w:val="004B1061"/>
    <w:rsid w:val="004B12B8"/>
    <w:rsid w:val="004B1736"/>
    <w:rsid w:val="004B1D46"/>
    <w:rsid w:val="004B21C3"/>
    <w:rsid w:val="004B3209"/>
    <w:rsid w:val="004B3637"/>
    <w:rsid w:val="004B3AE4"/>
    <w:rsid w:val="004B44B5"/>
    <w:rsid w:val="004B4F4A"/>
    <w:rsid w:val="004B503C"/>
    <w:rsid w:val="004B5B4F"/>
    <w:rsid w:val="004B65BF"/>
    <w:rsid w:val="004C0305"/>
    <w:rsid w:val="004C050A"/>
    <w:rsid w:val="004C0CDD"/>
    <w:rsid w:val="004C1912"/>
    <w:rsid w:val="004C246D"/>
    <w:rsid w:val="004C3492"/>
    <w:rsid w:val="004C4464"/>
    <w:rsid w:val="004C4E37"/>
    <w:rsid w:val="004C4E8A"/>
    <w:rsid w:val="004C539F"/>
    <w:rsid w:val="004C6087"/>
    <w:rsid w:val="004D0046"/>
    <w:rsid w:val="004D0C73"/>
    <w:rsid w:val="004D1BC2"/>
    <w:rsid w:val="004D27BE"/>
    <w:rsid w:val="004D2947"/>
    <w:rsid w:val="004D2E6A"/>
    <w:rsid w:val="004D3379"/>
    <w:rsid w:val="004D5E06"/>
    <w:rsid w:val="004D6A2B"/>
    <w:rsid w:val="004D6BD9"/>
    <w:rsid w:val="004D72B0"/>
    <w:rsid w:val="004D76DF"/>
    <w:rsid w:val="004D7A1F"/>
    <w:rsid w:val="004E0198"/>
    <w:rsid w:val="004E0D89"/>
    <w:rsid w:val="004E1B3F"/>
    <w:rsid w:val="004E273C"/>
    <w:rsid w:val="004E2BC3"/>
    <w:rsid w:val="004E32B2"/>
    <w:rsid w:val="004E4183"/>
    <w:rsid w:val="004E4CA5"/>
    <w:rsid w:val="004F0282"/>
    <w:rsid w:val="004F0738"/>
    <w:rsid w:val="004F0AAD"/>
    <w:rsid w:val="004F149C"/>
    <w:rsid w:val="004F666C"/>
    <w:rsid w:val="004F6B8F"/>
    <w:rsid w:val="004F7431"/>
    <w:rsid w:val="004F7541"/>
    <w:rsid w:val="004F7E16"/>
    <w:rsid w:val="00500EF0"/>
    <w:rsid w:val="005012BF"/>
    <w:rsid w:val="00503850"/>
    <w:rsid w:val="0050552A"/>
    <w:rsid w:val="00506346"/>
    <w:rsid w:val="00506742"/>
    <w:rsid w:val="005068BA"/>
    <w:rsid w:val="00507530"/>
    <w:rsid w:val="00507C38"/>
    <w:rsid w:val="00510B55"/>
    <w:rsid w:val="00512112"/>
    <w:rsid w:val="005163F1"/>
    <w:rsid w:val="005165CE"/>
    <w:rsid w:val="0052034B"/>
    <w:rsid w:val="005205C4"/>
    <w:rsid w:val="00521C71"/>
    <w:rsid w:val="005233F0"/>
    <w:rsid w:val="00523B9A"/>
    <w:rsid w:val="00524C61"/>
    <w:rsid w:val="00525D2C"/>
    <w:rsid w:val="00526567"/>
    <w:rsid w:val="00526633"/>
    <w:rsid w:val="00526BA2"/>
    <w:rsid w:val="0053014E"/>
    <w:rsid w:val="005313F2"/>
    <w:rsid w:val="00531F44"/>
    <w:rsid w:val="00532401"/>
    <w:rsid w:val="00533AB8"/>
    <w:rsid w:val="00534D2B"/>
    <w:rsid w:val="00536412"/>
    <w:rsid w:val="005368FC"/>
    <w:rsid w:val="00536D64"/>
    <w:rsid w:val="0054010E"/>
    <w:rsid w:val="00541597"/>
    <w:rsid w:val="00541691"/>
    <w:rsid w:val="0054372F"/>
    <w:rsid w:val="00543C80"/>
    <w:rsid w:val="0054527F"/>
    <w:rsid w:val="005459B7"/>
    <w:rsid w:val="00545F0A"/>
    <w:rsid w:val="00546839"/>
    <w:rsid w:val="00546CA8"/>
    <w:rsid w:val="00550FC8"/>
    <w:rsid w:val="0055149F"/>
    <w:rsid w:val="00551ECF"/>
    <w:rsid w:val="005522FF"/>
    <w:rsid w:val="00552E16"/>
    <w:rsid w:val="00555CA0"/>
    <w:rsid w:val="00556B9B"/>
    <w:rsid w:val="00557088"/>
    <w:rsid w:val="00560594"/>
    <w:rsid w:val="0056092C"/>
    <w:rsid w:val="00561045"/>
    <w:rsid w:val="00561F52"/>
    <w:rsid w:val="005621D7"/>
    <w:rsid w:val="005632AD"/>
    <w:rsid w:val="00563577"/>
    <w:rsid w:val="00564541"/>
    <w:rsid w:val="005645D2"/>
    <w:rsid w:val="00565145"/>
    <w:rsid w:val="005654D5"/>
    <w:rsid w:val="00565510"/>
    <w:rsid w:val="00566940"/>
    <w:rsid w:val="00567E53"/>
    <w:rsid w:val="005706A7"/>
    <w:rsid w:val="005712DE"/>
    <w:rsid w:val="0057148F"/>
    <w:rsid w:val="00571DC1"/>
    <w:rsid w:val="00571ED4"/>
    <w:rsid w:val="005722ED"/>
    <w:rsid w:val="00572BD4"/>
    <w:rsid w:val="00573B96"/>
    <w:rsid w:val="00573BA7"/>
    <w:rsid w:val="005759B0"/>
    <w:rsid w:val="00575F4C"/>
    <w:rsid w:val="00577971"/>
    <w:rsid w:val="00580245"/>
    <w:rsid w:val="005809F4"/>
    <w:rsid w:val="00580DCC"/>
    <w:rsid w:val="00582488"/>
    <w:rsid w:val="00582894"/>
    <w:rsid w:val="00582DC3"/>
    <w:rsid w:val="00583CBA"/>
    <w:rsid w:val="005842CB"/>
    <w:rsid w:val="00584305"/>
    <w:rsid w:val="0058465B"/>
    <w:rsid w:val="005855DD"/>
    <w:rsid w:val="005861F6"/>
    <w:rsid w:val="005863DA"/>
    <w:rsid w:val="00586623"/>
    <w:rsid w:val="0058682F"/>
    <w:rsid w:val="005869B5"/>
    <w:rsid w:val="00587925"/>
    <w:rsid w:val="0059005F"/>
    <w:rsid w:val="00590EAB"/>
    <w:rsid w:val="005917F3"/>
    <w:rsid w:val="00591B5C"/>
    <w:rsid w:val="005938F5"/>
    <w:rsid w:val="0059407B"/>
    <w:rsid w:val="00594393"/>
    <w:rsid w:val="005964C3"/>
    <w:rsid w:val="00596B6B"/>
    <w:rsid w:val="00597173"/>
    <w:rsid w:val="00597DDC"/>
    <w:rsid w:val="005A18D5"/>
    <w:rsid w:val="005A2E06"/>
    <w:rsid w:val="005A34AE"/>
    <w:rsid w:val="005A4004"/>
    <w:rsid w:val="005A47CF"/>
    <w:rsid w:val="005A59D2"/>
    <w:rsid w:val="005A63D7"/>
    <w:rsid w:val="005A6DD0"/>
    <w:rsid w:val="005A712B"/>
    <w:rsid w:val="005A7500"/>
    <w:rsid w:val="005A7671"/>
    <w:rsid w:val="005A7965"/>
    <w:rsid w:val="005A7CF1"/>
    <w:rsid w:val="005B1716"/>
    <w:rsid w:val="005B18DD"/>
    <w:rsid w:val="005B2394"/>
    <w:rsid w:val="005B2AE7"/>
    <w:rsid w:val="005B30A6"/>
    <w:rsid w:val="005B3471"/>
    <w:rsid w:val="005B3BEC"/>
    <w:rsid w:val="005B4007"/>
    <w:rsid w:val="005B482C"/>
    <w:rsid w:val="005B4B1D"/>
    <w:rsid w:val="005B5830"/>
    <w:rsid w:val="005B7205"/>
    <w:rsid w:val="005B7345"/>
    <w:rsid w:val="005B73FF"/>
    <w:rsid w:val="005B75E7"/>
    <w:rsid w:val="005B77C7"/>
    <w:rsid w:val="005B78AA"/>
    <w:rsid w:val="005C0F1F"/>
    <w:rsid w:val="005C1BAC"/>
    <w:rsid w:val="005C1CF1"/>
    <w:rsid w:val="005C1D82"/>
    <w:rsid w:val="005C2F6D"/>
    <w:rsid w:val="005C60D6"/>
    <w:rsid w:val="005C64B7"/>
    <w:rsid w:val="005C6785"/>
    <w:rsid w:val="005C6E7A"/>
    <w:rsid w:val="005C7719"/>
    <w:rsid w:val="005D09BA"/>
    <w:rsid w:val="005D1481"/>
    <w:rsid w:val="005D1A1B"/>
    <w:rsid w:val="005D1C16"/>
    <w:rsid w:val="005D2928"/>
    <w:rsid w:val="005D32FE"/>
    <w:rsid w:val="005D37D0"/>
    <w:rsid w:val="005D3CA3"/>
    <w:rsid w:val="005D6150"/>
    <w:rsid w:val="005D7205"/>
    <w:rsid w:val="005E0F01"/>
    <w:rsid w:val="005E12E8"/>
    <w:rsid w:val="005E148A"/>
    <w:rsid w:val="005E1CE0"/>
    <w:rsid w:val="005E2DAB"/>
    <w:rsid w:val="005E30B6"/>
    <w:rsid w:val="005E3821"/>
    <w:rsid w:val="005E426A"/>
    <w:rsid w:val="005E5191"/>
    <w:rsid w:val="005E5381"/>
    <w:rsid w:val="005E61C1"/>
    <w:rsid w:val="005E7D8E"/>
    <w:rsid w:val="005F190C"/>
    <w:rsid w:val="005F2DB5"/>
    <w:rsid w:val="005F31A3"/>
    <w:rsid w:val="005F54BA"/>
    <w:rsid w:val="005F5742"/>
    <w:rsid w:val="005F7CD2"/>
    <w:rsid w:val="0060075F"/>
    <w:rsid w:val="00600BC8"/>
    <w:rsid w:val="00600EE5"/>
    <w:rsid w:val="00601927"/>
    <w:rsid w:val="00601AA1"/>
    <w:rsid w:val="00602154"/>
    <w:rsid w:val="00603AFF"/>
    <w:rsid w:val="00603B7E"/>
    <w:rsid w:val="00603C86"/>
    <w:rsid w:val="00607DE7"/>
    <w:rsid w:val="0061032B"/>
    <w:rsid w:val="00610EAF"/>
    <w:rsid w:val="00611640"/>
    <w:rsid w:val="00611D04"/>
    <w:rsid w:val="0061299D"/>
    <w:rsid w:val="00612C96"/>
    <w:rsid w:val="00613465"/>
    <w:rsid w:val="00613A45"/>
    <w:rsid w:val="00613A99"/>
    <w:rsid w:val="00615519"/>
    <w:rsid w:val="00615FFD"/>
    <w:rsid w:val="006166AA"/>
    <w:rsid w:val="00617804"/>
    <w:rsid w:val="006204FF"/>
    <w:rsid w:val="00620DA9"/>
    <w:rsid w:val="006233E4"/>
    <w:rsid w:val="0062366B"/>
    <w:rsid w:val="00624B86"/>
    <w:rsid w:val="00624E15"/>
    <w:rsid w:val="00624EAD"/>
    <w:rsid w:val="00625BF1"/>
    <w:rsid w:val="0062690B"/>
    <w:rsid w:val="00627E6F"/>
    <w:rsid w:val="00630FB0"/>
    <w:rsid w:val="0063117B"/>
    <w:rsid w:val="006319BD"/>
    <w:rsid w:val="00633AB1"/>
    <w:rsid w:val="00634437"/>
    <w:rsid w:val="00635EE3"/>
    <w:rsid w:val="00637B43"/>
    <w:rsid w:val="0064118B"/>
    <w:rsid w:val="006412D7"/>
    <w:rsid w:val="006419F6"/>
    <w:rsid w:val="00650168"/>
    <w:rsid w:val="006523E6"/>
    <w:rsid w:val="006526D2"/>
    <w:rsid w:val="00652E54"/>
    <w:rsid w:val="0065310C"/>
    <w:rsid w:val="006532CC"/>
    <w:rsid w:val="00653727"/>
    <w:rsid w:val="006538C4"/>
    <w:rsid w:val="00653BC8"/>
    <w:rsid w:val="00654147"/>
    <w:rsid w:val="00654FE2"/>
    <w:rsid w:val="006553D2"/>
    <w:rsid w:val="00656608"/>
    <w:rsid w:val="00656E39"/>
    <w:rsid w:val="00657DB0"/>
    <w:rsid w:val="00660D97"/>
    <w:rsid w:val="00660E90"/>
    <w:rsid w:val="00661649"/>
    <w:rsid w:val="00661AA3"/>
    <w:rsid w:val="00661BFA"/>
    <w:rsid w:val="006647CA"/>
    <w:rsid w:val="00664BD4"/>
    <w:rsid w:val="00665488"/>
    <w:rsid w:val="00666075"/>
    <w:rsid w:val="00666220"/>
    <w:rsid w:val="00666DA1"/>
    <w:rsid w:val="00666E82"/>
    <w:rsid w:val="006727D4"/>
    <w:rsid w:val="00672862"/>
    <w:rsid w:val="00673E2A"/>
    <w:rsid w:val="00674446"/>
    <w:rsid w:val="006746F5"/>
    <w:rsid w:val="00675D67"/>
    <w:rsid w:val="006760AF"/>
    <w:rsid w:val="006762E8"/>
    <w:rsid w:val="00676A9B"/>
    <w:rsid w:val="0068034A"/>
    <w:rsid w:val="00680693"/>
    <w:rsid w:val="006808D9"/>
    <w:rsid w:val="00684695"/>
    <w:rsid w:val="0068511B"/>
    <w:rsid w:val="0068569A"/>
    <w:rsid w:val="006859EE"/>
    <w:rsid w:val="006860B9"/>
    <w:rsid w:val="00686B85"/>
    <w:rsid w:val="00686F51"/>
    <w:rsid w:val="006873B1"/>
    <w:rsid w:val="0069098A"/>
    <w:rsid w:val="0069098C"/>
    <w:rsid w:val="00691213"/>
    <w:rsid w:val="00691222"/>
    <w:rsid w:val="00691965"/>
    <w:rsid w:val="00692B7C"/>
    <w:rsid w:val="00693849"/>
    <w:rsid w:val="006939E7"/>
    <w:rsid w:val="006942D3"/>
    <w:rsid w:val="0069460E"/>
    <w:rsid w:val="0069472E"/>
    <w:rsid w:val="00695334"/>
    <w:rsid w:val="00695712"/>
    <w:rsid w:val="00695791"/>
    <w:rsid w:val="00695DE2"/>
    <w:rsid w:val="00695FDF"/>
    <w:rsid w:val="006962E3"/>
    <w:rsid w:val="006969F0"/>
    <w:rsid w:val="006971A6"/>
    <w:rsid w:val="0069767A"/>
    <w:rsid w:val="006A0A7A"/>
    <w:rsid w:val="006A2450"/>
    <w:rsid w:val="006A34F1"/>
    <w:rsid w:val="006A367E"/>
    <w:rsid w:val="006A5CC9"/>
    <w:rsid w:val="006B010D"/>
    <w:rsid w:val="006B02FE"/>
    <w:rsid w:val="006B1A8C"/>
    <w:rsid w:val="006B1C07"/>
    <w:rsid w:val="006B23A4"/>
    <w:rsid w:val="006B2C5A"/>
    <w:rsid w:val="006B2D18"/>
    <w:rsid w:val="006B365C"/>
    <w:rsid w:val="006B3F26"/>
    <w:rsid w:val="006B4AEC"/>
    <w:rsid w:val="006B582F"/>
    <w:rsid w:val="006B7704"/>
    <w:rsid w:val="006B776D"/>
    <w:rsid w:val="006C0406"/>
    <w:rsid w:val="006C0CC4"/>
    <w:rsid w:val="006C0FB6"/>
    <w:rsid w:val="006C0FE4"/>
    <w:rsid w:val="006C194E"/>
    <w:rsid w:val="006C20DB"/>
    <w:rsid w:val="006C2377"/>
    <w:rsid w:val="006C634E"/>
    <w:rsid w:val="006C6606"/>
    <w:rsid w:val="006C79B2"/>
    <w:rsid w:val="006C7A57"/>
    <w:rsid w:val="006D1B70"/>
    <w:rsid w:val="006D235B"/>
    <w:rsid w:val="006D2A8C"/>
    <w:rsid w:val="006D31D2"/>
    <w:rsid w:val="006D3F54"/>
    <w:rsid w:val="006D3FEA"/>
    <w:rsid w:val="006D434E"/>
    <w:rsid w:val="006D4EF8"/>
    <w:rsid w:val="006D5167"/>
    <w:rsid w:val="006D71ED"/>
    <w:rsid w:val="006E19D5"/>
    <w:rsid w:val="006E1B14"/>
    <w:rsid w:val="006E27A6"/>
    <w:rsid w:val="006E3A42"/>
    <w:rsid w:val="006E4108"/>
    <w:rsid w:val="006E4ABB"/>
    <w:rsid w:val="006E6C99"/>
    <w:rsid w:val="006E6FF0"/>
    <w:rsid w:val="006E727A"/>
    <w:rsid w:val="006F1C71"/>
    <w:rsid w:val="006F42CF"/>
    <w:rsid w:val="006F4BAD"/>
    <w:rsid w:val="006F59D8"/>
    <w:rsid w:val="006F6CB6"/>
    <w:rsid w:val="006F7AA6"/>
    <w:rsid w:val="006F7B18"/>
    <w:rsid w:val="006F7C8B"/>
    <w:rsid w:val="006F7CBB"/>
    <w:rsid w:val="007006B0"/>
    <w:rsid w:val="00701876"/>
    <w:rsid w:val="007026E4"/>
    <w:rsid w:val="00704A2F"/>
    <w:rsid w:val="00704A4E"/>
    <w:rsid w:val="007052A1"/>
    <w:rsid w:val="00705621"/>
    <w:rsid w:val="00706223"/>
    <w:rsid w:val="00706CAA"/>
    <w:rsid w:val="00706FB4"/>
    <w:rsid w:val="00710AA6"/>
    <w:rsid w:val="00711737"/>
    <w:rsid w:val="0071296C"/>
    <w:rsid w:val="00712991"/>
    <w:rsid w:val="00713099"/>
    <w:rsid w:val="00715263"/>
    <w:rsid w:val="00715315"/>
    <w:rsid w:val="00715959"/>
    <w:rsid w:val="00715BA6"/>
    <w:rsid w:val="0071649C"/>
    <w:rsid w:val="00716594"/>
    <w:rsid w:val="00716599"/>
    <w:rsid w:val="00717289"/>
    <w:rsid w:val="007175D3"/>
    <w:rsid w:val="00717AE7"/>
    <w:rsid w:val="007211D7"/>
    <w:rsid w:val="00721568"/>
    <w:rsid w:val="00721938"/>
    <w:rsid w:val="00722143"/>
    <w:rsid w:val="007224D6"/>
    <w:rsid w:val="007226CA"/>
    <w:rsid w:val="007229BF"/>
    <w:rsid w:val="00723000"/>
    <w:rsid w:val="0072347B"/>
    <w:rsid w:val="00724DA2"/>
    <w:rsid w:val="00725C3F"/>
    <w:rsid w:val="00725ED1"/>
    <w:rsid w:val="00726647"/>
    <w:rsid w:val="007268D0"/>
    <w:rsid w:val="00727109"/>
    <w:rsid w:val="0073006A"/>
    <w:rsid w:val="007304B9"/>
    <w:rsid w:val="00731A74"/>
    <w:rsid w:val="00732260"/>
    <w:rsid w:val="00732CC6"/>
    <w:rsid w:val="0073430E"/>
    <w:rsid w:val="007347AD"/>
    <w:rsid w:val="0073525D"/>
    <w:rsid w:val="00735770"/>
    <w:rsid w:val="00736D03"/>
    <w:rsid w:val="007371AC"/>
    <w:rsid w:val="00740159"/>
    <w:rsid w:val="00740663"/>
    <w:rsid w:val="00741814"/>
    <w:rsid w:val="0074299D"/>
    <w:rsid w:val="00745463"/>
    <w:rsid w:val="007462FC"/>
    <w:rsid w:val="007468C2"/>
    <w:rsid w:val="00747F63"/>
    <w:rsid w:val="007504D3"/>
    <w:rsid w:val="007544B4"/>
    <w:rsid w:val="007551D3"/>
    <w:rsid w:val="00755E88"/>
    <w:rsid w:val="00755F22"/>
    <w:rsid w:val="00757024"/>
    <w:rsid w:val="007602D1"/>
    <w:rsid w:val="00760B1F"/>
    <w:rsid w:val="00760B39"/>
    <w:rsid w:val="00760E68"/>
    <w:rsid w:val="00760F2A"/>
    <w:rsid w:val="00762811"/>
    <w:rsid w:val="00763DB5"/>
    <w:rsid w:val="0076602F"/>
    <w:rsid w:val="00766628"/>
    <w:rsid w:val="00767C4A"/>
    <w:rsid w:val="0077054B"/>
    <w:rsid w:val="0077133A"/>
    <w:rsid w:val="00772317"/>
    <w:rsid w:val="00772762"/>
    <w:rsid w:val="00772FA6"/>
    <w:rsid w:val="0077324F"/>
    <w:rsid w:val="007756D2"/>
    <w:rsid w:val="0077572A"/>
    <w:rsid w:val="00775AB4"/>
    <w:rsid w:val="0077650D"/>
    <w:rsid w:val="00776D54"/>
    <w:rsid w:val="007776BA"/>
    <w:rsid w:val="00777E46"/>
    <w:rsid w:val="00780B4F"/>
    <w:rsid w:val="00781123"/>
    <w:rsid w:val="00783198"/>
    <w:rsid w:val="007833E1"/>
    <w:rsid w:val="00783EAE"/>
    <w:rsid w:val="007850F3"/>
    <w:rsid w:val="00785514"/>
    <w:rsid w:val="00785FFD"/>
    <w:rsid w:val="007860C3"/>
    <w:rsid w:val="007861F8"/>
    <w:rsid w:val="007863B6"/>
    <w:rsid w:val="0078674F"/>
    <w:rsid w:val="00786B8A"/>
    <w:rsid w:val="00786E33"/>
    <w:rsid w:val="00786FA9"/>
    <w:rsid w:val="0078774C"/>
    <w:rsid w:val="00787778"/>
    <w:rsid w:val="007900D0"/>
    <w:rsid w:val="00790A8D"/>
    <w:rsid w:val="00791348"/>
    <w:rsid w:val="0079289D"/>
    <w:rsid w:val="00792E7E"/>
    <w:rsid w:val="00793051"/>
    <w:rsid w:val="007939EF"/>
    <w:rsid w:val="00793B78"/>
    <w:rsid w:val="00793EBC"/>
    <w:rsid w:val="00794904"/>
    <w:rsid w:val="007953E5"/>
    <w:rsid w:val="00795FA5"/>
    <w:rsid w:val="00796EEF"/>
    <w:rsid w:val="00797A41"/>
    <w:rsid w:val="00797D6F"/>
    <w:rsid w:val="007A0AE1"/>
    <w:rsid w:val="007A0BA1"/>
    <w:rsid w:val="007A116A"/>
    <w:rsid w:val="007A1416"/>
    <w:rsid w:val="007A1C21"/>
    <w:rsid w:val="007A366F"/>
    <w:rsid w:val="007A3962"/>
    <w:rsid w:val="007A399D"/>
    <w:rsid w:val="007A45D4"/>
    <w:rsid w:val="007A477D"/>
    <w:rsid w:val="007A4E3F"/>
    <w:rsid w:val="007A78D1"/>
    <w:rsid w:val="007A79DC"/>
    <w:rsid w:val="007B1257"/>
    <w:rsid w:val="007B1AE9"/>
    <w:rsid w:val="007B3131"/>
    <w:rsid w:val="007B3585"/>
    <w:rsid w:val="007B4B64"/>
    <w:rsid w:val="007B579C"/>
    <w:rsid w:val="007B6258"/>
    <w:rsid w:val="007B6A3E"/>
    <w:rsid w:val="007C016C"/>
    <w:rsid w:val="007C0649"/>
    <w:rsid w:val="007C25C1"/>
    <w:rsid w:val="007C3E51"/>
    <w:rsid w:val="007C4E71"/>
    <w:rsid w:val="007C5C5A"/>
    <w:rsid w:val="007C6BEC"/>
    <w:rsid w:val="007C6DF8"/>
    <w:rsid w:val="007D1191"/>
    <w:rsid w:val="007D2077"/>
    <w:rsid w:val="007D249B"/>
    <w:rsid w:val="007D2B94"/>
    <w:rsid w:val="007D7BC1"/>
    <w:rsid w:val="007E0C66"/>
    <w:rsid w:val="007E12A7"/>
    <w:rsid w:val="007E246B"/>
    <w:rsid w:val="007E2E9A"/>
    <w:rsid w:val="007E340E"/>
    <w:rsid w:val="007E3557"/>
    <w:rsid w:val="007E3569"/>
    <w:rsid w:val="007E43E8"/>
    <w:rsid w:val="007E49D9"/>
    <w:rsid w:val="007E630E"/>
    <w:rsid w:val="007E6F01"/>
    <w:rsid w:val="007E702C"/>
    <w:rsid w:val="007F1647"/>
    <w:rsid w:val="007F17A3"/>
    <w:rsid w:val="007F2E9F"/>
    <w:rsid w:val="007F2EF6"/>
    <w:rsid w:val="007F3AC6"/>
    <w:rsid w:val="007F3D63"/>
    <w:rsid w:val="007F493C"/>
    <w:rsid w:val="007F5D33"/>
    <w:rsid w:val="007F73B1"/>
    <w:rsid w:val="007F7BAB"/>
    <w:rsid w:val="00801283"/>
    <w:rsid w:val="00801465"/>
    <w:rsid w:val="00801B1E"/>
    <w:rsid w:val="0080284A"/>
    <w:rsid w:val="008047B2"/>
    <w:rsid w:val="00805576"/>
    <w:rsid w:val="008058E7"/>
    <w:rsid w:val="00806FD4"/>
    <w:rsid w:val="00810247"/>
    <w:rsid w:val="00811EA3"/>
    <w:rsid w:val="0081254A"/>
    <w:rsid w:val="00813080"/>
    <w:rsid w:val="00814713"/>
    <w:rsid w:val="0081679F"/>
    <w:rsid w:val="008202C2"/>
    <w:rsid w:val="0082051B"/>
    <w:rsid w:val="0082096E"/>
    <w:rsid w:val="008215E9"/>
    <w:rsid w:val="008223C8"/>
    <w:rsid w:val="0082660E"/>
    <w:rsid w:val="00827B7A"/>
    <w:rsid w:val="008302DE"/>
    <w:rsid w:val="008307BC"/>
    <w:rsid w:val="0083082C"/>
    <w:rsid w:val="008313CD"/>
    <w:rsid w:val="008317CA"/>
    <w:rsid w:val="00831E01"/>
    <w:rsid w:val="00832027"/>
    <w:rsid w:val="0083261A"/>
    <w:rsid w:val="00832D4E"/>
    <w:rsid w:val="00833526"/>
    <w:rsid w:val="0083418C"/>
    <w:rsid w:val="0083549B"/>
    <w:rsid w:val="0083602F"/>
    <w:rsid w:val="00836111"/>
    <w:rsid w:val="00836903"/>
    <w:rsid w:val="00837824"/>
    <w:rsid w:val="00837B51"/>
    <w:rsid w:val="00841A56"/>
    <w:rsid w:val="008445E5"/>
    <w:rsid w:val="00844878"/>
    <w:rsid w:val="008462F7"/>
    <w:rsid w:val="00846866"/>
    <w:rsid w:val="008477FD"/>
    <w:rsid w:val="00850403"/>
    <w:rsid w:val="00850B26"/>
    <w:rsid w:val="00850DDD"/>
    <w:rsid w:val="00851860"/>
    <w:rsid w:val="00851EB1"/>
    <w:rsid w:val="00851F5A"/>
    <w:rsid w:val="0085229A"/>
    <w:rsid w:val="00852E14"/>
    <w:rsid w:val="00852E96"/>
    <w:rsid w:val="00853459"/>
    <w:rsid w:val="008542C1"/>
    <w:rsid w:val="00854AD0"/>
    <w:rsid w:val="0085583A"/>
    <w:rsid w:val="008561D9"/>
    <w:rsid w:val="008568FF"/>
    <w:rsid w:val="00856E33"/>
    <w:rsid w:val="00857089"/>
    <w:rsid w:val="008575A9"/>
    <w:rsid w:val="00860483"/>
    <w:rsid w:val="00861428"/>
    <w:rsid w:val="008618D5"/>
    <w:rsid w:val="00861B04"/>
    <w:rsid w:val="00863304"/>
    <w:rsid w:val="00863C15"/>
    <w:rsid w:val="0086490C"/>
    <w:rsid w:val="00864B50"/>
    <w:rsid w:val="00864C6A"/>
    <w:rsid w:val="0086790D"/>
    <w:rsid w:val="00867F3B"/>
    <w:rsid w:val="00870155"/>
    <w:rsid w:val="00870672"/>
    <w:rsid w:val="0087068A"/>
    <w:rsid w:val="00870936"/>
    <w:rsid w:val="00872264"/>
    <w:rsid w:val="00872C74"/>
    <w:rsid w:val="00872E49"/>
    <w:rsid w:val="0087350F"/>
    <w:rsid w:val="00873F7A"/>
    <w:rsid w:val="008740AD"/>
    <w:rsid w:val="0087535A"/>
    <w:rsid w:val="0087565C"/>
    <w:rsid w:val="0087589A"/>
    <w:rsid w:val="008767A2"/>
    <w:rsid w:val="008769E1"/>
    <w:rsid w:val="008777B3"/>
    <w:rsid w:val="008809C7"/>
    <w:rsid w:val="00880DBD"/>
    <w:rsid w:val="00881278"/>
    <w:rsid w:val="00881C78"/>
    <w:rsid w:val="008825C9"/>
    <w:rsid w:val="00882F79"/>
    <w:rsid w:val="00883E06"/>
    <w:rsid w:val="00883FB3"/>
    <w:rsid w:val="008840E4"/>
    <w:rsid w:val="00884AF8"/>
    <w:rsid w:val="00885F3F"/>
    <w:rsid w:val="008865E8"/>
    <w:rsid w:val="00887BB9"/>
    <w:rsid w:val="008915D2"/>
    <w:rsid w:val="00891BB4"/>
    <w:rsid w:val="0089300B"/>
    <w:rsid w:val="00893DE2"/>
    <w:rsid w:val="00894587"/>
    <w:rsid w:val="00895266"/>
    <w:rsid w:val="0089608C"/>
    <w:rsid w:val="00897225"/>
    <w:rsid w:val="00897BD6"/>
    <w:rsid w:val="008A0264"/>
    <w:rsid w:val="008A0291"/>
    <w:rsid w:val="008A09A6"/>
    <w:rsid w:val="008A1491"/>
    <w:rsid w:val="008A1499"/>
    <w:rsid w:val="008A1B36"/>
    <w:rsid w:val="008A23ED"/>
    <w:rsid w:val="008A2AB9"/>
    <w:rsid w:val="008A3A03"/>
    <w:rsid w:val="008A3E7C"/>
    <w:rsid w:val="008A453C"/>
    <w:rsid w:val="008A46CF"/>
    <w:rsid w:val="008A4D7A"/>
    <w:rsid w:val="008A4DF0"/>
    <w:rsid w:val="008A5915"/>
    <w:rsid w:val="008A7201"/>
    <w:rsid w:val="008B3941"/>
    <w:rsid w:val="008B3D76"/>
    <w:rsid w:val="008B4365"/>
    <w:rsid w:val="008B660A"/>
    <w:rsid w:val="008B6B2B"/>
    <w:rsid w:val="008B7149"/>
    <w:rsid w:val="008C0507"/>
    <w:rsid w:val="008C077B"/>
    <w:rsid w:val="008C0B02"/>
    <w:rsid w:val="008C0C4F"/>
    <w:rsid w:val="008C1614"/>
    <w:rsid w:val="008C1983"/>
    <w:rsid w:val="008C1B5E"/>
    <w:rsid w:val="008C1FDC"/>
    <w:rsid w:val="008C2DFA"/>
    <w:rsid w:val="008C37EF"/>
    <w:rsid w:val="008C40D5"/>
    <w:rsid w:val="008C4251"/>
    <w:rsid w:val="008C44A8"/>
    <w:rsid w:val="008C4520"/>
    <w:rsid w:val="008C48F0"/>
    <w:rsid w:val="008C5643"/>
    <w:rsid w:val="008C57CF"/>
    <w:rsid w:val="008C6A6D"/>
    <w:rsid w:val="008C75A5"/>
    <w:rsid w:val="008C7D7D"/>
    <w:rsid w:val="008D230F"/>
    <w:rsid w:val="008D497A"/>
    <w:rsid w:val="008D4B9A"/>
    <w:rsid w:val="008D51E0"/>
    <w:rsid w:val="008D5A20"/>
    <w:rsid w:val="008D5C8B"/>
    <w:rsid w:val="008D734C"/>
    <w:rsid w:val="008D73E9"/>
    <w:rsid w:val="008D777F"/>
    <w:rsid w:val="008E2037"/>
    <w:rsid w:val="008E337B"/>
    <w:rsid w:val="008E3955"/>
    <w:rsid w:val="008E3F02"/>
    <w:rsid w:val="008E43E3"/>
    <w:rsid w:val="008E5600"/>
    <w:rsid w:val="008E5DB2"/>
    <w:rsid w:val="008E5F0C"/>
    <w:rsid w:val="008E6794"/>
    <w:rsid w:val="008F1D7F"/>
    <w:rsid w:val="008F1F60"/>
    <w:rsid w:val="008F2DD5"/>
    <w:rsid w:val="008F3326"/>
    <w:rsid w:val="008F4282"/>
    <w:rsid w:val="008F4E4E"/>
    <w:rsid w:val="008F5518"/>
    <w:rsid w:val="008F5D14"/>
    <w:rsid w:val="008F6217"/>
    <w:rsid w:val="008F62C3"/>
    <w:rsid w:val="008F7966"/>
    <w:rsid w:val="009004C6"/>
    <w:rsid w:val="00902638"/>
    <w:rsid w:val="009047AE"/>
    <w:rsid w:val="00905D4B"/>
    <w:rsid w:val="00906043"/>
    <w:rsid w:val="00906D2F"/>
    <w:rsid w:val="009117FF"/>
    <w:rsid w:val="009134B8"/>
    <w:rsid w:val="00913EFA"/>
    <w:rsid w:val="00914585"/>
    <w:rsid w:val="009157F9"/>
    <w:rsid w:val="00915A83"/>
    <w:rsid w:val="009163FA"/>
    <w:rsid w:val="0091678D"/>
    <w:rsid w:val="00916D57"/>
    <w:rsid w:val="009172FB"/>
    <w:rsid w:val="009203D9"/>
    <w:rsid w:val="009204B3"/>
    <w:rsid w:val="0092072C"/>
    <w:rsid w:val="009226B7"/>
    <w:rsid w:val="00922C28"/>
    <w:rsid w:val="00923D6B"/>
    <w:rsid w:val="00923E7A"/>
    <w:rsid w:val="00925E2F"/>
    <w:rsid w:val="00931704"/>
    <w:rsid w:val="00932293"/>
    <w:rsid w:val="00932D68"/>
    <w:rsid w:val="00932E57"/>
    <w:rsid w:val="009336BA"/>
    <w:rsid w:val="00934E67"/>
    <w:rsid w:val="009354DF"/>
    <w:rsid w:val="00936126"/>
    <w:rsid w:val="00940D46"/>
    <w:rsid w:val="009414C5"/>
    <w:rsid w:val="0094179F"/>
    <w:rsid w:val="00941A4C"/>
    <w:rsid w:val="00942AD6"/>
    <w:rsid w:val="00942B38"/>
    <w:rsid w:val="009441D2"/>
    <w:rsid w:val="00944C86"/>
    <w:rsid w:val="00944CF9"/>
    <w:rsid w:val="00944F11"/>
    <w:rsid w:val="0094571C"/>
    <w:rsid w:val="009458CE"/>
    <w:rsid w:val="0095071D"/>
    <w:rsid w:val="009513A5"/>
    <w:rsid w:val="009519BE"/>
    <w:rsid w:val="00952AE2"/>
    <w:rsid w:val="00953097"/>
    <w:rsid w:val="00953275"/>
    <w:rsid w:val="00953A23"/>
    <w:rsid w:val="00953AAF"/>
    <w:rsid w:val="009542E7"/>
    <w:rsid w:val="00954BB1"/>
    <w:rsid w:val="00955686"/>
    <w:rsid w:val="0095576A"/>
    <w:rsid w:val="00955E6A"/>
    <w:rsid w:val="00957CA8"/>
    <w:rsid w:val="00960A50"/>
    <w:rsid w:val="00961D81"/>
    <w:rsid w:val="00963021"/>
    <w:rsid w:val="00963218"/>
    <w:rsid w:val="009633FB"/>
    <w:rsid w:val="00963715"/>
    <w:rsid w:val="009649B2"/>
    <w:rsid w:val="00964E86"/>
    <w:rsid w:val="009655B9"/>
    <w:rsid w:val="009676F8"/>
    <w:rsid w:val="0097096B"/>
    <w:rsid w:val="00970BEE"/>
    <w:rsid w:val="00971416"/>
    <w:rsid w:val="009723C3"/>
    <w:rsid w:val="00972879"/>
    <w:rsid w:val="00972974"/>
    <w:rsid w:val="00972BF2"/>
    <w:rsid w:val="009739B7"/>
    <w:rsid w:val="009739FC"/>
    <w:rsid w:val="00973E6C"/>
    <w:rsid w:val="009754C6"/>
    <w:rsid w:val="009757C2"/>
    <w:rsid w:val="00976407"/>
    <w:rsid w:val="00976736"/>
    <w:rsid w:val="009771DE"/>
    <w:rsid w:val="00977480"/>
    <w:rsid w:val="009777D9"/>
    <w:rsid w:val="009803C1"/>
    <w:rsid w:val="009804FE"/>
    <w:rsid w:val="009816DF"/>
    <w:rsid w:val="00981B14"/>
    <w:rsid w:val="0098214B"/>
    <w:rsid w:val="00982530"/>
    <w:rsid w:val="00985483"/>
    <w:rsid w:val="00985C9A"/>
    <w:rsid w:val="00986537"/>
    <w:rsid w:val="00990E55"/>
    <w:rsid w:val="0099144B"/>
    <w:rsid w:val="009921E1"/>
    <w:rsid w:val="0099478B"/>
    <w:rsid w:val="00995F79"/>
    <w:rsid w:val="00997361"/>
    <w:rsid w:val="00997B4E"/>
    <w:rsid w:val="009A26BF"/>
    <w:rsid w:val="009A34C9"/>
    <w:rsid w:val="009A3887"/>
    <w:rsid w:val="009A3E91"/>
    <w:rsid w:val="009A460D"/>
    <w:rsid w:val="009A4D5F"/>
    <w:rsid w:val="009A4F32"/>
    <w:rsid w:val="009A5705"/>
    <w:rsid w:val="009A5B9C"/>
    <w:rsid w:val="009A685C"/>
    <w:rsid w:val="009A728C"/>
    <w:rsid w:val="009A78BE"/>
    <w:rsid w:val="009B02D0"/>
    <w:rsid w:val="009B090D"/>
    <w:rsid w:val="009B18E0"/>
    <w:rsid w:val="009B1DC1"/>
    <w:rsid w:val="009B2417"/>
    <w:rsid w:val="009B35B2"/>
    <w:rsid w:val="009B384F"/>
    <w:rsid w:val="009B3A06"/>
    <w:rsid w:val="009B3D7A"/>
    <w:rsid w:val="009B5FCA"/>
    <w:rsid w:val="009B633F"/>
    <w:rsid w:val="009B6E2F"/>
    <w:rsid w:val="009B719B"/>
    <w:rsid w:val="009C01B5"/>
    <w:rsid w:val="009C07AB"/>
    <w:rsid w:val="009C1A95"/>
    <w:rsid w:val="009C34EF"/>
    <w:rsid w:val="009C3D8B"/>
    <w:rsid w:val="009C3EBF"/>
    <w:rsid w:val="009C4EBD"/>
    <w:rsid w:val="009C54F8"/>
    <w:rsid w:val="009C5A20"/>
    <w:rsid w:val="009C62B5"/>
    <w:rsid w:val="009C62C7"/>
    <w:rsid w:val="009C64DC"/>
    <w:rsid w:val="009C6AFE"/>
    <w:rsid w:val="009D0095"/>
    <w:rsid w:val="009D1791"/>
    <w:rsid w:val="009D1B3D"/>
    <w:rsid w:val="009D1E70"/>
    <w:rsid w:val="009D27D5"/>
    <w:rsid w:val="009D3421"/>
    <w:rsid w:val="009D45AE"/>
    <w:rsid w:val="009D500A"/>
    <w:rsid w:val="009D609F"/>
    <w:rsid w:val="009D644F"/>
    <w:rsid w:val="009D7087"/>
    <w:rsid w:val="009E002D"/>
    <w:rsid w:val="009E0E90"/>
    <w:rsid w:val="009E11BE"/>
    <w:rsid w:val="009E152A"/>
    <w:rsid w:val="009E2B4B"/>
    <w:rsid w:val="009E48A7"/>
    <w:rsid w:val="009E587C"/>
    <w:rsid w:val="009E5B00"/>
    <w:rsid w:val="009E7F83"/>
    <w:rsid w:val="009F0287"/>
    <w:rsid w:val="009F0D23"/>
    <w:rsid w:val="009F1B7D"/>
    <w:rsid w:val="009F3092"/>
    <w:rsid w:val="009F4116"/>
    <w:rsid w:val="009F430B"/>
    <w:rsid w:val="009F5601"/>
    <w:rsid w:val="009F61D4"/>
    <w:rsid w:val="00A00AB5"/>
    <w:rsid w:val="00A04AC7"/>
    <w:rsid w:val="00A0564F"/>
    <w:rsid w:val="00A100A8"/>
    <w:rsid w:val="00A12DB2"/>
    <w:rsid w:val="00A141C5"/>
    <w:rsid w:val="00A14879"/>
    <w:rsid w:val="00A15EA6"/>
    <w:rsid w:val="00A2418B"/>
    <w:rsid w:val="00A242BE"/>
    <w:rsid w:val="00A242E4"/>
    <w:rsid w:val="00A24BA6"/>
    <w:rsid w:val="00A24D7A"/>
    <w:rsid w:val="00A25267"/>
    <w:rsid w:val="00A252BB"/>
    <w:rsid w:val="00A26FB6"/>
    <w:rsid w:val="00A271EB"/>
    <w:rsid w:val="00A27BD7"/>
    <w:rsid w:val="00A27C4A"/>
    <w:rsid w:val="00A30159"/>
    <w:rsid w:val="00A3178F"/>
    <w:rsid w:val="00A33A15"/>
    <w:rsid w:val="00A34CAE"/>
    <w:rsid w:val="00A363AB"/>
    <w:rsid w:val="00A365A8"/>
    <w:rsid w:val="00A36C88"/>
    <w:rsid w:val="00A3701A"/>
    <w:rsid w:val="00A371F2"/>
    <w:rsid w:val="00A37D2A"/>
    <w:rsid w:val="00A40E49"/>
    <w:rsid w:val="00A41A25"/>
    <w:rsid w:val="00A4220E"/>
    <w:rsid w:val="00A4250B"/>
    <w:rsid w:val="00A44A0D"/>
    <w:rsid w:val="00A45421"/>
    <w:rsid w:val="00A4562D"/>
    <w:rsid w:val="00A469B6"/>
    <w:rsid w:val="00A46F00"/>
    <w:rsid w:val="00A46FAF"/>
    <w:rsid w:val="00A50C25"/>
    <w:rsid w:val="00A50FF3"/>
    <w:rsid w:val="00A53923"/>
    <w:rsid w:val="00A53B3A"/>
    <w:rsid w:val="00A53C98"/>
    <w:rsid w:val="00A54BBB"/>
    <w:rsid w:val="00A55ACF"/>
    <w:rsid w:val="00A55D57"/>
    <w:rsid w:val="00A56737"/>
    <w:rsid w:val="00A56FBE"/>
    <w:rsid w:val="00A606C2"/>
    <w:rsid w:val="00A60775"/>
    <w:rsid w:val="00A608F2"/>
    <w:rsid w:val="00A60F2C"/>
    <w:rsid w:val="00A61773"/>
    <w:rsid w:val="00A61B0A"/>
    <w:rsid w:val="00A61E86"/>
    <w:rsid w:val="00A6212A"/>
    <w:rsid w:val="00A62D13"/>
    <w:rsid w:val="00A62E42"/>
    <w:rsid w:val="00A63672"/>
    <w:rsid w:val="00A644A6"/>
    <w:rsid w:val="00A64C90"/>
    <w:rsid w:val="00A64E93"/>
    <w:rsid w:val="00A65C64"/>
    <w:rsid w:val="00A71686"/>
    <w:rsid w:val="00A72F65"/>
    <w:rsid w:val="00A73A2A"/>
    <w:rsid w:val="00A749F9"/>
    <w:rsid w:val="00A74E74"/>
    <w:rsid w:val="00A757FE"/>
    <w:rsid w:val="00A75BB7"/>
    <w:rsid w:val="00A7629D"/>
    <w:rsid w:val="00A77FAA"/>
    <w:rsid w:val="00A808C2"/>
    <w:rsid w:val="00A81364"/>
    <w:rsid w:val="00A8275A"/>
    <w:rsid w:val="00A83975"/>
    <w:rsid w:val="00A84082"/>
    <w:rsid w:val="00A84BBB"/>
    <w:rsid w:val="00A85598"/>
    <w:rsid w:val="00A861F5"/>
    <w:rsid w:val="00A90047"/>
    <w:rsid w:val="00A92A8F"/>
    <w:rsid w:val="00A931CD"/>
    <w:rsid w:val="00A9374F"/>
    <w:rsid w:val="00A958AF"/>
    <w:rsid w:val="00A95A81"/>
    <w:rsid w:val="00A96343"/>
    <w:rsid w:val="00A96BE9"/>
    <w:rsid w:val="00A96E3D"/>
    <w:rsid w:val="00A9751F"/>
    <w:rsid w:val="00A976D4"/>
    <w:rsid w:val="00A97D56"/>
    <w:rsid w:val="00AA03D5"/>
    <w:rsid w:val="00AA0B0A"/>
    <w:rsid w:val="00AA1522"/>
    <w:rsid w:val="00AA180B"/>
    <w:rsid w:val="00AA18E6"/>
    <w:rsid w:val="00AA1B1A"/>
    <w:rsid w:val="00AA1F9F"/>
    <w:rsid w:val="00AA251D"/>
    <w:rsid w:val="00AA30ED"/>
    <w:rsid w:val="00AA313D"/>
    <w:rsid w:val="00AA4336"/>
    <w:rsid w:val="00AA4C06"/>
    <w:rsid w:val="00AA5201"/>
    <w:rsid w:val="00AA5525"/>
    <w:rsid w:val="00AA6BC4"/>
    <w:rsid w:val="00AB04AE"/>
    <w:rsid w:val="00AB086E"/>
    <w:rsid w:val="00AB199F"/>
    <w:rsid w:val="00AB1A7E"/>
    <w:rsid w:val="00AB2D1C"/>
    <w:rsid w:val="00AB3585"/>
    <w:rsid w:val="00AB35BC"/>
    <w:rsid w:val="00AB3A41"/>
    <w:rsid w:val="00AB41A0"/>
    <w:rsid w:val="00AB4B25"/>
    <w:rsid w:val="00AB7066"/>
    <w:rsid w:val="00AB7669"/>
    <w:rsid w:val="00AB7A48"/>
    <w:rsid w:val="00AC0748"/>
    <w:rsid w:val="00AC2989"/>
    <w:rsid w:val="00AC2AFC"/>
    <w:rsid w:val="00AC2CBD"/>
    <w:rsid w:val="00AC428F"/>
    <w:rsid w:val="00AC4874"/>
    <w:rsid w:val="00AC4B14"/>
    <w:rsid w:val="00AC5138"/>
    <w:rsid w:val="00AC5278"/>
    <w:rsid w:val="00AC6406"/>
    <w:rsid w:val="00AC64D5"/>
    <w:rsid w:val="00AC7214"/>
    <w:rsid w:val="00AD140A"/>
    <w:rsid w:val="00AD16DA"/>
    <w:rsid w:val="00AD1B63"/>
    <w:rsid w:val="00AD27F0"/>
    <w:rsid w:val="00AD2B88"/>
    <w:rsid w:val="00AD31F6"/>
    <w:rsid w:val="00AD33C5"/>
    <w:rsid w:val="00AD3763"/>
    <w:rsid w:val="00AD3CA7"/>
    <w:rsid w:val="00AD51D9"/>
    <w:rsid w:val="00AD5727"/>
    <w:rsid w:val="00AD680D"/>
    <w:rsid w:val="00AD766A"/>
    <w:rsid w:val="00AE1625"/>
    <w:rsid w:val="00AE1F2A"/>
    <w:rsid w:val="00AE2D44"/>
    <w:rsid w:val="00AE4A7B"/>
    <w:rsid w:val="00AE4AB5"/>
    <w:rsid w:val="00AE59B7"/>
    <w:rsid w:val="00AE5A2E"/>
    <w:rsid w:val="00AE6038"/>
    <w:rsid w:val="00AE7E18"/>
    <w:rsid w:val="00AE7E7F"/>
    <w:rsid w:val="00AF06BB"/>
    <w:rsid w:val="00AF0E75"/>
    <w:rsid w:val="00AF2311"/>
    <w:rsid w:val="00AF402A"/>
    <w:rsid w:val="00AF4AAB"/>
    <w:rsid w:val="00AF5C0C"/>
    <w:rsid w:val="00AF632D"/>
    <w:rsid w:val="00AF69AD"/>
    <w:rsid w:val="00AF6E0A"/>
    <w:rsid w:val="00AF73E5"/>
    <w:rsid w:val="00AF7576"/>
    <w:rsid w:val="00AF77EF"/>
    <w:rsid w:val="00AF78FD"/>
    <w:rsid w:val="00B0133E"/>
    <w:rsid w:val="00B0137C"/>
    <w:rsid w:val="00B02E4B"/>
    <w:rsid w:val="00B03710"/>
    <w:rsid w:val="00B03B54"/>
    <w:rsid w:val="00B03BCD"/>
    <w:rsid w:val="00B041BC"/>
    <w:rsid w:val="00B04329"/>
    <w:rsid w:val="00B0443F"/>
    <w:rsid w:val="00B05678"/>
    <w:rsid w:val="00B05F56"/>
    <w:rsid w:val="00B062A1"/>
    <w:rsid w:val="00B07FB0"/>
    <w:rsid w:val="00B10D60"/>
    <w:rsid w:val="00B11E32"/>
    <w:rsid w:val="00B1377C"/>
    <w:rsid w:val="00B13DB3"/>
    <w:rsid w:val="00B13F6E"/>
    <w:rsid w:val="00B14DE4"/>
    <w:rsid w:val="00B14E8B"/>
    <w:rsid w:val="00B150C4"/>
    <w:rsid w:val="00B15330"/>
    <w:rsid w:val="00B15908"/>
    <w:rsid w:val="00B162B8"/>
    <w:rsid w:val="00B17C3C"/>
    <w:rsid w:val="00B17EE5"/>
    <w:rsid w:val="00B21C8E"/>
    <w:rsid w:val="00B22496"/>
    <w:rsid w:val="00B2356C"/>
    <w:rsid w:val="00B23EED"/>
    <w:rsid w:val="00B25CAE"/>
    <w:rsid w:val="00B26683"/>
    <w:rsid w:val="00B26D88"/>
    <w:rsid w:val="00B27E13"/>
    <w:rsid w:val="00B30013"/>
    <w:rsid w:val="00B303DC"/>
    <w:rsid w:val="00B324CF"/>
    <w:rsid w:val="00B32A0A"/>
    <w:rsid w:val="00B33218"/>
    <w:rsid w:val="00B3324C"/>
    <w:rsid w:val="00B34418"/>
    <w:rsid w:val="00B34764"/>
    <w:rsid w:val="00B347A3"/>
    <w:rsid w:val="00B37ED6"/>
    <w:rsid w:val="00B4151A"/>
    <w:rsid w:val="00B42887"/>
    <w:rsid w:val="00B42E83"/>
    <w:rsid w:val="00B435A8"/>
    <w:rsid w:val="00B43739"/>
    <w:rsid w:val="00B43888"/>
    <w:rsid w:val="00B43A90"/>
    <w:rsid w:val="00B43BF9"/>
    <w:rsid w:val="00B44BC3"/>
    <w:rsid w:val="00B44E5E"/>
    <w:rsid w:val="00B45170"/>
    <w:rsid w:val="00B45CE6"/>
    <w:rsid w:val="00B45E4D"/>
    <w:rsid w:val="00B47E29"/>
    <w:rsid w:val="00B5049F"/>
    <w:rsid w:val="00B509E5"/>
    <w:rsid w:val="00B519BF"/>
    <w:rsid w:val="00B547C9"/>
    <w:rsid w:val="00B559B9"/>
    <w:rsid w:val="00B56169"/>
    <w:rsid w:val="00B56A96"/>
    <w:rsid w:val="00B57378"/>
    <w:rsid w:val="00B6098C"/>
    <w:rsid w:val="00B6140E"/>
    <w:rsid w:val="00B62D34"/>
    <w:rsid w:val="00B634B3"/>
    <w:rsid w:val="00B63C12"/>
    <w:rsid w:val="00B647EE"/>
    <w:rsid w:val="00B64E1A"/>
    <w:rsid w:val="00B65702"/>
    <w:rsid w:val="00B6586C"/>
    <w:rsid w:val="00B7004E"/>
    <w:rsid w:val="00B72118"/>
    <w:rsid w:val="00B72806"/>
    <w:rsid w:val="00B72C78"/>
    <w:rsid w:val="00B733CD"/>
    <w:rsid w:val="00B7381C"/>
    <w:rsid w:val="00B74B05"/>
    <w:rsid w:val="00B74DB9"/>
    <w:rsid w:val="00B75CB1"/>
    <w:rsid w:val="00B75D21"/>
    <w:rsid w:val="00B761F9"/>
    <w:rsid w:val="00B7706E"/>
    <w:rsid w:val="00B80523"/>
    <w:rsid w:val="00B8126B"/>
    <w:rsid w:val="00B818DD"/>
    <w:rsid w:val="00B84FEA"/>
    <w:rsid w:val="00B850B2"/>
    <w:rsid w:val="00B857F5"/>
    <w:rsid w:val="00B9078B"/>
    <w:rsid w:val="00B92599"/>
    <w:rsid w:val="00B94416"/>
    <w:rsid w:val="00B95287"/>
    <w:rsid w:val="00B9571C"/>
    <w:rsid w:val="00B95A31"/>
    <w:rsid w:val="00B96021"/>
    <w:rsid w:val="00B961BB"/>
    <w:rsid w:val="00B96F4A"/>
    <w:rsid w:val="00B97B7C"/>
    <w:rsid w:val="00BA0A98"/>
    <w:rsid w:val="00BA121C"/>
    <w:rsid w:val="00BA4723"/>
    <w:rsid w:val="00BA4E40"/>
    <w:rsid w:val="00BA51E4"/>
    <w:rsid w:val="00BA5374"/>
    <w:rsid w:val="00BA5449"/>
    <w:rsid w:val="00BA582C"/>
    <w:rsid w:val="00BA5E35"/>
    <w:rsid w:val="00BA6729"/>
    <w:rsid w:val="00BA683E"/>
    <w:rsid w:val="00BA6BE2"/>
    <w:rsid w:val="00BA6F40"/>
    <w:rsid w:val="00BA732C"/>
    <w:rsid w:val="00BA7AD8"/>
    <w:rsid w:val="00BA7BA5"/>
    <w:rsid w:val="00BB2FC8"/>
    <w:rsid w:val="00BB39DE"/>
    <w:rsid w:val="00BB40B6"/>
    <w:rsid w:val="00BB4AD8"/>
    <w:rsid w:val="00BB4DCA"/>
    <w:rsid w:val="00BB53BA"/>
    <w:rsid w:val="00BB6236"/>
    <w:rsid w:val="00BC0394"/>
    <w:rsid w:val="00BC1085"/>
    <w:rsid w:val="00BC19D7"/>
    <w:rsid w:val="00BC2031"/>
    <w:rsid w:val="00BC4843"/>
    <w:rsid w:val="00BC4E87"/>
    <w:rsid w:val="00BC587C"/>
    <w:rsid w:val="00BC7B14"/>
    <w:rsid w:val="00BD0C82"/>
    <w:rsid w:val="00BD2E0A"/>
    <w:rsid w:val="00BD36DE"/>
    <w:rsid w:val="00BD515B"/>
    <w:rsid w:val="00BD5B1E"/>
    <w:rsid w:val="00BD62B3"/>
    <w:rsid w:val="00BD648A"/>
    <w:rsid w:val="00BD7A45"/>
    <w:rsid w:val="00BE226A"/>
    <w:rsid w:val="00BE2EB4"/>
    <w:rsid w:val="00BE510B"/>
    <w:rsid w:val="00BE634F"/>
    <w:rsid w:val="00BE7942"/>
    <w:rsid w:val="00BE7F26"/>
    <w:rsid w:val="00BF1048"/>
    <w:rsid w:val="00BF104F"/>
    <w:rsid w:val="00BF1297"/>
    <w:rsid w:val="00BF2BDC"/>
    <w:rsid w:val="00BF2E8B"/>
    <w:rsid w:val="00BF522A"/>
    <w:rsid w:val="00BF55B2"/>
    <w:rsid w:val="00BF5A32"/>
    <w:rsid w:val="00BF7D15"/>
    <w:rsid w:val="00C00419"/>
    <w:rsid w:val="00C00BA1"/>
    <w:rsid w:val="00C01196"/>
    <w:rsid w:val="00C016CB"/>
    <w:rsid w:val="00C02088"/>
    <w:rsid w:val="00C02659"/>
    <w:rsid w:val="00C02A14"/>
    <w:rsid w:val="00C0360F"/>
    <w:rsid w:val="00C03DED"/>
    <w:rsid w:val="00C042EE"/>
    <w:rsid w:val="00C0434C"/>
    <w:rsid w:val="00C054A2"/>
    <w:rsid w:val="00C06939"/>
    <w:rsid w:val="00C07708"/>
    <w:rsid w:val="00C07EB1"/>
    <w:rsid w:val="00C07F91"/>
    <w:rsid w:val="00C10D36"/>
    <w:rsid w:val="00C10EEA"/>
    <w:rsid w:val="00C11C91"/>
    <w:rsid w:val="00C11DB1"/>
    <w:rsid w:val="00C1395A"/>
    <w:rsid w:val="00C14138"/>
    <w:rsid w:val="00C14B04"/>
    <w:rsid w:val="00C150EA"/>
    <w:rsid w:val="00C1733E"/>
    <w:rsid w:val="00C2043F"/>
    <w:rsid w:val="00C216B8"/>
    <w:rsid w:val="00C2198E"/>
    <w:rsid w:val="00C21A73"/>
    <w:rsid w:val="00C2206F"/>
    <w:rsid w:val="00C2270E"/>
    <w:rsid w:val="00C2361D"/>
    <w:rsid w:val="00C23D75"/>
    <w:rsid w:val="00C24786"/>
    <w:rsid w:val="00C24D40"/>
    <w:rsid w:val="00C27DDF"/>
    <w:rsid w:val="00C30983"/>
    <w:rsid w:val="00C30E38"/>
    <w:rsid w:val="00C32102"/>
    <w:rsid w:val="00C3329C"/>
    <w:rsid w:val="00C33CF4"/>
    <w:rsid w:val="00C33DEF"/>
    <w:rsid w:val="00C349BE"/>
    <w:rsid w:val="00C350F2"/>
    <w:rsid w:val="00C358BA"/>
    <w:rsid w:val="00C45B88"/>
    <w:rsid w:val="00C46178"/>
    <w:rsid w:val="00C470A9"/>
    <w:rsid w:val="00C50685"/>
    <w:rsid w:val="00C52CF3"/>
    <w:rsid w:val="00C543E2"/>
    <w:rsid w:val="00C552D5"/>
    <w:rsid w:val="00C554FB"/>
    <w:rsid w:val="00C55B41"/>
    <w:rsid w:val="00C55C45"/>
    <w:rsid w:val="00C56C6E"/>
    <w:rsid w:val="00C56CAA"/>
    <w:rsid w:val="00C56DB2"/>
    <w:rsid w:val="00C577C9"/>
    <w:rsid w:val="00C604A1"/>
    <w:rsid w:val="00C60C39"/>
    <w:rsid w:val="00C630C6"/>
    <w:rsid w:val="00C63918"/>
    <w:rsid w:val="00C6472B"/>
    <w:rsid w:val="00C6488D"/>
    <w:rsid w:val="00C648A3"/>
    <w:rsid w:val="00C6500C"/>
    <w:rsid w:val="00C653E5"/>
    <w:rsid w:val="00C6560B"/>
    <w:rsid w:val="00C66FDE"/>
    <w:rsid w:val="00C6701B"/>
    <w:rsid w:val="00C71F05"/>
    <w:rsid w:val="00C777CB"/>
    <w:rsid w:val="00C77D2A"/>
    <w:rsid w:val="00C80DE1"/>
    <w:rsid w:val="00C80EBB"/>
    <w:rsid w:val="00C81213"/>
    <w:rsid w:val="00C8169C"/>
    <w:rsid w:val="00C81D5A"/>
    <w:rsid w:val="00C81EEF"/>
    <w:rsid w:val="00C81FAD"/>
    <w:rsid w:val="00C82911"/>
    <w:rsid w:val="00C8381C"/>
    <w:rsid w:val="00C85B8D"/>
    <w:rsid w:val="00C867C8"/>
    <w:rsid w:val="00C872EB"/>
    <w:rsid w:val="00C87393"/>
    <w:rsid w:val="00C87CAB"/>
    <w:rsid w:val="00C902D1"/>
    <w:rsid w:val="00C90D6B"/>
    <w:rsid w:val="00C951A6"/>
    <w:rsid w:val="00C952B3"/>
    <w:rsid w:val="00C955D0"/>
    <w:rsid w:val="00C95E6A"/>
    <w:rsid w:val="00C96678"/>
    <w:rsid w:val="00C96E1E"/>
    <w:rsid w:val="00CA08B6"/>
    <w:rsid w:val="00CA1F3D"/>
    <w:rsid w:val="00CA272F"/>
    <w:rsid w:val="00CA2D52"/>
    <w:rsid w:val="00CA3405"/>
    <w:rsid w:val="00CA41C0"/>
    <w:rsid w:val="00CA487D"/>
    <w:rsid w:val="00CA65A5"/>
    <w:rsid w:val="00CA7088"/>
    <w:rsid w:val="00CA73A6"/>
    <w:rsid w:val="00CA760C"/>
    <w:rsid w:val="00CA7D32"/>
    <w:rsid w:val="00CB24EB"/>
    <w:rsid w:val="00CB2509"/>
    <w:rsid w:val="00CB2CB5"/>
    <w:rsid w:val="00CB42EC"/>
    <w:rsid w:val="00CB6686"/>
    <w:rsid w:val="00CB66F8"/>
    <w:rsid w:val="00CB7ADB"/>
    <w:rsid w:val="00CB7E67"/>
    <w:rsid w:val="00CC0AE6"/>
    <w:rsid w:val="00CC1184"/>
    <w:rsid w:val="00CC11CF"/>
    <w:rsid w:val="00CC1B65"/>
    <w:rsid w:val="00CC2C12"/>
    <w:rsid w:val="00CC3385"/>
    <w:rsid w:val="00CC3F51"/>
    <w:rsid w:val="00CC4D2D"/>
    <w:rsid w:val="00CC5386"/>
    <w:rsid w:val="00CC6194"/>
    <w:rsid w:val="00CC634B"/>
    <w:rsid w:val="00CD0F5C"/>
    <w:rsid w:val="00CD1277"/>
    <w:rsid w:val="00CD1760"/>
    <w:rsid w:val="00CD1C6E"/>
    <w:rsid w:val="00CD1E81"/>
    <w:rsid w:val="00CD221A"/>
    <w:rsid w:val="00CD2442"/>
    <w:rsid w:val="00CD2578"/>
    <w:rsid w:val="00CD300D"/>
    <w:rsid w:val="00CD3343"/>
    <w:rsid w:val="00CD3825"/>
    <w:rsid w:val="00CD3B5B"/>
    <w:rsid w:val="00CD4525"/>
    <w:rsid w:val="00CD51F2"/>
    <w:rsid w:val="00CD523C"/>
    <w:rsid w:val="00CD6A74"/>
    <w:rsid w:val="00CD6E48"/>
    <w:rsid w:val="00CE00F9"/>
    <w:rsid w:val="00CE0201"/>
    <w:rsid w:val="00CE0924"/>
    <w:rsid w:val="00CE10F5"/>
    <w:rsid w:val="00CE24F3"/>
    <w:rsid w:val="00CE269F"/>
    <w:rsid w:val="00CE2AEF"/>
    <w:rsid w:val="00CE2B50"/>
    <w:rsid w:val="00CE3100"/>
    <w:rsid w:val="00CE41D5"/>
    <w:rsid w:val="00CE48C4"/>
    <w:rsid w:val="00CE4D26"/>
    <w:rsid w:val="00CE73DE"/>
    <w:rsid w:val="00CF0132"/>
    <w:rsid w:val="00CF056B"/>
    <w:rsid w:val="00CF08F7"/>
    <w:rsid w:val="00CF2800"/>
    <w:rsid w:val="00CF3B66"/>
    <w:rsid w:val="00CF3D07"/>
    <w:rsid w:val="00CF4DA4"/>
    <w:rsid w:val="00CF54E1"/>
    <w:rsid w:val="00CF5641"/>
    <w:rsid w:val="00CF5D91"/>
    <w:rsid w:val="00CF5F78"/>
    <w:rsid w:val="00CF74D6"/>
    <w:rsid w:val="00D01D9B"/>
    <w:rsid w:val="00D02038"/>
    <w:rsid w:val="00D02D0D"/>
    <w:rsid w:val="00D02D2E"/>
    <w:rsid w:val="00D036B8"/>
    <w:rsid w:val="00D03F7F"/>
    <w:rsid w:val="00D06516"/>
    <w:rsid w:val="00D06BD4"/>
    <w:rsid w:val="00D06EBA"/>
    <w:rsid w:val="00D06EE9"/>
    <w:rsid w:val="00D079E0"/>
    <w:rsid w:val="00D07DAC"/>
    <w:rsid w:val="00D110C9"/>
    <w:rsid w:val="00D11899"/>
    <w:rsid w:val="00D138D5"/>
    <w:rsid w:val="00D144B6"/>
    <w:rsid w:val="00D14B3C"/>
    <w:rsid w:val="00D14FD1"/>
    <w:rsid w:val="00D15756"/>
    <w:rsid w:val="00D17843"/>
    <w:rsid w:val="00D20083"/>
    <w:rsid w:val="00D20356"/>
    <w:rsid w:val="00D20BFF"/>
    <w:rsid w:val="00D21D9D"/>
    <w:rsid w:val="00D2240D"/>
    <w:rsid w:val="00D22B92"/>
    <w:rsid w:val="00D2393B"/>
    <w:rsid w:val="00D23954"/>
    <w:rsid w:val="00D23EA8"/>
    <w:rsid w:val="00D248BF"/>
    <w:rsid w:val="00D256B1"/>
    <w:rsid w:val="00D2629B"/>
    <w:rsid w:val="00D26CA7"/>
    <w:rsid w:val="00D275B7"/>
    <w:rsid w:val="00D30E5D"/>
    <w:rsid w:val="00D316DF"/>
    <w:rsid w:val="00D33582"/>
    <w:rsid w:val="00D33D26"/>
    <w:rsid w:val="00D33E99"/>
    <w:rsid w:val="00D344E1"/>
    <w:rsid w:val="00D3487E"/>
    <w:rsid w:val="00D35B18"/>
    <w:rsid w:val="00D36562"/>
    <w:rsid w:val="00D36B04"/>
    <w:rsid w:val="00D3740F"/>
    <w:rsid w:val="00D37636"/>
    <w:rsid w:val="00D40653"/>
    <w:rsid w:val="00D40FA4"/>
    <w:rsid w:val="00D43054"/>
    <w:rsid w:val="00D443A6"/>
    <w:rsid w:val="00D447CD"/>
    <w:rsid w:val="00D44C31"/>
    <w:rsid w:val="00D46222"/>
    <w:rsid w:val="00D47CCE"/>
    <w:rsid w:val="00D50469"/>
    <w:rsid w:val="00D507D1"/>
    <w:rsid w:val="00D5153F"/>
    <w:rsid w:val="00D52689"/>
    <w:rsid w:val="00D52E37"/>
    <w:rsid w:val="00D540A2"/>
    <w:rsid w:val="00D55F10"/>
    <w:rsid w:val="00D56CDE"/>
    <w:rsid w:val="00D570E9"/>
    <w:rsid w:val="00D628ED"/>
    <w:rsid w:val="00D629CD"/>
    <w:rsid w:val="00D62A6C"/>
    <w:rsid w:val="00D62D8C"/>
    <w:rsid w:val="00D62E38"/>
    <w:rsid w:val="00D63C55"/>
    <w:rsid w:val="00D64133"/>
    <w:rsid w:val="00D64393"/>
    <w:rsid w:val="00D65365"/>
    <w:rsid w:val="00D65A39"/>
    <w:rsid w:val="00D65BC5"/>
    <w:rsid w:val="00D65E12"/>
    <w:rsid w:val="00D6614A"/>
    <w:rsid w:val="00D67500"/>
    <w:rsid w:val="00D6753D"/>
    <w:rsid w:val="00D7079C"/>
    <w:rsid w:val="00D70FD8"/>
    <w:rsid w:val="00D71365"/>
    <w:rsid w:val="00D71DD9"/>
    <w:rsid w:val="00D72BD9"/>
    <w:rsid w:val="00D72D41"/>
    <w:rsid w:val="00D735BB"/>
    <w:rsid w:val="00D740A1"/>
    <w:rsid w:val="00D742E3"/>
    <w:rsid w:val="00D752AE"/>
    <w:rsid w:val="00D763CC"/>
    <w:rsid w:val="00D7689D"/>
    <w:rsid w:val="00D7710F"/>
    <w:rsid w:val="00D77437"/>
    <w:rsid w:val="00D774DA"/>
    <w:rsid w:val="00D77ACF"/>
    <w:rsid w:val="00D77D9E"/>
    <w:rsid w:val="00D8007D"/>
    <w:rsid w:val="00D800AF"/>
    <w:rsid w:val="00D800FD"/>
    <w:rsid w:val="00D80999"/>
    <w:rsid w:val="00D8156B"/>
    <w:rsid w:val="00D81B95"/>
    <w:rsid w:val="00D81CE9"/>
    <w:rsid w:val="00D82022"/>
    <w:rsid w:val="00D838A5"/>
    <w:rsid w:val="00D83B48"/>
    <w:rsid w:val="00D84C1D"/>
    <w:rsid w:val="00D852A1"/>
    <w:rsid w:val="00D86321"/>
    <w:rsid w:val="00D86565"/>
    <w:rsid w:val="00D8732F"/>
    <w:rsid w:val="00D90194"/>
    <w:rsid w:val="00D90535"/>
    <w:rsid w:val="00D90674"/>
    <w:rsid w:val="00D91B25"/>
    <w:rsid w:val="00D92ED5"/>
    <w:rsid w:val="00D93F51"/>
    <w:rsid w:val="00D94303"/>
    <w:rsid w:val="00D9482E"/>
    <w:rsid w:val="00D94AA8"/>
    <w:rsid w:val="00D94BAC"/>
    <w:rsid w:val="00D959B8"/>
    <w:rsid w:val="00D964EA"/>
    <w:rsid w:val="00D968DF"/>
    <w:rsid w:val="00D971AA"/>
    <w:rsid w:val="00D97DAC"/>
    <w:rsid w:val="00DA0369"/>
    <w:rsid w:val="00DA17F9"/>
    <w:rsid w:val="00DA1E37"/>
    <w:rsid w:val="00DA3BCF"/>
    <w:rsid w:val="00DA4A88"/>
    <w:rsid w:val="00DA50ED"/>
    <w:rsid w:val="00DA6254"/>
    <w:rsid w:val="00DA6591"/>
    <w:rsid w:val="00DB0286"/>
    <w:rsid w:val="00DB0837"/>
    <w:rsid w:val="00DB0BEC"/>
    <w:rsid w:val="00DB172C"/>
    <w:rsid w:val="00DB1A0C"/>
    <w:rsid w:val="00DB2752"/>
    <w:rsid w:val="00DB3C27"/>
    <w:rsid w:val="00DB414A"/>
    <w:rsid w:val="00DB4177"/>
    <w:rsid w:val="00DB4B61"/>
    <w:rsid w:val="00DB4EB4"/>
    <w:rsid w:val="00DB5ABB"/>
    <w:rsid w:val="00DB67D4"/>
    <w:rsid w:val="00DB71E8"/>
    <w:rsid w:val="00DC03B9"/>
    <w:rsid w:val="00DC08DE"/>
    <w:rsid w:val="00DC0DEB"/>
    <w:rsid w:val="00DC32AA"/>
    <w:rsid w:val="00DC5CAF"/>
    <w:rsid w:val="00DC6169"/>
    <w:rsid w:val="00DD0EF1"/>
    <w:rsid w:val="00DD106C"/>
    <w:rsid w:val="00DD1BE8"/>
    <w:rsid w:val="00DD24C9"/>
    <w:rsid w:val="00DD25DA"/>
    <w:rsid w:val="00DD5EA8"/>
    <w:rsid w:val="00DD633F"/>
    <w:rsid w:val="00DD64C1"/>
    <w:rsid w:val="00DD76EE"/>
    <w:rsid w:val="00DE06E2"/>
    <w:rsid w:val="00DE1EFF"/>
    <w:rsid w:val="00DE236D"/>
    <w:rsid w:val="00DE37D8"/>
    <w:rsid w:val="00DE3C80"/>
    <w:rsid w:val="00DE42DD"/>
    <w:rsid w:val="00DE45A1"/>
    <w:rsid w:val="00DE55EF"/>
    <w:rsid w:val="00DE5CB9"/>
    <w:rsid w:val="00DE6622"/>
    <w:rsid w:val="00DE6712"/>
    <w:rsid w:val="00DE7063"/>
    <w:rsid w:val="00DE7316"/>
    <w:rsid w:val="00DE7EBD"/>
    <w:rsid w:val="00DE7EE2"/>
    <w:rsid w:val="00DF036E"/>
    <w:rsid w:val="00DF058D"/>
    <w:rsid w:val="00DF2706"/>
    <w:rsid w:val="00DF2E17"/>
    <w:rsid w:val="00DF3B22"/>
    <w:rsid w:val="00DF492C"/>
    <w:rsid w:val="00DF54EA"/>
    <w:rsid w:val="00DF7DC8"/>
    <w:rsid w:val="00E006D3"/>
    <w:rsid w:val="00E01F95"/>
    <w:rsid w:val="00E02742"/>
    <w:rsid w:val="00E034ED"/>
    <w:rsid w:val="00E04D5D"/>
    <w:rsid w:val="00E0552D"/>
    <w:rsid w:val="00E05C1F"/>
    <w:rsid w:val="00E10DE7"/>
    <w:rsid w:val="00E116DA"/>
    <w:rsid w:val="00E11B3A"/>
    <w:rsid w:val="00E14483"/>
    <w:rsid w:val="00E14793"/>
    <w:rsid w:val="00E14E50"/>
    <w:rsid w:val="00E150AC"/>
    <w:rsid w:val="00E153C0"/>
    <w:rsid w:val="00E15C00"/>
    <w:rsid w:val="00E16E8C"/>
    <w:rsid w:val="00E17A2A"/>
    <w:rsid w:val="00E20CBD"/>
    <w:rsid w:val="00E22025"/>
    <w:rsid w:val="00E221D2"/>
    <w:rsid w:val="00E243D2"/>
    <w:rsid w:val="00E247BA"/>
    <w:rsid w:val="00E25C16"/>
    <w:rsid w:val="00E315B1"/>
    <w:rsid w:val="00E31CCB"/>
    <w:rsid w:val="00E3249A"/>
    <w:rsid w:val="00E33330"/>
    <w:rsid w:val="00E343C9"/>
    <w:rsid w:val="00E3492F"/>
    <w:rsid w:val="00E361FA"/>
    <w:rsid w:val="00E36E03"/>
    <w:rsid w:val="00E3722C"/>
    <w:rsid w:val="00E37414"/>
    <w:rsid w:val="00E3741C"/>
    <w:rsid w:val="00E40048"/>
    <w:rsid w:val="00E41A3D"/>
    <w:rsid w:val="00E421F5"/>
    <w:rsid w:val="00E42C13"/>
    <w:rsid w:val="00E437A9"/>
    <w:rsid w:val="00E43CA4"/>
    <w:rsid w:val="00E44367"/>
    <w:rsid w:val="00E44D16"/>
    <w:rsid w:val="00E44EC4"/>
    <w:rsid w:val="00E45D9F"/>
    <w:rsid w:val="00E45F7C"/>
    <w:rsid w:val="00E47728"/>
    <w:rsid w:val="00E477A0"/>
    <w:rsid w:val="00E478D4"/>
    <w:rsid w:val="00E47E9E"/>
    <w:rsid w:val="00E51FFC"/>
    <w:rsid w:val="00E528B8"/>
    <w:rsid w:val="00E54F89"/>
    <w:rsid w:val="00E550E9"/>
    <w:rsid w:val="00E558CF"/>
    <w:rsid w:val="00E560EE"/>
    <w:rsid w:val="00E56B47"/>
    <w:rsid w:val="00E603C5"/>
    <w:rsid w:val="00E61163"/>
    <w:rsid w:val="00E61AE3"/>
    <w:rsid w:val="00E6353D"/>
    <w:rsid w:val="00E63673"/>
    <w:rsid w:val="00E6404E"/>
    <w:rsid w:val="00E64819"/>
    <w:rsid w:val="00E650C0"/>
    <w:rsid w:val="00E6519D"/>
    <w:rsid w:val="00E6538D"/>
    <w:rsid w:val="00E65E18"/>
    <w:rsid w:val="00E66535"/>
    <w:rsid w:val="00E66951"/>
    <w:rsid w:val="00E6711A"/>
    <w:rsid w:val="00E70785"/>
    <w:rsid w:val="00E70EA2"/>
    <w:rsid w:val="00E713DE"/>
    <w:rsid w:val="00E72150"/>
    <w:rsid w:val="00E726BD"/>
    <w:rsid w:val="00E73259"/>
    <w:rsid w:val="00E73F8A"/>
    <w:rsid w:val="00E7497D"/>
    <w:rsid w:val="00E74B7A"/>
    <w:rsid w:val="00E74D9D"/>
    <w:rsid w:val="00E74F93"/>
    <w:rsid w:val="00E75DD4"/>
    <w:rsid w:val="00E7603B"/>
    <w:rsid w:val="00E764B1"/>
    <w:rsid w:val="00E775C7"/>
    <w:rsid w:val="00E804BA"/>
    <w:rsid w:val="00E806A8"/>
    <w:rsid w:val="00E80EE8"/>
    <w:rsid w:val="00E8219D"/>
    <w:rsid w:val="00E8283D"/>
    <w:rsid w:val="00E82C12"/>
    <w:rsid w:val="00E82E79"/>
    <w:rsid w:val="00E8360C"/>
    <w:rsid w:val="00E843F3"/>
    <w:rsid w:val="00E84F87"/>
    <w:rsid w:val="00E84FC6"/>
    <w:rsid w:val="00E85FB7"/>
    <w:rsid w:val="00E86DE6"/>
    <w:rsid w:val="00E875C9"/>
    <w:rsid w:val="00E87E25"/>
    <w:rsid w:val="00E9069C"/>
    <w:rsid w:val="00E90FEB"/>
    <w:rsid w:val="00E912C1"/>
    <w:rsid w:val="00E91981"/>
    <w:rsid w:val="00E929D6"/>
    <w:rsid w:val="00E9302D"/>
    <w:rsid w:val="00E947F3"/>
    <w:rsid w:val="00E965B4"/>
    <w:rsid w:val="00E96BBC"/>
    <w:rsid w:val="00E97FB3"/>
    <w:rsid w:val="00EA02E0"/>
    <w:rsid w:val="00EA078E"/>
    <w:rsid w:val="00EA2BB1"/>
    <w:rsid w:val="00EA2DE3"/>
    <w:rsid w:val="00EA3A19"/>
    <w:rsid w:val="00EA4E54"/>
    <w:rsid w:val="00EA5B48"/>
    <w:rsid w:val="00EA5DD2"/>
    <w:rsid w:val="00EA70A4"/>
    <w:rsid w:val="00EB1F8B"/>
    <w:rsid w:val="00EB23A5"/>
    <w:rsid w:val="00EB2CDE"/>
    <w:rsid w:val="00EB36A8"/>
    <w:rsid w:val="00EB4547"/>
    <w:rsid w:val="00EB4F7B"/>
    <w:rsid w:val="00EB568A"/>
    <w:rsid w:val="00EB6154"/>
    <w:rsid w:val="00EB6773"/>
    <w:rsid w:val="00EB6E6C"/>
    <w:rsid w:val="00EB6F97"/>
    <w:rsid w:val="00EC0972"/>
    <w:rsid w:val="00EC13EE"/>
    <w:rsid w:val="00EC4438"/>
    <w:rsid w:val="00EC5C0E"/>
    <w:rsid w:val="00EC60DF"/>
    <w:rsid w:val="00EC665F"/>
    <w:rsid w:val="00ED11F8"/>
    <w:rsid w:val="00ED2901"/>
    <w:rsid w:val="00ED392D"/>
    <w:rsid w:val="00ED394F"/>
    <w:rsid w:val="00ED396E"/>
    <w:rsid w:val="00ED7A25"/>
    <w:rsid w:val="00ED7EE2"/>
    <w:rsid w:val="00EE0DD3"/>
    <w:rsid w:val="00EE12BD"/>
    <w:rsid w:val="00EE18C8"/>
    <w:rsid w:val="00EE2664"/>
    <w:rsid w:val="00EE44FE"/>
    <w:rsid w:val="00EE458F"/>
    <w:rsid w:val="00EE4D04"/>
    <w:rsid w:val="00EE545E"/>
    <w:rsid w:val="00EE6131"/>
    <w:rsid w:val="00EF0143"/>
    <w:rsid w:val="00EF06DC"/>
    <w:rsid w:val="00EF141C"/>
    <w:rsid w:val="00EF1B2F"/>
    <w:rsid w:val="00EF2984"/>
    <w:rsid w:val="00EF29C9"/>
    <w:rsid w:val="00EF337E"/>
    <w:rsid w:val="00EF49C0"/>
    <w:rsid w:val="00EF7414"/>
    <w:rsid w:val="00EF7587"/>
    <w:rsid w:val="00EF76FA"/>
    <w:rsid w:val="00EF7CA7"/>
    <w:rsid w:val="00F004B0"/>
    <w:rsid w:val="00F00BA8"/>
    <w:rsid w:val="00F00CFE"/>
    <w:rsid w:val="00F013C8"/>
    <w:rsid w:val="00F01F28"/>
    <w:rsid w:val="00F0204E"/>
    <w:rsid w:val="00F020D2"/>
    <w:rsid w:val="00F02702"/>
    <w:rsid w:val="00F02CD6"/>
    <w:rsid w:val="00F03B6A"/>
    <w:rsid w:val="00F03C1D"/>
    <w:rsid w:val="00F04599"/>
    <w:rsid w:val="00F0629A"/>
    <w:rsid w:val="00F06500"/>
    <w:rsid w:val="00F06A2D"/>
    <w:rsid w:val="00F0741D"/>
    <w:rsid w:val="00F11BA5"/>
    <w:rsid w:val="00F14610"/>
    <w:rsid w:val="00F14928"/>
    <w:rsid w:val="00F1524B"/>
    <w:rsid w:val="00F15566"/>
    <w:rsid w:val="00F15BCA"/>
    <w:rsid w:val="00F17766"/>
    <w:rsid w:val="00F17DC1"/>
    <w:rsid w:val="00F214B3"/>
    <w:rsid w:val="00F222A3"/>
    <w:rsid w:val="00F22B4B"/>
    <w:rsid w:val="00F231A1"/>
    <w:rsid w:val="00F233C1"/>
    <w:rsid w:val="00F24701"/>
    <w:rsid w:val="00F24E7B"/>
    <w:rsid w:val="00F24FC7"/>
    <w:rsid w:val="00F25632"/>
    <w:rsid w:val="00F25ABB"/>
    <w:rsid w:val="00F26BEF"/>
    <w:rsid w:val="00F273DF"/>
    <w:rsid w:val="00F273F1"/>
    <w:rsid w:val="00F3088C"/>
    <w:rsid w:val="00F32846"/>
    <w:rsid w:val="00F34A6C"/>
    <w:rsid w:val="00F3537C"/>
    <w:rsid w:val="00F362BA"/>
    <w:rsid w:val="00F36AFC"/>
    <w:rsid w:val="00F374C5"/>
    <w:rsid w:val="00F4185C"/>
    <w:rsid w:val="00F41C04"/>
    <w:rsid w:val="00F4380C"/>
    <w:rsid w:val="00F43B05"/>
    <w:rsid w:val="00F443EB"/>
    <w:rsid w:val="00F445EC"/>
    <w:rsid w:val="00F44D1A"/>
    <w:rsid w:val="00F44F4E"/>
    <w:rsid w:val="00F451E2"/>
    <w:rsid w:val="00F45FE8"/>
    <w:rsid w:val="00F460E1"/>
    <w:rsid w:val="00F46459"/>
    <w:rsid w:val="00F46E4B"/>
    <w:rsid w:val="00F46F38"/>
    <w:rsid w:val="00F5173B"/>
    <w:rsid w:val="00F5412E"/>
    <w:rsid w:val="00F549A2"/>
    <w:rsid w:val="00F54CB9"/>
    <w:rsid w:val="00F556BC"/>
    <w:rsid w:val="00F558EF"/>
    <w:rsid w:val="00F57C39"/>
    <w:rsid w:val="00F57E9C"/>
    <w:rsid w:val="00F60BB7"/>
    <w:rsid w:val="00F61A4D"/>
    <w:rsid w:val="00F63110"/>
    <w:rsid w:val="00F63F26"/>
    <w:rsid w:val="00F66C67"/>
    <w:rsid w:val="00F70095"/>
    <w:rsid w:val="00F703D3"/>
    <w:rsid w:val="00F70F9C"/>
    <w:rsid w:val="00F7257A"/>
    <w:rsid w:val="00F7264D"/>
    <w:rsid w:val="00F74621"/>
    <w:rsid w:val="00F74880"/>
    <w:rsid w:val="00F74A8E"/>
    <w:rsid w:val="00F7525D"/>
    <w:rsid w:val="00F7745A"/>
    <w:rsid w:val="00F77AB2"/>
    <w:rsid w:val="00F8110E"/>
    <w:rsid w:val="00F81D98"/>
    <w:rsid w:val="00F81F30"/>
    <w:rsid w:val="00F828E3"/>
    <w:rsid w:val="00F83C38"/>
    <w:rsid w:val="00F8446A"/>
    <w:rsid w:val="00F84DFB"/>
    <w:rsid w:val="00F8632F"/>
    <w:rsid w:val="00F92575"/>
    <w:rsid w:val="00F92596"/>
    <w:rsid w:val="00F93CEF"/>
    <w:rsid w:val="00F94959"/>
    <w:rsid w:val="00F95EF7"/>
    <w:rsid w:val="00FA0C20"/>
    <w:rsid w:val="00FA1203"/>
    <w:rsid w:val="00FA2690"/>
    <w:rsid w:val="00FA351E"/>
    <w:rsid w:val="00FA3DC9"/>
    <w:rsid w:val="00FA543E"/>
    <w:rsid w:val="00FA58EA"/>
    <w:rsid w:val="00FA794D"/>
    <w:rsid w:val="00FB0A23"/>
    <w:rsid w:val="00FB184C"/>
    <w:rsid w:val="00FB211E"/>
    <w:rsid w:val="00FB27FE"/>
    <w:rsid w:val="00FB3C60"/>
    <w:rsid w:val="00FB49BC"/>
    <w:rsid w:val="00FB6A21"/>
    <w:rsid w:val="00FB713F"/>
    <w:rsid w:val="00FB7180"/>
    <w:rsid w:val="00FC041B"/>
    <w:rsid w:val="00FC195D"/>
    <w:rsid w:val="00FC1A07"/>
    <w:rsid w:val="00FC503D"/>
    <w:rsid w:val="00FC508C"/>
    <w:rsid w:val="00FC7649"/>
    <w:rsid w:val="00FD04FA"/>
    <w:rsid w:val="00FD1209"/>
    <w:rsid w:val="00FD205B"/>
    <w:rsid w:val="00FD27DB"/>
    <w:rsid w:val="00FD4BA9"/>
    <w:rsid w:val="00FD590A"/>
    <w:rsid w:val="00FD6043"/>
    <w:rsid w:val="00FD65D5"/>
    <w:rsid w:val="00FE00BD"/>
    <w:rsid w:val="00FE2334"/>
    <w:rsid w:val="00FE4201"/>
    <w:rsid w:val="00FE4566"/>
    <w:rsid w:val="00FE7EFD"/>
    <w:rsid w:val="00FF0173"/>
    <w:rsid w:val="00FF01B4"/>
    <w:rsid w:val="00FF0694"/>
    <w:rsid w:val="00FF13AD"/>
    <w:rsid w:val="00FF4324"/>
    <w:rsid w:val="00FF55A6"/>
    <w:rsid w:val="01404653"/>
    <w:rsid w:val="016F283F"/>
    <w:rsid w:val="021E2E86"/>
    <w:rsid w:val="02A25AF1"/>
    <w:rsid w:val="03234ECC"/>
    <w:rsid w:val="036057A9"/>
    <w:rsid w:val="04B604E0"/>
    <w:rsid w:val="04CE42F4"/>
    <w:rsid w:val="04EB6681"/>
    <w:rsid w:val="052238F1"/>
    <w:rsid w:val="05295E06"/>
    <w:rsid w:val="058A4BA6"/>
    <w:rsid w:val="06053772"/>
    <w:rsid w:val="067D42C5"/>
    <w:rsid w:val="06825BC8"/>
    <w:rsid w:val="07536EF0"/>
    <w:rsid w:val="07692A3F"/>
    <w:rsid w:val="07C136C9"/>
    <w:rsid w:val="081A317C"/>
    <w:rsid w:val="085D509A"/>
    <w:rsid w:val="085D5A38"/>
    <w:rsid w:val="08662BDA"/>
    <w:rsid w:val="0871260D"/>
    <w:rsid w:val="08C90A87"/>
    <w:rsid w:val="08D51E2B"/>
    <w:rsid w:val="08F024B8"/>
    <w:rsid w:val="093E76C7"/>
    <w:rsid w:val="0A4A1C71"/>
    <w:rsid w:val="0A640A8D"/>
    <w:rsid w:val="0A960A6B"/>
    <w:rsid w:val="0AD442C1"/>
    <w:rsid w:val="0B424B21"/>
    <w:rsid w:val="0B45776E"/>
    <w:rsid w:val="0B6E3E9B"/>
    <w:rsid w:val="0B8441A0"/>
    <w:rsid w:val="0C30706F"/>
    <w:rsid w:val="0C317404"/>
    <w:rsid w:val="0C691C6B"/>
    <w:rsid w:val="0C950BBA"/>
    <w:rsid w:val="0CB04465"/>
    <w:rsid w:val="0CF74D52"/>
    <w:rsid w:val="0D603597"/>
    <w:rsid w:val="0DF5231E"/>
    <w:rsid w:val="0DFB6B7F"/>
    <w:rsid w:val="0E937FF7"/>
    <w:rsid w:val="0FE33DCD"/>
    <w:rsid w:val="108530A7"/>
    <w:rsid w:val="10AE015C"/>
    <w:rsid w:val="10B77E6D"/>
    <w:rsid w:val="10BB6702"/>
    <w:rsid w:val="10FF39B5"/>
    <w:rsid w:val="11336630"/>
    <w:rsid w:val="113E55BE"/>
    <w:rsid w:val="117F6ACF"/>
    <w:rsid w:val="118A126C"/>
    <w:rsid w:val="1220536C"/>
    <w:rsid w:val="123F746C"/>
    <w:rsid w:val="130E1775"/>
    <w:rsid w:val="13570F7E"/>
    <w:rsid w:val="137F3D98"/>
    <w:rsid w:val="13BA5B9C"/>
    <w:rsid w:val="13F51A1C"/>
    <w:rsid w:val="14180FFC"/>
    <w:rsid w:val="15007F26"/>
    <w:rsid w:val="15BA3636"/>
    <w:rsid w:val="161404C8"/>
    <w:rsid w:val="16182089"/>
    <w:rsid w:val="17252589"/>
    <w:rsid w:val="17265757"/>
    <w:rsid w:val="17AE3C6A"/>
    <w:rsid w:val="17C57E8F"/>
    <w:rsid w:val="17E625C2"/>
    <w:rsid w:val="18542BF6"/>
    <w:rsid w:val="18814EDA"/>
    <w:rsid w:val="18CB1E1D"/>
    <w:rsid w:val="18EB43EE"/>
    <w:rsid w:val="198704A9"/>
    <w:rsid w:val="19915C39"/>
    <w:rsid w:val="19A13696"/>
    <w:rsid w:val="19BA76AA"/>
    <w:rsid w:val="1A0B6E3B"/>
    <w:rsid w:val="1A264176"/>
    <w:rsid w:val="1A766595"/>
    <w:rsid w:val="1A7D4B85"/>
    <w:rsid w:val="1B745D3C"/>
    <w:rsid w:val="1BD53553"/>
    <w:rsid w:val="1C037E84"/>
    <w:rsid w:val="1C0814D0"/>
    <w:rsid w:val="1D5D528E"/>
    <w:rsid w:val="1DA03128"/>
    <w:rsid w:val="1DBE2CC9"/>
    <w:rsid w:val="1DF41EBB"/>
    <w:rsid w:val="1E971126"/>
    <w:rsid w:val="1EE00BA0"/>
    <w:rsid w:val="1EEC20DC"/>
    <w:rsid w:val="1F012D73"/>
    <w:rsid w:val="1F5C4703"/>
    <w:rsid w:val="1FEA77EE"/>
    <w:rsid w:val="204D274A"/>
    <w:rsid w:val="2079293B"/>
    <w:rsid w:val="2092625E"/>
    <w:rsid w:val="209A3CD2"/>
    <w:rsid w:val="20A17B1B"/>
    <w:rsid w:val="210459B8"/>
    <w:rsid w:val="211F394C"/>
    <w:rsid w:val="22135B75"/>
    <w:rsid w:val="2226297A"/>
    <w:rsid w:val="2232507A"/>
    <w:rsid w:val="22974636"/>
    <w:rsid w:val="2359040B"/>
    <w:rsid w:val="23A171D3"/>
    <w:rsid w:val="23EB1FFB"/>
    <w:rsid w:val="2422408F"/>
    <w:rsid w:val="243F6861"/>
    <w:rsid w:val="252E17BB"/>
    <w:rsid w:val="254C7941"/>
    <w:rsid w:val="255B1BC6"/>
    <w:rsid w:val="256736AA"/>
    <w:rsid w:val="256B3C9A"/>
    <w:rsid w:val="260D5FFF"/>
    <w:rsid w:val="261969C0"/>
    <w:rsid w:val="265E1A78"/>
    <w:rsid w:val="273121C1"/>
    <w:rsid w:val="27D96F86"/>
    <w:rsid w:val="27E17743"/>
    <w:rsid w:val="288E4399"/>
    <w:rsid w:val="289D0900"/>
    <w:rsid w:val="28B9453D"/>
    <w:rsid w:val="2936586D"/>
    <w:rsid w:val="295E35EE"/>
    <w:rsid w:val="299A14B8"/>
    <w:rsid w:val="29E96D83"/>
    <w:rsid w:val="29EE2B1E"/>
    <w:rsid w:val="2A2C7042"/>
    <w:rsid w:val="2A97058D"/>
    <w:rsid w:val="2A994305"/>
    <w:rsid w:val="2B2B3391"/>
    <w:rsid w:val="2BF37A45"/>
    <w:rsid w:val="2C392CFB"/>
    <w:rsid w:val="2C4B74B9"/>
    <w:rsid w:val="2C514FEB"/>
    <w:rsid w:val="2C7824B8"/>
    <w:rsid w:val="2C7C5C8D"/>
    <w:rsid w:val="2C840FE5"/>
    <w:rsid w:val="2C971B37"/>
    <w:rsid w:val="2D0637CB"/>
    <w:rsid w:val="2D186643"/>
    <w:rsid w:val="2D256324"/>
    <w:rsid w:val="2D7E3C6F"/>
    <w:rsid w:val="2D8079FF"/>
    <w:rsid w:val="2DF45BAB"/>
    <w:rsid w:val="2DFC6DA8"/>
    <w:rsid w:val="2E1E06B9"/>
    <w:rsid w:val="2EB95B8D"/>
    <w:rsid w:val="2EC31307"/>
    <w:rsid w:val="2EED420A"/>
    <w:rsid w:val="2FB06ABD"/>
    <w:rsid w:val="2FF16036"/>
    <w:rsid w:val="30FA1876"/>
    <w:rsid w:val="31AE7611"/>
    <w:rsid w:val="31C33E28"/>
    <w:rsid w:val="31CD1F13"/>
    <w:rsid w:val="31CD6F8B"/>
    <w:rsid w:val="31E87920"/>
    <w:rsid w:val="326F1DF0"/>
    <w:rsid w:val="32DA2543"/>
    <w:rsid w:val="33AB19A1"/>
    <w:rsid w:val="33ED0FA4"/>
    <w:rsid w:val="349A34DB"/>
    <w:rsid w:val="34AC4971"/>
    <w:rsid w:val="350C0143"/>
    <w:rsid w:val="35167599"/>
    <w:rsid w:val="352A13FA"/>
    <w:rsid w:val="358856A2"/>
    <w:rsid w:val="358F6F80"/>
    <w:rsid w:val="35A2652B"/>
    <w:rsid w:val="35AA2525"/>
    <w:rsid w:val="36343134"/>
    <w:rsid w:val="36EE7787"/>
    <w:rsid w:val="373D6C80"/>
    <w:rsid w:val="37666470"/>
    <w:rsid w:val="379E4EE8"/>
    <w:rsid w:val="37DA2CD3"/>
    <w:rsid w:val="380940FC"/>
    <w:rsid w:val="38831C04"/>
    <w:rsid w:val="38B15D8D"/>
    <w:rsid w:val="38C26FCA"/>
    <w:rsid w:val="38EE3475"/>
    <w:rsid w:val="39877F1F"/>
    <w:rsid w:val="3AA07E59"/>
    <w:rsid w:val="3ABD411D"/>
    <w:rsid w:val="3AE84675"/>
    <w:rsid w:val="3B3103B6"/>
    <w:rsid w:val="3BA00474"/>
    <w:rsid w:val="3BA548E8"/>
    <w:rsid w:val="3C111A19"/>
    <w:rsid w:val="3D615EC3"/>
    <w:rsid w:val="3DB76351"/>
    <w:rsid w:val="3DCF2C73"/>
    <w:rsid w:val="3E0456CC"/>
    <w:rsid w:val="3E1C6E8A"/>
    <w:rsid w:val="3EFF4804"/>
    <w:rsid w:val="3F135889"/>
    <w:rsid w:val="3F740A45"/>
    <w:rsid w:val="402E3A57"/>
    <w:rsid w:val="411424E0"/>
    <w:rsid w:val="412B2133"/>
    <w:rsid w:val="41B31B93"/>
    <w:rsid w:val="42415A41"/>
    <w:rsid w:val="4278399C"/>
    <w:rsid w:val="435C1F1C"/>
    <w:rsid w:val="43911EEB"/>
    <w:rsid w:val="43ED3E46"/>
    <w:rsid w:val="45034073"/>
    <w:rsid w:val="4517259F"/>
    <w:rsid w:val="45BE5803"/>
    <w:rsid w:val="46607F75"/>
    <w:rsid w:val="46731A57"/>
    <w:rsid w:val="468E2DF0"/>
    <w:rsid w:val="47777325"/>
    <w:rsid w:val="477828A6"/>
    <w:rsid w:val="485C5346"/>
    <w:rsid w:val="486C2146"/>
    <w:rsid w:val="48D25ED1"/>
    <w:rsid w:val="492E6109"/>
    <w:rsid w:val="4A1E7F2C"/>
    <w:rsid w:val="4AED5861"/>
    <w:rsid w:val="4B6A71C8"/>
    <w:rsid w:val="4B785D69"/>
    <w:rsid w:val="4BBC7EBE"/>
    <w:rsid w:val="4BE25B8D"/>
    <w:rsid w:val="4C54555A"/>
    <w:rsid w:val="4C632C63"/>
    <w:rsid w:val="4CCF7D94"/>
    <w:rsid w:val="4D4F1574"/>
    <w:rsid w:val="4D873744"/>
    <w:rsid w:val="4E4174EA"/>
    <w:rsid w:val="4F193AFC"/>
    <w:rsid w:val="4F9326B9"/>
    <w:rsid w:val="4FA7753C"/>
    <w:rsid w:val="50353F16"/>
    <w:rsid w:val="5075308D"/>
    <w:rsid w:val="50E23A41"/>
    <w:rsid w:val="50EB16C1"/>
    <w:rsid w:val="51640797"/>
    <w:rsid w:val="51A70A76"/>
    <w:rsid w:val="51F74A60"/>
    <w:rsid w:val="521B61D4"/>
    <w:rsid w:val="529F2C8A"/>
    <w:rsid w:val="52A36879"/>
    <w:rsid w:val="52F74381"/>
    <w:rsid w:val="52F92B19"/>
    <w:rsid w:val="538C4198"/>
    <w:rsid w:val="544662D1"/>
    <w:rsid w:val="54586543"/>
    <w:rsid w:val="54722618"/>
    <w:rsid w:val="54AB5C18"/>
    <w:rsid w:val="54D74114"/>
    <w:rsid w:val="55216D61"/>
    <w:rsid w:val="554F6418"/>
    <w:rsid w:val="558319C8"/>
    <w:rsid w:val="55C37BD9"/>
    <w:rsid w:val="55ED318A"/>
    <w:rsid w:val="564D1333"/>
    <w:rsid w:val="567B29ED"/>
    <w:rsid w:val="56A372C2"/>
    <w:rsid w:val="56C708EE"/>
    <w:rsid w:val="570F1328"/>
    <w:rsid w:val="57485060"/>
    <w:rsid w:val="574F4B46"/>
    <w:rsid w:val="5750190B"/>
    <w:rsid w:val="57512AED"/>
    <w:rsid w:val="57CB482C"/>
    <w:rsid w:val="582E04E2"/>
    <w:rsid w:val="585E53A5"/>
    <w:rsid w:val="58B804A7"/>
    <w:rsid w:val="58E22142"/>
    <w:rsid w:val="59485E82"/>
    <w:rsid w:val="59723D50"/>
    <w:rsid w:val="598900F2"/>
    <w:rsid w:val="5AA61FA3"/>
    <w:rsid w:val="5AC24977"/>
    <w:rsid w:val="5CBB101A"/>
    <w:rsid w:val="5CC2663A"/>
    <w:rsid w:val="5D493206"/>
    <w:rsid w:val="5D6F7A58"/>
    <w:rsid w:val="5D8D744A"/>
    <w:rsid w:val="5D9E0A8E"/>
    <w:rsid w:val="5E0771FD"/>
    <w:rsid w:val="5F021772"/>
    <w:rsid w:val="5F255D69"/>
    <w:rsid w:val="5F432B45"/>
    <w:rsid w:val="60D94755"/>
    <w:rsid w:val="60E17630"/>
    <w:rsid w:val="60F2782E"/>
    <w:rsid w:val="61386D25"/>
    <w:rsid w:val="61814C13"/>
    <w:rsid w:val="62333297"/>
    <w:rsid w:val="62B90983"/>
    <w:rsid w:val="62C75F9B"/>
    <w:rsid w:val="62DC5F40"/>
    <w:rsid w:val="62EE44E7"/>
    <w:rsid w:val="62F82F22"/>
    <w:rsid w:val="630F17D8"/>
    <w:rsid w:val="632B7770"/>
    <w:rsid w:val="63471E49"/>
    <w:rsid w:val="637F5749"/>
    <w:rsid w:val="63C2610D"/>
    <w:rsid w:val="63C9325A"/>
    <w:rsid w:val="64A77044"/>
    <w:rsid w:val="64D831E6"/>
    <w:rsid w:val="64EA54D2"/>
    <w:rsid w:val="653B6D24"/>
    <w:rsid w:val="65487BBF"/>
    <w:rsid w:val="657D3011"/>
    <w:rsid w:val="66A21CEA"/>
    <w:rsid w:val="66AE1BA0"/>
    <w:rsid w:val="66E04258"/>
    <w:rsid w:val="66F818FB"/>
    <w:rsid w:val="679C0226"/>
    <w:rsid w:val="67F30197"/>
    <w:rsid w:val="68255344"/>
    <w:rsid w:val="68D62580"/>
    <w:rsid w:val="68E34F08"/>
    <w:rsid w:val="69214FBE"/>
    <w:rsid w:val="694974FD"/>
    <w:rsid w:val="694E0D13"/>
    <w:rsid w:val="69E77B0D"/>
    <w:rsid w:val="69ED3B18"/>
    <w:rsid w:val="6A4D7BF3"/>
    <w:rsid w:val="6A53447E"/>
    <w:rsid w:val="6A9811DC"/>
    <w:rsid w:val="6AAE3F86"/>
    <w:rsid w:val="6AE52674"/>
    <w:rsid w:val="6B01589B"/>
    <w:rsid w:val="6B623CC4"/>
    <w:rsid w:val="6B6D29CC"/>
    <w:rsid w:val="6B7845E0"/>
    <w:rsid w:val="6C663887"/>
    <w:rsid w:val="6D233C50"/>
    <w:rsid w:val="6D583CC9"/>
    <w:rsid w:val="6D5F15C9"/>
    <w:rsid w:val="6D855A48"/>
    <w:rsid w:val="6E1B3FDF"/>
    <w:rsid w:val="6E3B20F7"/>
    <w:rsid w:val="6E5B2C4D"/>
    <w:rsid w:val="6EA50F15"/>
    <w:rsid w:val="6EC64319"/>
    <w:rsid w:val="6F073538"/>
    <w:rsid w:val="6F1C23DC"/>
    <w:rsid w:val="6F1D15BF"/>
    <w:rsid w:val="6F616041"/>
    <w:rsid w:val="6FDD7DBD"/>
    <w:rsid w:val="704F50FD"/>
    <w:rsid w:val="70D32F6E"/>
    <w:rsid w:val="70DA42FD"/>
    <w:rsid w:val="715300CA"/>
    <w:rsid w:val="71631801"/>
    <w:rsid w:val="71C92D3B"/>
    <w:rsid w:val="71E45191"/>
    <w:rsid w:val="72420985"/>
    <w:rsid w:val="72C70C29"/>
    <w:rsid w:val="72FC52BF"/>
    <w:rsid w:val="735F40D6"/>
    <w:rsid w:val="74084178"/>
    <w:rsid w:val="742A3BBB"/>
    <w:rsid w:val="74964153"/>
    <w:rsid w:val="752175BA"/>
    <w:rsid w:val="758D3B14"/>
    <w:rsid w:val="75D615E0"/>
    <w:rsid w:val="75F0310B"/>
    <w:rsid w:val="75F34F11"/>
    <w:rsid w:val="760630B0"/>
    <w:rsid w:val="76AF7FDA"/>
    <w:rsid w:val="770A4EDC"/>
    <w:rsid w:val="77644920"/>
    <w:rsid w:val="7770053A"/>
    <w:rsid w:val="787A3217"/>
    <w:rsid w:val="7899684C"/>
    <w:rsid w:val="78B0289F"/>
    <w:rsid w:val="78B517E1"/>
    <w:rsid w:val="78D14FC6"/>
    <w:rsid w:val="795D3D1D"/>
    <w:rsid w:val="79763919"/>
    <w:rsid w:val="79817A0B"/>
    <w:rsid w:val="79857B6F"/>
    <w:rsid w:val="79CB2893"/>
    <w:rsid w:val="79CC7F63"/>
    <w:rsid w:val="79E11C7D"/>
    <w:rsid w:val="7A073617"/>
    <w:rsid w:val="7A173AE4"/>
    <w:rsid w:val="7B431D92"/>
    <w:rsid w:val="7B890DF9"/>
    <w:rsid w:val="7B95754E"/>
    <w:rsid w:val="7BC474F6"/>
    <w:rsid w:val="7C574A54"/>
    <w:rsid w:val="7D524288"/>
    <w:rsid w:val="7DC93C6B"/>
    <w:rsid w:val="7DDA3B8E"/>
    <w:rsid w:val="7E4A0D41"/>
    <w:rsid w:val="7EA45F4A"/>
    <w:rsid w:val="7F020B7F"/>
    <w:rsid w:val="7F1F1620"/>
    <w:rsid w:val="7F8972B5"/>
    <w:rsid w:val="7FB01671"/>
    <w:rsid w:val="7FCD07F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tabs>
        <w:tab w:val="left" w:pos="2070"/>
      </w:tabs>
      <w:adjustRightInd w:val="0"/>
      <w:spacing w:line="360" w:lineRule="auto"/>
      <w:ind w:left="2070" w:hanging="420"/>
      <w:textAlignment w:val="baseline"/>
      <w:outlineLvl w:val="0"/>
    </w:pPr>
    <w:rPr>
      <w:rFonts w:ascii="楷体_GB2312" w:eastAsia="楷体_GB2312"/>
      <w:kern w:val="0"/>
      <w:sz w:val="28"/>
    </w:rPr>
  </w:style>
  <w:style w:type="paragraph" w:styleId="3">
    <w:name w:val="heading 2"/>
    <w:basedOn w:val="1"/>
    <w:next w:val="1"/>
    <w:link w:val="73"/>
    <w:qFormat/>
    <w:uiPriority w:val="0"/>
    <w:pPr>
      <w:keepNext/>
      <w:keepLines/>
      <w:spacing w:before="260" w:after="260" w:line="415" w:lineRule="auto"/>
      <w:jc w:val="center"/>
      <w:outlineLvl w:val="1"/>
    </w:pPr>
    <w:rPr>
      <w:rFonts w:ascii="Arial" w:hAnsi="Arial" w:eastAsia="黑体"/>
      <w:b/>
      <w:bCs/>
      <w:sz w:val="36"/>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60" w:lineRule="auto"/>
      <w:ind w:firstLine="200" w:firstLineChars="200"/>
      <w:outlineLvl w:val="3"/>
    </w:pPr>
    <w:rPr>
      <w:bCs/>
      <w:sz w:val="24"/>
      <w:szCs w:val="28"/>
    </w:rPr>
  </w:style>
  <w:style w:type="paragraph" w:styleId="6">
    <w:name w:val="heading 5"/>
    <w:basedOn w:val="1"/>
    <w:next w:val="1"/>
    <w:qFormat/>
    <w:uiPriority w:val="0"/>
    <w:pPr>
      <w:keepNext/>
      <w:keepLines/>
      <w:spacing w:before="280" w:after="290" w:line="374" w:lineRule="auto"/>
      <w:jc w:val="left"/>
      <w:outlineLvl w:val="4"/>
    </w:pPr>
    <w:rPr>
      <w:rFonts w:ascii="宋体" w:hAnsi="宋体"/>
      <w:b/>
      <w:bCs/>
      <w:sz w:val="28"/>
      <w:szCs w:val="28"/>
    </w:rPr>
  </w:style>
  <w:style w:type="paragraph" w:styleId="7">
    <w:name w:val="heading 6"/>
    <w:basedOn w:val="1"/>
    <w:next w:val="1"/>
    <w:qFormat/>
    <w:uiPriority w:val="0"/>
    <w:pPr>
      <w:keepNext/>
      <w:keepLines/>
      <w:spacing w:before="240" w:after="64" w:line="319" w:lineRule="auto"/>
      <w:jc w:val="left"/>
      <w:outlineLvl w:val="5"/>
    </w:pPr>
    <w:rPr>
      <w:rFonts w:ascii="Arial" w:hAnsi="Arial" w:eastAsia="黑体"/>
      <w:b/>
      <w:bCs/>
      <w:sz w:val="24"/>
      <w:szCs w:val="24"/>
    </w:rPr>
  </w:style>
  <w:style w:type="paragraph" w:styleId="8">
    <w:name w:val="heading 7"/>
    <w:basedOn w:val="1"/>
    <w:next w:val="1"/>
    <w:qFormat/>
    <w:uiPriority w:val="0"/>
    <w:pPr>
      <w:keepNext/>
      <w:keepLines/>
      <w:spacing w:before="240" w:after="64" w:line="319" w:lineRule="auto"/>
      <w:jc w:val="left"/>
      <w:outlineLvl w:val="6"/>
    </w:pPr>
    <w:rPr>
      <w:rFonts w:ascii="宋体" w:hAnsi="宋体"/>
      <w:b/>
      <w:bCs/>
      <w:sz w:val="24"/>
      <w:szCs w:val="24"/>
    </w:rPr>
  </w:style>
  <w:style w:type="paragraph" w:styleId="9">
    <w:name w:val="heading 8"/>
    <w:basedOn w:val="1"/>
    <w:next w:val="1"/>
    <w:qFormat/>
    <w:uiPriority w:val="0"/>
    <w:pPr>
      <w:keepNext/>
      <w:keepLines/>
      <w:spacing w:before="240" w:after="64" w:line="319" w:lineRule="auto"/>
      <w:jc w:val="left"/>
      <w:outlineLvl w:val="7"/>
    </w:pPr>
    <w:rPr>
      <w:rFonts w:ascii="Arial" w:hAnsi="Arial" w:eastAsia="黑体"/>
      <w:sz w:val="24"/>
      <w:szCs w:val="24"/>
    </w:rPr>
  </w:style>
  <w:style w:type="paragraph" w:styleId="10">
    <w:name w:val="heading 9"/>
    <w:basedOn w:val="1"/>
    <w:next w:val="1"/>
    <w:qFormat/>
    <w:uiPriority w:val="0"/>
    <w:pPr>
      <w:keepNext/>
      <w:keepLines/>
      <w:spacing w:before="240" w:after="64" w:line="319" w:lineRule="auto"/>
      <w:jc w:val="left"/>
      <w:outlineLvl w:val="8"/>
    </w:pPr>
    <w:rPr>
      <w:rFonts w:ascii="Arial" w:hAnsi="Arial"/>
      <w:sz w:val="28"/>
      <w:szCs w:val="21"/>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index 8"/>
    <w:basedOn w:val="1"/>
    <w:next w:val="1"/>
    <w:qFormat/>
    <w:uiPriority w:val="0"/>
    <w:pPr>
      <w:spacing w:line="360" w:lineRule="auto"/>
      <w:ind w:left="1400" w:leftChars="1400" w:firstLine="200" w:firstLineChars="200"/>
    </w:pPr>
    <w:rPr>
      <w:sz w:val="24"/>
      <w:szCs w:val="24"/>
    </w:rPr>
  </w:style>
  <w:style w:type="paragraph" w:styleId="13">
    <w:name w:val="Normal Indent"/>
    <w:basedOn w:val="1"/>
    <w:qFormat/>
    <w:uiPriority w:val="0"/>
    <w:pPr>
      <w:adjustRightInd w:val="0"/>
      <w:spacing w:line="312" w:lineRule="atLeast"/>
      <w:ind w:firstLine="420"/>
      <w:textAlignment w:val="baseline"/>
    </w:pPr>
    <w:rPr>
      <w:kern w:val="0"/>
    </w:rPr>
  </w:style>
  <w:style w:type="paragraph" w:styleId="14">
    <w:name w:val="index 5"/>
    <w:basedOn w:val="1"/>
    <w:next w:val="1"/>
    <w:qFormat/>
    <w:uiPriority w:val="0"/>
    <w:pPr>
      <w:spacing w:line="360" w:lineRule="auto"/>
      <w:ind w:left="800" w:leftChars="800" w:firstLine="200" w:firstLineChars="200"/>
    </w:pPr>
    <w:rPr>
      <w:sz w:val="24"/>
      <w:szCs w:val="24"/>
    </w:rPr>
  </w:style>
  <w:style w:type="paragraph" w:styleId="15">
    <w:name w:val="annotation text"/>
    <w:basedOn w:val="1"/>
    <w:link w:val="108"/>
    <w:qFormat/>
    <w:uiPriority w:val="0"/>
    <w:pPr>
      <w:spacing w:line="360" w:lineRule="auto"/>
      <w:ind w:firstLine="200" w:firstLineChars="200"/>
      <w:jc w:val="left"/>
    </w:pPr>
    <w:rPr>
      <w:sz w:val="24"/>
      <w:szCs w:val="24"/>
    </w:rPr>
  </w:style>
  <w:style w:type="paragraph" w:styleId="16">
    <w:name w:val="index 6"/>
    <w:basedOn w:val="1"/>
    <w:next w:val="1"/>
    <w:qFormat/>
    <w:uiPriority w:val="0"/>
    <w:pPr>
      <w:spacing w:line="360" w:lineRule="auto"/>
      <w:ind w:left="1000" w:leftChars="1000" w:firstLine="200" w:firstLineChars="200"/>
    </w:pPr>
    <w:rPr>
      <w:sz w:val="24"/>
      <w:szCs w:val="24"/>
    </w:rPr>
  </w:style>
  <w:style w:type="paragraph" w:styleId="17">
    <w:name w:val="Body Text"/>
    <w:basedOn w:val="1"/>
    <w:next w:val="18"/>
    <w:link w:val="59"/>
    <w:qFormat/>
    <w:uiPriority w:val="0"/>
    <w:pPr>
      <w:spacing w:line="360" w:lineRule="auto"/>
    </w:pPr>
    <w:rPr>
      <w:spacing w:val="20"/>
      <w:sz w:val="28"/>
    </w:rPr>
  </w:style>
  <w:style w:type="paragraph" w:customStyle="1" w:styleId="1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9">
    <w:name w:val="Body Text Indent"/>
    <w:basedOn w:val="1"/>
    <w:link w:val="61"/>
    <w:qFormat/>
    <w:uiPriority w:val="0"/>
    <w:pPr>
      <w:tabs>
        <w:tab w:val="left" w:pos="8715"/>
      </w:tabs>
      <w:spacing w:line="360" w:lineRule="auto"/>
      <w:ind w:firstLine="732"/>
    </w:pPr>
    <w:rPr>
      <w:rFonts w:ascii="楷体_GB2312" w:eastAsia="楷体_GB2312"/>
      <w:spacing w:val="20"/>
      <w:sz w:val="24"/>
    </w:rPr>
  </w:style>
  <w:style w:type="paragraph" w:styleId="20">
    <w:name w:val="index 4"/>
    <w:basedOn w:val="1"/>
    <w:next w:val="1"/>
    <w:qFormat/>
    <w:uiPriority w:val="0"/>
    <w:pPr>
      <w:spacing w:line="360" w:lineRule="auto"/>
      <w:ind w:left="600" w:leftChars="600" w:firstLine="200" w:firstLineChars="200"/>
    </w:pPr>
    <w:rPr>
      <w:sz w:val="24"/>
      <w:szCs w:val="24"/>
    </w:r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link w:val="60"/>
    <w:qFormat/>
    <w:uiPriority w:val="0"/>
    <w:rPr>
      <w:rFonts w:ascii="宋体" w:hAnsi="Courier New" w:cs="Courier New"/>
      <w:szCs w:val="21"/>
    </w:rPr>
  </w:style>
  <w:style w:type="paragraph" w:styleId="24">
    <w:name w:val="toc 8"/>
    <w:basedOn w:val="1"/>
    <w:next w:val="1"/>
    <w:qFormat/>
    <w:uiPriority w:val="0"/>
    <w:pPr>
      <w:ind w:left="2940" w:leftChars="1400"/>
    </w:pPr>
  </w:style>
  <w:style w:type="paragraph" w:styleId="25">
    <w:name w:val="index 3"/>
    <w:basedOn w:val="1"/>
    <w:next w:val="1"/>
    <w:qFormat/>
    <w:uiPriority w:val="0"/>
    <w:pPr>
      <w:spacing w:line="360" w:lineRule="auto"/>
      <w:ind w:left="400" w:leftChars="400" w:firstLine="200" w:firstLineChars="200"/>
    </w:pPr>
    <w:rPr>
      <w:sz w:val="24"/>
      <w:szCs w:val="24"/>
    </w:rPr>
  </w:style>
  <w:style w:type="paragraph" w:styleId="26">
    <w:name w:val="Date"/>
    <w:basedOn w:val="1"/>
    <w:next w:val="1"/>
    <w:qFormat/>
    <w:uiPriority w:val="0"/>
    <w:rPr>
      <w:rFonts w:ascii="仿宋_GB2312" w:eastAsia="仿宋_GB2312"/>
      <w:kern w:val="0"/>
      <w:sz w:val="28"/>
    </w:rPr>
  </w:style>
  <w:style w:type="paragraph" w:styleId="27">
    <w:name w:val="Body Text Indent 2"/>
    <w:basedOn w:val="1"/>
    <w:link w:val="62"/>
    <w:qFormat/>
    <w:uiPriority w:val="0"/>
    <w:pPr>
      <w:spacing w:line="360" w:lineRule="auto"/>
      <w:ind w:left="420"/>
    </w:pPr>
    <w:rPr>
      <w:rFonts w:ascii="楷体_GB2312" w:eastAsia="楷体_GB2312"/>
      <w:spacing w:val="20"/>
      <w:sz w:val="24"/>
    </w:rPr>
  </w:style>
  <w:style w:type="paragraph" w:styleId="28">
    <w:name w:val="Balloon Text"/>
    <w:basedOn w:val="1"/>
    <w:qFormat/>
    <w:uiPriority w:val="0"/>
    <w:rPr>
      <w:sz w:val="18"/>
      <w:szCs w:val="18"/>
    </w:rPr>
  </w:style>
  <w:style w:type="paragraph" w:styleId="29">
    <w:name w:val="footer"/>
    <w:basedOn w:val="1"/>
    <w:qFormat/>
    <w:uiPriority w:val="0"/>
    <w:pPr>
      <w:tabs>
        <w:tab w:val="center" w:pos="4153"/>
        <w:tab w:val="right" w:pos="8306"/>
      </w:tabs>
      <w:snapToGrid w:val="0"/>
      <w:jc w:val="left"/>
    </w:pPr>
    <w:rPr>
      <w:sz w:val="18"/>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style>
  <w:style w:type="paragraph" w:styleId="32">
    <w:name w:val="toc 4"/>
    <w:basedOn w:val="1"/>
    <w:next w:val="1"/>
    <w:qFormat/>
    <w:uiPriority w:val="0"/>
    <w:pPr>
      <w:ind w:left="1260" w:leftChars="600"/>
    </w:pPr>
  </w:style>
  <w:style w:type="paragraph" w:styleId="33">
    <w:name w:val="index heading"/>
    <w:basedOn w:val="1"/>
    <w:next w:val="34"/>
    <w:qFormat/>
    <w:uiPriority w:val="0"/>
    <w:pPr>
      <w:spacing w:line="360" w:lineRule="auto"/>
      <w:ind w:firstLine="200" w:firstLineChars="200"/>
    </w:pPr>
    <w:rPr>
      <w:sz w:val="24"/>
      <w:szCs w:val="24"/>
    </w:rPr>
  </w:style>
  <w:style w:type="paragraph" w:styleId="34">
    <w:name w:val="index 1"/>
    <w:basedOn w:val="1"/>
    <w:next w:val="1"/>
    <w:qFormat/>
    <w:uiPriority w:val="0"/>
    <w:pPr>
      <w:spacing w:line="360" w:lineRule="auto"/>
      <w:ind w:firstLine="200" w:firstLineChars="200"/>
    </w:pPr>
    <w:rPr>
      <w:sz w:val="24"/>
      <w:szCs w:val="24"/>
    </w:rPr>
  </w:style>
  <w:style w:type="paragraph" w:styleId="35">
    <w:name w:val="List"/>
    <w:basedOn w:val="1"/>
    <w:qFormat/>
    <w:uiPriority w:val="0"/>
    <w:pPr>
      <w:adjustRightInd w:val="0"/>
      <w:ind w:left="420" w:hanging="420"/>
      <w:textAlignment w:val="baseline"/>
    </w:pPr>
    <w:rPr>
      <w:sz w:val="28"/>
      <w:lang w:bidi="he-IL"/>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2100" w:leftChars="1000"/>
    </w:pPr>
  </w:style>
  <w:style w:type="paragraph" w:styleId="38">
    <w:name w:val="Body Text Indent 3"/>
    <w:basedOn w:val="1"/>
    <w:qFormat/>
    <w:uiPriority w:val="0"/>
    <w:pPr>
      <w:spacing w:line="360" w:lineRule="auto"/>
      <w:ind w:left="420" w:firstLine="732"/>
    </w:pPr>
    <w:rPr>
      <w:rFonts w:ascii="楷体_GB2312" w:eastAsia="楷体_GB2312"/>
      <w:spacing w:val="20"/>
      <w:sz w:val="28"/>
    </w:rPr>
  </w:style>
  <w:style w:type="paragraph" w:styleId="39">
    <w:name w:val="index 7"/>
    <w:basedOn w:val="1"/>
    <w:next w:val="1"/>
    <w:qFormat/>
    <w:uiPriority w:val="0"/>
    <w:pPr>
      <w:spacing w:line="360" w:lineRule="auto"/>
      <w:ind w:left="1200" w:leftChars="1200" w:firstLine="200" w:firstLineChars="200"/>
    </w:pPr>
    <w:rPr>
      <w:sz w:val="24"/>
      <w:szCs w:val="24"/>
    </w:rPr>
  </w:style>
  <w:style w:type="paragraph" w:styleId="40">
    <w:name w:val="index 9"/>
    <w:basedOn w:val="1"/>
    <w:next w:val="1"/>
    <w:qFormat/>
    <w:uiPriority w:val="0"/>
    <w:pPr>
      <w:spacing w:line="360" w:lineRule="auto"/>
      <w:ind w:left="1600" w:leftChars="1600" w:firstLine="200" w:firstLineChars="200"/>
    </w:pPr>
    <w:rPr>
      <w:sz w:val="24"/>
      <w:szCs w:val="24"/>
    </w:rPr>
  </w:style>
  <w:style w:type="paragraph" w:styleId="41">
    <w:name w:val="table of figures"/>
    <w:basedOn w:val="1"/>
    <w:next w:val="1"/>
    <w:qFormat/>
    <w:uiPriority w:val="0"/>
    <w:pPr>
      <w:spacing w:line="360" w:lineRule="auto"/>
      <w:ind w:left="840" w:leftChars="200" w:hanging="420" w:hangingChars="200"/>
    </w:pPr>
    <w:rPr>
      <w:sz w:val="24"/>
      <w:szCs w:val="24"/>
    </w:rPr>
  </w:style>
  <w:style w:type="paragraph" w:styleId="42">
    <w:name w:val="toc 2"/>
    <w:basedOn w:val="1"/>
    <w:next w:val="1"/>
    <w:qFormat/>
    <w:uiPriority w:val="39"/>
    <w:pPr>
      <w:ind w:left="420" w:leftChars="200"/>
    </w:pPr>
  </w:style>
  <w:style w:type="paragraph" w:styleId="43">
    <w:name w:val="toc 9"/>
    <w:basedOn w:val="1"/>
    <w:next w:val="1"/>
    <w:qFormat/>
    <w:uiPriority w:val="0"/>
    <w:pPr>
      <w:ind w:left="3360" w:leftChars="1600"/>
    </w:pPr>
  </w:style>
  <w:style w:type="paragraph" w:styleId="44">
    <w:name w:val="Body Text 2"/>
    <w:basedOn w:val="1"/>
    <w:qFormat/>
    <w:uiPriority w:val="0"/>
    <w:pPr>
      <w:adjustRightInd w:val="0"/>
      <w:snapToGrid w:val="0"/>
      <w:spacing w:line="360" w:lineRule="auto"/>
    </w:pPr>
    <w:rPr>
      <w:rFonts w:ascii="宋体" w:hAnsi="宋体"/>
      <w:w w:val="90"/>
      <w:kern w:val="0"/>
      <w:sz w:val="24"/>
    </w:rPr>
  </w:style>
  <w:style w:type="paragraph" w:styleId="4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7">
    <w:name w:val="index 2"/>
    <w:basedOn w:val="1"/>
    <w:next w:val="1"/>
    <w:qFormat/>
    <w:uiPriority w:val="0"/>
    <w:pPr>
      <w:spacing w:line="360" w:lineRule="auto"/>
      <w:ind w:left="200" w:leftChars="200" w:firstLine="200" w:firstLineChars="200"/>
    </w:pPr>
    <w:rPr>
      <w:sz w:val="24"/>
      <w:szCs w:val="24"/>
    </w:rPr>
  </w:style>
  <w:style w:type="paragraph" w:styleId="48">
    <w:name w:val="Title"/>
    <w:basedOn w:val="1"/>
    <w:qFormat/>
    <w:uiPriority w:val="0"/>
    <w:pPr>
      <w:spacing w:before="240" w:after="60" w:line="360" w:lineRule="auto"/>
      <w:ind w:firstLine="200" w:firstLineChars="200"/>
      <w:jc w:val="center"/>
      <w:outlineLvl w:val="0"/>
    </w:pPr>
    <w:rPr>
      <w:rFonts w:ascii="Arial" w:hAnsi="Arial" w:cs="Arial"/>
      <w:b/>
      <w:bCs/>
      <w:color w:val="FF0000"/>
      <w:sz w:val="32"/>
      <w:szCs w:val="32"/>
    </w:rPr>
  </w:style>
  <w:style w:type="paragraph" w:styleId="49">
    <w:name w:val="annotation subject"/>
    <w:basedOn w:val="15"/>
    <w:next w:val="15"/>
    <w:qFormat/>
    <w:uiPriority w:val="0"/>
    <w:pPr>
      <w:spacing w:line="240" w:lineRule="auto"/>
      <w:ind w:firstLine="0" w:firstLineChars="0"/>
    </w:pPr>
    <w:rPr>
      <w:b/>
      <w:bCs/>
      <w:sz w:val="21"/>
      <w:szCs w:val="20"/>
    </w:rPr>
  </w:style>
  <w:style w:type="paragraph" w:styleId="50">
    <w:name w:val="Body Text First Indent"/>
    <w:basedOn w:val="17"/>
    <w:qFormat/>
    <w:uiPriority w:val="0"/>
    <w:pPr>
      <w:spacing w:after="120" w:line="240" w:lineRule="auto"/>
      <w:ind w:firstLine="420" w:firstLineChars="100"/>
    </w:pPr>
    <w:rPr>
      <w:spacing w:val="0"/>
      <w:sz w:val="21"/>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basedOn w:val="53"/>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正文文本 字符"/>
    <w:link w:val="17"/>
    <w:qFormat/>
    <w:uiPriority w:val="0"/>
    <w:rPr>
      <w:rFonts w:eastAsia="宋体"/>
      <w:spacing w:val="20"/>
      <w:kern w:val="2"/>
      <w:sz w:val="28"/>
      <w:lang w:val="en-US" w:eastAsia="zh-CN" w:bidi="ar-SA"/>
    </w:rPr>
  </w:style>
  <w:style w:type="character" w:customStyle="1" w:styleId="60">
    <w:name w:val="纯文本 字符"/>
    <w:link w:val="23"/>
    <w:qFormat/>
    <w:uiPriority w:val="0"/>
    <w:rPr>
      <w:rFonts w:ascii="宋体" w:hAnsi="Courier New" w:eastAsia="宋体" w:cs="Courier New"/>
      <w:kern w:val="2"/>
      <w:sz w:val="21"/>
      <w:szCs w:val="21"/>
      <w:lang w:val="en-US" w:eastAsia="zh-CN" w:bidi="ar-SA"/>
    </w:rPr>
  </w:style>
  <w:style w:type="character" w:customStyle="1" w:styleId="61">
    <w:name w:val="正文文本缩进 字符"/>
    <w:link w:val="19"/>
    <w:qFormat/>
    <w:uiPriority w:val="0"/>
    <w:rPr>
      <w:rFonts w:ascii="楷体_GB2312" w:eastAsia="楷体_GB2312"/>
      <w:spacing w:val="20"/>
      <w:kern w:val="2"/>
      <w:sz w:val="24"/>
    </w:rPr>
  </w:style>
  <w:style w:type="character" w:customStyle="1" w:styleId="62">
    <w:name w:val="正文文本缩进 2 字符"/>
    <w:link w:val="27"/>
    <w:qFormat/>
    <w:uiPriority w:val="0"/>
    <w:rPr>
      <w:rFonts w:ascii="楷体_GB2312" w:eastAsia="楷体_GB2312"/>
      <w:spacing w:val="20"/>
      <w:kern w:val="2"/>
      <w:sz w:val="24"/>
    </w:rPr>
  </w:style>
  <w:style w:type="character" w:customStyle="1" w:styleId="63">
    <w:name w:val="正文（首行缩进两字） Char Char"/>
    <w:qFormat/>
    <w:uiPriority w:val="0"/>
    <w:rPr>
      <w:rFonts w:eastAsia="宋体"/>
      <w:kern w:val="2"/>
      <w:sz w:val="28"/>
      <w:szCs w:val="24"/>
      <w:lang w:val="en-US" w:eastAsia="zh-CN" w:bidi="ar-SA"/>
    </w:rPr>
  </w:style>
  <w:style w:type="character" w:customStyle="1" w:styleId="64">
    <w:name w:val="sh141"/>
    <w:qFormat/>
    <w:uiPriority w:val="0"/>
    <w:rPr>
      <w:color w:val="2B2B2B"/>
      <w:sz w:val="21"/>
      <w:szCs w:val="21"/>
    </w:rPr>
  </w:style>
  <w:style w:type="character" w:customStyle="1" w:styleId="65">
    <w:name w:val="unnamed21"/>
    <w:qFormat/>
    <w:uiPriority w:val="0"/>
    <w:rPr>
      <w:u w:val="none"/>
    </w:rPr>
  </w:style>
  <w:style w:type="character" w:customStyle="1" w:styleId="66">
    <w:name w:val="样式 正文（首行缩进两字） + 加粗 Char"/>
    <w:qFormat/>
    <w:uiPriority w:val="0"/>
    <w:rPr>
      <w:rFonts w:eastAsia="宋体"/>
      <w:b/>
      <w:bCs/>
      <w:kern w:val="2"/>
      <w:sz w:val="28"/>
      <w:szCs w:val="24"/>
      <w:lang w:val="en-US" w:eastAsia="zh-CN" w:bidi="ar-SA"/>
    </w:rPr>
  </w:style>
  <w:style w:type="character" w:customStyle="1" w:styleId="67">
    <w:name w:val="样式1正文 Char Char1"/>
    <w:link w:val="68"/>
    <w:qFormat/>
    <w:uiPriority w:val="0"/>
    <w:rPr>
      <w:rFonts w:ascii="宋体" w:hAnsi="宋体"/>
      <w:bCs/>
      <w:spacing w:val="-10"/>
      <w:sz w:val="28"/>
      <w:szCs w:val="28"/>
      <w:lang w:val="en-GB"/>
    </w:rPr>
  </w:style>
  <w:style w:type="paragraph" w:customStyle="1" w:styleId="68">
    <w:name w:val="样式1正文 Char"/>
    <w:basedOn w:val="1"/>
    <w:link w:val="67"/>
    <w:qFormat/>
    <w:uiPriority w:val="0"/>
    <w:pPr>
      <w:spacing w:line="640" w:lineRule="exact"/>
      <w:ind w:firstLine="520" w:firstLineChars="200"/>
    </w:pPr>
    <w:rPr>
      <w:rFonts w:ascii="宋体" w:hAnsi="宋体"/>
      <w:bCs/>
      <w:spacing w:val="-10"/>
      <w:kern w:val="0"/>
      <w:sz w:val="28"/>
      <w:szCs w:val="28"/>
      <w:lang w:val="en-GB"/>
    </w:rPr>
  </w:style>
  <w:style w:type="character" w:customStyle="1" w:styleId="69">
    <w:name w:val="正文（首行缩进两字） Char Char Char Char Char"/>
    <w:qFormat/>
    <w:uiPriority w:val="0"/>
    <w:rPr>
      <w:rFonts w:eastAsia="宋体"/>
      <w:kern w:val="2"/>
      <w:sz w:val="28"/>
      <w:szCs w:val="24"/>
      <w:lang w:val="en-US" w:eastAsia="zh-CN" w:bidi="ar-SA"/>
    </w:rPr>
  </w:style>
  <w:style w:type="character" w:customStyle="1" w:styleId="70">
    <w:name w:val="段落 Char Char"/>
    <w:link w:val="71"/>
    <w:qFormat/>
    <w:uiPriority w:val="0"/>
    <w:rPr>
      <w:rFonts w:eastAsia="宋体"/>
      <w:kern w:val="2"/>
      <w:sz w:val="24"/>
      <w:szCs w:val="24"/>
      <w:lang w:val="en-US" w:eastAsia="zh-CN" w:bidi="ar-SA"/>
    </w:rPr>
  </w:style>
  <w:style w:type="paragraph" w:customStyle="1" w:styleId="71">
    <w:name w:val="段落 Char"/>
    <w:basedOn w:val="1"/>
    <w:link w:val="70"/>
    <w:qFormat/>
    <w:uiPriority w:val="0"/>
    <w:pPr>
      <w:topLinePunct/>
      <w:snapToGrid w:val="0"/>
      <w:spacing w:line="360" w:lineRule="auto"/>
      <w:ind w:firstLine="200" w:firstLineChars="200"/>
    </w:pPr>
    <w:rPr>
      <w:sz w:val="24"/>
      <w:szCs w:val="24"/>
    </w:rPr>
  </w:style>
  <w:style w:type="character" w:customStyle="1" w:styleId="72">
    <w:name w:val="st1"/>
    <w:basedOn w:val="53"/>
    <w:qFormat/>
    <w:uiPriority w:val="0"/>
  </w:style>
  <w:style w:type="character" w:customStyle="1" w:styleId="73">
    <w:name w:val="标题 2 字符"/>
    <w:link w:val="3"/>
    <w:qFormat/>
    <w:uiPriority w:val="0"/>
    <w:rPr>
      <w:rFonts w:ascii="Arial" w:hAnsi="Arial" w:eastAsia="黑体"/>
      <w:b/>
      <w:bCs/>
      <w:kern w:val="2"/>
      <w:sz w:val="36"/>
      <w:szCs w:val="32"/>
    </w:rPr>
  </w:style>
  <w:style w:type="paragraph" w:customStyle="1" w:styleId="74">
    <w:name w:val="样式 标题 5 + 小四"/>
    <w:basedOn w:val="6"/>
    <w:qFormat/>
    <w:uiPriority w:val="0"/>
    <w:pPr>
      <w:numPr>
        <w:ilvl w:val="4"/>
        <w:numId w:val="1"/>
      </w:numPr>
      <w:tabs>
        <w:tab w:val="left" w:pos="2070"/>
      </w:tabs>
      <w:snapToGrid w:val="0"/>
      <w:spacing w:before="0" w:after="0" w:line="360" w:lineRule="auto"/>
      <w:jc w:val="both"/>
    </w:pPr>
    <w:rPr>
      <w:rFonts w:ascii="Times New Roman" w:hAnsi="Times New Roman"/>
      <w:sz w:val="24"/>
    </w:rPr>
  </w:style>
  <w:style w:type="paragraph" w:customStyle="1" w:styleId="75">
    <w:name w:val="cucd-0"/>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76">
    <w:name w:val="样式 表头 + 小四"/>
    <w:basedOn w:val="41"/>
    <w:qFormat/>
    <w:uiPriority w:val="0"/>
    <w:pPr>
      <w:spacing w:line="240" w:lineRule="auto"/>
      <w:ind w:left="420" w:leftChars="0" w:firstLine="0" w:firstLineChars="0"/>
      <w:jc w:val="center"/>
    </w:pPr>
    <w:rPr>
      <w:b/>
      <w:bCs/>
      <w:szCs w:val="20"/>
    </w:rPr>
  </w:style>
  <w:style w:type="paragraph" w:styleId="77">
    <w:name w:val="List Paragraph"/>
    <w:basedOn w:val="1"/>
    <w:qFormat/>
    <w:uiPriority w:val="0"/>
    <w:pPr>
      <w:ind w:firstLine="420" w:firstLineChars="200"/>
    </w:pPr>
    <w:rPr>
      <w:szCs w:val="24"/>
    </w:rPr>
  </w:style>
  <w:style w:type="paragraph" w:customStyle="1" w:styleId="78">
    <w:name w:val="报告正文"/>
    <w:basedOn w:val="1"/>
    <w:qFormat/>
    <w:uiPriority w:val="0"/>
    <w:pPr>
      <w:widowControl/>
      <w:spacing w:before="100" w:beforeAutospacing="1"/>
      <w:ind w:firstLine="560" w:firstLineChars="200"/>
      <w:jc w:val="left"/>
      <w:textAlignment w:val="baseline"/>
    </w:pPr>
    <w:rPr>
      <w:rFonts w:ascii="仿宋_GB2312" w:hAnsi="宋体" w:eastAsia="仿宋_GB2312"/>
      <w:color w:val="000000"/>
      <w:kern w:val="0"/>
      <w:sz w:val="28"/>
      <w:u w:color="000000"/>
    </w:rPr>
  </w:style>
  <w:style w:type="paragraph" w:customStyle="1" w:styleId="79">
    <w:name w:val="font0"/>
    <w:basedOn w:val="1"/>
    <w:qFormat/>
    <w:uiPriority w:val="0"/>
    <w:pPr>
      <w:widowControl/>
      <w:spacing w:before="100" w:beforeAutospacing="1" w:after="100" w:afterAutospacing="1"/>
      <w:jc w:val="left"/>
    </w:pPr>
    <w:rPr>
      <w:kern w:val="0"/>
      <w:sz w:val="24"/>
      <w:szCs w:val="24"/>
    </w:rPr>
  </w:style>
  <w:style w:type="paragraph" w:customStyle="1" w:styleId="80">
    <w:name w:val="样式6 正文"/>
    <w:qFormat/>
    <w:uiPriority w:val="0"/>
    <w:pPr>
      <w:spacing w:line="360" w:lineRule="auto"/>
      <w:ind w:firstLine="510"/>
      <w:jc w:val="both"/>
    </w:pPr>
    <w:rPr>
      <w:rFonts w:ascii="Times New Roman" w:hAnsi="Times New Roman" w:eastAsia="宋体" w:cs="Times New Roman"/>
      <w:sz w:val="24"/>
      <w:lang w:val="en-US" w:eastAsia="zh-CN" w:bidi="ar-SA"/>
    </w:rPr>
  </w:style>
  <w:style w:type="paragraph" w:customStyle="1" w:styleId="81">
    <w:name w:val="样式 标题 1 + 非加宽量 / 紧缩量"/>
    <w:basedOn w:val="2"/>
    <w:qFormat/>
    <w:uiPriority w:val="0"/>
    <w:pPr>
      <w:keepNext w:val="0"/>
      <w:keepLines/>
      <w:pageBreakBefore/>
      <w:adjustRightInd/>
      <w:ind w:left="2646" w:firstLine="0"/>
      <w:jc w:val="left"/>
      <w:textAlignment w:val="auto"/>
    </w:pPr>
    <w:rPr>
      <w:rFonts w:ascii="宋体" w:hAnsi="宋体" w:eastAsia="宋体"/>
      <w:b/>
      <w:bCs/>
      <w:color w:val="000000"/>
      <w:spacing w:val="20"/>
      <w:kern w:val="28"/>
      <w:sz w:val="30"/>
      <w:szCs w:val="30"/>
    </w:rPr>
  </w:style>
  <w:style w:type="paragraph" w:customStyle="1" w:styleId="82">
    <w:name w:val="Char Char Char Char"/>
    <w:basedOn w:val="1"/>
    <w:qFormat/>
    <w:uiPriority w:val="0"/>
  </w:style>
  <w:style w:type="paragraph" w:customStyle="1" w:styleId="83">
    <w:name w:val="样式1"/>
    <w:basedOn w:val="41"/>
    <w:qFormat/>
    <w:uiPriority w:val="0"/>
    <w:pPr>
      <w:ind w:left="0" w:leftChars="0" w:firstLine="0" w:firstLineChars="0"/>
      <w:jc w:val="center"/>
      <w:outlineLvl w:val="0"/>
    </w:pPr>
    <w:rPr>
      <w:rFonts w:eastAsia="仿宋_GB2312"/>
      <w:szCs w:val="20"/>
    </w:rPr>
  </w:style>
  <w:style w:type="paragraph" w:customStyle="1" w:styleId="84">
    <w:name w:val="插图"/>
    <w:basedOn w:val="41"/>
    <w:next w:val="1"/>
    <w:qFormat/>
    <w:uiPriority w:val="0"/>
    <w:pPr>
      <w:spacing w:before="312" w:beforeLines="100" w:after="156" w:afterLines="50"/>
      <w:ind w:left="0" w:leftChars="0" w:firstLine="0" w:firstLineChars="0"/>
      <w:jc w:val="center"/>
    </w:pPr>
    <w:rPr>
      <w:sz w:val="28"/>
      <w:szCs w:val="20"/>
    </w:rPr>
  </w:style>
  <w:style w:type="paragraph" w:customStyle="1" w:styleId="85">
    <w:name w:val="样式1正文"/>
    <w:basedOn w:val="1"/>
    <w:qFormat/>
    <w:uiPriority w:val="0"/>
    <w:pPr>
      <w:spacing w:line="640" w:lineRule="exact"/>
      <w:ind w:firstLine="520" w:firstLineChars="200"/>
    </w:pPr>
    <w:rPr>
      <w:rFonts w:ascii="宋体" w:hAnsi="宋体"/>
      <w:bCs/>
      <w:spacing w:val="-10"/>
      <w:kern w:val="0"/>
      <w:sz w:val="28"/>
      <w:szCs w:val="28"/>
      <w:lang w:val="en-GB"/>
    </w:rPr>
  </w:style>
  <w:style w:type="paragraph" w:customStyle="1" w:styleId="86">
    <w:name w:val="Char"/>
    <w:basedOn w:val="1"/>
    <w:qFormat/>
    <w:uiPriority w:val="0"/>
    <w:rPr>
      <w:szCs w:val="24"/>
    </w:rPr>
  </w:style>
  <w:style w:type="paragraph" w:customStyle="1" w:styleId="87">
    <w:name w:val="表格"/>
    <w:qFormat/>
    <w:uiPriority w:val="0"/>
    <w:pPr>
      <w:widowControl w:val="0"/>
      <w:spacing w:before="40" w:after="40" w:line="240" w:lineRule="exact"/>
      <w:jc w:val="center"/>
    </w:pPr>
    <w:rPr>
      <w:rFonts w:ascii="Times New Roman" w:hAnsi="Times New Roman" w:eastAsia="宋体" w:cs="Times New Roman"/>
      <w:sz w:val="21"/>
      <w:lang w:val="en-US" w:eastAsia="zh-CN" w:bidi="ar-SA"/>
    </w:rPr>
  </w:style>
  <w:style w:type="paragraph" w:customStyle="1" w:styleId="88">
    <w:name w:val="样式 标题 2 + 小四"/>
    <w:basedOn w:val="3"/>
    <w:qFormat/>
    <w:uiPriority w:val="0"/>
    <w:pPr>
      <w:spacing w:before="143" w:after="0" w:line="360" w:lineRule="auto"/>
      <w:ind w:left="980"/>
      <w:jc w:val="both"/>
    </w:pPr>
    <w:rPr>
      <w:rFonts w:eastAsia="宋体"/>
      <w:spacing w:val="16"/>
      <w:sz w:val="24"/>
    </w:rPr>
  </w:style>
  <w:style w:type="paragraph" w:customStyle="1" w:styleId="89">
    <w:name w:val="样式 标题 1 + 小四"/>
    <w:basedOn w:val="2"/>
    <w:qFormat/>
    <w:uiPriority w:val="0"/>
    <w:pPr>
      <w:keepNext w:val="0"/>
      <w:keepLines/>
      <w:pageBreakBefore/>
      <w:adjustRightInd/>
      <w:ind w:left="2646" w:firstLine="0"/>
      <w:jc w:val="center"/>
      <w:textAlignment w:val="auto"/>
    </w:pPr>
    <w:rPr>
      <w:rFonts w:ascii="宋体" w:hAnsi="宋体" w:eastAsia="宋体"/>
      <w:b/>
      <w:bCs/>
      <w:color w:val="000000"/>
      <w:spacing w:val="20"/>
      <w:kern w:val="28"/>
      <w:szCs w:val="30"/>
    </w:rPr>
  </w:style>
  <w:style w:type="paragraph" w:customStyle="1" w:styleId="90">
    <w:name w:val="Char Char Char Char Char Char Char"/>
    <w:basedOn w:val="1"/>
    <w:qFormat/>
    <w:uiPriority w:val="0"/>
    <w:rPr>
      <w:szCs w:val="24"/>
    </w:rPr>
  </w:style>
  <w:style w:type="paragraph" w:customStyle="1" w:styleId="91">
    <w:name w:val="样式 标题 4 + 小四"/>
    <w:basedOn w:val="5"/>
    <w:qFormat/>
    <w:uiPriority w:val="0"/>
    <w:pPr>
      <w:spacing w:before="0" w:after="0"/>
      <w:ind w:left="392" w:firstLine="0" w:firstLineChars="0"/>
    </w:pPr>
    <w:rPr>
      <w:rFonts w:ascii="Arial" w:hAnsi="Arial" w:eastAsia="黑体"/>
      <w:bCs w:val="0"/>
    </w:rPr>
  </w:style>
  <w:style w:type="paragraph" w:customStyle="1" w:styleId="92">
    <w:name w:val="表格字样"/>
    <w:basedOn w:val="1"/>
    <w:qFormat/>
    <w:uiPriority w:val="0"/>
    <w:pPr>
      <w:snapToGrid w:val="0"/>
    </w:pPr>
    <w:rPr>
      <w:szCs w:val="21"/>
    </w:rPr>
  </w:style>
  <w:style w:type="paragraph" w:customStyle="1" w:styleId="93">
    <w:name w:val="样式 文"/>
    <w:basedOn w:val="1"/>
    <w:qFormat/>
    <w:uiPriority w:val="0"/>
    <w:pPr>
      <w:ind w:firstLine="200" w:firstLineChars="200"/>
    </w:pPr>
    <w:rPr>
      <w:rFonts w:ascii="MS Gothic" w:hAnsi="MS Gothic"/>
      <w:sz w:val="24"/>
      <w:szCs w:val="24"/>
    </w:rPr>
  </w:style>
  <w:style w:type="paragraph" w:customStyle="1" w:styleId="94">
    <w:name w:val="表头"/>
    <w:basedOn w:val="1"/>
    <w:qFormat/>
    <w:uiPriority w:val="0"/>
    <w:pPr>
      <w:adjustRightInd w:val="0"/>
      <w:ind w:firstLine="560" w:firstLineChars="200"/>
      <w:jc w:val="center"/>
      <w:textAlignment w:val="baseline"/>
    </w:pPr>
    <w:rPr>
      <w:rFonts w:ascii="黑体" w:hAnsi="宋体" w:eastAsia="黑体"/>
      <w:kern w:val="0"/>
      <w:sz w:val="28"/>
      <w:szCs w:val="24"/>
    </w:rPr>
  </w:style>
  <w:style w:type="paragraph" w:customStyle="1" w:styleId="95">
    <w:name w:val="样式2"/>
    <w:basedOn w:val="1"/>
    <w:qFormat/>
    <w:uiPriority w:val="0"/>
    <w:pPr>
      <w:adjustRightInd w:val="0"/>
      <w:snapToGrid w:val="0"/>
      <w:spacing w:line="360" w:lineRule="auto"/>
    </w:pPr>
    <w:rPr>
      <w:sz w:val="28"/>
      <w:szCs w:val="24"/>
    </w:rPr>
  </w:style>
  <w:style w:type="paragraph" w:customStyle="1" w:styleId="96">
    <w:name w:val="Char Char Char Char1"/>
    <w:basedOn w:val="1"/>
    <w:qFormat/>
    <w:uiPriority w:val="0"/>
    <w:rPr>
      <w:szCs w:val="24"/>
    </w:rPr>
  </w:style>
  <w:style w:type="paragraph" w:customStyle="1" w:styleId="97">
    <w:name w:val="样式3"/>
    <w:basedOn w:val="31"/>
    <w:qFormat/>
    <w:uiPriority w:val="0"/>
    <w:pPr>
      <w:tabs>
        <w:tab w:val="right" w:leader="dot" w:pos="9515"/>
        <w:tab w:val="right" w:leader="dot" w:pos="10144"/>
      </w:tabs>
    </w:pPr>
    <w:rPr>
      <w:b/>
      <w:caps/>
      <w:sz w:val="28"/>
    </w:rPr>
  </w:style>
  <w:style w:type="paragraph" w:customStyle="1" w:styleId="98">
    <w:name w:val="列表项目编号"/>
    <w:basedOn w:val="95"/>
    <w:qFormat/>
    <w:uiPriority w:val="0"/>
    <w:pPr>
      <w:snapToGrid/>
    </w:pPr>
    <w:rPr>
      <w:kern w:val="0"/>
      <w:szCs w:val="20"/>
    </w:rPr>
  </w:style>
  <w:style w:type="paragraph" w:customStyle="1" w:styleId="99">
    <w:name w:val="TOC 标题1"/>
    <w:basedOn w:val="2"/>
    <w:next w:val="1"/>
    <w:qFormat/>
    <w:uiPriority w:val="39"/>
    <w:pPr>
      <w:keepLines/>
      <w:widowControl/>
      <w:adjustRightInd/>
      <w:spacing w:before="480" w:line="276" w:lineRule="auto"/>
      <w:ind w:left="0" w:firstLine="0"/>
      <w:jc w:val="left"/>
      <w:textAlignment w:val="auto"/>
      <w:outlineLvl w:val="9"/>
    </w:pPr>
    <w:rPr>
      <w:rFonts w:ascii="Cambria" w:hAnsi="Cambria" w:eastAsia="宋体"/>
      <w:b/>
      <w:bCs/>
      <w:color w:val="365F91"/>
      <w:szCs w:val="28"/>
    </w:rPr>
  </w:style>
  <w:style w:type="paragraph" w:customStyle="1" w:styleId="100">
    <w:name w:val="图表"/>
    <w:basedOn w:val="1"/>
    <w:qFormat/>
    <w:uiPriority w:val="0"/>
    <w:pPr>
      <w:jc w:val="center"/>
    </w:pPr>
    <w:rPr>
      <w:rFonts w:eastAsia="Times New Roman"/>
    </w:rPr>
  </w:style>
  <w:style w:type="paragraph" w:customStyle="1" w:styleId="101">
    <w:name w:val="Char1"/>
    <w:basedOn w:val="1"/>
    <w:qFormat/>
    <w:uiPriority w:val="0"/>
    <w:pPr>
      <w:widowControl/>
      <w:adjustRightInd w:val="0"/>
      <w:spacing w:after="160" w:line="240" w:lineRule="exact"/>
      <w:jc w:val="left"/>
      <w:textAlignment w:val="baseline"/>
    </w:pPr>
    <w:rPr>
      <w:kern w:val="0"/>
      <w:sz w:val="24"/>
    </w:rPr>
  </w:style>
  <w:style w:type="paragraph" w:customStyle="1" w:styleId="102">
    <w:name w:val="样式 宋体 小四 首行缩进:  1 厘米 行距: 1.5 倍行距"/>
    <w:basedOn w:val="1"/>
    <w:qFormat/>
    <w:uiPriority w:val="0"/>
    <w:pPr>
      <w:spacing w:line="360" w:lineRule="auto"/>
      <w:ind w:firstLine="567"/>
    </w:pPr>
    <w:rPr>
      <w:rFonts w:ascii="宋体"/>
      <w:sz w:val="28"/>
    </w:rPr>
  </w:style>
  <w:style w:type="paragraph" w:customStyle="1" w:styleId="103">
    <w:name w:val="c"/>
    <w:basedOn w:val="1"/>
    <w:link w:val="105"/>
    <w:qFormat/>
    <w:uiPriority w:val="0"/>
    <w:pPr>
      <w:spacing w:line="360" w:lineRule="auto"/>
      <w:ind w:firstLine="480" w:firstLineChars="200"/>
    </w:pPr>
    <w:rPr>
      <w:rFonts w:ascii="宋体" w:hAnsi="宋体" w:cs="Arial"/>
      <w:color w:val="000000"/>
      <w:sz w:val="24"/>
      <w:shd w:val="clear" w:color="auto" w:fill="FFFFFF"/>
    </w:rPr>
  </w:style>
  <w:style w:type="paragraph" w:customStyle="1" w:styleId="104">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05">
    <w:name w:val="c 字符"/>
    <w:link w:val="103"/>
    <w:qFormat/>
    <w:uiPriority w:val="0"/>
    <w:rPr>
      <w:rFonts w:ascii="宋体" w:hAnsi="宋体" w:cs="Arial"/>
      <w:color w:val="000000"/>
      <w:kern w:val="2"/>
      <w:sz w:val="24"/>
    </w:rPr>
  </w:style>
  <w:style w:type="paragraph" w:customStyle="1" w:styleId="106">
    <w:name w:val="e"/>
    <w:basedOn w:val="1"/>
    <w:link w:val="107"/>
    <w:qFormat/>
    <w:uiPriority w:val="0"/>
    <w:pPr>
      <w:jc w:val="center"/>
    </w:pPr>
    <w:rPr>
      <w:rFonts w:ascii="宋体" w:hAnsi="宋体"/>
      <w:bCs/>
      <w:szCs w:val="21"/>
    </w:rPr>
  </w:style>
  <w:style w:type="character" w:customStyle="1" w:styleId="107">
    <w:name w:val="e 字符"/>
    <w:link w:val="106"/>
    <w:qFormat/>
    <w:uiPriority w:val="0"/>
    <w:rPr>
      <w:rFonts w:ascii="宋体" w:hAnsi="宋体"/>
      <w:bCs/>
      <w:kern w:val="2"/>
      <w:sz w:val="21"/>
      <w:szCs w:val="21"/>
    </w:rPr>
  </w:style>
  <w:style w:type="character" w:customStyle="1" w:styleId="108">
    <w:name w:val="批注文字 字符"/>
    <w:link w:val="15"/>
    <w:qFormat/>
    <w:uiPriority w:val="0"/>
    <w:rPr>
      <w:kern w:val="2"/>
      <w:sz w:val="24"/>
      <w:szCs w:val="24"/>
    </w:rPr>
  </w:style>
  <w:style w:type="character" w:customStyle="1" w:styleId="109">
    <w:name w:val="d 字符"/>
    <w:link w:val="110"/>
    <w:qFormat/>
    <w:uiPriority w:val="0"/>
    <w:rPr>
      <w:rFonts w:ascii="宋体" w:hAnsi="宋体"/>
      <w:b/>
      <w:color w:val="000000"/>
      <w:kern w:val="2"/>
      <w:sz w:val="24"/>
      <w:szCs w:val="24"/>
    </w:rPr>
  </w:style>
  <w:style w:type="paragraph" w:customStyle="1" w:styleId="110">
    <w:name w:val="d"/>
    <w:basedOn w:val="71"/>
    <w:link w:val="109"/>
    <w:qFormat/>
    <w:uiPriority w:val="0"/>
    <w:pPr>
      <w:ind w:firstLine="480"/>
    </w:pPr>
    <w:rPr>
      <w:rFonts w:ascii="宋体" w:hAnsi="宋体"/>
      <w:b/>
      <w:color w:val="000000"/>
    </w:rPr>
  </w:style>
  <w:style w:type="paragraph" w:customStyle="1" w:styleId="111">
    <w:name w:val="正文1.5行距"/>
    <w:basedOn w:val="1"/>
    <w:link w:val="112"/>
    <w:qFormat/>
    <w:uiPriority w:val="0"/>
    <w:pPr>
      <w:widowControl/>
      <w:spacing w:line="360" w:lineRule="auto"/>
      <w:ind w:firstLine="200" w:firstLineChars="200"/>
      <w:jc w:val="left"/>
    </w:pPr>
    <w:rPr>
      <w:rFonts w:ascii="宋体" w:hAnsi="宋体"/>
      <w:sz w:val="24"/>
      <w:szCs w:val="24"/>
    </w:rPr>
  </w:style>
  <w:style w:type="character" w:customStyle="1" w:styleId="112">
    <w:name w:val="正文1.5行距 字符"/>
    <w:basedOn w:val="53"/>
    <w:link w:val="111"/>
    <w:qFormat/>
    <w:uiPriority w:val="0"/>
    <w:rPr>
      <w:rFonts w:ascii="宋体" w:hAnsi="宋体"/>
      <w:kern w:val="2"/>
      <w:sz w:val="24"/>
      <w:szCs w:val="24"/>
    </w:rPr>
  </w:style>
  <w:style w:type="paragraph" w:customStyle="1" w:styleId="113">
    <w:name w:val="表格中的内容"/>
    <w:basedOn w:val="1"/>
    <w:qFormat/>
    <w:uiPriority w:val="0"/>
    <w:pPr>
      <w:jc w:val="center"/>
    </w:pPr>
    <w:rPr>
      <w:rFonts w:ascii="宋体" w:hAnsi="Arial"/>
      <w:kern w:val="0"/>
    </w:rPr>
  </w:style>
  <w:style w:type="paragraph" w:customStyle="1" w:styleId="114">
    <w:name w:val="(川设)表内"/>
    <w:basedOn w:val="1"/>
    <w:qFormat/>
    <w:uiPriority w:val="0"/>
    <w:pPr>
      <w:widowControl w:val="0"/>
      <w:adjustRightInd w:val="0"/>
      <w:snapToGrid w:val="0"/>
      <w:spacing w:line="240" w:lineRule="auto"/>
      <w:ind w:firstLine="0" w:firstLineChars="0"/>
      <w:jc w:val="center"/>
    </w:pPr>
    <w:rPr>
      <w:rFonts w:ascii="Times New Roman" w:hAnsi="Times New Roman"/>
      <w:kern w:val="0"/>
      <w:sz w:val="21"/>
      <w:szCs w:val="24"/>
    </w:rPr>
  </w:style>
  <w:style w:type="paragraph" w:customStyle="1" w:styleId="115">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Company>
  <Pages>6</Pages>
  <Words>7206</Words>
  <Characters>8341</Characters>
  <Lines>35</Lines>
  <Paragraphs>10</Paragraphs>
  <TotalTime>25</TotalTime>
  <ScaleCrop>false</ScaleCrop>
  <LinksUpToDate>false</LinksUpToDate>
  <CharactersWithSpaces>8384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2021-08-17T08:13:00Z</dcterms:created>
  <dc:creator>lsp</dc:creator>
  <cp:lastModifiedBy>WPS_1616481126</cp:lastModifiedBy>
  <cp:lastPrinted>2021-10-23T14:55:00Z</cp:lastPrinted>
  <dcterms:modified xsi:type="dcterms:W3CDTF">2025-11-01T08:04:53Z</dcterms:modified>
  <dc:title>总说明</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3FCACC4368F74DDBAA553C92C5DB78DE</vt:lpwstr>
  </property>
  <property fmtid="{D5CDD505-2E9C-101B-9397-08002B2CF9AE}" pid="4" name="KSOTemplateDocerSaveRecord">
    <vt:lpwstr>eyJoZGlkIjoiY2Q5MTM3NzNkMDY4ZTFkZTU2NThmYjFiNGE5OThiMjUiLCJ1c2VySWQiOiIxMTg1NDg1NDU3In0=</vt:lpwstr>
  </property>
</Properties>
</file>