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default" w:ascii="Times New Roman" w:hAnsi="Times New Roman" w:eastAsia="宋体" w:cs="Times New Roman"/>
          <w:b/>
          <w:i/>
          <w:iCs/>
          <w:snapToGrid w:val="0"/>
          <w:color w:val="auto"/>
          <w:kern w:val="0"/>
          <w:sz w:val="30"/>
          <w:szCs w:val="30"/>
        </w:rPr>
      </w:pPr>
      <w:r>
        <w:rPr>
          <w:rFonts w:hint="default" w:ascii="Times New Roman" w:hAnsi="Times New Roman" w:eastAsia="宋体" w:cs="Times New Roman"/>
          <w:b/>
          <w:snapToGrid w:val="0"/>
          <w:color w:val="auto"/>
          <w:kern w:val="0"/>
          <w:sz w:val="30"/>
          <w:szCs w:val="30"/>
          <w:lang w:val="en-US" w:eastAsia="zh-CN"/>
        </w:rPr>
        <w:t>施工图</w:t>
      </w:r>
      <w:r>
        <w:rPr>
          <w:rFonts w:hint="default" w:ascii="Times New Roman" w:hAnsi="Times New Roman" w:eastAsia="宋体" w:cs="Times New Roman"/>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default" w:ascii="Times New Roman" w:hAnsi="Times New Roman" w:eastAsia="宋体" w:cs="Times New Roman"/>
          <w:i w:val="0"/>
          <w:iCs w:val="0"/>
          <w:color w:val="auto"/>
        </w:rPr>
      </w:pPr>
      <w:r>
        <w:rPr>
          <w:rFonts w:hint="default" w:ascii="Times New Roman" w:hAnsi="Times New Roman" w:eastAsia="宋体" w:cs="Times New Roman"/>
          <w:i w:val="0"/>
          <w:iCs w:val="0"/>
          <w:color w:val="auto"/>
          <w:sz w:val="24"/>
          <w:szCs w:val="24"/>
        </w:rPr>
        <w:t>工程概况</w:t>
      </w:r>
    </w:p>
    <w:p w14:paraId="4FDBAC7F">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本项目位于桂林市七星区周家村，村屯内道路四通八达，交通便利，具备良好的施工条件。</w:t>
      </w:r>
      <w:r>
        <w:rPr>
          <w:rFonts w:hint="default" w:ascii="Times New Roman" w:hAnsi="Times New Roman" w:eastAsia="宋体" w:cs="Times New Roman"/>
          <w:color w:val="auto"/>
          <w:sz w:val="24"/>
          <w:szCs w:val="22"/>
          <w:highlight w:val="none"/>
          <w:lang w:val="zh-CN"/>
        </w:rPr>
        <w:t>建设农村</w:t>
      </w:r>
      <w:r>
        <w:rPr>
          <w:rFonts w:hint="default" w:ascii="Times New Roman" w:hAnsi="Times New Roman" w:eastAsia="宋体" w:cs="Times New Roman"/>
          <w:color w:val="auto"/>
          <w:sz w:val="24"/>
          <w:szCs w:val="22"/>
          <w:highlight w:val="none"/>
          <w:lang w:val="en-US" w:eastAsia="zh-CN"/>
        </w:rPr>
        <w:t>地埋分散</w:t>
      </w:r>
      <w:r>
        <w:rPr>
          <w:rFonts w:hint="default" w:ascii="Times New Roman" w:hAnsi="Times New Roman" w:eastAsia="宋体" w:cs="Times New Roman"/>
          <w:color w:val="auto"/>
          <w:sz w:val="24"/>
          <w:szCs w:val="22"/>
          <w:highlight w:val="none"/>
          <w:lang w:eastAsia="zh-CN"/>
        </w:rPr>
        <w:t>式污水处理站</w:t>
      </w:r>
      <w:r>
        <w:rPr>
          <w:rFonts w:hint="default" w:ascii="Times New Roman" w:hAnsi="Times New Roman" w:eastAsia="宋体" w:cs="Times New Roman"/>
          <w:color w:val="auto"/>
          <w:sz w:val="24"/>
          <w:szCs w:val="22"/>
          <w:highlight w:val="none"/>
          <w:lang w:val="en-US" w:eastAsia="zh-CN"/>
        </w:rPr>
        <w:t>1</w:t>
      </w:r>
      <w:r>
        <w:rPr>
          <w:rFonts w:hint="default" w:ascii="Times New Roman" w:hAnsi="Times New Roman" w:eastAsia="宋体" w:cs="Times New Roman"/>
          <w:color w:val="auto"/>
          <w:sz w:val="24"/>
          <w:szCs w:val="22"/>
          <w:highlight w:val="none"/>
          <w:lang w:val="zh-CN"/>
        </w:rPr>
        <w:t>座，处理规模为</w:t>
      </w:r>
      <w:r>
        <w:rPr>
          <w:rFonts w:hint="default" w:ascii="Times New Roman" w:hAnsi="Times New Roman" w:eastAsia="宋体" w:cs="Times New Roman"/>
          <w:color w:val="auto"/>
          <w:sz w:val="24"/>
          <w:szCs w:val="22"/>
          <w:highlight w:val="none"/>
          <w:lang w:val="en-US" w:eastAsia="zh-CN"/>
        </w:rPr>
        <w:t>120</w:t>
      </w:r>
      <w:r>
        <w:rPr>
          <w:rFonts w:hint="default" w:ascii="Times New Roman" w:hAnsi="Times New Roman" w:eastAsia="宋体" w:cs="Times New Roman"/>
          <w:color w:val="auto"/>
          <w:sz w:val="24"/>
          <w:szCs w:val="22"/>
          <w:highlight w:val="none"/>
        </w:rPr>
        <w:t>m</w:t>
      </w:r>
      <w:r>
        <w:rPr>
          <w:rFonts w:hint="default" w:ascii="Times New Roman" w:hAnsi="Times New Roman" w:eastAsia="宋体" w:cs="Times New Roman"/>
          <w:color w:val="auto"/>
          <w:sz w:val="24"/>
          <w:szCs w:val="22"/>
          <w:highlight w:val="none"/>
          <w:vertAlign w:val="superscript"/>
        </w:rPr>
        <w:t>3</w:t>
      </w:r>
      <w:r>
        <w:rPr>
          <w:rFonts w:hint="default" w:ascii="Times New Roman" w:hAnsi="Times New Roman" w:eastAsia="宋体" w:cs="Times New Roman"/>
          <w:color w:val="auto"/>
          <w:sz w:val="24"/>
          <w:szCs w:val="22"/>
          <w:highlight w:val="none"/>
        </w:rPr>
        <w:t>/d</w:t>
      </w:r>
      <w:r>
        <w:rPr>
          <w:rFonts w:hint="default" w:ascii="Times New Roman" w:hAnsi="Times New Roman" w:eastAsia="宋体" w:cs="Times New Roman"/>
          <w:color w:val="auto"/>
          <w:sz w:val="24"/>
          <w:szCs w:val="22"/>
          <w:highlight w:val="none"/>
          <w:lang w:eastAsia="zh-CN"/>
        </w:rPr>
        <w:t>，</w:t>
      </w:r>
      <w:r>
        <w:rPr>
          <w:rFonts w:hint="default" w:ascii="Times New Roman" w:hAnsi="Times New Roman" w:eastAsia="宋体" w:cs="Times New Roman"/>
          <w:snapToGrid w:val="0"/>
          <w:color w:val="auto"/>
          <w:kern w:val="0"/>
          <w:sz w:val="24"/>
          <w:szCs w:val="24"/>
          <w:lang w:val="en-US" w:eastAsia="zh-CN"/>
        </w:rPr>
        <w:t>采用的工艺为</w:t>
      </w:r>
      <w:r>
        <w:rPr>
          <w:rFonts w:hint="default" w:ascii="Times New Roman" w:hAnsi="Times New Roman" w:eastAsia="宋体" w:cs="Times New Roman"/>
          <w:color w:val="auto"/>
          <w:sz w:val="24"/>
          <w:szCs w:val="22"/>
          <w:highlight w:val="none"/>
        </w:rPr>
        <w:t>FBBR固定床生物膜工艺</w:t>
      </w:r>
      <w:r>
        <w:rPr>
          <w:rFonts w:hint="default" w:ascii="Times New Roman" w:hAnsi="Times New Roman" w:eastAsia="宋体" w:cs="Times New Roman"/>
          <w:color w:val="auto"/>
          <w:sz w:val="24"/>
          <w:szCs w:val="22"/>
          <w:highlight w:val="none"/>
          <w:lang w:val="en-US" w:eastAsia="zh-CN"/>
        </w:rPr>
        <w:t>。</w:t>
      </w:r>
      <w:r>
        <w:rPr>
          <w:rFonts w:hint="default" w:ascii="Times New Roman" w:hAnsi="Times New Roman" w:eastAsia="宋体" w:cs="Times New Roman"/>
          <w:snapToGrid w:val="0"/>
          <w:color w:val="auto"/>
          <w:kern w:val="0"/>
          <w:sz w:val="24"/>
          <w:szCs w:val="24"/>
          <w:lang w:val="en-US" w:eastAsia="zh-CN"/>
        </w:rPr>
        <w:t>受益户数约283户，受益人口约980人。</w:t>
      </w:r>
    </w:p>
    <w:p w14:paraId="15782DD7">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设计依据及参考资料</w:t>
      </w:r>
    </w:p>
    <w:p w14:paraId="1C138C08">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《室外排水设计标准》（GB 50014-2021）；</w:t>
      </w:r>
    </w:p>
    <w:p w14:paraId="1681D36B">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《镇（乡）村排水工程技术规范》（CJJ 124-2008）；</w:t>
      </w:r>
    </w:p>
    <w:p w14:paraId="4007117C">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《给水排水管道工程施工及验收规范》（GB 50268-2008）；</w:t>
      </w:r>
      <w:bookmarkStart w:id="0" w:name="_GoBack"/>
      <w:bookmarkEnd w:id="0"/>
    </w:p>
    <w:p w14:paraId="278212E8">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《给水排水工程管道结构设计规范》（GB 50332-2002）；</w:t>
      </w:r>
    </w:p>
    <w:p w14:paraId="046251FD">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《给水排水构筑物工程施工及验收规范》（GB 50141-2008）；</w:t>
      </w:r>
    </w:p>
    <w:p w14:paraId="2F40D71D">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《城市排水工程规划规范》（GB 50318-2017）；</w:t>
      </w:r>
    </w:p>
    <w:p w14:paraId="65A6B6BB">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8、《室外给水排水和燃气热力工程抗震设计规范》（GB 50032-2003）；</w:t>
      </w:r>
    </w:p>
    <w:p w14:paraId="51525AA6">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9、《民用建筑节水设计标准》（GB 50555-2010）；</w:t>
      </w:r>
    </w:p>
    <w:p w14:paraId="43C80CB4">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10、《建筑给水排水设计</w:t>
      </w:r>
      <w:r>
        <w:rPr>
          <w:rFonts w:hint="default" w:ascii="Times New Roman" w:hAnsi="Times New Roman" w:eastAsia="宋体" w:cs="Times New Roman"/>
          <w:color w:val="auto"/>
          <w:lang w:val="en-US" w:eastAsia="zh-CN"/>
        </w:rPr>
        <w:t>标准</w:t>
      </w:r>
      <w:r>
        <w:rPr>
          <w:rFonts w:hint="default" w:ascii="Times New Roman" w:hAnsi="Times New Roman" w:eastAsia="宋体" w:cs="Times New Roman"/>
          <w:color w:val="auto"/>
        </w:rPr>
        <w:t>》（GB 50015-2019）；</w:t>
      </w:r>
    </w:p>
    <w:p w14:paraId="784F5CEB">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11、《</w:t>
      </w:r>
      <w:r>
        <w:rPr>
          <w:rFonts w:hint="default" w:ascii="Times New Roman" w:hAnsi="Times New Roman" w:eastAsia="宋体" w:cs="Times New Roman"/>
          <w:color w:val="auto"/>
        </w:rPr>
        <w:t>农村生活污水处理设施水污染物排放标准</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rPr>
        <w:t>DB45_2413-2021</w:t>
      </w:r>
      <w:r>
        <w:rPr>
          <w:rFonts w:hint="default" w:ascii="Times New Roman" w:hAnsi="Times New Roman" w:eastAsia="宋体" w:cs="Times New Roman"/>
          <w:color w:val="auto"/>
          <w:lang w:val="en-US" w:eastAsia="zh-CN"/>
        </w:rPr>
        <w:t>）</w:t>
      </w:r>
    </w:p>
    <w:p w14:paraId="3D661CCF">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12、《市政公用工程设计文件编制深度规定》（2013年版）；</w:t>
      </w:r>
    </w:p>
    <w:p w14:paraId="1A9B046C">
      <w:pPr>
        <w:pStyle w:val="71"/>
        <w:snapToGrid/>
        <w:ind w:firstLine="480"/>
        <w:jc w:val="left"/>
        <w:rPr>
          <w:rFonts w:hint="default" w:ascii="Times New Roman" w:hAnsi="Times New Roman" w:eastAsia="宋体" w:cs="Times New Roman"/>
          <w:snapToGrid w:val="0"/>
          <w:color w:val="auto"/>
          <w:kern w:val="0"/>
        </w:rPr>
      </w:pPr>
      <w:r>
        <w:rPr>
          <w:rFonts w:hint="default" w:ascii="Times New Roman" w:hAnsi="Times New Roman" w:eastAsia="宋体" w:cs="Times New Roman"/>
          <w:color w:val="auto"/>
        </w:rPr>
        <w:t>13、</w:t>
      </w:r>
      <w:r>
        <w:rPr>
          <w:rFonts w:hint="default" w:ascii="Times New Roman" w:hAnsi="Times New Roman" w:eastAsia="宋体" w:cs="Times New Roman"/>
          <w:snapToGrid w:val="0"/>
          <w:color w:val="auto"/>
          <w:kern w:val="0"/>
        </w:rPr>
        <w:t>《检查井盖》(GB/T23858-2009)；</w:t>
      </w:r>
    </w:p>
    <w:p w14:paraId="6D5AB0C0">
      <w:pPr>
        <w:pStyle w:val="71"/>
        <w:snapToGrid/>
        <w:ind w:firstLine="480"/>
        <w:jc w:val="left"/>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14、《铸铁检查井盖》(CJ/T511-2017)；</w:t>
      </w:r>
    </w:p>
    <w:p w14:paraId="24F8A651">
      <w:pPr>
        <w:pStyle w:val="71"/>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15、《市政排水管道工程及附属设施》（06MS201）；</w:t>
      </w:r>
    </w:p>
    <w:p w14:paraId="447166D5">
      <w:pPr>
        <w:pStyle w:val="71"/>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16、《钢筋混凝土及砖砌排水检查井》（20S515）；</w:t>
      </w:r>
    </w:p>
    <w:p w14:paraId="6A347B24">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17、《小城镇污水处理建设标准》建标148-2010；</w:t>
      </w:r>
    </w:p>
    <w:p w14:paraId="7E02FCFA">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18、《国家电网公司380/220V架空配电线路典型设计（2014版）》；</w:t>
      </w:r>
    </w:p>
    <w:p w14:paraId="3819BD60">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19、《低压配电系统设计规范》 GB50052-2024；</w:t>
      </w:r>
    </w:p>
    <w:p w14:paraId="40F7D591">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20、《交流电气装置的接地设计规范》 GB50065-2018；</w:t>
      </w:r>
    </w:p>
    <w:p w14:paraId="36D96A00">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21、《建筑物防雷设计规范》GB50057-2022；</w:t>
      </w:r>
    </w:p>
    <w:p w14:paraId="32878D59">
      <w:pPr>
        <w:pStyle w:val="71"/>
        <w:snapToGrid/>
        <w:ind w:firstLine="48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22、《电力工程电缆设计标准》GB50217-2022</w:t>
      </w:r>
      <w:r>
        <w:rPr>
          <w:rFonts w:hint="default" w:ascii="Times New Roman" w:hAnsi="Times New Roman" w:eastAsia="宋体" w:cs="Times New Roman"/>
          <w:color w:val="auto"/>
          <w:highlight w:val="none"/>
          <w:lang w:eastAsia="zh-CN"/>
        </w:rPr>
        <w:t>；</w:t>
      </w:r>
    </w:p>
    <w:p w14:paraId="7D1F4D23">
      <w:pPr>
        <w:pStyle w:val="71"/>
        <w:snapToGrid/>
        <w:ind w:firstLine="48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23</w:t>
      </w:r>
      <w:r>
        <w:rPr>
          <w:rFonts w:hint="default" w:ascii="Times New Roman" w:hAnsi="Times New Roman" w:eastAsia="宋体" w:cs="Times New Roman"/>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w:t>
      </w:r>
      <w:r>
        <w:rPr>
          <w:rFonts w:hint="default" w:ascii="Times New Roman" w:hAnsi="Times New Roman" w:eastAsia="宋体" w:cs="Times New Roman"/>
          <w:color w:val="auto"/>
          <w:sz w:val="24"/>
          <w:szCs w:val="24"/>
          <w:lang w:val="en-US" w:eastAsia="zh-CN"/>
        </w:rPr>
        <w:t>渠</w:t>
      </w:r>
      <w:r>
        <w:rPr>
          <w:rFonts w:hint="default" w:ascii="Times New Roman" w:hAnsi="Times New Roman" w:eastAsia="宋体" w:cs="Times New Roman"/>
          <w:color w:val="auto"/>
          <w:sz w:val="24"/>
          <w:szCs w:val="24"/>
        </w:rPr>
        <w:t>设计</w:t>
      </w:r>
    </w:p>
    <w:p w14:paraId="04833F4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一</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设计标准</w:t>
      </w:r>
    </w:p>
    <w:p w14:paraId="0F099498">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本工程污水处理采用雨污混流截污制的形式。</w:t>
      </w:r>
    </w:p>
    <w:p w14:paraId="597A03DD">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二</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管材及基础</w:t>
      </w:r>
    </w:p>
    <w:p w14:paraId="46063531">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1、污水主管采用聚乙烯（HDPE）缠绕结构壁B型管，环刚度≥8KN/㎡，橡胶圈承插连接，管材需满足《埋地用聚乙烯（PE）结构壁管道系统 第2部分：聚乙烯缠绕结构壁管材》（GBT19472.2-2017）的要求。</w:t>
      </w:r>
    </w:p>
    <w:p w14:paraId="31D053E3">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2、接户管采用UPVC管，粘接连接，管材需满足《</w:t>
      </w:r>
      <w:r>
        <w:rPr>
          <w:rFonts w:hint="default" w:ascii="Times New Roman" w:hAnsi="Times New Roman" w:eastAsia="宋体" w:cs="Times New Roman"/>
          <w:snapToGrid w:val="0"/>
          <w:color w:val="auto"/>
          <w:kern w:val="0"/>
          <w:sz w:val="24"/>
          <w:szCs w:val="24"/>
          <w:lang w:val="en-US" w:eastAsia="zh-CN"/>
        </w:rPr>
        <w:fldChar w:fldCharType="begin"/>
      </w:r>
      <w:r>
        <w:rPr>
          <w:rFonts w:hint="default" w:ascii="Times New Roman" w:hAnsi="Times New Roman" w:eastAsia="宋体" w:cs="Times New Roman"/>
          <w:snapToGrid w:val="0"/>
          <w:color w:val="auto"/>
          <w:kern w:val="0"/>
          <w:sz w:val="24"/>
          <w:szCs w:val="24"/>
          <w:lang w:val="en-US" w:eastAsia="zh-CN"/>
        </w:rPr>
        <w:instrText xml:space="preserve"> HYPERLINK "http://www.jianbiaoku.com/webarbs/book/69937/4056506.shtml" \t "http://www.jianbiaoku.com/webarbs/book/69937/_self" </w:instrText>
      </w:r>
      <w:r>
        <w:rPr>
          <w:rFonts w:hint="default" w:ascii="Times New Roman" w:hAnsi="Times New Roman" w:eastAsia="宋体" w:cs="Times New Roman"/>
          <w:snapToGrid w:val="0"/>
          <w:color w:val="auto"/>
          <w:kern w:val="0"/>
          <w:sz w:val="24"/>
          <w:szCs w:val="24"/>
          <w:lang w:val="en-US" w:eastAsia="zh-CN"/>
        </w:rPr>
        <w:fldChar w:fldCharType="separate"/>
      </w:r>
      <w:r>
        <w:rPr>
          <w:rFonts w:hint="default" w:ascii="Times New Roman" w:hAnsi="Times New Roman" w:eastAsia="宋体" w:cs="Times New Roman"/>
          <w:snapToGrid w:val="0"/>
          <w:color w:val="auto"/>
          <w:kern w:val="0"/>
          <w:sz w:val="24"/>
          <w:szCs w:val="24"/>
          <w:lang w:val="en-US" w:eastAsia="zh-CN"/>
        </w:rPr>
        <w:t>建筑排水用硬聚氯乙烯(PVC-U)管材</w:t>
      </w:r>
      <w:r>
        <w:rPr>
          <w:rFonts w:hint="default" w:ascii="Times New Roman" w:hAnsi="Times New Roman" w:eastAsia="宋体" w:cs="Times New Roman"/>
          <w:snapToGrid w:val="0"/>
          <w:color w:val="auto"/>
          <w:kern w:val="0"/>
          <w:sz w:val="24"/>
          <w:szCs w:val="24"/>
          <w:lang w:val="en-US" w:eastAsia="zh-CN"/>
        </w:rPr>
        <w:fldChar w:fldCharType="end"/>
      </w:r>
      <w:r>
        <w:rPr>
          <w:rFonts w:hint="default" w:ascii="Times New Roman" w:hAnsi="Times New Roman" w:eastAsia="宋体" w:cs="Times New Roman"/>
          <w:snapToGrid w:val="0"/>
          <w:color w:val="auto"/>
          <w:kern w:val="0"/>
          <w:sz w:val="24"/>
          <w:szCs w:val="24"/>
          <w:lang w:val="en-US" w:eastAsia="zh-CN"/>
        </w:rPr>
        <w:t>》（ GB/T5836.1-2018）的要求。</w:t>
      </w:r>
    </w:p>
    <w:p w14:paraId="05C397F6">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3、埋地排水管道采用100mm厚石屑基础。</w:t>
      </w:r>
    </w:p>
    <w:p w14:paraId="310A62A0">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1</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对于一般土质，应在管底以下原状土地基或回填夯实的地基上铺设一层厚度为100mm的</w:t>
      </w:r>
      <w:r>
        <w:rPr>
          <w:rFonts w:hint="default" w:ascii="Times New Roman" w:hAnsi="Times New Roman" w:eastAsia="宋体" w:cs="Times New Roman"/>
          <w:snapToGrid w:val="0"/>
          <w:color w:val="auto"/>
          <w:kern w:val="0"/>
          <w:sz w:val="24"/>
          <w:szCs w:val="24"/>
          <w:lang w:val="en-US" w:eastAsia="zh-CN"/>
        </w:rPr>
        <w:t>石屑</w:t>
      </w:r>
      <w:r>
        <w:rPr>
          <w:rFonts w:hint="default" w:ascii="Times New Roman" w:hAnsi="Times New Roman" w:eastAsia="宋体" w:cs="Times New Roman"/>
          <w:color w:val="auto"/>
          <w:sz w:val="24"/>
          <w:shd w:val="clear" w:color="auto" w:fill="FFFFFF"/>
        </w:rPr>
        <w:t>基础层；</w:t>
      </w:r>
    </w:p>
    <w:p w14:paraId="4703F669">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2</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当地基土质较差时，可采用铺垫厚度不小于200mm的砂砾石基础层，也可分层铺设，下层用粒径5-32mm的碎石，厚度100-150mm，上层铺</w:t>
      </w:r>
      <w:r>
        <w:rPr>
          <w:rFonts w:hint="default" w:ascii="Times New Roman" w:hAnsi="Times New Roman" w:eastAsia="宋体" w:cs="Times New Roman"/>
          <w:snapToGrid w:val="0"/>
          <w:color w:val="auto"/>
          <w:kern w:val="0"/>
          <w:sz w:val="24"/>
          <w:szCs w:val="24"/>
          <w:lang w:val="en-US" w:eastAsia="zh-CN"/>
        </w:rPr>
        <w:t>石粉渣</w:t>
      </w:r>
      <w:r>
        <w:rPr>
          <w:rFonts w:hint="default" w:ascii="Times New Roman" w:hAnsi="Times New Roman" w:eastAsia="宋体" w:cs="Times New Roman"/>
          <w:color w:val="auto"/>
          <w:sz w:val="24"/>
          <w:shd w:val="clear" w:color="auto" w:fill="FFFFFF"/>
        </w:rPr>
        <w:t>，厚度不小于100mm；</w:t>
      </w:r>
    </w:p>
    <w:p w14:paraId="2506E965">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3</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default" w:ascii="Times New Roman" w:hAnsi="Times New Roman" w:eastAsia="宋体" w:cs="Times New Roman"/>
          <w:snapToGrid w:val="0"/>
          <w:color w:val="auto"/>
          <w:kern w:val="0"/>
          <w:sz w:val="24"/>
          <w:szCs w:val="24"/>
          <w:lang w:val="en-US" w:eastAsia="zh-CN"/>
        </w:rPr>
        <w:t>石粉渣</w:t>
      </w:r>
      <w:r>
        <w:rPr>
          <w:rFonts w:hint="default" w:ascii="Times New Roman" w:hAnsi="Times New Roman" w:eastAsia="宋体" w:cs="Times New Roman"/>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4</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对于由于管道荷载</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三</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沟槽开挖及回填</w:t>
      </w:r>
    </w:p>
    <w:p w14:paraId="68AB754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四</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管道敷设</w:t>
      </w:r>
    </w:p>
    <w:p w14:paraId="53422FB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重力流主管</w:t>
      </w:r>
      <w:r>
        <w:rPr>
          <w:rFonts w:hint="default" w:ascii="Times New Roman" w:hAnsi="Times New Roman" w:eastAsia="宋体" w:cs="Times New Roman"/>
          <w:snapToGrid w:val="0"/>
          <w:color w:val="auto"/>
          <w:kern w:val="0"/>
          <w:sz w:val="24"/>
          <w:szCs w:val="24"/>
          <w:lang w:val="en-US" w:eastAsia="zh-CN"/>
        </w:rPr>
        <w:t>不淤流速不小于0.6m/s</w:t>
      </w:r>
      <w:r>
        <w:rPr>
          <w:rFonts w:hint="default" w:ascii="Times New Roman" w:hAnsi="Times New Roman" w:eastAsia="宋体" w:cs="Times New Roman"/>
          <w:snapToGrid w:val="0"/>
          <w:color w:val="auto"/>
          <w:kern w:val="0"/>
          <w:sz w:val="24"/>
          <w:szCs w:val="24"/>
        </w:rPr>
        <w:t>。</w:t>
      </w:r>
    </w:p>
    <w:p w14:paraId="2CA5678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排水管道均应采用管顶平接，检查井的内径和构造要求应根据管径、埋深、管道的敷设、地面荷载、维护检修等因素按照国标图集</w:t>
      </w:r>
      <w:r>
        <w:rPr>
          <w:rFonts w:hint="default" w:ascii="Times New Roman" w:hAnsi="Times New Roman" w:eastAsia="宋体" w:cs="Times New Roman"/>
          <w:snapToGrid w:val="0"/>
          <w:color w:val="auto"/>
          <w:kern w:val="0"/>
          <w:sz w:val="24"/>
          <w:szCs w:val="24"/>
          <w:lang w:eastAsia="zh-CN"/>
        </w:rPr>
        <w:t>（22S521）</w:t>
      </w:r>
      <w:r>
        <w:rPr>
          <w:rFonts w:hint="default" w:ascii="Times New Roman" w:hAnsi="Times New Roman" w:eastAsia="宋体" w:cs="Times New Roman"/>
          <w:snapToGrid w:val="0"/>
          <w:color w:val="auto"/>
          <w:kern w:val="0"/>
          <w:sz w:val="24"/>
          <w:szCs w:val="24"/>
        </w:rPr>
        <w:t>选用。</w:t>
      </w:r>
    </w:p>
    <w:p w14:paraId="1AA80651">
      <w:pPr>
        <w:spacing w:line="360" w:lineRule="auto"/>
        <w:ind w:firstLine="480" w:firstLineChars="20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（五）检查井与排水沟</w:t>
      </w:r>
    </w:p>
    <w:p w14:paraId="0A220072">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val="en-US" w:eastAsia="zh-CN"/>
        </w:rPr>
        <w:t>1、</w:t>
      </w:r>
      <w:r>
        <w:rPr>
          <w:rFonts w:hint="default" w:ascii="Times New Roman" w:hAnsi="Times New Roman" w:eastAsia="宋体" w:cs="Times New Roman"/>
          <w:color w:val="auto"/>
          <w:sz w:val="24"/>
          <w:shd w:val="clear" w:color="auto" w:fill="FFFFFF"/>
        </w:rPr>
        <w:t>所有检查井采用</w:t>
      </w:r>
      <w:r>
        <w:rPr>
          <w:rFonts w:hint="default" w:ascii="Times New Roman" w:hAnsi="Times New Roman" w:eastAsia="宋体" w:cs="Times New Roman"/>
          <w:color w:val="auto"/>
          <w:sz w:val="24"/>
          <w:shd w:val="clear" w:color="auto" w:fill="FFFFFF"/>
          <w:lang w:val="en-US" w:eastAsia="zh-CN"/>
        </w:rPr>
        <w:t>预制钢筋混凝土</w:t>
      </w:r>
      <w:r>
        <w:rPr>
          <w:rFonts w:hint="default" w:ascii="Times New Roman" w:hAnsi="Times New Roman" w:eastAsia="宋体" w:cs="Times New Roman"/>
          <w:color w:val="auto"/>
          <w:sz w:val="24"/>
          <w:shd w:val="clear" w:color="auto" w:fill="FFFFFF"/>
        </w:rPr>
        <w:t>检查井，位于道路车行道下的检查井井周需加固处理，井周80cm范围内采用二灰砂粒（或二灰碎石）加强，从井底至井顶。</w:t>
      </w:r>
    </w:p>
    <w:p w14:paraId="3E3E4EAF">
      <w:pPr>
        <w:spacing w:line="360" w:lineRule="auto"/>
        <w:ind w:firstLine="480" w:firstLineChars="200"/>
        <w:jc w:val="left"/>
        <w:rPr>
          <w:rFonts w:hint="default" w:ascii="Times New Roman" w:hAnsi="Times New Roman" w:eastAsia="宋体" w:cs="Times New Roman"/>
          <w:color w:val="auto"/>
        </w:rPr>
      </w:pPr>
      <w:r>
        <w:rPr>
          <w:rFonts w:hint="default" w:ascii="Times New Roman" w:hAnsi="Times New Roman" w:eastAsia="宋体" w:cs="Times New Roman"/>
          <w:color w:val="auto"/>
          <w:sz w:val="24"/>
          <w:shd w:val="clear" w:color="auto" w:fill="FFFFFF"/>
          <w:lang w:val="en-US" w:eastAsia="zh-CN"/>
        </w:rPr>
        <w:t>2、</w:t>
      </w:r>
      <w:r>
        <w:rPr>
          <w:rFonts w:hint="default" w:ascii="Times New Roman" w:hAnsi="Times New Roman" w:eastAsia="宋体" w:cs="Times New Roman"/>
          <w:snapToGrid w:val="0"/>
          <w:color w:val="auto"/>
          <w:kern w:val="0"/>
          <w:sz w:val="24"/>
          <w:szCs w:val="24"/>
        </w:rPr>
        <w:t>排水沟采用砖砌，做法详见排水沟做法大样图。</w:t>
      </w:r>
    </w:p>
    <w:p w14:paraId="69E68306">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检查井</w:t>
      </w:r>
      <w:r>
        <w:rPr>
          <w:rFonts w:hint="default" w:ascii="Times New Roman" w:hAnsi="Times New Roman" w:eastAsia="宋体" w:cs="Times New Roman"/>
          <w:snapToGrid w:val="0"/>
          <w:color w:val="auto"/>
          <w:kern w:val="0"/>
          <w:sz w:val="24"/>
          <w:szCs w:val="24"/>
          <w:lang w:val="en-US" w:eastAsia="zh-CN"/>
        </w:rPr>
        <w:t>盖采用C250球墨铸铁井盖</w:t>
      </w:r>
      <w:r>
        <w:rPr>
          <w:rFonts w:hint="default" w:ascii="Times New Roman" w:hAnsi="Times New Roman" w:eastAsia="宋体" w:cs="Times New Roman"/>
          <w:snapToGrid w:val="0"/>
          <w:color w:val="auto"/>
          <w:kern w:val="0"/>
          <w:sz w:val="24"/>
          <w:szCs w:val="24"/>
        </w:rPr>
        <w:t>。</w:t>
      </w:r>
      <w:r>
        <w:rPr>
          <w:rFonts w:hint="default" w:ascii="Times New Roman" w:hAnsi="Times New Roman" w:eastAsia="宋体" w:cs="Times New Roman"/>
          <w:snapToGrid w:val="0"/>
          <w:color w:val="auto"/>
          <w:kern w:val="0"/>
          <w:sz w:val="24"/>
          <w:szCs w:val="24"/>
          <w:lang w:val="en-US" w:eastAsia="zh-CN"/>
        </w:rPr>
        <w:t>位于农田</w:t>
      </w:r>
      <w:r>
        <w:rPr>
          <w:rFonts w:hint="default" w:ascii="Times New Roman" w:hAnsi="Times New Roman" w:eastAsia="宋体" w:cs="Times New Roman"/>
          <w:color w:val="auto"/>
          <w:sz w:val="24"/>
          <w:shd w:val="clear" w:color="auto" w:fill="FFFFFF"/>
          <w:lang w:val="en-US" w:eastAsia="zh-CN"/>
        </w:rPr>
        <w:t>中的检查井，井盖面不低于田埂高度；位于绿化带中的检查井，井盖面高于绿化带地表15cm；车行道</w:t>
      </w:r>
      <w:r>
        <w:rPr>
          <w:rFonts w:hint="default" w:ascii="Times New Roman" w:hAnsi="Times New Roman" w:eastAsia="宋体" w:cs="Times New Roman"/>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所有检查井应安装防坠落网，要求其承载重量不小于</w:t>
      </w:r>
      <w:r>
        <w:rPr>
          <w:rFonts w:hint="default" w:ascii="Times New Roman" w:hAnsi="Times New Roman" w:eastAsia="宋体" w:cs="Times New Roman"/>
          <w:snapToGrid w:val="0"/>
          <w:color w:val="auto"/>
          <w:kern w:val="0"/>
          <w:sz w:val="24"/>
          <w:szCs w:val="24"/>
          <w:lang w:val="en-US" w:eastAsia="zh-CN"/>
        </w:rPr>
        <w:t>120</w:t>
      </w:r>
      <w:r>
        <w:rPr>
          <w:rFonts w:hint="default" w:ascii="Times New Roman" w:hAnsi="Times New Roman" w:eastAsia="宋体" w:cs="Times New Roman"/>
          <w:snapToGrid w:val="0"/>
          <w:color w:val="auto"/>
          <w:kern w:val="0"/>
          <w:sz w:val="24"/>
          <w:szCs w:val="24"/>
        </w:rPr>
        <w:t>KG。</w:t>
      </w:r>
    </w:p>
    <w:p w14:paraId="49251DA3">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5、</w:t>
      </w:r>
      <w:r>
        <w:rPr>
          <w:rFonts w:hint="default" w:ascii="Times New Roman" w:hAnsi="Times New Roman" w:eastAsia="宋体" w:cs="Times New Roman"/>
          <w:snapToGrid w:val="0"/>
          <w:color w:val="auto"/>
          <w:kern w:val="0"/>
          <w:sz w:val="24"/>
          <w:szCs w:val="24"/>
        </w:rPr>
        <w:t>在排水管道每隔200米左右的距离的检查井内设置沉泥槽，沉泥槽深度为0.5m。</w:t>
      </w:r>
    </w:p>
    <w:p w14:paraId="7D5C063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六</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施工验收</w:t>
      </w:r>
    </w:p>
    <w:p w14:paraId="12C0EF8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全部污水管</w:t>
      </w:r>
      <w:r>
        <w:rPr>
          <w:rFonts w:hint="default" w:ascii="Times New Roman" w:hAnsi="Times New Roman" w:eastAsia="宋体" w:cs="Times New Roman"/>
          <w:snapToGrid w:val="0"/>
          <w:color w:val="auto"/>
          <w:kern w:val="0"/>
          <w:sz w:val="24"/>
          <w:szCs w:val="24"/>
          <w:lang w:val="en-US" w:eastAsia="zh-CN"/>
        </w:rPr>
        <w:t>渠</w:t>
      </w:r>
      <w:r>
        <w:rPr>
          <w:rFonts w:hint="default" w:ascii="Times New Roman" w:hAnsi="Times New Roman" w:eastAsia="宋体" w:cs="Times New Roman"/>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七</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施工注意事项</w:t>
      </w:r>
    </w:p>
    <w:p w14:paraId="077A4A9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5、</w:t>
      </w:r>
      <w:r>
        <w:rPr>
          <w:rFonts w:hint="default" w:ascii="Times New Roman" w:hAnsi="Times New Roman" w:eastAsia="宋体" w:cs="Times New Roman"/>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6、</w:t>
      </w:r>
      <w:r>
        <w:rPr>
          <w:rFonts w:hint="default" w:ascii="Times New Roman" w:hAnsi="Times New Roman" w:eastAsia="宋体" w:cs="Times New Roman"/>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7、</w:t>
      </w:r>
      <w:r>
        <w:rPr>
          <w:rFonts w:hint="default" w:ascii="Times New Roman" w:hAnsi="Times New Roman" w:eastAsia="宋体" w:cs="Times New Roman"/>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9、</w:t>
      </w:r>
      <w:r>
        <w:rPr>
          <w:rFonts w:hint="default" w:ascii="Times New Roman" w:hAnsi="Times New Roman" w:eastAsia="宋体" w:cs="Times New Roman"/>
          <w:snapToGrid w:val="0"/>
          <w:color w:val="auto"/>
          <w:kern w:val="0"/>
          <w:sz w:val="24"/>
          <w:szCs w:val="24"/>
        </w:rPr>
        <w:t>本说明未尽事宜，按《给水排水管道工程施工及验收规范（GB 50268-2008）》和国标图集</w:t>
      </w:r>
      <w:r>
        <w:rPr>
          <w:rFonts w:hint="default" w:ascii="Times New Roman" w:hAnsi="Times New Roman" w:eastAsia="宋体" w:cs="Times New Roman"/>
          <w:snapToGrid w:val="0"/>
          <w:color w:val="auto"/>
          <w:kern w:val="0"/>
          <w:sz w:val="24"/>
          <w:szCs w:val="24"/>
          <w:lang w:val="en-US" w:eastAsia="zh-CN"/>
        </w:rPr>
        <w:t>20S515</w:t>
      </w:r>
      <w:r>
        <w:rPr>
          <w:rFonts w:hint="default" w:ascii="Times New Roman" w:hAnsi="Times New Roman" w:eastAsia="宋体" w:cs="Times New Roman"/>
          <w:snapToGrid w:val="0"/>
          <w:color w:val="auto"/>
          <w:kern w:val="0"/>
          <w:sz w:val="24"/>
          <w:szCs w:val="24"/>
        </w:rPr>
        <w:t>执行。</w:t>
      </w:r>
    </w:p>
    <w:p w14:paraId="1576C7ED">
      <w:pP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br w:type="page"/>
      </w:r>
    </w:p>
    <w:p w14:paraId="28BB5244">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一体化污水处理站设计</w:t>
      </w:r>
    </w:p>
    <w:p w14:paraId="513B3DBB">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（一）工艺设计</w:t>
      </w:r>
    </w:p>
    <w:p w14:paraId="3E8727D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1、设计规模</w:t>
      </w:r>
    </w:p>
    <w:p w14:paraId="495A16F0">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本项目污水处理站设计处理规模为120m³/d。</w:t>
      </w:r>
    </w:p>
    <w:p w14:paraId="567E649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2、工艺流程</w:t>
      </w:r>
    </w:p>
    <w:p w14:paraId="6F61038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指标</w:t>
            </w:r>
          </w:p>
        </w:tc>
        <w:tc>
          <w:tcPr>
            <w:tcW w:w="779" w:type="pct"/>
            <w:noWrap w:val="0"/>
            <w:vAlign w:val="center"/>
          </w:tcPr>
          <w:p w14:paraId="4F3F0327">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COD</w:t>
            </w:r>
            <w:r>
              <w:rPr>
                <w:rFonts w:hint="default" w:ascii="Times New Roman" w:hAnsi="Times New Roman" w:eastAsia="宋体" w:cs="Times New Roman"/>
                <w:color w:val="auto"/>
                <w:sz w:val="24"/>
                <w:szCs w:val="24"/>
                <w:highlight w:val="none"/>
                <w:vertAlign w:val="subscript"/>
              </w:rPr>
              <w:t>cr</w:t>
            </w:r>
          </w:p>
          <w:p w14:paraId="21B331E1">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(mg/L)</w:t>
            </w:r>
          </w:p>
        </w:tc>
        <w:tc>
          <w:tcPr>
            <w:tcW w:w="743" w:type="pct"/>
            <w:noWrap w:val="0"/>
            <w:vAlign w:val="center"/>
          </w:tcPr>
          <w:p w14:paraId="65F50E2B">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SS</w:t>
            </w:r>
          </w:p>
          <w:p w14:paraId="7EC40BBA">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09" w:type="pct"/>
            <w:noWrap w:val="0"/>
            <w:vAlign w:val="center"/>
          </w:tcPr>
          <w:p w14:paraId="5E28693C">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NH</w:t>
            </w:r>
            <w:r>
              <w:rPr>
                <w:rFonts w:hint="default" w:ascii="Times New Roman" w:hAnsi="Times New Roman" w:eastAsia="宋体" w:cs="Times New Roman"/>
                <w:color w:val="auto"/>
                <w:sz w:val="24"/>
                <w:szCs w:val="24"/>
                <w:highlight w:val="none"/>
                <w:vertAlign w:val="subscript"/>
              </w:rPr>
              <w:t>3</w:t>
            </w:r>
            <w:r>
              <w:rPr>
                <w:rFonts w:hint="default" w:ascii="Times New Roman" w:hAnsi="Times New Roman" w:eastAsia="宋体" w:cs="Times New Roman"/>
                <w:color w:val="auto"/>
                <w:sz w:val="24"/>
                <w:szCs w:val="24"/>
                <w:highlight w:val="none"/>
              </w:rPr>
              <w:t>-N</w:t>
            </w:r>
          </w:p>
          <w:p w14:paraId="34319FAF">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63" w:type="pct"/>
            <w:noWrap w:val="0"/>
            <w:vAlign w:val="center"/>
          </w:tcPr>
          <w:p w14:paraId="4E87AD4E">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TN</w:t>
            </w:r>
          </w:p>
          <w:p w14:paraId="27DAD68E">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75" w:type="pct"/>
            <w:noWrap w:val="0"/>
            <w:vAlign w:val="center"/>
          </w:tcPr>
          <w:p w14:paraId="58D297B3">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TP</w:t>
            </w:r>
          </w:p>
          <w:p w14:paraId="71763562">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进水水质</w:t>
            </w:r>
          </w:p>
        </w:tc>
        <w:tc>
          <w:tcPr>
            <w:tcW w:w="779" w:type="pct"/>
            <w:noWrap w:val="0"/>
            <w:vAlign w:val="center"/>
          </w:tcPr>
          <w:p w14:paraId="1CBBC39B">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250</w:t>
            </w:r>
          </w:p>
        </w:tc>
        <w:tc>
          <w:tcPr>
            <w:tcW w:w="743" w:type="pct"/>
            <w:noWrap w:val="0"/>
            <w:vAlign w:val="center"/>
          </w:tcPr>
          <w:p w14:paraId="7C860E6A">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16</w:t>
            </w:r>
          </w:p>
        </w:tc>
        <w:tc>
          <w:tcPr>
            <w:tcW w:w="809" w:type="pct"/>
            <w:noWrap w:val="0"/>
            <w:vAlign w:val="center"/>
          </w:tcPr>
          <w:p w14:paraId="0107E9B6">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40</w:t>
            </w:r>
          </w:p>
        </w:tc>
        <w:tc>
          <w:tcPr>
            <w:tcW w:w="863" w:type="pct"/>
            <w:noWrap w:val="0"/>
            <w:vAlign w:val="center"/>
          </w:tcPr>
          <w:p w14:paraId="5608864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w:t>
            </w:r>
          </w:p>
        </w:tc>
        <w:tc>
          <w:tcPr>
            <w:tcW w:w="875" w:type="pct"/>
            <w:noWrap w:val="0"/>
            <w:vAlign w:val="center"/>
          </w:tcPr>
          <w:p w14:paraId="26A9E973">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出水水质</w:t>
            </w:r>
          </w:p>
        </w:tc>
        <w:tc>
          <w:tcPr>
            <w:tcW w:w="779" w:type="pct"/>
            <w:noWrap w:val="0"/>
            <w:vAlign w:val="center"/>
          </w:tcPr>
          <w:p w14:paraId="7787AAFE">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60</w:t>
            </w:r>
          </w:p>
        </w:tc>
        <w:tc>
          <w:tcPr>
            <w:tcW w:w="743" w:type="pct"/>
            <w:noWrap w:val="0"/>
            <w:vAlign w:val="center"/>
          </w:tcPr>
          <w:p w14:paraId="26706FD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20</w:t>
            </w:r>
          </w:p>
        </w:tc>
        <w:tc>
          <w:tcPr>
            <w:tcW w:w="809" w:type="pct"/>
            <w:noWrap w:val="0"/>
            <w:vAlign w:val="center"/>
          </w:tcPr>
          <w:p w14:paraId="43CE3444">
            <w:pPr>
              <w:pStyle w:val="114"/>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8（15）</w:t>
            </w:r>
          </w:p>
        </w:tc>
        <w:tc>
          <w:tcPr>
            <w:tcW w:w="863" w:type="pct"/>
            <w:noWrap w:val="0"/>
            <w:vAlign w:val="center"/>
          </w:tcPr>
          <w:p w14:paraId="0322890A">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20</w:t>
            </w:r>
          </w:p>
        </w:tc>
        <w:tc>
          <w:tcPr>
            <w:tcW w:w="875" w:type="pct"/>
            <w:noWrap w:val="0"/>
            <w:vAlign w:val="center"/>
          </w:tcPr>
          <w:p w14:paraId="283D6CBF">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default" w:ascii="Times New Roman" w:hAnsi="Times New Roman" w:eastAsia="宋体" w:cs="Times New Roman"/>
          <w:b/>
          <w:bCs/>
          <w:snapToGrid w:val="0"/>
          <w:color w:val="auto"/>
          <w:kern w:val="0"/>
          <w:sz w:val="24"/>
          <w:szCs w:val="24"/>
          <w:highlight w:val="none"/>
        </w:rPr>
      </w:pPr>
      <w:r>
        <w:rPr>
          <w:rFonts w:hint="default" w:ascii="Times New Roman" w:hAnsi="Times New Roman" w:eastAsia="宋体" w:cs="Times New Roman"/>
          <w:b/>
          <w:bCs/>
          <w:snapToGrid w:val="0"/>
          <w:color w:val="auto"/>
          <w:kern w:val="0"/>
          <w:sz w:val="24"/>
          <w:szCs w:val="24"/>
          <w:highlight w:val="none"/>
          <w:lang w:val="en-US" w:eastAsia="zh-CN"/>
        </w:rPr>
        <w:t>4、工艺</w:t>
      </w:r>
      <w:r>
        <w:rPr>
          <w:rFonts w:hint="default" w:ascii="Times New Roman" w:hAnsi="Times New Roman" w:eastAsia="宋体" w:cs="Times New Roman"/>
          <w:b/>
          <w:bCs/>
          <w:snapToGrid w:val="0"/>
          <w:color w:val="auto"/>
          <w:kern w:val="0"/>
          <w:sz w:val="24"/>
          <w:szCs w:val="24"/>
          <w:highlight w:val="none"/>
        </w:rPr>
        <w:t>设计</w:t>
      </w:r>
    </w:p>
    <w:p w14:paraId="7F3432C9">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（1）格栅井及调节池</w:t>
      </w:r>
    </w:p>
    <w:p w14:paraId="01E8862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rPr>
        <w:t>设计功能：拦截污水中的杂物、渣滓；</w:t>
      </w:r>
    </w:p>
    <w:p w14:paraId="18B8011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eastAsia="zh-CN"/>
        </w:rPr>
      </w:pPr>
      <w:r>
        <w:rPr>
          <w:rFonts w:hint="default"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rPr>
        <w:t>格栅设计流量：Q平均=</w:t>
      </w:r>
      <w:r>
        <w:rPr>
          <w:rFonts w:hint="eastAsia" w:ascii="Times New Roman" w:hAnsi="Times New Roman" w:eastAsia="宋体" w:cs="Times New Roman"/>
          <w:snapToGrid w:val="0"/>
          <w:color w:val="auto"/>
          <w:kern w:val="0"/>
          <w:sz w:val="24"/>
          <w:szCs w:val="24"/>
          <w:highlight w:val="none"/>
          <w:lang w:val="en-US" w:eastAsia="zh-CN"/>
        </w:rPr>
        <w:t>5</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3</w:t>
      </w:r>
      <w:r>
        <w:rPr>
          <w:rFonts w:hint="default" w:ascii="Times New Roman" w:hAnsi="Times New Roman" w:eastAsia="宋体" w:cs="Times New Roman"/>
          <w:snapToGrid w:val="0"/>
          <w:color w:val="auto"/>
          <w:kern w:val="0"/>
          <w:sz w:val="24"/>
          <w:szCs w:val="24"/>
          <w:highlight w:val="none"/>
        </w:rPr>
        <w:t>/h，变化系数Kz=2.</w:t>
      </w:r>
      <w:r>
        <w:rPr>
          <w:rFonts w:hint="default" w:ascii="Times New Roman" w:hAnsi="Times New Roman" w:eastAsia="宋体" w:cs="Times New Roman"/>
          <w:snapToGrid w:val="0"/>
          <w:color w:val="auto"/>
          <w:kern w:val="0"/>
          <w:sz w:val="24"/>
          <w:szCs w:val="24"/>
          <w:highlight w:val="none"/>
          <w:lang w:val="en-US" w:eastAsia="zh-CN"/>
        </w:rPr>
        <w:t>7</w:t>
      </w:r>
      <w:r>
        <w:rPr>
          <w:rFonts w:hint="default" w:ascii="Times New Roman" w:hAnsi="Times New Roman" w:eastAsia="宋体" w:cs="Times New Roman"/>
          <w:snapToGrid w:val="0"/>
          <w:color w:val="auto"/>
          <w:kern w:val="0"/>
          <w:sz w:val="24"/>
          <w:szCs w:val="24"/>
          <w:highlight w:val="none"/>
        </w:rPr>
        <w:t>，Qmax=</w:t>
      </w:r>
      <w:r>
        <w:rPr>
          <w:rFonts w:hint="eastAsia" w:ascii="Times New Roman" w:hAnsi="Times New Roman" w:eastAsia="宋体" w:cs="Times New Roman"/>
          <w:snapToGrid w:val="0"/>
          <w:color w:val="auto"/>
          <w:kern w:val="0"/>
          <w:sz w:val="24"/>
          <w:szCs w:val="24"/>
          <w:highlight w:val="none"/>
          <w:lang w:val="en-US" w:eastAsia="zh-CN"/>
        </w:rPr>
        <w:t>13.5</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3</w:t>
      </w:r>
      <w:r>
        <w:rPr>
          <w:rFonts w:hint="default" w:ascii="Times New Roman" w:hAnsi="Times New Roman" w:eastAsia="宋体" w:cs="Times New Roman"/>
          <w:snapToGrid w:val="0"/>
          <w:color w:val="auto"/>
          <w:kern w:val="0"/>
          <w:sz w:val="24"/>
          <w:szCs w:val="24"/>
          <w:highlight w:val="none"/>
        </w:rPr>
        <w:t>/h</w:t>
      </w:r>
      <w:r>
        <w:rPr>
          <w:rFonts w:hint="default" w:ascii="Times New Roman" w:hAnsi="Times New Roman" w:eastAsia="宋体" w:cs="Times New Roman"/>
          <w:snapToGrid w:val="0"/>
          <w:color w:val="auto"/>
          <w:kern w:val="0"/>
          <w:sz w:val="24"/>
          <w:szCs w:val="24"/>
          <w:highlight w:val="none"/>
          <w:lang w:eastAsia="zh-CN"/>
        </w:rPr>
        <w:t>。</w:t>
      </w:r>
    </w:p>
    <w:p w14:paraId="26353C0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3）主要设备材料：</w:t>
      </w:r>
    </w:p>
    <w:p w14:paraId="609471D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①不锈钢平面格栅，1套，尺寸800×700；</w:t>
      </w:r>
    </w:p>
    <w:p w14:paraId="6B7B858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②潜污泵，2台，流量</w:t>
      </w:r>
      <w:r>
        <w:rPr>
          <w:rFonts w:hint="eastAsia" w:ascii="Times New Roman" w:hAnsi="Times New Roman" w:eastAsia="宋体" w:cs="Times New Roman"/>
          <w:snapToGrid w:val="0"/>
          <w:color w:val="auto"/>
          <w:kern w:val="0"/>
          <w:sz w:val="24"/>
          <w:szCs w:val="24"/>
          <w:highlight w:val="none"/>
          <w:lang w:val="en-US" w:eastAsia="zh-CN"/>
        </w:rPr>
        <w:t>8</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/h，扬程</w:t>
      </w:r>
      <w:r>
        <w:rPr>
          <w:rFonts w:hint="eastAsia" w:ascii="Times New Roman" w:hAnsi="Times New Roman" w:eastAsia="宋体" w:cs="Times New Roman"/>
          <w:snapToGrid w:val="0"/>
          <w:color w:val="auto"/>
          <w:kern w:val="0"/>
          <w:sz w:val="24"/>
          <w:szCs w:val="24"/>
          <w:highlight w:val="none"/>
          <w:lang w:val="en-US" w:eastAsia="zh-CN"/>
        </w:rPr>
        <w:t>8</w:t>
      </w:r>
      <w:r>
        <w:rPr>
          <w:rFonts w:hint="default" w:ascii="Times New Roman" w:hAnsi="Times New Roman" w:eastAsia="宋体" w:cs="Times New Roman"/>
          <w:snapToGrid w:val="0"/>
          <w:color w:val="auto"/>
          <w:kern w:val="0"/>
          <w:sz w:val="24"/>
          <w:szCs w:val="24"/>
          <w:highlight w:val="none"/>
          <w:lang w:val="en-US" w:eastAsia="zh-CN"/>
        </w:rPr>
        <w:t>m，功率</w:t>
      </w:r>
      <w:r>
        <w:rPr>
          <w:rFonts w:hint="eastAsia" w:ascii="Times New Roman" w:hAnsi="Times New Roman" w:eastAsia="宋体" w:cs="Times New Roman"/>
          <w:snapToGrid w:val="0"/>
          <w:color w:val="auto"/>
          <w:kern w:val="0"/>
          <w:sz w:val="24"/>
          <w:szCs w:val="24"/>
          <w:highlight w:val="none"/>
          <w:lang w:val="en-US" w:eastAsia="zh-CN"/>
        </w:rPr>
        <w:t>55</w:t>
      </w:r>
      <w:r>
        <w:rPr>
          <w:rFonts w:hint="default" w:ascii="Times New Roman" w:hAnsi="Times New Roman" w:eastAsia="宋体" w:cs="Times New Roman"/>
          <w:snapToGrid w:val="0"/>
          <w:color w:val="auto"/>
          <w:kern w:val="0"/>
          <w:sz w:val="24"/>
          <w:szCs w:val="24"/>
          <w:highlight w:val="none"/>
          <w:lang w:val="en-US" w:eastAsia="zh-CN"/>
        </w:rPr>
        <w:t>0W。</w:t>
      </w:r>
    </w:p>
    <w:p w14:paraId="01674E36">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③浮球液位计0~5m，4~20mA。</w:t>
      </w:r>
    </w:p>
    <w:p w14:paraId="7C4D1110">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rPr>
      </w:pPr>
      <w:r>
        <w:rPr>
          <w:rFonts w:hint="default" w:ascii="Times New Roman" w:hAnsi="Times New Roman" w:eastAsia="宋体" w:cs="Times New Roman"/>
          <w:b/>
          <w:bCs/>
          <w:snapToGrid w:val="0"/>
          <w:color w:val="auto"/>
          <w:kern w:val="0"/>
          <w:sz w:val="24"/>
          <w:szCs w:val="24"/>
          <w:highlight w:val="none"/>
          <w:lang w:val="en-US" w:eastAsia="zh-CN"/>
        </w:rPr>
        <w:t>（2）两微智能污水一体化处理设备</w:t>
      </w:r>
    </w:p>
    <w:p w14:paraId="06FEE4F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rPr>
        <w:t>设计功能：去除各类污染物、固液分离。</w:t>
      </w:r>
    </w:p>
    <w:p w14:paraId="42CB7E6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rPr>
        <w:t>设备规格：</w:t>
      </w:r>
      <w:r>
        <w:rPr>
          <w:rFonts w:hint="eastAsia" w:ascii="Times New Roman" w:hAnsi="Times New Roman" w:eastAsia="宋体" w:cs="Times New Roman"/>
          <w:snapToGrid w:val="0"/>
          <w:color w:val="auto"/>
          <w:kern w:val="0"/>
          <w:sz w:val="24"/>
          <w:szCs w:val="24"/>
          <w:highlight w:val="none"/>
          <w:lang w:val="en-US" w:eastAsia="zh-CN"/>
        </w:rPr>
        <w:t>长8.8m，宽2.4m</w:t>
      </w:r>
      <w:r>
        <w:rPr>
          <w:rFonts w:hint="default" w:ascii="Times New Roman" w:hAnsi="Times New Roman" w:eastAsia="宋体" w:cs="Times New Roman"/>
          <w:snapToGrid w:val="0"/>
          <w:color w:val="auto"/>
          <w:kern w:val="0"/>
          <w:sz w:val="24"/>
          <w:szCs w:val="24"/>
          <w:highlight w:val="none"/>
        </w:rPr>
        <w:t>，高</w:t>
      </w:r>
      <w:r>
        <w:rPr>
          <w:rFonts w:hint="eastAsia" w:ascii="Times New Roman" w:hAnsi="Times New Roman" w:eastAsia="宋体" w:cs="Times New Roman"/>
          <w:snapToGrid w:val="0"/>
          <w:color w:val="auto"/>
          <w:kern w:val="0"/>
          <w:sz w:val="24"/>
          <w:szCs w:val="24"/>
          <w:highlight w:val="none"/>
          <w:lang w:val="en-US" w:eastAsia="zh-CN"/>
        </w:rPr>
        <w:t>2.5</w:t>
      </w:r>
      <w:r>
        <w:rPr>
          <w:rFonts w:hint="default" w:ascii="Times New Roman" w:hAnsi="Times New Roman" w:eastAsia="宋体" w:cs="Times New Roman"/>
          <w:snapToGrid w:val="0"/>
          <w:color w:val="auto"/>
          <w:kern w:val="0"/>
          <w:sz w:val="24"/>
          <w:szCs w:val="24"/>
          <w:highlight w:val="none"/>
        </w:rPr>
        <w:t>m，</w:t>
      </w:r>
      <w:r>
        <w:rPr>
          <w:rFonts w:hint="eastAsia"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lang w:val="en-US" w:eastAsia="zh-CN"/>
        </w:rPr>
        <w:t>套</w:t>
      </w:r>
      <w:r>
        <w:rPr>
          <w:rFonts w:hint="default" w:ascii="Times New Roman" w:hAnsi="Times New Roman" w:eastAsia="宋体" w:cs="Times New Roman"/>
          <w:snapToGrid w:val="0"/>
          <w:color w:val="auto"/>
          <w:kern w:val="0"/>
          <w:sz w:val="24"/>
          <w:szCs w:val="24"/>
          <w:highlight w:val="none"/>
        </w:rPr>
        <w:t>。</w:t>
      </w:r>
    </w:p>
    <w:p w14:paraId="792D9518">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3)设备材质：</w:t>
      </w:r>
      <w:r>
        <w:rPr>
          <w:rFonts w:hint="eastAsia" w:ascii="Times New Roman" w:hAnsi="Times New Roman" w:eastAsia="宋体" w:cs="Times New Roman"/>
          <w:snapToGrid w:val="0"/>
          <w:color w:val="auto"/>
          <w:kern w:val="0"/>
          <w:sz w:val="24"/>
          <w:szCs w:val="24"/>
          <w:highlight w:val="none"/>
          <w:lang w:val="en-US" w:eastAsia="zh-CN"/>
        </w:rPr>
        <w:t>碳钢材质</w:t>
      </w:r>
      <w:r>
        <w:rPr>
          <w:rFonts w:hint="default" w:ascii="Times New Roman" w:hAnsi="Times New Roman" w:eastAsia="宋体" w:cs="Times New Roman"/>
          <w:snapToGrid w:val="0"/>
          <w:color w:val="auto"/>
          <w:kern w:val="0"/>
          <w:sz w:val="24"/>
          <w:szCs w:val="24"/>
          <w:highlight w:val="none"/>
          <w:lang w:val="en-US" w:eastAsia="zh-CN"/>
        </w:rPr>
        <w:t>。</w:t>
      </w:r>
    </w:p>
    <w:p w14:paraId="3EF936C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4)</w:t>
      </w:r>
      <w:r>
        <w:rPr>
          <w:rFonts w:hint="default" w:ascii="Times New Roman" w:hAnsi="Times New Roman" w:eastAsia="宋体" w:cs="Times New Roman"/>
          <w:snapToGrid w:val="0"/>
          <w:color w:val="auto"/>
          <w:kern w:val="0"/>
          <w:sz w:val="24"/>
          <w:szCs w:val="24"/>
          <w:highlight w:val="none"/>
        </w:rPr>
        <w:t>设计参数：</w:t>
      </w:r>
    </w:p>
    <w:p w14:paraId="34257F6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①表面有机负荷：5</w:t>
      </w:r>
      <w:r>
        <w:rPr>
          <w:rFonts w:hint="default" w:ascii="Times New Roman" w:hAnsi="Times New Roman" w:eastAsia="宋体" w:cs="Times New Roman"/>
          <w:snapToGrid w:val="0"/>
          <w:color w:val="auto"/>
          <w:kern w:val="0"/>
          <w:sz w:val="24"/>
          <w:szCs w:val="24"/>
          <w:highlight w:val="none"/>
        </w:rPr>
        <w:t>gBOD/</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·d</w:t>
      </w:r>
    </w:p>
    <w:p w14:paraId="6B6D5EA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②表面硝化负荷：0.5</w:t>
      </w:r>
      <w:r>
        <w:rPr>
          <w:rFonts w:hint="default" w:ascii="Times New Roman" w:hAnsi="Times New Roman" w:eastAsia="宋体" w:cs="Times New Roman"/>
          <w:snapToGrid w:val="0"/>
          <w:color w:val="auto"/>
          <w:kern w:val="0"/>
          <w:sz w:val="24"/>
          <w:szCs w:val="24"/>
          <w:highlight w:val="none"/>
        </w:rPr>
        <w:t>gNH3-Ng/</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·d</w:t>
      </w:r>
    </w:p>
    <w:p w14:paraId="207A851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③填料比表面积：≥260m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w:t>
      </w:r>
      <w:r>
        <w:rPr>
          <w:rFonts w:hint="default" w:ascii="Times New Roman" w:hAnsi="Times New Roman" w:eastAsia="宋体" w:cs="Times New Roman"/>
          <w:snapToGrid w:val="0"/>
          <w:color w:val="auto"/>
          <w:kern w:val="0"/>
          <w:sz w:val="24"/>
          <w:szCs w:val="24"/>
          <w:highlight w:val="none"/>
          <w:lang w:val="en-US" w:eastAsia="zh-CN"/>
        </w:rPr>
        <w:t>m3</w:t>
      </w:r>
    </w:p>
    <w:p w14:paraId="15C7E5B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④有效容积：</w:t>
      </w:r>
      <w:r>
        <w:rPr>
          <w:rFonts w:hint="eastAsia" w:ascii="Times New Roman" w:hAnsi="Times New Roman" w:eastAsia="宋体" w:cs="Times New Roman"/>
          <w:snapToGrid w:val="0"/>
          <w:color w:val="auto"/>
          <w:kern w:val="0"/>
          <w:sz w:val="24"/>
          <w:szCs w:val="24"/>
          <w:highlight w:val="none"/>
          <w:lang w:val="en-US" w:eastAsia="zh-CN"/>
        </w:rPr>
        <w:t>120</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⑤总停留时间：1</w:t>
      </w:r>
      <w:r>
        <w:rPr>
          <w:rFonts w:hint="eastAsia"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lang w:val="en-US" w:eastAsia="zh-CN"/>
        </w:rPr>
        <w:t>.</w:t>
      </w:r>
      <w:r>
        <w:rPr>
          <w:rFonts w:hint="eastAsia"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lang w:val="en-US" w:eastAsia="zh-CN"/>
        </w:rPr>
        <w:t>h</w:t>
      </w:r>
    </w:p>
    <w:p w14:paraId="05C062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5)主要设备材料：</w:t>
      </w:r>
    </w:p>
    <w:p w14:paraId="30E6C68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①VFG填料及支架，曝气盘及支架等附件;</w:t>
      </w:r>
    </w:p>
    <w:p w14:paraId="6CA5F0A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②</w:t>
      </w:r>
      <w:r>
        <w:rPr>
          <w:rFonts w:hint="default" w:ascii="Times New Roman" w:hAnsi="Times New Roman" w:eastAsia="宋体" w:cs="Times New Roman"/>
          <w:snapToGrid w:val="0"/>
          <w:color w:val="auto"/>
          <w:kern w:val="0"/>
          <w:sz w:val="24"/>
          <w:szCs w:val="24"/>
          <w:highlight w:val="none"/>
        </w:rPr>
        <w:t>风机：风量</w:t>
      </w:r>
      <w:r>
        <w:rPr>
          <w:rFonts w:hint="eastAsia" w:ascii="Times New Roman" w:hAnsi="Times New Roman" w:eastAsia="宋体" w:cs="Times New Roman"/>
          <w:snapToGrid w:val="0"/>
          <w:color w:val="auto"/>
          <w:kern w:val="0"/>
          <w:sz w:val="24"/>
          <w:szCs w:val="24"/>
          <w:highlight w:val="none"/>
          <w:lang w:val="en-US" w:eastAsia="zh-CN"/>
        </w:rPr>
        <w:t>200</w:t>
      </w:r>
      <w:r>
        <w:rPr>
          <w:rFonts w:hint="default" w:ascii="Times New Roman" w:hAnsi="Times New Roman" w:eastAsia="宋体" w:cs="Times New Roman"/>
          <w:snapToGrid w:val="0"/>
          <w:color w:val="auto"/>
          <w:kern w:val="0"/>
          <w:sz w:val="24"/>
          <w:szCs w:val="24"/>
          <w:highlight w:val="none"/>
        </w:rPr>
        <w:t>L/min，</w:t>
      </w:r>
      <w:r>
        <w:rPr>
          <w:rFonts w:hint="default" w:ascii="Times New Roman" w:hAnsi="Times New Roman" w:eastAsia="宋体" w:cs="Times New Roman"/>
          <w:snapToGrid w:val="0"/>
          <w:color w:val="auto"/>
          <w:kern w:val="0"/>
          <w:sz w:val="24"/>
          <w:szCs w:val="24"/>
          <w:highlight w:val="none"/>
          <w:lang w:val="en-US" w:eastAsia="zh-CN"/>
        </w:rPr>
        <w:t>14.7</w:t>
      </w:r>
      <w:r>
        <w:rPr>
          <w:rFonts w:hint="default" w:ascii="Times New Roman" w:hAnsi="Times New Roman" w:eastAsia="宋体" w:cs="Times New Roman"/>
          <w:snapToGrid w:val="0"/>
          <w:color w:val="auto"/>
          <w:kern w:val="0"/>
          <w:sz w:val="24"/>
          <w:szCs w:val="24"/>
          <w:highlight w:val="none"/>
        </w:rPr>
        <w:t>kPa，</w:t>
      </w:r>
      <w:r>
        <w:rPr>
          <w:rFonts w:hint="eastAsia" w:ascii="Times New Roman" w:hAnsi="Times New Roman" w:eastAsia="宋体" w:cs="Times New Roman"/>
          <w:snapToGrid w:val="0"/>
          <w:color w:val="auto"/>
          <w:kern w:val="0"/>
          <w:sz w:val="24"/>
          <w:szCs w:val="24"/>
          <w:highlight w:val="none"/>
          <w:lang w:val="en-US" w:eastAsia="zh-CN"/>
        </w:rPr>
        <w:t>250</w:t>
      </w:r>
      <w:r>
        <w:rPr>
          <w:rFonts w:hint="default" w:ascii="Times New Roman" w:hAnsi="Times New Roman" w:eastAsia="宋体" w:cs="Times New Roman"/>
          <w:snapToGrid w:val="0"/>
          <w:color w:val="auto"/>
          <w:kern w:val="0"/>
          <w:sz w:val="24"/>
          <w:szCs w:val="24"/>
          <w:highlight w:val="none"/>
        </w:rPr>
        <w:t>W，</w:t>
      </w:r>
      <w:r>
        <w:rPr>
          <w:rFonts w:hint="eastAsia" w:ascii="Times New Roman" w:hAnsi="Times New Roman" w:eastAsia="宋体" w:cs="Times New Roman"/>
          <w:snapToGrid w:val="0"/>
          <w:color w:val="auto"/>
          <w:kern w:val="0"/>
          <w:sz w:val="24"/>
          <w:szCs w:val="24"/>
          <w:highlight w:val="none"/>
          <w:lang w:val="en-US" w:eastAsia="zh-CN"/>
        </w:rPr>
        <w:t>5</w:t>
      </w:r>
      <w:r>
        <w:rPr>
          <w:rFonts w:hint="default" w:ascii="Times New Roman" w:hAnsi="Times New Roman" w:eastAsia="宋体" w:cs="Times New Roman"/>
          <w:snapToGrid w:val="0"/>
          <w:color w:val="auto"/>
          <w:kern w:val="0"/>
          <w:sz w:val="24"/>
          <w:szCs w:val="24"/>
          <w:highlight w:val="none"/>
          <w:lang w:val="en-US" w:eastAsia="zh-CN"/>
        </w:rPr>
        <w:t>台</w:t>
      </w:r>
      <w:r>
        <w:rPr>
          <w:rFonts w:hint="default" w:ascii="Times New Roman" w:hAnsi="Times New Roman" w:eastAsia="宋体" w:cs="Times New Roman"/>
          <w:snapToGrid w:val="0"/>
          <w:color w:val="auto"/>
          <w:kern w:val="0"/>
          <w:sz w:val="24"/>
          <w:szCs w:val="24"/>
          <w:highlight w:val="none"/>
        </w:rPr>
        <w:t>。</w:t>
      </w:r>
    </w:p>
    <w:p w14:paraId="5E116E8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③详细设备参数、技术性能：</w:t>
      </w:r>
    </w:p>
    <w:p w14:paraId="07DE97D8">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COD处理负荷不小于3kg COD/m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d，最大日处理量不低于1</w:t>
      </w:r>
      <w:r>
        <w:rPr>
          <w:rFonts w:hint="eastAsia"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lang w:val="en-US" w:eastAsia="zh-CN"/>
        </w:rPr>
        <w:t>0m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/d。</w:t>
      </w:r>
    </w:p>
    <w:p w14:paraId="59AEBF5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6)固定床生物膜工艺</w:t>
      </w:r>
    </w:p>
    <w:p w14:paraId="764DA60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①固定床生物膜工艺内的填料（FBBR填料）以固定状态填充于生物反应器内，填料填充体积占反应器总体积超过80%。</w:t>
      </w:r>
    </w:p>
    <w:p w14:paraId="0067E45E">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②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③填料材质为PVC。</w:t>
      </w:r>
    </w:p>
    <w:p w14:paraId="700C888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④单块FBBR填料尺寸长度1200mm，宽度600mm，高度100mm，误差控制在±2%内。</w:t>
      </w:r>
    </w:p>
    <w:p w14:paraId="282671C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⑤95%以上的微生物以附着形式生长，调试时无需投加活性污泥。</w:t>
      </w:r>
    </w:p>
    <w:p w14:paraId="44E1DC5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⑥采用间歇曝气和精确曝气方式，根据溶解氧上下限控制曝气量。</w:t>
      </w:r>
    </w:p>
    <w:p w14:paraId="29B91656">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能长期维持曝气的均匀性和较高的氧利用率（大于40%）。</w:t>
      </w:r>
    </w:p>
    <w:p w14:paraId="5F89362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⑦保证出水水质主要指标达到广西壮族自治区《农村生活污水处理设施水污染物排放标准》（DB45/2413-2021）中的一级标准。</w:t>
      </w:r>
    </w:p>
    <w:p w14:paraId="48F8EE6C">
      <w:pPr>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br w:type="page"/>
      </w:r>
    </w:p>
    <w:p w14:paraId="07B1A3EC">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（3）回用水池</w:t>
      </w:r>
    </w:p>
    <w:p w14:paraId="11C7F425">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highlight w:val="none"/>
        </w:rPr>
        <w:t>设计功能：</w:t>
      </w:r>
      <w:r>
        <w:rPr>
          <w:rFonts w:hint="default" w:ascii="Times New Roman" w:hAnsi="Times New Roman" w:eastAsia="宋体" w:cs="Times New Roman"/>
          <w:snapToGrid w:val="0"/>
          <w:color w:val="auto"/>
          <w:kern w:val="0"/>
          <w:sz w:val="24"/>
          <w:szCs w:val="24"/>
          <w:highlight w:val="none"/>
          <w:lang w:val="en-US" w:eastAsia="zh-CN"/>
        </w:rPr>
        <w:t>暂存清水供回用</w:t>
      </w:r>
      <w:r>
        <w:rPr>
          <w:rFonts w:hint="default" w:ascii="Times New Roman" w:hAnsi="Times New Roman" w:eastAsia="宋体" w:cs="Times New Roman"/>
          <w:snapToGrid w:val="0"/>
          <w:color w:val="auto"/>
          <w:kern w:val="0"/>
          <w:sz w:val="24"/>
          <w:szCs w:val="24"/>
          <w:highlight w:val="none"/>
        </w:rPr>
        <w:t>和出</w:t>
      </w:r>
      <w:r>
        <w:rPr>
          <w:rFonts w:hint="default" w:ascii="Times New Roman" w:hAnsi="Times New Roman" w:eastAsia="宋体" w:cs="Times New Roman"/>
          <w:snapToGrid w:val="0"/>
          <w:color w:val="auto"/>
          <w:kern w:val="0"/>
          <w:sz w:val="24"/>
          <w:szCs w:val="24"/>
        </w:rPr>
        <w:t>水计量。</w:t>
      </w:r>
    </w:p>
    <w:p w14:paraId="2F0FC5C0">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rPr>
        <w:t>设计</w:t>
      </w:r>
      <w:r>
        <w:rPr>
          <w:rFonts w:hint="default" w:ascii="Times New Roman" w:hAnsi="Times New Roman" w:eastAsia="宋体" w:cs="Times New Roman"/>
          <w:snapToGrid w:val="0"/>
          <w:color w:val="auto"/>
          <w:kern w:val="0"/>
          <w:sz w:val="24"/>
          <w:szCs w:val="24"/>
          <w:lang w:val="en-US" w:eastAsia="zh-CN"/>
        </w:rPr>
        <w:t>规模</w:t>
      </w:r>
      <w:r>
        <w:rPr>
          <w:rFonts w:hint="default" w:ascii="Times New Roman" w:hAnsi="Times New Roman" w:eastAsia="宋体" w:cs="Times New Roman"/>
          <w:snapToGrid w:val="0"/>
          <w:color w:val="auto"/>
          <w:kern w:val="0"/>
          <w:sz w:val="24"/>
          <w:szCs w:val="24"/>
        </w:rPr>
        <w:t>：Q=</w:t>
      </w:r>
      <w:r>
        <w:rPr>
          <w:rFonts w:hint="eastAsia" w:ascii="Times New Roman" w:hAnsi="Times New Roman" w:eastAsia="宋体" w:cs="Times New Roman"/>
          <w:snapToGrid w:val="0"/>
          <w:color w:val="auto"/>
          <w:kern w:val="0"/>
          <w:sz w:val="24"/>
          <w:szCs w:val="24"/>
          <w:lang w:val="en-US" w:eastAsia="zh-CN"/>
        </w:rPr>
        <w:t>12</w:t>
      </w:r>
      <w:r>
        <w:rPr>
          <w:rFonts w:hint="default" w:ascii="Times New Roman" w:hAnsi="Times New Roman" w:eastAsia="宋体" w:cs="Times New Roman"/>
          <w:snapToGrid w:val="0"/>
          <w:color w:val="auto"/>
          <w:kern w:val="0"/>
          <w:sz w:val="24"/>
          <w:szCs w:val="24"/>
          <w:lang w:val="en-US" w:eastAsia="zh-CN"/>
        </w:rPr>
        <w:t>0</w:t>
      </w:r>
      <w:r>
        <w:rPr>
          <w:rFonts w:hint="default" w:ascii="Times New Roman" w:hAnsi="Times New Roman" w:eastAsia="宋体" w:cs="Times New Roman"/>
          <w:snapToGrid w:val="0"/>
          <w:color w:val="auto"/>
          <w:kern w:val="0"/>
          <w:sz w:val="24"/>
          <w:szCs w:val="24"/>
        </w:rPr>
        <w:t>m</w:t>
      </w:r>
      <w:r>
        <w:rPr>
          <w:rFonts w:hint="default" w:ascii="Times New Roman" w:hAnsi="Times New Roman" w:eastAsia="宋体" w:cs="Times New Roman"/>
          <w:snapToGrid w:val="0"/>
          <w:color w:val="auto"/>
          <w:kern w:val="0"/>
          <w:sz w:val="24"/>
          <w:szCs w:val="24"/>
          <w:vertAlign w:val="superscript"/>
        </w:rPr>
        <w:t>3</w:t>
      </w:r>
      <w:r>
        <w:rPr>
          <w:rFonts w:hint="default" w:ascii="Times New Roman" w:hAnsi="Times New Roman" w:eastAsia="宋体" w:cs="Times New Roman"/>
          <w:snapToGrid w:val="0"/>
          <w:color w:val="auto"/>
          <w:kern w:val="0"/>
          <w:sz w:val="24"/>
          <w:szCs w:val="24"/>
        </w:rPr>
        <w:t>/</w:t>
      </w:r>
      <w:r>
        <w:rPr>
          <w:rFonts w:hint="default" w:ascii="Times New Roman" w:hAnsi="Times New Roman" w:eastAsia="宋体" w:cs="Times New Roman"/>
          <w:snapToGrid w:val="0"/>
          <w:color w:val="auto"/>
          <w:kern w:val="0"/>
          <w:sz w:val="24"/>
          <w:szCs w:val="24"/>
          <w:lang w:val="en-US" w:eastAsia="zh-CN"/>
        </w:rPr>
        <w:t>d</w:t>
      </w:r>
      <w:r>
        <w:rPr>
          <w:rFonts w:hint="default" w:ascii="Times New Roman" w:hAnsi="Times New Roman" w:eastAsia="宋体" w:cs="Times New Roman"/>
          <w:snapToGrid w:val="0"/>
          <w:color w:val="auto"/>
          <w:kern w:val="0"/>
          <w:sz w:val="24"/>
          <w:szCs w:val="24"/>
        </w:rPr>
        <w:t>。</w:t>
      </w:r>
    </w:p>
    <w:p w14:paraId="5859A326">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清水井容积：</w:t>
      </w:r>
      <w:r>
        <w:rPr>
          <w:rFonts w:hint="eastAsia" w:ascii="Times New Roman" w:hAnsi="Times New Roman" w:eastAsia="宋体" w:cs="Times New Roman"/>
          <w:snapToGrid w:val="0"/>
          <w:color w:val="auto"/>
          <w:kern w:val="0"/>
          <w:sz w:val="24"/>
          <w:szCs w:val="24"/>
          <w:lang w:val="en-US" w:eastAsia="zh-CN"/>
        </w:rPr>
        <w:t>6</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vertAlign w:val="superscript"/>
          <w:lang w:val="en-US" w:eastAsia="zh-CN"/>
        </w:rPr>
        <w:t>3</w:t>
      </w:r>
      <w:r>
        <w:rPr>
          <w:rFonts w:hint="default" w:ascii="Times New Roman" w:hAnsi="Times New Roman" w:eastAsia="宋体" w:cs="Times New Roman"/>
          <w:snapToGrid w:val="0"/>
          <w:color w:val="auto"/>
          <w:kern w:val="0"/>
          <w:sz w:val="24"/>
          <w:szCs w:val="24"/>
          <w:lang w:val="en-US" w:eastAsia="zh-CN"/>
        </w:rPr>
        <w:t>。</w:t>
      </w:r>
    </w:p>
    <w:p w14:paraId="6421A81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rPr>
        <w:t>主要设备：</w:t>
      </w:r>
    </w:p>
    <w:p w14:paraId="2DA4380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①潜污泵，</w:t>
      </w:r>
      <w:r>
        <w:rPr>
          <w:rFonts w:hint="eastAsia"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lang w:val="en-US" w:eastAsia="zh-CN"/>
        </w:rPr>
        <w:t>台，</w:t>
      </w:r>
      <w:r>
        <w:rPr>
          <w:rFonts w:hint="eastAsia" w:ascii="Times New Roman" w:hAnsi="Times New Roman" w:eastAsia="宋体" w:cs="Times New Roman"/>
          <w:snapToGrid w:val="0"/>
          <w:color w:val="auto"/>
          <w:kern w:val="0"/>
          <w:sz w:val="24"/>
          <w:szCs w:val="24"/>
          <w:lang w:val="en-US" w:eastAsia="zh-CN"/>
        </w:rPr>
        <w:t>一用一备，</w:t>
      </w:r>
      <w:r>
        <w:rPr>
          <w:rFonts w:hint="default" w:ascii="Times New Roman" w:hAnsi="Times New Roman" w:eastAsia="宋体" w:cs="Times New Roman"/>
          <w:snapToGrid w:val="0"/>
          <w:color w:val="auto"/>
          <w:kern w:val="0"/>
          <w:sz w:val="24"/>
          <w:szCs w:val="24"/>
          <w:lang w:val="en-US" w:eastAsia="zh-CN"/>
        </w:rPr>
        <w:t>流量</w:t>
      </w:r>
      <w:r>
        <w:rPr>
          <w:rFonts w:hint="eastAsia"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vertAlign w:val="superscript"/>
          <w:lang w:val="en-US" w:eastAsia="zh-CN"/>
        </w:rPr>
        <w:t>3</w:t>
      </w:r>
      <w:r>
        <w:rPr>
          <w:rFonts w:hint="default" w:ascii="Times New Roman" w:hAnsi="Times New Roman" w:eastAsia="宋体" w:cs="Times New Roman"/>
          <w:snapToGrid w:val="0"/>
          <w:color w:val="auto"/>
          <w:kern w:val="0"/>
          <w:sz w:val="24"/>
          <w:szCs w:val="24"/>
          <w:lang w:val="en-US" w:eastAsia="zh-CN"/>
        </w:rPr>
        <w:t>/h，扬程</w:t>
      </w:r>
      <w:r>
        <w:rPr>
          <w:rFonts w:hint="eastAsia"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lang w:val="en-US" w:eastAsia="zh-CN"/>
        </w:rPr>
        <w:t>m，功率</w:t>
      </w:r>
      <w:r>
        <w:rPr>
          <w:rFonts w:hint="eastAsia" w:ascii="Times New Roman" w:hAnsi="Times New Roman" w:eastAsia="宋体" w:cs="Times New Roman"/>
          <w:snapToGrid w:val="0"/>
          <w:color w:val="auto"/>
          <w:kern w:val="0"/>
          <w:sz w:val="24"/>
          <w:szCs w:val="24"/>
          <w:lang w:val="en-US" w:eastAsia="zh-CN"/>
        </w:rPr>
        <w:t>55</w:t>
      </w:r>
      <w:r>
        <w:rPr>
          <w:rFonts w:hint="default" w:ascii="Times New Roman" w:hAnsi="Times New Roman" w:eastAsia="宋体" w:cs="Times New Roman"/>
          <w:snapToGrid w:val="0"/>
          <w:color w:val="auto"/>
          <w:kern w:val="0"/>
          <w:sz w:val="24"/>
          <w:szCs w:val="24"/>
          <w:lang w:val="en-US" w:eastAsia="zh-CN"/>
        </w:rPr>
        <w:t>0W。</w:t>
      </w:r>
    </w:p>
    <w:p w14:paraId="55BACE2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②浮球液位计0~5m，4~20mA。</w:t>
      </w:r>
    </w:p>
    <w:p w14:paraId="2FB1756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③电磁流量计，DN25,PN1.6MPa。</w:t>
      </w:r>
    </w:p>
    <w:p w14:paraId="75F0FC4F">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（4）其他</w:t>
      </w:r>
    </w:p>
    <w:p w14:paraId="5C4591ED">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主要功能：</w:t>
      </w:r>
    </w:p>
    <w:p w14:paraId="53763EC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5、工艺</w:t>
      </w:r>
      <w:r>
        <w:rPr>
          <w:rFonts w:hint="default" w:ascii="Times New Roman" w:hAnsi="Times New Roman" w:eastAsia="宋体" w:cs="Times New Roman"/>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管材与接口：本工程</w:t>
      </w:r>
      <w:r>
        <w:rPr>
          <w:rFonts w:hint="default" w:ascii="Times New Roman" w:hAnsi="Times New Roman" w:eastAsia="宋体" w:cs="Times New Roman"/>
          <w:color w:val="auto"/>
          <w:sz w:val="24"/>
          <w:szCs w:val="24"/>
          <w:lang w:val="en-US" w:eastAsia="zh-CN"/>
        </w:rPr>
        <w:t>工艺管道采用压力性PVC给水管，厂家配套的管件连接</w:t>
      </w:r>
      <w:r>
        <w:rPr>
          <w:rFonts w:hint="default" w:ascii="Times New Roman" w:hAnsi="Times New Roman" w:eastAsia="宋体" w:cs="Times New Roman"/>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管道基础</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一般采用大开挖埋设</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参见管道沟槽开挖与回填大样图</w:t>
      </w:r>
      <w:r>
        <w:rPr>
          <w:rFonts w:hint="default" w:ascii="Times New Roman" w:hAnsi="Times New Roman" w:eastAsia="宋体" w:cs="Times New Roman"/>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管道防腐</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6、</w:t>
      </w:r>
      <w:r>
        <w:rPr>
          <w:rFonts w:hint="default" w:ascii="Times New Roman" w:hAnsi="Times New Roman" w:eastAsia="宋体" w:cs="Times New Roman"/>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7、</w:t>
      </w:r>
      <w:r>
        <w:rPr>
          <w:rFonts w:hint="default" w:ascii="Times New Roman" w:hAnsi="Times New Roman" w:eastAsia="宋体" w:cs="Times New Roman"/>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考虑到格栅渠、</w:t>
      </w:r>
      <w:r>
        <w:rPr>
          <w:rFonts w:hint="default" w:ascii="Times New Roman" w:hAnsi="Times New Roman" w:eastAsia="宋体" w:cs="Times New Roman"/>
          <w:color w:val="auto"/>
          <w:sz w:val="24"/>
          <w:szCs w:val="24"/>
          <w:lang w:val="en-US" w:eastAsia="zh-CN"/>
        </w:rPr>
        <w:t>提升井</w:t>
      </w:r>
      <w:r>
        <w:rPr>
          <w:rFonts w:hint="default" w:ascii="Times New Roman" w:hAnsi="Times New Roman" w:eastAsia="宋体" w:cs="Times New Roman"/>
          <w:color w:val="auto"/>
          <w:sz w:val="24"/>
          <w:szCs w:val="24"/>
        </w:rPr>
        <w:t>的操作条件和确保操作人员安全，</w:t>
      </w:r>
      <w:r>
        <w:rPr>
          <w:rFonts w:hint="default" w:ascii="Times New Roman" w:hAnsi="Times New Roman" w:eastAsia="宋体" w:cs="Times New Roman"/>
          <w:color w:val="auto"/>
          <w:sz w:val="24"/>
          <w:szCs w:val="24"/>
          <w:lang w:val="en-US" w:eastAsia="zh-CN"/>
        </w:rPr>
        <w:t>在下井检修时应采用</w:t>
      </w:r>
      <w:r>
        <w:rPr>
          <w:rFonts w:hint="default" w:ascii="Times New Roman" w:hAnsi="Times New Roman" w:eastAsia="宋体" w:cs="Times New Roman"/>
          <w:color w:val="auto"/>
          <w:sz w:val="24"/>
          <w:szCs w:val="24"/>
        </w:rPr>
        <w:t>移动式</w:t>
      </w:r>
      <w:r>
        <w:rPr>
          <w:rFonts w:hint="default" w:ascii="Times New Roman" w:hAnsi="Times New Roman" w:eastAsia="宋体" w:cs="Times New Roman"/>
          <w:color w:val="auto"/>
          <w:sz w:val="24"/>
          <w:szCs w:val="24"/>
          <w:lang w:val="en-US" w:eastAsia="zh-CN"/>
        </w:rPr>
        <w:t>通风</w:t>
      </w:r>
      <w:r>
        <w:rPr>
          <w:rFonts w:hint="default" w:ascii="Times New Roman" w:hAnsi="Times New Roman" w:eastAsia="宋体" w:cs="Times New Roman"/>
          <w:color w:val="auto"/>
          <w:sz w:val="24"/>
          <w:szCs w:val="24"/>
        </w:rPr>
        <w:t>设备</w:t>
      </w:r>
      <w:r>
        <w:rPr>
          <w:rFonts w:hint="default" w:ascii="Times New Roman" w:hAnsi="Times New Roman" w:eastAsia="宋体" w:cs="Times New Roman"/>
          <w:color w:val="auto"/>
          <w:sz w:val="24"/>
          <w:szCs w:val="24"/>
          <w:lang w:val="en-US" w:eastAsia="zh-CN"/>
        </w:rPr>
        <w:t>并携带</w:t>
      </w:r>
      <w:r>
        <w:rPr>
          <w:rFonts w:hint="default" w:ascii="Times New Roman" w:hAnsi="Times New Roman" w:eastAsia="宋体" w:cs="Times New Roman"/>
          <w:color w:val="auto"/>
          <w:sz w:val="24"/>
          <w:szCs w:val="24"/>
        </w:rPr>
        <w:t>便携式有害气体检测和报警装置，</w:t>
      </w:r>
      <w:r>
        <w:rPr>
          <w:rFonts w:hint="default" w:ascii="Times New Roman" w:hAnsi="Times New Roman" w:eastAsia="宋体" w:cs="Times New Roman"/>
          <w:color w:val="auto"/>
          <w:sz w:val="24"/>
          <w:szCs w:val="24"/>
          <w:lang w:val="en-US" w:eastAsia="zh-CN"/>
        </w:rPr>
        <w:t>确保安全的前提下下井操作</w:t>
      </w:r>
      <w:r>
        <w:rPr>
          <w:rFonts w:hint="default" w:ascii="Times New Roman" w:hAnsi="Times New Roman" w:eastAsia="宋体" w:cs="Times New Roman"/>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二</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电气</w:t>
      </w:r>
      <w:r>
        <w:rPr>
          <w:rFonts w:hint="default" w:ascii="Times New Roman" w:hAnsi="Times New Roman" w:eastAsia="宋体" w:cs="Times New Roman"/>
          <w:color w:val="auto"/>
          <w:sz w:val="24"/>
          <w:szCs w:val="24"/>
          <w:lang w:val="en-US" w:eastAsia="zh-CN"/>
        </w:rPr>
        <w:t>设计</w:t>
      </w:r>
    </w:p>
    <w:p w14:paraId="7944324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负荷计算</w:t>
      </w:r>
    </w:p>
    <w:p w14:paraId="08A41B3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根据《小城镇污水处理建设标准》，负荷等级均为三级负荷。负荷计算表详见下表：</w:t>
      </w:r>
    </w:p>
    <w:p w14:paraId="5083F129">
      <w:pPr>
        <w:pStyle w:val="71"/>
        <w:snapToGrid/>
        <w:ind w:firstLine="0" w:firstLineChars="0"/>
        <w:jc w:val="center"/>
        <w:rPr>
          <w:rFonts w:hint="default" w:ascii="Times New Roman" w:hAnsi="Times New Roman" w:eastAsia="宋体" w:cs="Times New Roman"/>
          <w:b/>
          <w:bCs/>
          <w:snapToGrid w:val="0"/>
          <w:color w:val="auto"/>
          <w:kern w:val="0"/>
        </w:rPr>
      </w:pPr>
      <w:r>
        <w:rPr>
          <w:rFonts w:hint="default" w:ascii="Times New Roman" w:hAnsi="Times New Roman" w:eastAsia="宋体" w:cs="Times New Roman"/>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序号</w:t>
            </w:r>
          </w:p>
        </w:tc>
        <w:tc>
          <w:tcPr>
            <w:tcW w:w="2000" w:type="pct"/>
          </w:tcPr>
          <w:p w14:paraId="5DEDF99D">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污水处理站规模</w:t>
            </w:r>
          </w:p>
        </w:tc>
        <w:tc>
          <w:tcPr>
            <w:tcW w:w="2279" w:type="pct"/>
          </w:tcPr>
          <w:p w14:paraId="1727CBFE">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default" w:ascii="Times New Roman" w:hAnsi="Times New Roman" w:eastAsia="宋体" w:cs="Times New Roman"/>
                <w:snapToGrid w:val="0"/>
                <w:color w:val="auto"/>
                <w:kern w:val="0"/>
                <w:lang w:eastAsia="zh-CN"/>
              </w:rPr>
            </w:pPr>
            <w:r>
              <w:rPr>
                <w:rFonts w:hint="default" w:ascii="Times New Roman" w:hAnsi="Times New Roman" w:eastAsia="宋体" w:cs="Times New Roman"/>
                <w:snapToGrid w:val="0"/>
                <w:color w:val="auto"/>
                <w:kern w:val="0"/>
                <w:lang w:val="en-US" w:eastAsia="zh-CN"/>
              </w:rPr>
              <w:t>1</w:t>
            </w:r>
          </w:p>
        </w:tc>
        <w:tc>
          <w:tcPr>
            <w:tcW w:w="2000" w:type="pct"/>
          </w:tcPr>
          <w:p w14:paraId="38E11FF6">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120</w:t>
            </w:r>
            <w:r>
              <w:rPr>
                <w:rFonts w:hint="default" w:ascii="Times New Roman" w:hAnsi="Times New Roman" w:eastAsia="宋体" w:cs="Times New Roman"/>
                <w:snapToGrid w:val="0"/>
                <w:color w:val="auto"/>
                <w:kern w:val="0"/>
              </w:rPr>
              <w:t>m</w:t>
            </w:r>
            <w:r>
              <w:rPr>
                <w:rFonts w:hint="default" w:ascii="Times New Roman" w:hAnsi="Times New Roman" w:eastAsia="宋体" w:cs="Times New Roman"/>
                <w:snapToGrid w:val="0"/>
                <w:color w:val="auto"/>
                <w:kern w:val="0"/>
                <w:vertAlign w:val="superscript"/>
              </w:rPr>
              <w:t>3</w:t>
            </w:r>
          </w:p>
        </w:tc>
        <w:tc>
          <w:tcPr>
            <w:tcW w:w="2279" w:type="pct"/>
          </w:tcPr>
          <w:p w14:paraId="18AFBF19">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2.70</w:t>
            </w:r>
            <w:r>
              <w:rPr>
                <w:rFonts w:hint="default" w:ascii="Times New Roman" w:hAnsi="Times New Roman" w:eastAsia="宋体" w:cs="Times New Roman"/>
                <w:snapToGrid w:val="0"/>
                <w:color w:val="auto"/>
                <w:kern w:val="0"/>
              </w:rPr>
              <w:t>kW</w:t>
            </w:r>
          </w:p>
        </w:tc>
      </w:tr>
    </w:tbl>
    <w:p w14:paraId="7754B50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供电电源</w:t>
      </w:r>
    </w:p>
    <w:p w14:paraId="76A3F0C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经过现场调查，本次设计污水处理站所处位置农村电网丰富，均能就近接入220V农村电网。</w:t>
      </w:r>
    </w:p>
    <w:p w14:paraId="76F9C57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供电设计</w:t>
      </w:r>
    </w:p>
    <w:p w14:paraId="6CC022E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本次设计项目均为一体化处理设备，成套设备包含工艺设备、设备控制柜、设备内部连接管道及线缆等附件均由工艺设备厂家成套提供并集成于</w:t>
      </w:r>
      <w:r>
        <w:rPr>
          <w:rFonts w:hint="default" w:ascii="Times New Roman" w:hAnsi="Times New Roman" w:eastAsia="宋体" w:cs="Times New Roman"/>
          <w:snapToGrid w:val="0"/>
          <w:color w:val="auto"/>
          <w:kern w:val="0"/>
          <w:lang w:val="en-US" w:eastAsia="zh-CN"/>
        </w:rPr>
        <w:t>设备</w:t>
      </w:r>
      <w:r>
        <w:rPr>
          <w:rFonts w:hint="default" w:ascii="Times New Roman" w:hAnsi="Times New Roman" w:eastAsia="宋体" w:cs="Times New Roman"/>
          <w:snapToGrid w:val="0"/>
          <w:color w:val="auto"/>
          <w:kern w:val="0"/>
        </w:rPr>
        <w:t>外壳内。本次设计仅需考虑外部电源接入。采用架空线路就近接入农村电网。</w:t>
      </w:r>
    </w:p>
    <w:p w14:paraId="73DC3D4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防雷接地</w:t>
      </w:r>
    </w:p>
    <w:p w14:paraId="1A734A1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（1）项目防雷接地、工作接地、保护接地、控制系统接地采用共用接地体方式，要求共用接地体接地电阻值不大于</w:t>
      </w: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欧姆，并于成套设备内采用等电位联接。</w:t>
      </w:r>
    </w:p>
    <w:p w14:paraId="4441F30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（3）处理站所有外露金属管道、金属器件均应与箱体接地网可靠连接。</w:t>
      </w:r>
    </w:p>
    <w:p w14:paraId="1E13DD5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5、</w:t>
      </w:r>
      <w:r>
        <w:rPr>
          <w:rFonts w:hint="default" w:ascii="Times New Roman" w:hAnsi="Times New Roman" w:eastAsia="宋体" w:cs="Times New Roman"/>
          <w:snapToGrid w:val="0"/>
          <w:color w:val="auto"/>
          <w:kern w:val="0"/>
        </w:rPr>
        <w:t>电气抗震</w:t>
      </w:r>
    </w:p>
    <w:p w14:paraId="2EF4C1A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配电箱（柜）的安装：</w:t>
      </w:r>
    </w:p>
    <w:p w14:paraId="6C28D22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配电箱（柜）内的元器件应考虑与支承结构间的相互作用，元器件之间采用软连接，接线处应做防震处理；</w:t>
      </w:r>
    </w:p>
    <w:p w14:paraId="4C750188">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配电箱（柜）面上的仪表应与柜体组装牢固。</w:t>
      </w:r>
    </w:p>
    <w:p w14:paraId="736F3F51">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配电导体应符合下列规定：</w:t>
      </w:r>
    </w:p>
    <w:p w14:paraId="4C2A62D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采用电缆或电线；</w:t>
      </w:r>
    </w:p>
    <w:p w14:paraId="5A84320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在电缆桥架、电缆槽盒内敷设的缆线在引进、引出和转弯处，应在长度上留有余量；</w:t>
      </w:r>
    </w:p>
    <w:p w14:paraId="00B90CA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接地线应采取防止地震时被切断的措施。</w:t>
      </w:r>
    </w:p>
    <w:p w14:paraId="5E18B95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电气管路敷设时应符合下列规定：</w:t>
      </w:r>
    </w:p>
    <w:p w14:paraId="3DAAAEA3">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金属导管、刚性塑料导管的直线段部分每隔30m应设置伸缩节。</w:t>
      </w:r>
    </w:p>
    <w:p w14:paraId="2454C426">
      <w:pPr>
        <w:pStyle w:val="71"/>
        <w:snapToGrid/>
        <w:ind w:firstLine="480"/>
        <w:rPr>
          <w:rFonts w:hint="default" w:ascii="Times New Roman" w:hAnsi="Times New Roman" w:eastAsia="宋体" w:cs="Times New Roman"/>
          <w:b/>
          <w:bCs/>
          <w:snapToGrid w:val="0"/>
          <w:color w:val="auto"/>
          <w:kern w:val="0"/>
          <w:lang w:val="en-US" w:eastAsia="zh-CN"/>
        </w:rPr>
      </w:pPr>
    </w:p>
    <w:p w14:paraId="6B37DEE0">
      <w:pPr>
        <w:pStyle w:val="71"/>
        <w:snapToGrid/>
        <w:ind w:firstLine="480"/>
        <w:rPr>
          <w:rFonts w:hint="default" w:ascii="Times New Roman" w:hAnsi="Times New Roman" w:eastAsia="宋体" w:cs="Times New Roman"/>
          <w:b/>
          <w:bCs/>
          <w:snapToGrid w:val="0"/>
          <w:color w:val="auto"/>
          <w:kern w:val="0"/>
        </w:rPr>
      </w:pPr>
      <w:r>
        <w:rPr>
          <w:rFonts w:hint="default" w:ascii="Times New Roman" w:hAnsi="Times New Roman" w:eastAsia="宋体" w:cs="Times New Roman"/>
          <w:b/>
          <w:bCs/>
          <w:snapToGrid w:val="0"/>
          <w:color w:val="auto"/>
          <w:kern w:val="0"/>
          <w:lang w:val="en-US" w:eastAsia="zh-CN"/>
        </w:rPr>
        <w:t>6、</w:t>
      </w:r>
      <w:r>
        <w:rPr>
          <w:rFonts w:hint="default" w:ascii="Times New Roman" w:hAnsi="Times New Roman" w:eastAsia="宋体" w:cs="Times New Roman"/>
          <w:b/>
          <w:bCs/>
          <w:snapToGrid w:val="0"/>
          <w:color w:val="auto"/>
          <w:kern w:val="0"/>
        </w:rPr>
        <w:t>其他</w:t>
      </w:r>
    </w:p>
    <w:p w14:paraId="18350DD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凡与施工有关而又未说明之处，参见国家标准图集施工，或与设计院协商解决。</w:t>
      </w:r>
    </w:p>
    <w:p w14:paraId="29754CE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电气设备及管线的安装应符合国家现行的电气装置安装工程施工及验收规范。</w:t>
      </w:r>
    </w:p>
    <w:p w14:paraId="59599832">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5</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6</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本工程应满足GB51348-2019，3.2.1、3.2.8、3.3.4、4.10.1、8.1.6、9.4.5、11.8.8、12.4.10、12.4.14、12.5.8、14.4.3、14.9.4条的要求。</w:t>
      </w:r>
    </w:p>
    <w:p w14:paraId="07DE065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7</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在施工时应严格执行GB50303-2015、GB50617-2010等施工及验收规范的要求。</w:t>
      </w:r>
    </w:p>
    <w:p w14:paraId="09DA197D">
      <w:pPr>
        <w:pStyle w:val="71"/>
        <w:snapToGrid/>
        <w:ind w:firstLine="480"/>
        <w:rPr>
          <w:rFonts w:hint="default" w:ascii="Times New Roman" w:hAnsi="Times New Roman" w:eastAsia="宋体" w:cs="Times New Roman"/>
          <w:snapToGrid w:val="0"/>
          <w:color w:val="auto"/>
          <w:kern w:val="0"/>
          <w:lang w:eastAsia="zh-CN"/>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8</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本工程在厂家深化设计及提供的配套系统和施工时应严格执行《城镇给水排水技术规范》GB50788-2012第7.1、7.3、7.4节</w:t>
      </w:r>
      <w:r>
        <w:rPr>
          <w:rFonts w:hint="default" w:ascii="Times New Roman" w:hAnsi="Times New Roman" w:eastAsia="宋体" w:cs="Times New Roman"/>
          <w:snapToGrid w:val="0"/>
          <w:color w:val="auto"/>
          <w:kern w:val="0"/>
          <w:lang w:eastAsia="zh-CN"/>
        </w:rPr>
        <w:t>。</w:t>
      </w:r>
    </w:p>
    <w:p w14:paraId="1E5EED35">
      <w:pPr>
        <w:pStyle w:val="71"/>
        <w:snapToGrid/>
        <w:ind w:firstLine="48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五、抗震论证专项说明</w:t>
      </w:r>
    </w:p>
    <w:p w14:paraId="698CBBA8">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一</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场地条件判断：根据地勘资料本项目所在地无不良地质构造，无液化土和软土地基等不良地质情况，适宜排水管道</w:t>
      </w:r>
      <w:r>
        <w:rPr>
          <w:rFonts w:hint="default" w:ascii="Times New Roman" w:hAnsi="Times New Roman" w:eastAsia="宋体" w:cs="Times New Roman"/>
          <w:snapToGrid w:val="0"/>
          <w:color w:val="auto"/>
          <w:kern w:val="0"/>
          <w:lang w:val="en-US" w:eastAsia="zh-CN"/>
        </w:rPr>
        <w:t>及污水站的</w:t>
      </w:r>
      <w:r>
        <w:rPr>
          <w:rFonts w:hint="default" w:ascii="Times New Roman" w:hAnsi="Times New Roman" w:eastAsia="宋体" w:cs="Times New Roman"/>
          <w:snapToGrid w:val="0"/>
          <w:color w:val="auto"/>
          <w:kern w:val="0"/>
        </w:rPr>
        <w:t>建设。</w:t>
      </w:r>
    </w:p>
    <w:p w14:paraId="34E1532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二</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本项目排水工程主要采用的管道结构及构造措施</w:t>
      </w:r>
    </w:p>
    <w:p w14:paraId="682BF23C">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本项目埋地污水管主要采用承插口连接，采用柔性接口方式，基础采用</w:t>
      </w:r>
      <w:r>
        <w:rPr>
          <w:rFonts w:hint="default" w:ascii="Times New Roman" w:hAnsi="Times New Roman" w:eastAsia="宋体" w:cs="Times New Roman"/>
          <w:snapToGrid w:val="0"/>
          <w:color w:val="auto"/>
          <w:kern w:val="0"/>
          <w:lang w:val="en-US" w:eastAsia="zh-CN"/>
        </w:rPr>
        <w:t>中粗砂</w:t>
      </w:r>
      <w:r>
        <w:rPr>
          <w:rFonts w:hint="default" w:ascii="Times New Roman" w:hAnsi="Times New Roman" w:eastAsia="宋体" w:cs="Times New Roman"/>
          <w:snapToGrid w:val="0"/>
          <w:color w:val="auto"/>
          <w:kern w:val="0"/>
        </w:rPr>
        <w:t>基础，附属构筑物为砖砌检查井。</w:t>
      </w:r>
    </w:p>
    <w:p w14:paraId="364B3A1C">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根据《室外给水排水和燃气热力工程抗震设计规范》(GB 50032</w:t>
      </w:r>
      <w:r>
        <w:rPr>
          <w:rFonts w:hint="default" w:ascii="Times New Roman" w:hAnsi="Times New Roman" w:eastAsia="宋体" w:cs="Times New Roman"/>
          <w:snapToGrid w:val="0"/>
          <w:color w:val="auto"/>
          <w:kern w:val="0"/>
          <w:lang w:val="en-US" w:eastAsia="zh-CN"/>
        </w:rPr>
        <w:t>-</w:t>
      </w:r>
      <w:r>
        <w:rPr>
          <w:rFonts w:hint="default" w:ascii="Times New Roman" w:hAnsi="Times New Roman" w:eastAsia="宋体" w:cs="Times New Roman"/>
          <w:snapToGrid w:val="0"/>
          <w:color w:val="auto"/>
          <w:kern w:val="0"/>
        </w:rPr>
        <w:t>2003)中10.1.4条的规定及抗震论证分析，本工程不对管道结构及检查井进行抗震验算。</w:t>
      </w:r>
    </w:p>
    <w:p w14:paraId="4CC4275B">
      <w:pP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br w:type="page"/>
      </w:r>
    </w:p>
    <w:p w14:paraId="121C377F">
      <w:pPr>
        <w:pStyle w:val="71"/>
        <w:snapToGrid/>
        <w:ind w:firstLine="48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六、“危大工·程”专项说明</w:t>
      </w:r>
    </w:p>
    <w:p w14:paraId="0F5AC6C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危险性分类</w:t>
            </w:r>
          </w:p>
        </w:tc>
        <w:tc>
          <w:tcPr>
            <w:tcW w:w="3119" w:type="dxa"/>
          </w:tcPr>
          <w:p w14:paraId="799A9D22">
            <w:pPr>
              <w:pStyle w:val="115"/>
              <w:spacing w:before="175"/>
              <w:ind w:left="718"/>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分部分项工程范围</w:t>
            </w:r>
          </w:p>
        </w:tc>
        <w:tc>
          <w:tcPr>
            <w:tcW w:w="2836" w:type="dxa"/>
          </w:tcPr>
          <w:p w14:paraId="640CF5B4">
            <w:pPr>
              <w:pStyle w:val="115"/>
              <w:spacing w:before="175"/>
              <w:ind w:left="470"/>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对应本工程范围识别</w:t>
            </w:r>
          </w:p>
        </w:tc>
        <w:tc>
          <w:tcPr>
            <w:tcW w:w="2693" w:type="dxa"/>
          </w:tcPr>
          <w:p w14:paraId="3EC4EF43">
            <w:pPr>
              <w:pStyle w:val="115"/>
              <w:spacing w:before="19"/>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对工程周边环境安全和工</w:t>
            </w:r>
          </w:p>
          <w:p w14:paraId="61C99744">
            <w:pPr>
              <w:pStyle w:val="115"/>
              <w:spacing w:before="43"/>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default" w:ascii="Times New Roman" w:hAnsi="Times New Roman" w:eastAsia="宋体" w:cs="Times New Roman"/>
                <w:color w:val="auto"/>
                <w:sz w:val="20"/>
              </w:rPr>
            </w:pPr>
          </w:p>
          <w:p w14:paraId="143A39B8">
            <w:pPr>
              <w:pStyle w:val="115"/>
              <w:rPr>
                <w:rFonts w:hint="default" w:ascii="Times New Roman" w:hAnsi="Times New Roman" w:eastAsia="宋体" w:cs="Times New Roman"/>
                <w:color w:val="auto"/>
                <w:sz w:val="20"/>
              </w:rPr>
            </w:pPr>
          </w:p>
          <w:p w14:paraId="1400E83F">
            <w:pPr>
              <w:pStyle w:val="115"/>
              <w:rPr>
                <w:rFonts w:hint="default" w:ascii="Times New Roman" w:hAnsi="Times New Roman" w:eastAsia="宋体" w:cs="Times New Roman"/>
                <w:color w:val="auto"/>
                <w:sz w:val="20"/>
              </w:rPr>
            </w:pPr>
          </w:p>
          <w:p w14:paraId="750E4CC0">
            <w:pPr>
              <w:pStyle w:val="115"/>
              <w:spacing w:before="1"/>
              <w:rPr>
                <w:rFonts w:hint="default" w:ascii="Times New Roman" w:hAnsi="Times New Roman" w:eastAsia="宋体" w:cs="Times New Roman"/>
                <w:color w:val="auto"/>
                <w:sz w:val="29"/>
              </w:rPr>
            </w:pPr>
          </w:p>
          <w:p w14:paraId="301C5718">
            <w:pPr>
              <w:pStyle w:val="115"/>
              <w:spacing w:before="1" w:line="278" w:lineRule="auto"/>
              <w:ind w:left="165" w:right="151"/>
              <w:jc w:val="both"/>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危险性较大的分部分项工程范围</w:t>
            </w:r>
          </w:p>
        </w:tc>
        <w:tc>
          <w:tcPr>
            <w:tcW w:w="3119" w:type="dxa"/>
          </w:tcPr>
          <w:p w14:paraId="5CF59CAA">
            <w:pPr>
              <w:pStyle w:val="115"/>
              <w:spacing w:before="9"/>
              <w:rPr>
                <w:rFonts w:hint="default" w:ascii="Times New Roman" w:hAnsi="Times New Roman" w:eastAsia="宋体" w:cs="Times New Roman"/>
                <w:color w:val="auto"/>
                <w:sz w:val="15"/>
              </w:rPr>
            </w:pPr>
          </w:p>
          <w:p w14:paraId="2DA1CEB8">
            <w:pPr>
              <w:pStyle w:val="115"/>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土方开挖工程</w:t>
            </w:r>
          </w:p>
          <w:p w14:paraId="4229371A">
            <w:pPr>
              <w:pStyle w:val="115"/>
              <w:spacing w:before="43" w:line="278" w:lineRule="auto"/>
              <w:ind w:right="16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8"/>
                <w:sz w:val="21"/>
              </w:rPr>
              <w:t xml:space="preserve">开挖深度超过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27"/>
                <w:sz w:val="21"/>
              </w:rPr>
              <w:t xml:space="preserve">含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8"/>
                <w:sz w:val="21"/>
              </w:rPr>
              <w:t>的基</w:t>
            </w:r>
            <w:r>
              <w:rPr>
                <w:rFonts w:hint="default" w:ascii="Times New Roman" w:hAnsi="Times New Roman" w:eastAsia="宋体" w:cs="Times New Roman"/>
                <w:color w:val="auto"/>
                <w:sz w:val="21"/>
              </w:rPr>
              <w:t>坑（槽）的土方开挖工程。</w:t>
            </w:r>
          </w:p>
        </w:tc>
        <w:tc>
          <w:tcPr>
            <w:tcW w:w="2836" w:type="dxa"/>
          </w:tcPr>
          <w:p w14:paraId="59F437B3">
            <w:pPr>
              <w:pStyle w:val="115"/>
              <w:spacing w:before="9"/>
              <w:rPr>
                <w:rFonts w:hint="default" w:ascii="Times New Roman" w:hAnsi="Times New Roman" w:eastAsia="宋体" w:cs="Times New Roman"/>
                <w:color w:val="auto"/>
                <w:sz w:val="15"/>
              </w:rPr>
            </w:pPr>
          </w:p>
          <w:p w14:paraId="50B94A29">
            <w:pPr>
              <w:pStyle w:val="115"/>
              <w:spacing w:line="278" w:lineRule="auto"/>
              <w:ind w:left="107" w:right="-1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6"/>
                <w:sz w:val="21"/>
                <w:lang w:val="en-US" w:eastAsia="zh-CN"/>
              </w:rPr>
              <w:t>污水处理站</w:t>
            </w:r>
            <w:r>
              <w:rPr>
                <w:rFonts w:hint="default" w:ascii="Times New Roman" w:hAnsi="Times New Roman" w:eastAsia="宋体" w:cs="Times New Roman"/>
                <w:color w:val="auto"/>
                <w:spacing w:val="-6"/>
                <w:sz w:val="21"/>
              </w:rPr>
              <w:t xml:space="preserve">基坑开挖深度大于 </w:t>
            </w:r>
            <w:r>
              <w:rPr>
                <w:rFonts w:hint="default" w:ascii="Times New Roman" w:hAnsi="Times New Roman" w:eastAsia="宋体" w:cs="Times New Roman"/>
                <w:color w:val="auto"/>
                <w:sz w:val="21"/>
              </w:rPr>
              <w:t>3</w:t>
            </w:r>
            <w:r>
              <w:rPr>
                <w:rFonts w:hint="default" w:ascii="Times New Roman" w:hAnsi="Times New Roman" w:eastAsia="宋体" w:cs="Times New Roman"/>
                <w:color w:val="auto"/>
                <w:spacing w:val="-22"/>
                <w:sz w:val="21"/>
              </w:rPr>
              <w:t xml:space="preserve"> 米， </w:t>
            </w:r>
            <w:r>
              <w:rPr>
                <w:rFonts w:hint="default" w:ascii="Times New Roman" w:hAnsi="Times New Roman" w:eastAsia="宋体" w:cs="Times New Roman"/>
                <w:color w:val="auto"/>
                <w:sz w:val="21"/>
              </w:rPr>
              <w:t>且采用放坡开挖的管道沟</w:t>
            </w:r>
          </w:p>
          <w:p w14:paraId="4CF16BD5">
            <w:pPr>
              <w:pStyle w:val="115"/>
              <w:spacing w:line="269" w:lineRule="exact"/>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槽。</w:t>
            </w:r>
          </w:p>
        </w:tc>
        <w:tc>
          <w:tcPr>
            <w:tcW w:w="2693" w:type="dxa"/>
            <w:vMerge w:val="restart"/>
          </w:tcPr>
          <w:p w14:paraId="6D183558">
            <w:pPr>
              <w:pStyle w:val="115"/>
              <w:spacing w:before="9" w:line="310" w:lineRule="atLeast"/>
              <w:ind w:left="105" w:right="98" w:firstLine="4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施工单位应当在危大工程施工前组织工程技术</w:t>
            </w:r>
            <w:r>
              <w:rPr>
                <w:rFonts w:hint="default" w:ascii="Times New Roman" w:hAnsi="Times New Roman" w:eastAsia="宋体" w:cs="Times New Roman"/>
                <w:color w:val="auto"/>
                <w:spacing w:val="-5"/>
                <w:sz w:val="21"/>
              </w:rPr>
              <w:t>人员编制专项施工方案。此</w:t>
            </w:r>
            <w:r>
              <w:rPr>
                <w:rFonts w:hint="default" w:ascii="Times New Roman" w:hAnsi="Times New Roman" w:eastAsia="宋体" w:cs="Times New Roman"/>
                <w:color w:val="auto"/>
                <w:spacing w:val="-9"/>
                <w:sz w:val="21"/>
              </w:rPr>
              <w:t>外，还需严格遵循《市政工程施工组织设计规范》</w:t>
            </w:r>
            <w:r>
              <w:rPr>
                <w:rFonts w:hint="default" w:ascii="Times New Roman" w:hAnsi="Times New Roman" w:eastAsia="宋体" w:cs="Times New Roman"/>
                <w:color w:val="auto"/>
                <w:spacing w:val="-62"/>
                <w:sz w:val="21"/>
              </w:rPr>
              <w:t>、《城</w:t>
            </w:r>
            <w:r>
              <w:rPr>
                <w:rFonts w:hint="default" w:ascii="Times New Roman" w:hAnsi="Times New Roman" w:eastAsia="宋体" w:cs="Times New Roman"/>
                <w:color w:val="auto"/>
                <w:sz w:val="21"/>
              </w:rPr>
              <w:t>镇排水管道维护安全技术</w:t>
            </w:r>
            <w:r>
              <w:rPr>
                <w:rFonts w:hint="default" w:ascii="Times New Roman" w:hAnsi="Times New Roman" w:eastAsia="宋体" w:cs="Times New Roman"/>
                <w:color w:val="auto"/>
                <w:spacing w:val="-8"/>
                <w:sz w:val="21"/>
              </w:rPr>
              <w:t>规程》、《城镇排水管渠与泵站运行、维护及安全技术规程》以及国家现行相关法</w:t>
            </w:r>
            <w:r>
              <w:rPr>
                <w:rFonts w:hint="default" w:ascii="Times New Roman" w:hAnsi="Times New Roman" w:eastAsia="宋体" w:cs="Times New Roman"/>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default" w:ascii="Times New Roman" w:hAnsi="Times New Roman" w:eastAsia="宋体" w:cs="Times New Roman"/>
                <w:color w:val="auto"/>
                <w:sz w:val="2"/>
                <w:szCs w:val="2"/>
              </w:rPr>
            </w:pPr>
          </w:p>
        </w:tc>
        <w:tc>
          <w:tcPr>
            <w:tcW w:w="3119" w:type="dxa"/>
          </w:tcPr>
          <w:p w14:paraId="5F122CBB">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起重吊装及安装拆卸工程</w:t>
            </w:r>
          </w:p>
          <w:p w14:paraId="50E13B6E">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2"/>
                <w:sz w:val="21"/>
                <w:lang w:val="en-US" w:eastAsia="zh-CN"/>
              </w:rPr>
              <w:t>1.</w:t>
            </w:r>
            <w:r>
              <w:rPr>
                <w:rFonts w:hint="default" w:ascii="Times New Roman" w:hAnsi="Times New Roman" w:eastAsia="宋体" w:cs="Times New Roman"/>
                <w:color w:val="auto"/>
                <w:spacing w:val="-2"/>
                <w:sz w:val="21"/>
              </w:rPr>
              <w:t xml:space="preserve">采用非常规起重设备、方法， </w:t>
            </w:r>
            <w:r>
              <w:rPr>
                <w:rFonts w:hint="default" w:ascii="Times New Roman" w:hAnsi="Times New Roman" w:eastAsia="宋体" w:cs="Times New Roman"/>
                <w:color w:val="auto"/>
                <w:spacing w:val="-6"/>
                <w:sz w:val="21"/>
              </w:rPr>
              <w:t xml:space="preserve">且单件起吊重量在 </w:t>
            </w:r>
            <w:r>
              <w:rPr>
                <w:rFonts w:hint="default" w:ascii="Times New Roman" w:hAnsi="Times New Roman" w:eastAsia="宋体" w:cs="Times New Roman"/>
                <w:color w:val="auto"/>
                <w:sz w:val="21"/>
              </w:rPr>
              <w:t>10kN</w:t>
            </w:r>
            <w:r>
              <w:rPr>
                <w:rFonts w:hint="default" w:ascii="Times New Roman" w:hAnsi="Times New Roman" w:eastAsia="宋体" w:cs="Times New Roman"/>
                <w:color w:val="auto"/>
                <w:spacing w:val="-14"/>
                <w:sz w:val="21"/>
              </w:rPr>
              <w:t xml:space="preserve"> 及以上的起重吊装工程。</w:t>
            </w:r>
          </w:p>
          <w:p w14:paraId="6D724C81">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14"/>
                <w:sz w:val="21"/>
              </w:rPr>
              <w:t>2.采用起重机械进行安装的工程。</w:t>
            </w:r>
          </w:p>
          <w:p w14:paraId="226BDDD2">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3.起重机械设备自身的安装、拆</w:t>
            </w:r>
          </w:p>
          <w:p w14:paraId="280E5030">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z w:val="21"/>
              </w:rPr>
              <w:t>卸。</w:t>
            </w:r>
          </w:p>
        </w:tc>
        <w:tc>
          <w:tcPr>
            <w:tcW w:w="2836" w:type="dxa"/>
          </w:tcPr>
          <w:p w14:paraId="095249FA">
            <w:pPr>
              <w:pStyle w:val="115"/>
              <w:rPr>
                <w:rFonts w:hint="default" w:ascii="Times New Roman" w:hAnsi="Times New Roman" w:eastAsia="宋体" w:cs="Times New Roman"/>
                <w:color w:val="auto"/>
                <w:sz w:val="20"/>
              </w:rPr>
            </w:pPr>
          </w:p>
          <w:p w14:paraId="4AD431FD">
            <w:pPr>
              <w:pStyle w:val="115"/>
              <w:rPr>
                <w:rFonts w:hint="default" w:ascii="Times New Roman" w:hAnsi="Times New Roman" w:eastAsia="宋体" w:cs="Times New Roman"/>
                <w:color w:val="auto"/>
                <w:sz w:val="20"/>
              </w:rPr>
            </w:pPr>
          </w:p>
          <w:p w14:paraId="0D4B401E">
            <w:pPr>
              <w:pStyle w:val="115"/>
              <w:spacing w:before="5"/>
              <w:rPr>
                <w:rFonts w:hint="default" w:ascii="Times New Roman" w:hAnsi="Times New Roman" w:eastAsia="宋体" w:cs="Times New Roman"/>
                <w:color w:val="auto"/>
                <w:sz w:val="22"/>
              </w:rPr>
            </w:pPr>
          </w:p>
          <w:p w14:paraId="78A22D08">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整体设备吊装。</w:t>
            </w:r>
          </w:p>
        </w:tc>
        <w:tc>
          <w:tcPr>
            <w:tcW w:w="2693" w:type="dxa"/>
            <w:vMerge w:val="continue"/>
          </w:tcPr>
          <w:p w14:paraId="71CD96D0">
            <w:pPr>
              <w:rPr>
                <w:rFonts w:hint="default" w:ascii="Times New Roman" w:hAnsi="Times New Roman" w:eastAsia="宋体" w:cs="Times New Roman"/>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default" w:ascii="Times New Roman" w:hAnsi="Times New Roman" w:eastAsia="宋体" w:cs="Times New Roman"/>
                <w:color w:val="auto"/>
                <w:sz w:val="2"/>
                <w:szCs w:val="2"/>
              </w:rPr>
            </w:pPr>
          </w:p>
        </w:tc>
        <w:tc>
          <w:tcPr>
            <w:tcW w:w="3119" w:type="dxa"/>
          </w:tcPr>
          <w:p w14:paraId="5F67DC30">
            <w:pPr>
              <w:pStyle w:val="115"/>
              <w:spacing w:before="19"/>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模板工程及支撑体系</w:t>
            </w:r>
          </w:p>
          <w:p w14:paraId="4B09F323">
            <w:pPr>
              <w:pStyle w:val="115"/>
              <w:numPr>
                <w:ilvl w:val="0"/>
                <w:numId w:val="0"/>
              </w:numPr>
              <w:spacing w:before="2" w:line="310" w:lineRule="atLeast"/>
              <w:ind w:right="60" w:rightChars="0"/>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11"/>
                <w:sz w:val="21"/>
              </w:rPr>
              <w:t xml:space="preserve">搭设高度 </w:t>
            </w:r>
            <w:r>
              <w:rPr>
                <w:rFonts w:hint="default" w:ascii="Times New Roman" w:hAnsi="Times New Roman" w:eastAsia="宋体" w:cs="Times New Roman"/>
                <w:color w:val="auto"/>
                <w:sz w:val="21"/>
              </w:rPr>
              <w:t>5m</w:t>
            </w:r>
            <w:r>
              <w:rPr>
                <w:rFonts w:hint="default" w:ascii="Times New Roman" w:hAnsi="Times New Roman" w:eastAsia="宋体" w:cs="Times New Roman"/>
                <w:color w:val="auto"/>
                <w:spacing w:val="-9"/>
                <w:sz w:val="21"/>
              </w:rPr>
              <w:t xml:space="preserve"> 及以上的混凝土模</w:t>
            </w:r>
            <w:r>
              <w:rPr>
                <w:rFonts w:hint="default" w:ascii="Times New Roman" w:hAnsi="Times New Roman" w:eastAsia="宋体" w:cs="Times New Roman"/>
                <w:color w:val="auto"/>
                <w:sz w:val="21"/>
              </w:rPr>
              <w:t>板</w:t>
            </w:r>
          </w:p>
        </w:tc>
        <w:tc>
          <w:tcPr>
            <w:tcW w:w="2836" w:type="dxa"/>
          </w:tcPr>
          <w:p w14:paraId="1D8FED7B">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检查井、跌水井等构筑物的模板工程</w:t>
            </w:r>
          </w:p>
        </w:tc>
        <w:tc>
          <w:tcPr>
            <w:tcW w:w="2693" w:type="dxa"/>
            <w:vMerge w:val="continue"/>
          </w:tcPr>
          <w:p w14:paraId="577327B9">
            <w:pPr>
              <w:rPr>
                <w:rFonts w:hint="default" w:ascii="Times New Roman" w:hAnsi="Times New Roman" w:eastAsia="宋体" w:cs="Times New Roman"/>
                <w:color w:val="auto"/>
                <w:sz w:val="2"/>
                <w:szCs w:val="2"/>
              </w:rPr>
            </w:pPr>
          </w:p>
        </w:tc>
      </w:tr>
    </w:tbl>
    <w:p w14:paraId="7F3B287D">
      <w:pPr>
        <w:pStyle w:val="71"/>
        <w:snapToGrid/>
        <w:ind w:firstLine="480"/>
        <w:rPr>
          <w:rFonts w:hint="default" w:ascii="Times New Roman" w:hAnsi="Times New Roman" w:eastAsia="宋体" w:cs="Times New Roman"/>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bCs/>
        <w:snapToGrid w:val="0"/>
        <w:kern w:val="0"/>
        <w:sz w:val="21"/>
        <w:szCs w:val="21"/>
        <w:lang w:val="en-US" w:eastAsia="zh-CN"/>
      </w:rPr>
      <w:t>桂林市漓江干支流“消劣返清”项目（七星区周家村）</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EB6681"/>
    <w:rsid w:val="052238F1"/>
    <w:rsid w:val="05295E06"/>
    <w:rsid w:val="058A4BA6"/>
    <w:rsid w:val="06053772"/>
    <w:rsid w:val="067D42C5"/>
    <w:rsid w:val="06825BC8"/>
    <w:rsid w:val="07536EF0"/>
    <w:rsid w:val="07692A3F"/>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45776E"/>
    <w:rsid w:val="0B6E3E9B"/>
    <w:rsid w:val="0B8441A0"/>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2053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3250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E7611"/>
    <w:rsid w:val="31C33E28"/>
    <w:rsid w:val="31CD1F13"/>
    <w:rsid w:val="31CD6F8B"/>
    <w:rsid w:val="31E87920"/>
    <w:rsid w:val="326F1DF0"/>
    <w:rsid w:val="33AB19A1"/>
    <w:rsid w:val="33ED0FA4"/>
    <w:rsid w:val="349A34DB"/>
    <w:rsid w:val="34AC4971"/>
    <w:rsid w:val="350C0143"/>
    <w:rsid w:val="35167599"/>
    <w:rsid w:val="352A13FA"/>
    <w:rsid w:val="358856A2"/>
    <w:rsid w:val="358F6F80"/>
    <w:rsid w:val="35A2652B"/>
    <w:rsid w:val="35AA2525"/>
    <w:rsid w:val="36343134"/>
    <w:rsid w:val="36EE7787"/>
    <w:rsid w:val="373D6C80"/>
    <w:rsid w:val="37666470"/>
    <w:rsid w:val="379E4EE8"/>
    <w:rsid w:val="37DA2CD3"/>
    <w:rsid w:val="380940FC"/>
    <w:rsid w:val="385D35B3"/>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5BE5803"/>
    <w:rsid w:val="46607F75"/>
    <w:rsid w:val="46731A57"/>
    <w:rsid w:val="468E2DF0"/>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4F6418"/>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487BBF"/>
    <w:rsid w:val="657D3011"/>
    <w:rsid w:val="66A21CEA"/>
    <w:rsid w:val="66AE1BA0"/>
    <w:rsid w:val="66E04258"/>
    <w:rsid w:val="66F818FB"/>
    <w:rsid w:val="679C0226"/>
    <w:rsid w:val="67F30197"/>
    <w:rsid w:val="68255344"/>
    <w:rsid w:val="68D62580"/>
    <w:rsid w:val="68E34F08"/>
    <w:rsid w:val="69214FBE"/>
    <w:rsid w:val="694974FD"/>
    <w:rsid w:val="694E0D13"/>
    <w:rsid w:val="69E77B0D"/>
    <w:rsid w:val="69ED3B18"/>
    <w:rsid w:val="6A4D7BF3"/>
    <w:rsid w:val="6A53447E"/>
    <w:rsid w:val="6A9811DC"/>
    <w:rsid w:val="6AAE3F86"/>
    <w:rsid w:val="6AE52674"/>
    <w:rsid w:val="6B01589B"/>
    <w:rsid w:val="6B623CC4"/>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8D3B14"/>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857B6F"/>
    <w:rsid w:val="79CB2893"/>
    <w:rsid w:val="79CC7F63"/>
    <w:rsid w:val="79E11C7D"/>
    <w:rsid w:val="7A073617"/>
    <w:rsid w:val="7A173AE4"/>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7207</Words>
  <Characters>8342</Characters>
  <Lines>35</Lines>
  <Paragraphs>10</Paragraphs>
  <TotalTime>22</TotalTime>
  <ScaleCrop>false</ScaleCrop>
  <LinksUpToDate>false</LinksUpToDate>
  <CharactersWithSpaces>8385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WPS_1616481126</cp:lastModifiedBy>
  <cp:lastPrinted>2021-10-23T14:55:00Z</cp:lastPrinted>
  <dcterms:modified xsi:type="dcterms:W3CDTF">2025-11-01T08:13:12Z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eyJoZGlkIjoiY2Q5MTM3NzNkMDY4ZTFkZTU2NThmYjFiNGE5OThiMjUiLCJ1c2VySWQiOiIxMTg1NDg1NDU3In0=</vt:lpwstr>
  </property>
</Properties>
</file>