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7B85A7">
      <w:pPr>
        <w:keepNext w:val="0"/>
        <w:keepLines w:val="0"/>
        <w:pageBreakBefore w:val="0"/>
        <w:widowControl w:val="0"/>
        <w:kinsoku/>
        <w:wordWrap/>
        <w:overflowPunct/>
        <w:topLinePunct w:val="0"/>
        <w:autoSpaceDE/>
        <w:autoSpaceDN/>
        <w:bidi w:val="0"/>
        <w:adjustRightInd/>
        <w:snapToGrid/>
        <w:spacing w:before="312" w:beforeLines="100" w:after="156" w:afterLines="50" w:line="240" w:lineRule="auto"/>
        <w:jc w:val="center"/>
        <w:textAlignment w:val="auto"/>
        <w:rPr>
          <w:rFonts w:hint="eastAsia" w:ascii="宋体" w:hAnsi="宋体" w:eastAsia="宋体"/>
          <w:b/>
          <w:color w:val="auto"/>
          <w:sz w:val="72"/>
          <w:szCs w:val="72"/>
          <w:highlight w:val="none"/>
          <w:lang w:eastAsia="zh-CN"/>
        </w:rPr>
      </w:pPr>
      <w:bookmarkStart w:id="183" w:name="_GoBack"/>
      <w:r>
        <w:rPr>
          <w:rFonts w:hint="eastAsia" w:ascii="宋体" w:hAnsi="宋体"/>
          <w:b/>
          <w:color w:val="auto"/>
          <w:sz w:val="72"/>
          <w:szCs w:val="72"/>
          <w:highlight w:val="none"/>
          <w:lang w:eastAsia="zh-CN"/>
        </w:rPr>
        <w:t>广西达华工程造价咨询有限责任公司</w:t>
      </w:r>
    </w:p>
    <w:p w14:paraId="55225B08">
      <w:pPr>
        <w:pStyle w:val="18"/>
        <w:rPr>
          <w:rFonts w:hint="eastAsia"/>
          <w:color w:val="auto"/>
          <w:highlight w:val="none"/>
        </w:rPr>
      </w:pPr>
    </w:p>
    <w:p w14:paraId="48246E93">
      <w:pPr>
        <w:pStyle w:val="18"/>
        <w:rPr>
          <w:rFonts w:hint="eastAsia"/>
          <w:color w:val="auto"/>
          <w:highlight w:val="none"/>
        </w:rPr>
      </w:pPr>
    </w:p>
    <w:p w14:paraId="2D033C2B">
      <w:pPr>
        <w:pStyle w:val="18"/>
        <w:rPr>
          <w:rFonts w:hint="eastAsia"/>
          <w:color w:val="auto"/>
          <w:highlight w:val="none"/>
        </w:rPr>
      </w:pPr>
    </w:p>
    <w:p w14:paraId="695E47A1">
      <w:pPr>
        <w:spacing w:before="240" w:beforeLines="100" w:after="120" w:afterLines="50" w:line="600" w:lineRule="exact"/>
        <w:jc w:val="center"/>
        <w:rPr>
          <w:rFonts w:hint="eastAsia" w:ascii="宋体" w:hAnsi="宋体"/>
          <w:b/>
          <w:color w:val="auto"/>
          <w:sz w:val="84"/>
          <w:szCs w:val="84"/>
          <w:highlight w:val="none"/>
        </w:rPr>
      </w:pPr>
      <w:r>
        <w:rPr>
          <w:rFonts w:hint="eastAsia" w:ascii="宋体" w:hAnsi="宋体"/>
          <w:b/>
          <w:color w:val="auto"/>
          <w:sz w:val="84"/>
          <w:szCs w:val="84"/>
          <w:highlight w:val="none"/>
        </w:rPr>
        <w:t>招 标 文 件</w:t>
      </w:r>
    </w:p>
    <w:p w14:paraId="35F5DC25">
      <w:pPr>
        <w:pStyle w:val="18"/>
        <w:rPr>
          <w:rFonts w:hint="eastAsia"/>
          <w:color w:val="auto"/>
          <w:highlight w:val="none"/>
        </w:rPr>
      </w:pPr>
    </w:p>
    <w:p w14:paraId="5C3950BE">
      <w:pPr>
        <w:snapToGrid w:val="0"/>
        <w:spacing w:before="156" w:beforeLines="50" w:line="360" w:lineRule="auto"/>
        <w:jc w:val="center"/>
        <w:rPr>
          <w:rFonts w:hint="eastAsia" w:ascii="宋体" w:hAnsi="宋体"/>
          <w:b/>
          <w:color w:val="auto"/>
          <w:sz w:val="48"/>
          <w:szCs w:val="48"/>
          <w:highlight w:val="none"/>
        </w:rPr>
      </w:pPr>
      <w:r>
        <w:rPr>
          <w:rFonts w:hint="eastAsia" w:ascii="宋体" w:hAnsi="宋体"/>
          <w:b/>
          <w:color w:val="auto"/>
          <w:sz w:val="48"/>
          <w:szCs w:val="48"/>
          <w:highlight w:val="none"/>
        </w:rPr>
        <w:t>（全流程电子化采购）</w:t>
      </w:r>
    </w:p>
    <w:p w14:paraId="02C6FE29">
      <w:pPr>
        <w:snapToGrid w:val="0"/>
        <w:spacing w:line="360" w:lineRule="auto"/>
        <w:rPr>
          <w:rFonts w:hint="eastAsia" w:ascii="宋体" w:hAnsi="宋体"/>
          <w:color w:val="auto"/>
          <w:sz w:val="30"/>
          <w:szCs w:val="72"/>
          <w:highlight w:val="none"/>
        </w:rPr>
      </w:pPr>
    </w:p>
    <w:p w14:paraId="1A36D711">
      <w:pPr>
        <w:pStyle w:val="18"/>
        <w:rPr>
          <w:rFonts w:hint="eastAsia"/>
          <w:color w:val="auto"/>
          <w:highlight w:val="none"/>
        </w:rPr>
      </w:pPr>
    </w:p>
    <w:p w14:paraId="17A65202">
      <w:pPr>
        <w:pStyle w:val="18"/>
        <w:rPr>
          <w:rFonts w:hint="eastAsia"/>
          <w:color w:val="auto"/>
          <w:highlight w:val="none"/>
        </w:rPr>
      </w:pPr>
    </w:p>
    <w:p w14:paraId="51DF169C">
      <w:pPr>
        <w:pStyle w:val="18"/>
        <w:rPr>
          <w:rFonts w:hint="eastAsia"/>
          <w:color w:val="auto"/>
          <w:highlight w:val="none"/>
        </w:rPr>
      </w:pPr>
    </w:p>
    <w:p w14:paraId="5B5B077D">
      <w:pPr>
        <w:pStyle w:val="18"/>
        <w:rPr>
          <w:rFonts w:hint="eastAsia"/>
          <w:color w:val="auto"/>
          <w:highlight w:val="none"/>
        </w:rPr>
      </w:pPr>
    </w:p>
    <w:p w14:paraId="16AAE92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b/>
          <w:color w:val="auto"/>
          <w:sz w:val="32"/>
          <w:szCs w:val="32"/>
          <w:highlight w:val="none"/>
        </w:rPr>
      </w:pPr>
    </w:p>
    <w:p w14:paraId="5D6CE569">
      <w:pPr>
        <w:keepNext w:val="0"/>
        <w:keepLines w:val="0"/>
        <w:pageBreakBefore w:val="0"/>
        <w:widowControl w:val="0"/>
        <w:kinsoku/>
        <w:wordWrap/>
        <w:overflowPunct/>
        <w:topLinePunct w:val="0"/>
        <w:autoSpaceDE/>
        <w:autoSpaceDN/>
        <w:bidi w:val="0"/>
        <w:adjustRightInd/>
        <w:snapToGrid/>
        <w:spacing w:line="440" w:lineRule="exact"/>
        <w:ind w:left="2564" w:leftChars="456" w:hanging="1606" w:hangingChars="500"/>
        <w:textAlignment w:val="auto"/>
        <w:rPr>
          <w:rFonts w:hint="eastAsia" w:ascii="宋体" w:hAnsi="宋体" w:eastAsia="宋体" w:cs="Times New Roman"/>
          <w:b/>
          <w:color w:val="auto"/>
          <w:sz w:val="32"/>
          <w:szCs w:val="32"/>
          <w:highlight w:val="none"/>
          <w:lang w:eastAsia="zh-CN"/>
        </w:rPr>
      </w:pPr>
      <w:r>
        <w:rPr>
          <w:rFonts w:hint="eastAsia" w:ascii="宋体" w:hAnsi="宋体" w:eastAsia="宋体" w:cs="Times New Roman"/>
          <w:b/>
          <w:color w:val="auto"/>
          <w:sz w:val="32"/>
          <w:szCs w:val="32"/>
          <w:highlight w:val="none"/>
        </w:rPr>
        <w:t>项目名称：</w:t>
      </w:r>
      <w:r>
        <w:rPr>
          <w:rFonts w:hint="eastAsia" w:ascii="宋体" w:hAnsi="宋体" w:eastAsia="宋体" w:cs="Times New Roman"/>
          <w:b/>
          <w:color w:val="auto"/>
          <w:sz w:val="32"/>
          <w:szCs w:val="32"/>
          <w:highlight w:val="none"/>
          <w:lang w:eastAsia="zh-CN"/>
        </w:rPr>
        <w:t>2026-2028年市管城市照明设施维修养护服务采购项目</w:t>
      </w:r>
    </w:p>
    <w:p w14:paraId="4AEC8032">
      <w:pPr>
        <w:keepNext w:val="0"/>
        <w:keepLines w:val="0"/>
        <w:pageBreakBefore w:val="0"/>
        <w:widowControl w:val="0"/>
        <w:kinsoku/>
        <w:wordWrap/>
        <w:overflowPunct/>
        <w:topLinePunct w:val="0"/>
        <w:autoSpaceDE/>
        <w:autoSpaceDN/>
        <w:bidi w:val="0"/>
        <w:adjustRightInd/>
        <w:snapToGrid/>
        <w:spacing w:line="440" w:lineRule="exact"/>
        <w:ind w:firstLine="1285" w:firstLineChars="400"/>
        <w:textAlignment w:val="auto"/>
        <w:rPr>
          <w:rFonts w:hint="eastAsia" w:ascii="宋体" w:hAnsi="宋体" w:eastAsia="宋体" w:cs="Times New Roman"/>
          <w:b/>
          <w:color w:val="auto"/>
          <w:sz w:val="32"/>
          <w:szCs w:val="32"/>
          <w:highlight w:val="none"/>
        </w:rPr>
      </w:pPr>
    </w:p>
    <w:p w14:paraId="59F744F4">
      <w:pPr>
        <w:keepNext w:val="0"/>
        <w:keepLines w:val="0"/>
        <w:pageBreakBefore w:val="0"/>
        <w:widowControl w:val="0"/>
        <w:kinsoku/>
        <w:wordWrap/>
        <w:overflowPunct/>
        <w:topLinePunct w:val="0"/>
        <w:autoSpaceDE/>
        <w:autoSpaceDN/>
        <w:bidi w:val="0"/>
        <w:adjustRightInd/>
        <w:snapToGrid/>
        <w:spacing w:line="440" w:lineRule="exact"/>
        <w:ind w:firstLine="964" w:firstLineChars="300"/>
        <w:textAlignment w:val="auto"/>
        <w:rPr>
          <w:rFonts w:hint="eastAsia" w:ascii="宋体" w:hAnsi="宋体" w:eastAsia="宋体" w:cs="Times New Roman"/>
          <w:b/>
          <w:color w:val="auto"/>
          <w:sz w:val="32"/>
          <w:szCs w:val="32"/>
          <w:highlight w:val="none"/>
          <w:lang w:eastAsia="zh-CN"/>
        </w:rPr>
      </w:pPr>
      <w:r>
        <w:rPr>
          <w:rFonts w:hint="eastAsia" w:ascii="宋体" w:hAnsi="宋体" w:eastAsia="宋体" w:cs="Times New Roman"/>
          <w:b/>
          <w:color w:val="auto"/>
          <w:sz w:val="32"/>
          <w:szCs w:val="32"/>
          <w:highlight w:val="none"/>
        </w:rPr>
        <w:t>项目编号：</w:t>
      </w:r>
      <w:r>
        <w:rPr>
          <w:rFonts w:hint="eastAsia" w:ascii="宋体" w:hAnsi="宋体" w:cs="Times New Roman"/>
          <w:b/>
          <w:color w:val="auto"/>
          <w:sz w:val="32"/>
          <w:szCs w:val="32"/>
          <w:highlight w:val="none"/>
          <w:lang w:eastAsia="zh-CN"/>
        </w:rPr>
        <w:t>FCZC2026-G3-990038-GXDH</w:t>
      </w:r>
    </w:p>
    <w:p w14:paraId="59572666">
      <w:pPr>
        <w:pStyle w:val="1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color w:val="auto"/>
          <w:highlight w:val="none"/>
        </w:rPr>
      </w:pPr>
    </w:p>
    <w:p w14:paraId="28F024F7">
      <w:pPr>
        <w:keepNext w:val="0"/>
        <w:keepLines w:val="0"/>
        <w:pageBreakBefore w:val="0"/>
        <w:widowControl w:val="0"/>
        <w:kinsoku/>
        <w:wordWrap/>
        <w:overflowPunct/>
        <w:topLinePunct w:val="0"/>
        <w:autoSpaceDE/>
        <w:autoSpaceDN/>
        <w:bidi w:val="0"/>
        <w:adjustRightInd/>
        <w:snapToGrid/>
        <w:spacing w:line="440" w:lineRule="exact"/>
        <w:ind w:firstLine="964" w:firstLineChars="300"/>
        <w:textAlignment w:val="auto"/>
        <w:rPr>
          <w:rFonts w:hint="eastAsia" w:ascii="宋体" w:hAnsi="宋体"/>
          <w:b/>
          <w:color w:val="auto"/>
          <w:sz w:val="32"/>
          <w:szCs w:val="32"/>
          <w:highlight w:val="none"/>
          <w:lang w:eastAsia="zh-CN"/>
        </w:rPr>
      </w:pPr>
      <w:r>
        <w:rPr>
          <w:rFonts w:hint="eastAsia" w:ascii="宋体" w:hAnsi="宋体"/>
          <w:b/>
          <w:color w:val="auto"/>
          <w:sz w:val="32"/>
          <w:szCs w:val="32"/>
          <w:highlight w:val="none"/>
        </w:rPr>
        <w:t>采购单位：</w:t>
      </w:r>
      <w:r>
        <w:rPr>
          <w:rFonts w:hint="eastAsia" w:ascii="宋体" w:hAnsi="宋体"/>
          <w:b/>
          <w:color w:val="auto"/>
          <w:sz w:val="32"/>
          <w:szCs w:val="32"/>
          <w:highlight w:val="none"/>
          <w:lang w:eastAsia="zh-CN"/>
        </w:rPr>
        <w:t>防城港市住房和城乡建设局</w:t>
      </w:r>
    </w:p>
    <w:p w14:paraId="08B262CC">
      <w:pPr>
        <w:pStyle w:val="2"/>
        <w:rPr>
          <w:rFonts w:hint="eastAsia"/>
          <w:color w:val="auto"/>
          <w:highlight w:val="none"/>
          <w:lang w:eastAsia="zh-CN"/>
        </w:rPr>
      </w:pPr>
    </w:p>
    <w:p w14:paraId="60F76931">
      <w:pPr>
        <w:keepNext w:val="0"/>
        <w:keepLines w:val="0"/>
        <w:pageBreakBefore w:val="0"/>
        <w:widowControl w:val="0"/>
        <w:kinsoku/>
        <w:wordWrap/>
        <w:overflowPunct/>
        <w:topLinePunct w:val="0"/>
        <w:autoSpaceDE/>
        <w:autoSpaceDN/>
        <w:bidi w:val="0"/>
        <w:adjustRightInd/>
        <w:snapToGrid/>
        <w:spacing w:line="440" w:lineRule="exact"/>
        <w:ind w:firstLine="964" w:firstLineChars="300"/>
        <w:textAlignment w:val="auto"/>
        <w:rPr>
          <w:rFonts w:hint="eastAsia" w:ascii="宋体" w:hAnsi="宋体" w:eastAsia="宋体"/>
          <w:b/>
          <w:color w:val="auto"/>
          <w:sz w:val="32"/>
          <w:szCs w:val="32"/>
          <w:highlight w:val="none"/>
          <w:lang w:eastAsia="zh-CN"/>
        </w:rPr>
      </w:pPr>
      <w:r>
        <w:rPr>
          <w:rFonts w:hint="eastAsia" w:ascii="宋体" w:hAnsi="宋体"/>
          <w:b/>
          <w:color w:val="auto"/>
          <w:sz w:val="32"/>
          <w:szCs w:val="32"/>
          <w:highlight w:val="none"/>
        </w:rPr>
        <w:t>采购代理机构：</w:t>
      </w:r>
      <w:r>
        <w:rPr>
          <w:rFonts w:hint="eastAsia" w:ascii="宋体" w:hAnsi="宋体"/>
          <w:b/>
          <w:color w:val="auto"/>
          <w:sz w:val="32"/>
          <w:szCs w:val="32"/>
          <w:highlight w:val="none"/>
          <w:lang w:eastAsia="zh-CN"/>
        </w:rPr>
        <w:t>广西达华工程造价咨询有限责任公司</w:t>
      </w:r>
    </w:p>
    <w:p w14:paraId="4700D9B1">
      <w:pPr>
        <w:spacing w:line="400" w:lineRule="exact"/>
        <w:ind w:firstLine="1285" w:firstLineChars="400"/>
        <w:rPr>
          <w:rFonts w:hint="eastAsia" w:ascii="宋体" w:hAnsi="宋体"/>
          <w:b/>
          <w:color w:val="auto"/>
          <w:sz w:val="32"/>
          <w:szCs w:val="32"/>
          <w:highlight w:val="none"/>
        </w:rPr>
      </w:pPr>
    </w:p>
    <w:p w14:paraId="7BE6D503">
      <w:pPr>
        <w:spacing w:line="40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 xml:space="preserve">   202</w:t>
      </w:r>
      <w:r>
        <w:rPr>
          <w:rFonts w:hint="eastAsia" w:ascii="宋体" w:hAnsi="宋体"/>
          <w:b/>
          <w:color w:val="auto"/>
          <w:sz w:val="32"/>
          <w:szCs w:val="32"/>
          <w:highlight w:val="none"/>
          <w:lang w:val="en-US" w:eastAsia="zh-CN"/>
        </w:rPr>
        <w:t>6</w:t>
      </w:r>
      <w:r>
        <w:rPr>
          <w:rFonts w:hint="eastAsia" w:ascii="宋体" w:hAnsi="宋体"/>
          <w:b/>
          <w:color w:val="auto"/>
          <w:sz w:val="32"/>
          <w:szCs w:val="32"/>
          <w:highlight w:val="none"/>
        </w:rPr>
        <w:t>年</w:t>
      </w:r>
      <w:r>
        <w:rPr>
          <w:rFonts w:hint="eastAsia" w:ascii="宋体" w:hAnsi="宋体"/>
          <w:b/>
          <w:color w:val="auto"/>
          <w:sz w:val="32"/>
          <w:szCs w:val="32"/>
          <w:highlight w:val="none"/>
          <w:lang w:val="en-US" w:eastAsia="zh-CN"/>
        </w:rPr>
        <w:t>4</w:t>
      </w:r>
      <w:r>
        <w:rPr>
          <w:rFonts w:hint="eastAsia" w:ascii="宋体" w:hAnsi="宋体"/>
          <w:b/>
          <w:color w:val="auto"/>
          <w:sz w:val="32"/>
          <w:szCs w:val="32"/>
          <w:highlight w:val="none"/>
        </w:rPr>
        <w:t>月</w:t>
      </w:r>
    </w:p>
    <w:p w14:paraId="1E583EC6">
      <w:pPr>
        <w:pStyle w:val="18"/>
        <w:rPr>
          <w:rFonts w:hint="eastAsia"/>
          <w:color w:val="auto"/>
          <w:highlight w:val="none"/>
        </w:rPr>
      </w:pPr>
    </w:p>
    <w:p w14:paraId="24EDC41A">
      <w:pPr>
        <w:pStyle w:val="25"/>
        <w:spacing w:before="120" w:after="120" w:line="360" w:lineRule="auto"/>
        <w:jc w:val="center"/>
        <w:rPr>
          <w:rFonts w:hint="eastAsia" w:hAnsi="宋体"/>
          <w:b/>
          <w:color w:val="auto"/>
          <w:sz w:val="44"/>
          <w:szCs w:val="44"/>
          <w:highlight w:val="none"/>
        </w:rPr>
      </w:pPr>
      <w:r>
        <w:rPr>
          <w:rFonts w:hint="eastAsia" w:hAnsi="宋体"/>
          <w:b/>
          <w:color w:val="auto"/>
          <w:sz w:val="44"/>
          <w:szCs w:val="44"/>
          <w:highlight w:val="none"/>
        </w:rPr>
        <w:t>目  录</w:t>
      </w:r>
    </w:p>
    <w:p w14:paraId="6790B1EE">
      <w:pPr>
        <w:pStyle w:val="33"/>
        <w:rPr>
          <w:rFonts w:ascii="Calibri" w:hAnsi="Calibri"/>
          <w:b w:val="0"/>
          <w:bCs w:val="0"/>
          <w:caps w:val="0"/>
          <w:color w:val="auto"/>
          <w:sz w:val="21"/>
          <w:szCs w:val="22"/>
          <w:highlight w:val="none"/>
          <w:lang w:val="en-US" w:eastAsia="zh-CN"/>
        </w:rPr>
      </w:pPr>
      <w:r>
        <w:rPr>
          <w:b w:val="0"/>
          <w:color w:val="auto"/>
          <w:highlight w:val="none"/>
        </w:rPr>
        <w:fldChar w:fldCharType="begin"/>
      </w:r>
      <w:r>
        <w:rPr>
          <w:b w:val="0"/>
          <w:color w:val="auto"/>
          <w:highlight w:val="none"/>
        </w:rPr>
        <w:instrText xml:space="preserve"> </w:instrText>
      </w:r>
      <w:r>
        <w:rPr>
          <w:rFonts w:hint="eastAsia"/>
          <w:b w:val="0"/>
          <w:color w:val="auto"/>
          <w:highlight w:val="none"/>
        </w:rPr>
        <w:instrText xml:space="preserve">TOC \o "1-2" \h \z \u</w:instrText>
      </w:r>
      <w:r>
        <w:rPr>
          <w:b w:val="0"/>
          <w:color w:val="auto"/>
          <w:highlight w:val="none"/>
        </w:rPr>
        <w:instrText xml:space="preserve"> </w:instrText>
      </w:r>
      <w:r>
        <w:rPr>
          <w:b w:val="0"/>
          <w:color w:val="auto"/>
          <w:highlight w:val="none"/>
        </w:rPr>
        <w:fldChar w:fldCharType="separate"/>
      </w:r>
      <w:r>
        <w:rPr>
          <w:color w:val="auto"/>
          <w:highlight w:val="none"/>
        </w:rPr>
        <w:fldChar w:fldCharType="begin"/>
      </w:r>
      <w:r>
        <w:rPr>
          <w:color w:val="auto"/>
          <w:highlight w:val="none"/>
        </w:rPr>
        <w:instrText xml:space="preserve"> HYPERLINK \l "_Toc121503195" </w:instrText>
      </w:r>
      <w:r>
        <w:rPr>
          <w:color w:val="auto"/>
          <w:highlight w:val="none"/>
        </w:rPr>
        <w:fldChar w:fldCharType="separate"/>
      </w:r>
      <w:r>
        <w:rPr>
          <w:rStyle w:val="55"/>
          <w:rFonts w:hint="eastAsia"/>
          <w:color w:val="auto"/>
          <w:highlight w:val="none"/>
        </w:rPr>
        <w:t>第一章</w:t>
      </w:r>
      <w:r>
        <w:rPr>
          <w:rStyle w:val="55"/>
          <w:color w:val="auto"/>
          <w:highlight w:val="none"/>
        </w:rPr>
        <w:t xml:space="preserve"> </w:t>
      </w:r>
      <w:r>
        <w:rPr>
          <w:rStyle w:val="55"/>
          <w:rFonts w:hint="eastAsia"/>
          <w:color w:val="auto"/>
          <w:highlight w:val="none"/>
        </w:rPr>
        <w:t>招标公告</w:t>
      </w:r>
      <w:r>
        <w:rPr>
          <w:color w:val="auto"/>
          <w:highlight w:val="none"/>
        </w:rPr>
        <w:tab/>
      </w:r>
      <w:r>
        <w:rPr>
          <w:rFonts w:hint="eastAsia"/>
          <w:color w:val="auto"/>
          <w:highlight w:val="none"/>
          <w:lang w:val="en-US" w:eastAsia="zh-CN"/>
        </w:rPr>
        <w:t>3</w:t>
      </w:r>
      <w:r>
        <w:rPr>
          <w:color w:val="auto"/>
          <w:highlight w:val="none"/>
        </w:rPr>
        <w:fldChar w:fldCharType="end"/>
      </w:r>
    </w:p>
    <w:p w14:paraId="6F8BEA11">
      <w:pPr>
        <w:pStyle w:val="33"/>
        <w:ind w:firstLine="241"/>
        <w:rPr>
          <w:rFonts w:ascii="Calibri" w:hAnsi="Calibri"/>
          <w:b w:val="0"/>
          <w:bCs w:val="0"/>
          <w:caps w:val="0"/>
          <w:color w:val="auto"/>
          <w:sz w:val="21"/>
          <w:szCs w:val="22"/>
          <w:highlight w:val="none"/>
          <w:lang w:val="en-US" w:eastAsia="zh-CN"/>
        </w:rPr>
      </w:pPr>
      <w:r>
        <w:rPr>
          <w:color w:val="auto"/>
          <w:highlight w:val="none"/>
        </w:rPr>
        <w:fldChar w:fldCharType="begin"/>
      </w:r>
      <w:r>
        <w:rPr>
          <w:color w:val="auto"/>
          <w:highlight w:val="none"/>
        </w:rPr>
        <w:instrText xml:space="preserve"> HYPERLINK \l "_Toc121503196" </w:instrText>
      </w:r>
      <w:r>
        <w:rPr>
          <w:color w:val="auto"/>
          <w:highlight w:val="none"/>
        </w:rPr>
        <w:fldChar w:fldCharType="separate"/>
      </w:r>
      <w:r>
        <w:rPr>
          <w:rStyle w:val="55"/>
          <w:rFonts w:hint="eastAsia"/>
          <w:color w:val="auto"/>
          <w:highlight w:val="none"/>
        </w:rPr>
        <w:t>第二章</w:t>
      </w:r>
      <w:r>
        <w:rPr>
          <w:rStyle w:val="55"/>
          <w:color w:val="auto"/>
          <w:highlight w:val="none"/>
        </w:rPr>
        <w:t xml:space="preserve">  </w:t>
      </w:r>
      <w:r>
        <w:rPr>
          <w:rStyle w:val="55"/>
          <w:rFonts w:hint="eastAsia"/>
          <w:color w:val="auto"/>
          <w:highlight w:val="none"/>
        </w:rPr>
        <w:t>采购需求</w:t>
      </w:r>
      <w:r>
        <w:rPr>
          <w:color w:val="auto"/>
          <w:highlight w:val="none"/>
        </w:rPr>
        <w:tab/>
      </w:r>
      <w:r>
        <w:rPr>
          <w:rFonts w:hint="eastAsia"/>
          <w:color w:val="auto"/>
          <w:highlight w:val="none"/>
          <w:lang w:val="en-US" w:eastAsia="zh-CN"/>
        </w:rPr>
        <w:t>7</w:t>
      </w:r>
      <w:r>
        <w:rPr>
          <w:color w:val="auto"/>
          <w:highlight w:val="none"/>
        </w:rPr>
        <w:fldChar w:fldCharType="end"/>
      </w:r>
    </w:p>
    <w:p w14:paraId="6D29C7F1">
      <w:pPr>
        <w:pStyle w:val="33"/>
        <w:ind w:firstLine="241"/>
        <w:rPr>
          <w:rFonts w:hint="eastAsia" w:ascii="Calibri" w:hAnsi="Calibri" w:eastAsia="宋体"/>
          <w:b w:val="0"/>
          <w:bCs w:val="0"/>
          <w:caps w:val="0"/>
          <w:color w:val="auto"/>
          <w:sz w:val="21"/>
          <w:szCs w:val="22"/>
          <w:highlight w:val="none"/>
          <w:lang w:val="en-US" w:eastAsia="zh-CN"/>
        </w:rPr>
      </w:pPr>
      <w:r>
        <w:rPr>
          <w:color w:val="auto"/>
          <w:highlight w:val="none"/>
        </w:rPr>
        <w:fldChar w:fldCharType="begin"/>
      </w:r>
      <w:r>
        <w:rPr>
          <w:color w:val="auto"/>
          <w:highlight w:val="none"/>
        </w:rPr>
        <w:instrText xml:space="preserve"> HYPERLINK \l "_Toc121503213" </w:instrText>
      </w:r>
      <w:r>
        <w:rPr>
          <w:color w:val="auto"/>
          <w:highlight w:val="none"/>
        </w:rPr>
        <w:fldChar w:fldCharType="separate"/>
      </w:r>
      <w:r>
        <w:rPr>
          <w:rStyle w:val="55"/>
          <w:rFonts w:hint="eastAsia"/>
          <w:color w:val="auto"/>
          <w:highlight w:val="none"/>
        </w:rPr>
        <w:t>第三章</w:t>
      </w:r>
      <w:r>
        <w:rPr>
          <w:rStyle w:val="55"/>
          <w:color w:val="auto"/>
          <w:highlight w:val="none"/>
        </w:rPr>
        <w:t xml:space="preserve">  </w:t>
      </w:r>
      <w:r>
        <w:rPr>
          <w:rStyle w:val="55"/>
          <w:rFonts w:hint="eastAsia"/>
          <w:color w:val="auto"/>
          <w:highlight w:val="none"/>
        </w:rPr>
        <w:t>投标人须知</w:t>
      </w:r>
      <w:r>
        <w:rPr>
          <w:color w:val="auto"/>
          <w:highlight w:val="none"/>
        </w:rPr>
        <w:tab/>
      </w:r>
      <w:r>
        <w:rPr>
          <w:rFonts w:hint="eastAsia"/>
          <w:color w:val="auto"/>
          <w:highlight w:val="none"/>
          <w:lang w:val="en-US" w:eastAsia="zh-CN"/>
        </w:rPr>
        <w:t>2</w:t>
      </w:r>
      <w:r>
        <w:rPr>
          <w:color w:val="auto"/>
          <w:highlight w:val="none"/>
        </w:rPr>
        <w:fldChar w:fldCharType="end"/>
      </w:r>
      <w:r>
        <w:rPr>
          <w:rFonts w:hint="eastAsia"/>
          <w:color w:val="auto"/>
          <w:highlight w:val="none"/>
          <w:lang w:val="en-US" w:eastAsia="zh-CN"/>
        </w:rPr>
        <w:t>6</w:t>
      </w:r>
    </w:p>
    <w:p w14:paraId="7A84DABA">
      <w:pPr>
        <w:pStyle w:val="33"/>
        <w:ind w:firstLine="241"/>
        <w:rPr>
          <w:rFonts w:hint="eastAsia" w:ascii="Calibri" w:hAnsi="Calibri" w:eastAsia="宋体"/>
          <w:b w:val="0"/>
          <w:bCs w:val="0"/>
          <w:caps w:val="0"/>
          <w:color w:val="auto"/>
          <w:sz w:val="21"/>
          <w:szCs w:val="22"/>
          <w:highlight w:val="none"/>
          <w:lang w:val="en-US" w:eastAsia="zh-CN"/>
        </w:rPr>
      </w:pPr>
      <w:r>
        <w:rPr>
          <w:color w:val="auto"/>
          <w:highlight w:val="none"/>
        </w:rPr>
        <w:fldChar w:fldCharType="begin"/>
      </w:r>
      <w:r>
        <w:rPr>
          <w:color w:val="auto"/>
          <w:highlight w:val="none"/>
        </w:rPr>
        <w:instrText xml:space="preserve"> HYPERLINK \l "_Toc121503214" </w:instrText>
      </w:r>
      <w:r>
        <w:rPr>
          <w:color w:val="auto"/>
          <w:highlight w:val="none"/>
        </w:rPr>
        <w:fldChar w:fldCharType="separate"/>
      </w:r>
      <w:r>
        <w:rPr>
          <w:rStyle w:val="55"/>
          <w:rFonts w:hint="eastAsia"/>
          <w:color w:val="auto"/>
          <w:highlight w:val="none"/>
        </w:rPr>
        <w:t>第四章</w:t>
      </w:r>
      <w:r>
        <w:rPr>
          <w:rStyle w:val="55"/>
          <w:color w:val="auto"/>
          <w:highlight w:val="none"/>
        </w:rPr>
        <w:t xml:space="preserve">  </w:t>
      </w:r>
      <w:r>
        <w:rPr>
          <w:rStyle w:val="55"/>
          <w:rFonts w:hint="eastAsia"/>
          <w:color w:val="auto"/>
          <w:highlight w:val="none"/>
        </w:rPr>
        <w:t>评标方法及评标标准</w:t>
      </w:r>
      <w:r>
        <w:rPr>
          <w:color w:val="auto"/>
          <w:highlight w:val="none"/>
        </w:rPr>
        <w:tab/>
      </w:r>
      <w:r>
        <w:rPr>
          <w:rFonts w:hint="eastAsia"/>
          <w:color w:val="auto"/>
          <w:highlight w:val="none"/>
          <w:lang w:val="en-US" w:eastAsia="zh-CN"/>
        </w:rPr>
        <w:t>4</w:t>
      </w:r>
      <w:r>
        <w:rPr>
          <w:color w:val="auto"/>
          <w:highlight w:val="none"/>
        </w:rPr>
        <w:fldChar w:fldCharType="end"/>
      </w:r>
      <w:r>
        <w:rPr>
          <w:rFonts w:hint="eastAsia"/>
          <w:color w:val="auto"/>
          <w:highlight w:val="none"/>
          <w:lang w:val="en-US" w:eastAsia="zh-CN"/>
        </w:rPr>
        <w:t>2</w:t>
      </w:r>
    </w:p>
    <w:p w14:paraId="79A2EC21">
      <w:pPr>
        <w:pStyle w:val="33"/>
        <w:ind w:firstLine="241"/>
        <w:rPr>
          <w:rStyle w:val="55"/>
          <w:rFonts w:hint="eastAsia" w:eastAsia="宋体"/>
          <w:color w:val="auto"/>
          <w:highlight w:val="none"/>
          <w:lang w:val="en-US" w:eastAsia="zh-CN"/>
        </w:rPr>
      </w:pPr>
      <w:r>
        <w:rPr>
          <w:color w:val="auto"/>
          <w:highlight w:val="none"/>
        </w:rPr>
        <w:fldChar w:fldCharType="begin"/>
      </w:r>
      <w:r>
        <w:rPr>
          <w:color w:val="auto"/>
          <w:highlight w:val="none"/>
        </w:rPr>
        <w:instrText xml:space="preserve"> HYPERLINK \l "_Toc121503215" </w:instrText>
      </w:r>
      <w:r>
        <w:rPr>
          <w:color w:val="auto"/>
          <w:highlight w:val="none"/>
        </w:rPr>
        <w:fldChar w:fldCharType="separate"/>
      </w:r>
      <w:r>
        <w:rPr>
          <w:rStyle w:val="55"/>
          <w:rFonts w:hint="eastAsia"/>
          <w:color w:val="auto"/>
          <w:highlight w:val="none"/>
        </w:rPr>
        <w:t>第五章</w:t>
      </w:r>
      <w:r>
        <w:rPr>
          <w:rStyle w:val="55"/>
          <w:color w:val="auto"/>
          <w:highlight w:val="none"/>
        </w:rPr>
        <w:t xml:space="preserve">  </w:t>
      </w:r>
      <w:r>
        <w:rPr>
          <w:rStyle w:val="55"/>
          <w:rFonts w:hint="eastAsia"/>
          <w:color w:val="auto"/>
          <w:highlight w:val="none"/>
        </w:rPr>
        <w:t>拟签订的合同文本</w:t>
      </w:r>
      <w:r>
        <w:rPr>
          <w:rStyle w:val="55"/>
          <w:color w:val="auto"/>
          <w:highlight w:val="none"/>
        </w:rPr>
        <w:tab/>
      </w:r>
      <w:r>
        <w:rPr>
          <w:rStyle w:val="55"/>
          <w:rFonts w:hint="eastAsia"/>
          <w:color w:val="auto"/>
          <w:highlight w:val="none"/>
          <w:lang w:val="en-US" w:eastAsia="zh-CN"/>
        </w:rPr>
        <w:t>5</w:t>
      </w:r>
      <w:r>
        <w:rPr>
          <w:rStyle w:val="55"/>
          <w:color w:val="auto"/>
          <w:highlight w:val="none"/>
        </w:rPr>
        <w:fldChar w:fldCharType="end"/>
      </w:r>
      <w:r>
        <w:rPr>
          <w:rStyle w:val="55"/>
          <w:rFonts w:hint="eastAsia"/>
          <w:color w:val="auto"/>
          <w:highlight w:val="none"/>
          <w:lang w:val="en-US" w:eastAsia="zh-CN"/>
        </w:rPr>
        <w:t>1</w:t>
      </w:r>
    </w:p>
    <w:p w14:paraId="1E352D98">
      <w:pPr>
        <w:pStyle w:val="33"/>
        <w:ind w:firstLine="241"/>
        <w:rPr>
          <w:rFonts w:hint="eastAsia" w:ascii="Calibri" w:hAnsi="Calibri" w:eastAsia="宋体"/>
          <w:b w:val="0"/>
          <w:bCs w:val="0"/>
          <w:caps w:val="0"/>
          <w:color w:val="auto"/>
          <w:sz w:val="21"/>
          <w:szCs w:val="22"/>
          <w:highlight w:val="none"/>
          <w:lang w:val="en-US" w:eastAsia="zh-CN"/>
        </w:rPr>
      </w:pPr>
      <w:r>
        <w:rPr>
          <w:color w:val="auto"/>
          <w:highlight w:val="none"/>
        </w:rPr>
        <w:fldChar w:fldCharType="begin"/>
      </w:r>
      <w:r>
        <w:rPr>
          <w:color w:val="auto"/>
          <w:highlight w:val="none"/>
        </w:rPr>
        <w:instrText xml:space="preserve"> HYPERLINK \l "_Toc121503232" </w:instrText>
      </w:r>
      <w:r>
        <w:rPr>
          <w:color w:val="auto"/>
          <w:highlight w:val="none"/>
        </w:rPr>
        <w:fldChar w:fldCharType="separate"/>
      </w:r>
      <w:r>
        <w:rPr>
          <w:rStyle w:val="55"/>
          <w:rFonts w:hint="eastAsia"/>
          <w:color w:val="auto"/>
          <w:highlight w:val="none"/>
        </w:rPr>
        <w:t>第六章　投标文件格式</w:t>
      </w:r>
      <w:r>
        <w:rPr>
          <w:color w:val="auto"/>
          <w:highlight w:val="none"/>
        </w:rPr>
        <w:tab/>
      </w:r>
      <w:r>
        <w:rPr>
          <w:rFonts w:hint="eastAsia"/>
          <w:color w:val="auto"/>
          <w:highlight w:val="none"/>
          <w:lang w:val="en-US" w:eastAsia="zh-CN"/>
        </w:rPr>
        <w:t>6</w:t>
      </w:r>
      <w:r>
        <w:rPr>
          <w:color w:val="auto"/>
          <w:highlight w:val="none"/>
        </w:rPr>
        <w:fldChar w:fldCharType="end"/>
      </w:r>
      <w:r>
        <w:rPr>
          <w:rFonts w:hint="eastAsia"/>
          <w:color w:val="auto"/>
          <w:highlight w:val="none"/>
          <w:lang w:val="en-US" w:eastAsia="zh-CN"/>
        </w:rPr>
        <w:t>2</w:t>
      </w:r>
    </w:p>
    <w:p w14:paraId="46724370">
      <w:pPr>
        <w:spacing w:before="120" w:beforeLines="50" w:line="480" w:lineRule="exact"/>
        <w:rPr>
          <w:rFonts w:hint="eastAsia" w:ascii="宋体" w:hAnsi="宋体"/>
          <w:color w:val="auto"/>
          <w:sz w:val="24"/>
          <w:highlight w:val="none"/>
        </w:rPr>
      </w:pPr>
      <w:r>
        <w:rPr>
          <w:rFonts w:ascii="宋体" w:hAnsi="宋体"/>
          <w:b/>
          <w:color w:val="auto"/>
          <w:sz w:val="24"/>
          <w:highlight w:val="none"/>
        </w:rPr>
        <w:fldChar w:fldCharType="end"/>
      </w:r>
    </w:p>
    <w:p w14:paraId="2377F0ED">
      <w:pPr>
        <w:spacing w:before="120" w:beforeLines="50" w:line="480" w:lineRule="exact"/>
        <w:rPr>
          <w:rFonts w:hint="eastAsia" w:ascii="宋体" w:hAnsi="宋体"/>
          <w:color w:val="auto"/>
          <w:sz w:val="30"/>
          <w:highlight w:val="none"/>
        </w:rPr>
      </w:pPr>
    </w:p>
    <w:p w14:paraId="1AA56231">
      <w:pPr>
        <w:rPr>
          <w:rFonts w:hint="eastAsia" w:ascii="宋体" w:hAnsi="宋体"/>
          <w:color w:val="auto"/>
          <w:highlight w:val="none"/>
        </w:rPr>
      </w:pPr>
    </w:p>
    <w:p w14:paraId="063E20B8">
      <w:pPr>
        <w:spacing w:before="120" w:beforeLines="50" w:line="480" w:lineRule="exact"/>
        <w:rPr>
          <w:rFonts w:hint="eastAsia" w:ascii="宋体" w:hAnsi="宋体"/>
          <w:color w:val="auto"/>
          <w:sz w:val="30"/>
          <w:highlight w:val="none"/>
        </w:rPr>
      </w:pPr>
    </w:p>
    <w:p w14:paraId="2B8C35B4">
      <w:pPr>
        <w:spacing w:before="120" w:beforeLines="50" w:line="480" w:lineRule="exact"/>
        <w:rPr>
          <w:rFonts w:hint="eastAsia" w:ascii="宋体" w:hAnsi="宋体"/>
          <w:color w:val="auto"/>
          <w:sz w:val="30"/>
          <w:highlight w:val="none"/>
        </w:rPr>
      </w:pPr>
    </w:p>
    <w:p w14:paraId="032FE79A">
      <w:pPr>
        <w:pStyle w:val="16"/>
        <w:rPr>
          <w:rFonts w:hint="eastAsia" w:ascii="宋体" w:hAnsi="宋体" w:cs="宋体"/>
          <w:b/>
          <w:bCs/>
          <w:color w:val="auto"/>
          <w:highlight w:val="none"/>
        </w:rPr>
      </w:pPr>
      <w:bookmarkStart w:id="0" w:name="_Toc254970630"/>
      <w:bookmarkStart w:id="1" w:name="_Toc254970489"/>
    </w:p>
    <w:p w14:paraId="3E6C932C">
      <w:pPr>
        <w:pStyle w:val="3"/>
        <w:keepNext w:val="0"/>
        <w:keepLines w:val="0"/>
        <w:tabs>
          <w:tab w:val="left" w:pos="0"/>
          <w:tab w:val="left" w:pos="3165"/>
          <w:tab w:val="center" w:pos="4153"/>
        </w:tabs>
        <w:autoSpaceDE w:val="0"/>
        <w:autoSpaceDN w:val="0"/>
        <w:adjustRightInd w:val="0"/>
        <w:spacing w:before="0" w:after="0" w:line="360" w:lineRule="auto"/>
        <w:jc w:val="center"/>
        <w:rPr>
          <w:rFonts w:hint="eastAsia" w:ascii="宋体" w:hAnsi="宋体"/>
          <w:color w:val="auto"/>
          <w:highlight w:val="none"/>
        </w:rPr>
      </w:pPr>
      <w:r>
        <w:rPr>
          <w:rFonts w:ascii="宋体" w:hAnsi="宋体" w:cs="宋体"/>
          <w:b w:val="0"/>
          <w:bCs w:val="0"/>
          <w:color w:val="auto"/>
          <w:highlight w:val="none"/>
        </w:rPr>
        <w:br w:type="page"/>
      </w:r>
      <w:bookmarkStart w:id="2" w:name="_Toc121503195"/>
      <w:r>
        <w:rPr>
          <w:rFonts w:hint="eastAsia" w:ascii="宋体" w:hAnsi="宋体"/>
          <w:color w:val="auto"/>
          <w:highlight w:val="none"/>
        </w:rPr>
        <w:t>第一章</w:t>
      </w:r>
      <w:bookmarkEnd w:id="0"/>
      <w:bookmarkEnd w:id="1"/>
      <w:bookmarkStart w:id="3" w:name="_Toc35393789"/>
      <w:bookmarkStart w:id="4" w:name="_Toc28359001"/>
      <w:r>
        <w:rPr>
          <w:rFonts w:hint="eastAsia" w:ascii="宋体" w:hAnsi="宋体"/>
          <w:color w:val="auto"/>
          <w:highlight w:val="none"/>
        </w:rPr>
        <w:t xml:space="preserve"> 招标公告</w:t>
      </w:r>
      <w:bookmarkEnd w:id="2"/>
      <w:bookmarkEnd w:id="3"/>
      <w:bookmarkEnd w:id="4"/>
    </w:p>
    <w:p w14:paraId="0ABD3E72">
      <w:pPr>
        <w:spacing w:line="400" w:lineRule="exact"/>
        <w:jc w:val="center"/>
        <w:rPr>
          <w:rFonts w:hint="eastAsia" w:ascii="宋体" w:hAnsi="宋体"/>
          <w:b/>
          <w:color w:val="auto"/>
          <w:sz w:val="30"/>
          <w:szCs w:val="30"/>
          <w:highlight w:val="none"/>
        </w:rPr>
      </w:pPr>
      <w:bookmarkStart w:id="5" w:name="OLE_LINK1"/>
      <w:r>
        <w:rPr>
          <w:rFonts w:hint="eastAsia" w:hAnsi="宋体"/>
          <w:b/>
          <w:bCs/>
          <w:color w:val="auto"/>
          <w:sz w:val="30"/>
          <w:szCs w:val="30"/>
          <w:highlight w:val="none"/>
        </w:rPr>
        <w:t>防城港市住房和城乡建设局</w:t>
      </w:r>
      <w:bookmarkEnd w:id="5"/>
      <w:r>
        <w:rPr>
          <w:rFonts w:hint="eastAsia" w:hAnsi="宋体"/>
          <w:b/>
          <w:bCs/>
          <w:color w:val="auto"/>
          <w:sz w:val="30"/>
          <w:szCs w:val="30"/>
          <w:highlight w:val="none"/>
          <w:lang w:eastAsia="zh-CN"/>
        </w:rPr>
        <w:t>2026-2028年市管城市照明设施维修养护服务采购项目</w:t>
      </w:r>
      <w:r>
        <w:rPr>
          <w:rFonts w:hint="eastAsia" w:ascii="宋体" w:hAnsi="宋体"/>
          <w:b/>
          <w:color w:val="auto"/>
          <w:sz w:val="30"/>
          <w:szCs w:val="30"/>
          <w:highlight w:val="none"/>
        </w:rPr>
        <w:t>招标公告（远程异地评标）</w:t>
      </w:r>
    </w:p>
    <w:p w14:paraId="77EDCE81">
      <w:pPr>
        <w:spacing w:line="360" w:lineRule="auto"/>
        <w:rPr>
          <w:rFonts w:ascii="宋体" w:hAnsi="宋体"/>
          <w:color w:val="auto"/>
          <w:szCs w:val="21"/>
          <w:highlight w:val="none"/>
        </w:rPr>
      </w:pPr>
    </w:p>
    <w:p w14:paraId="3E4DAC84">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项目概况</w:t>
      </w:r>
    </w:p>
    <w:p w14:paraId="57EE8C07">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szCs w:val="21"/>
          <w:highlight w:val="none"/>
        </w:rPr>
      </w:pPr>
      <w:r>
        <w:rPr>
          <w:rFonts w:hint="eastAsia" w:ascii="宋体" w:hAnsi="宋体"/>
          <w:bCs/>
          <w:color w:val="auto"/>
          <w:szCs w:val="21"/>
          <w:highlight w:val="none"/>
          <w:lang w:eastAsia="zh-CN"/>
        </w:rPr>
        <w:t>2026-2028年市管城市照明设施维修养护服务采购项目</w:t>
      </w:r>
      <w:r>
        <w:rPr>
          <w:rFonts w:hint="eastAsia" w:ascii="宋体" w:hAnsi="宋体"/>
          <w:bCs/>
          <w:color w:val="auto"/>
          <w:szCs w:val="21"/>
          <w:highlight w:val="none"/>
        </w:rPr>
        <w:t>的潜在投标人应在广西政府采购云平台获取（下载）招标文件，并于202</w:t>
      </w:r>
      <w:r>
        <w:rPr>
          <w:rFonts w:hint="eastAsia" w:ascii="宋体" w:hAnsi="宋体"/>
          <w:bCs/>
          <w:color w:val="auto"/>
          <w:szCs w:val="21"/>
          <w:highlight w:val="none"/>
          <w:lang w:val="en-US" w:eastAsia="zh-CN"/>
        </w:rPr>
        <w:t>6</w:t>
      </w:r>
      <w:r>
        <w:rPr>
          <w:rFonts w:hint="eastAsia" w:ascii="宋体" w:hAnsi="宋体"/>
          <w:bCs/>
          <w:color w:val="auto"/>
          <w:szCs w:val="21"/>
          <w:highlight w:val="none"/>
        </w:rPr>
        <w:t>年</w:t>
      </w:r>
      <w:r>
        <w:rPr>
          <w:rFonts w:hint="eastAsia" w:ascii="宋体" w:hAnsi="宋体"/>
          <w:bCs/>
          <w:color w:val="auto"/>
          <w:szCs w:val="21"/>
          <w:highlight w:val="none"/>
          <w:lang w:val="en-US" w:eastAsia="zh-CN"/>
        </w:rPr>
        <w:t xml:space="preserve">  </w:t>
      </w:r>
      <w:r>
        <w:rPr>
          <w:rFonts w:hint="eastAsia" w:ascii="宋体" w:hAnsi="宋体"/>
          <w:bCs/>
          <w:color w:val="auto"/>
          <w:szCs w:val="21"/>
          <w:highlight w:val="none"/>
        </w:rPr>
        <w:t>月</w:t>
      </w:r>
      <w:r>
        <w:rPr>
          <w:rFonts w:hint="eastAsia" w:ascii="宋体" w:hAnsi="宋体"/>
          <w:bCs/>
          <w:color w:val="auto"/>
          <w:szCs w:val="21"/>
          <w:highlight w:val="none"/>
          <w:lang w:val="en-US" w:eastAsia="zh-CN"/>
        </w:rPr>
        <w:t xml:space="preserve">   </w:t>
      </w:r>
      <w:r>
        <w:rPr>
          <w:rFonts w:hint="eastAsia" w:ascii="宋体" w:hAnsi="宋体"/>
          <w:bCs/>
          <w:color w:val="auto"/>
          <w:szCs w:val="21"/>
          <w:highlight w:val="none"/>
        </w:rPr>
        <w:t>日</w:t>
      </w:r>
      <w:r>
        <w:rPr>
          <w:rFonts w:hint="eastAsia" w:ascii="宋体" w:hAnsi="宋体"/>
          <w:bCs/>
          <w:color w:val="auto"/>
          <w:szCs w:val="21"/>
          <w:highlight w:val="none"/>
          <w:lang w:val="en-US" w:eastAsia="zh-CN"/>
        </w:rPr>
        <w:t xml:space="preserve">  时  </w:t>
      </w:r>
      <w:r>
        <w:rPr>
          <w:rFonts w:hint="eastAsia" w:ascii="宋体" w:hAnsi="宋体"/>
          <w:bCs/>
          <w:color w:val="auto"/>
          <w:szCs w:val="21"/>
          <w:highlight w:val="none"/>
        </w:rPr>
        <w:t>分（北京时间）前按要求递交（上传）投标</w:t>
      </w:r>
      <w:r>
        <w:rPr>
          <w:rFonts w:ascii="宋体" w:hAnsi="宋体"/>
          <w:bCs/>
          <w:color w:val="auto"/>
          <w:szCs w:val="21"/>
          <w:highlight w:val="none"/>
        </w:rPr>
        <w:t>文件</w:t>
      </w:r>
      <w:r>
        <w:rPr>
          <w:rFonts w:hint="eastAsia" w:ascii="宋体" w:hAnsi="宋体"/>
          <w:color w:val="auto"/>
          <w:szCs w:val="21"/>
          <w:highlight w:val="none"/>
        </w:rPr>
        <w:t>。</w:t>
      </w:r>
    </w:p>
    <w:p w14:paraId="01C8CD8E">
      <w:pPr>
        <w:spacing w:line="360" w:lineRule="auto"/>
        <w:rPr>
          <w:rFonts w:ascii="宋体" w:hAnsi="宋体"/>
          <w:color w:val="auto"/>
          <w:szCs w:val="21"/>
          <w:highlight w:val="none"/>
        </w:rPr>
      </w:pPr>
    </w:p>
    <w:p w14:paraId="11835120">
      <w:pPr>
        <w:spacing w:line="360" w:lineRule="auto"/>
        <w:rPr>
          <w:rFonts w:ascii="宋体" w:hAnsi="宋体"/>
          <w:b/>
          <w:bCs/>
          <w:color w:val="auto"/>
          <w:szCs w:val="21"/>
          <w:highlight w:val="none"/>
        </w:rPr>
      </w:pPr>
      <w:bookmarkStart w:id="6" w:name="_Toc28359079"/>
      <w:bookmarkStart w:id="7" w:name="_Toc28359002"/>
      <w:bookmarkStart w:id="8" w:name="_Toc35393621"/>
      <w:bookmarkStart w:id="9" w:name="_Toc35393790"/>
      <w:bookmarkStart w:id="10" w:name="_Hlk24379207"/>
      <w:r>
        <w:rPr>
          <w:rFonts w:hint="eastAsia" w:ascii="宋体" w:hAnsi="宋体"/>
          <w:b/>
          <w:bCs/>
          <w:color w:val="auto"/>
          <w:szCs w:val="21"/>
          <w:highlight w:val="none"/>
        </w:rPr>
        <w:t>一、项目基本情况</w:t>
      </w:r>
      <w:bookmarkEnd w:id="6"/>
      <w:bookmarkEnd w:id="7"/>
      <w:bookmarkEnd w:id="8"/>
      <w:bookmarkEnd w:id="9"/>
    </w:p>
    <w:p w14:paraId="35CA0614">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项目编号：</w:t>
      </w:r>
      <w:r>
        <w:rPr>
          <w:rFonts w:hint="eastAsia" w:ascii="宋体" w:hAnsi="宋体"/>
          <w:color w:val="auto"/>
          <w:szCs w:val="21"/>
          <w:highlight w:val="none"/>
          <w:lang w:eastAsia="zh-CN"/>
        </w:rPr>
        <w:t>FCZC2026-G3-990038-GXDH</w:t>
      </w:r>
    </w:p>
    <w:p w14:paraId="1C39825A">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项目名称：</w:t>
      </w:r>
      <w:bookmarkEnd w:id="10"/>
      <w:r>
        <w:rPr>
          <w:rFonts w:hint="eastAsia" w:ascii="宋体" w:hAnsi="宋体"/>
          <w:color w:val="auto"/>
          <w:szCs w:val="21"/>
          <w:highlight w:val="none"/>
          <w:lang w:eastAsia="zh-CN"/>
        </w:rPr>
        <w:t>2026-2028年市管城市照明设施维修养护服务采购项目</w:t>
      </w:r>
    </w:p>
    <w:p w14:paraId="709B3033">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预算金额：人民币</w:t>
      </w:r>
      <w:r>
        <w:rPr>
          <w:rFonts w:hint="eastAsia" w:ascii="宋体" w:hAnsi="宋体"/>
          <w:color w:val="auto"/>
          <w:szCs w:val="21"/>
          <w:highlight w:val="none"/>
          <w:lang w:val="en-US" w:eastAsia="zh-CN"/>
        </w:rPr>
        <w:t>肆佰贰拾玖万元整（¥4290000.00）</w:t>
      </w:r>
    </w:p>
    <w:p w14:paraId="198D1FA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最高限价：人民币</w:t>
      </w:r>
      <w:r>
        <w:rPr>
          <w:rFonts w:hint="eastAsia" w:ascii="宋体" w:hAnsi="宋体"/>
          <w:color w:val="auto"/>
          <w:szCs w:val="21"/>
          <w:highlight w:val="none"/>
          <w:lang w:val="en-US" w:eastAsia="zh-CN"/>
        </w:rPr>
        <w:t>肆佰贰拾玖万元整（¥4290000.00）</w:t>
      </w:r>
    </w:p>
    <w:p w14:paraId="491FC85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采购需求：市管城市照明设施维修养护服务1项。</w:t>
      </w:r>
      <w:r>
        <w:rPr>
          <w:rFonts w:hint="eastAsia" w:ascii="宋体" w:hAnsi="宋体"/>
          <w:color w:val="auto"/>
          <w:szCs w:val="21"/>
          <w:highlight w:val="none"/>
          <w:lang w:val="en-US" w:eastAsia="zh-CN"/>
        </w:rPr>
        <w:t>具体</w:t>
      </w:r>
      <w:r>
        <w:rPr>
          <w:rFonts w:hint="eastAsia" w:ascii="宋体" w:hAnsi="宋体"/>
          <w:color w:val="auto"/>
          <w:szCs w:val="21"/>
          <w:highlight w:val="none"/>
        </w:rPr>
        <w:t>详见采购需求。</w:t>
      </w:r>
    </w:p>
    <w:p w14:paraId="5854192A">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合同履行期限：服务期限为</w:t>
      </w:r>
      <w:r>
        <w:rPr>
          <w:rFonts w:hint="eastAsia" w:ascii="宋体" w:hAnsi="宋体"/>
          <w:color w:val="auto"/>
          <w:szCs w:val="21"/>
          <w:highlight w:val="none"/>
          <w:lang w:val="en-US" w:eastAsia="zh-CN"/>
        </w:rPr>
        <w:t>3</w:t>
      </w:r>
      <w:r>
        <w:rPr>
          <w:rFonts w:hint="eastAsia" w:ascii="宋体" w:hAnsi="宋体"/>
          <w:color w:val="auto"/>
          <w:szCs w:val="21"/>
          <w:highlight w:val="none"/>
        </w:rPr>
        <w:t>年，自合同签订之日起计算。</w:t>
      </w:r>
    </w:p>
    <w:p w14:paraId="481B051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本项目不接受联合体投标。</w:t>
      </w:r>
    </w:p>
    <w:p w14:paraId="1C148401">
      <w:pPr>
        <w:spacing w:line="360" w:lineRule="auto"/>
        <w:rPr>
          <w:rFonts w:ascii="宋体" w:hAnsi="宋体"/>
          <w:b/>
          <w:bCs/>
          <w:color w:val="auto"/>
          <w:szCs w:val="21"/>
          <w:highlight w:val="none"/>
        </w:rPr>
      </w:pPr>
      <w:bookmarkStart w:id="11" w:name="_Toc28359080"/>
      <w:bookmarkStart w:id="12" w:name="_Toc35393791"/>
      <w:bookmarkStart w:id="13" w:name="_Toc28359003"/>
      <w:bookmarkStart w:id="14" w:name="_Toc35393622"/>
      <w:r>
        <w:rPr>
          <w:rFonts w:hint="eastAsia" w:ascii="宋体" w:hAnsi="宋体"/>
          <w:b/>
          <w:bCs/>
          <w:color w:val="auto"/>
          <w:szCs w:val="21"/>
          <w:highlight w:val="none"/>
        </w:rPr>
        <w:t>二、申请人的资格要求：</w:t>
      </w:r>
      <w:bookmarkEnd w:id="11"/>
      <w:bookmarkEnd w:id="12"/>
      <w:bookmarkEnd w:id="13"/>
      <w:bookmarkEnd w:id="14"/>
    </w:p>
    <w:p w14:paraId="7C495C77">
      <w:pPr>
        <w:spacing w:line="360" w:lineRule="auto"/>
        <w:ind w:firstLine="420" w:firstLineChars="200"/>
        <w:rPr>
          <w:rFonts w:ascii="宋体" w:hAnsi="宋体"/>
          <w:color w:val="auto"/>
          <w:szCs w:val="21"/>
          <w:highlight w:val="none"/>
        </w:rPr>
      </w:pPr>
      <w:bookmarkStart w:id="15" w:name="_Hlk51746371"/>
      <w:r>
        <w:rPr>
          <w:rFonts w:hint="eastAsia" w:ascii="宋体" w:hAnsi="宋体"/>
          <w:color w:val="auto"/>
          <w:szCs w:val="21"/>
          <w:highlight w:val="none"/>
        </w:rPr>
        <w:t>1.满足《中华人民共和国政府采购法》第二十二条规定；</w:t>
      </w:r>
    </w:p>
    <w:p w14:paraId="581985AD">
      <w:pPr>
        <w:spacing w:line="360" w:lineRule="auto"/>
        <w:ind w:firstLine="420" w:firstLineChars="200"/>
        <w:rPr>
          <w:rFonts w:hint="eastAsia" w:ascii="宋体" w:hAnsi="宋体" w:eastAsia="宋体" w:cs="Times New Roman"/>
          <w:color w:val="auto"/>
          <w:szCs w:val="21"/>
          <w:highlight w:val="none"/>
          <w:lang w:eastAsia="zh-CN"/>
        </w:rPr>
      </w:pPr>
      <w:bookmarkStart w:id="16" w:name="_Toc28359081"/>
      <w:bookmarkStart w:id="17" w:name="_Toc28359004"/>
      <w:r>
        <w:rPr>
          <w:rFonts w:ascii="宋体" w:hAnsi="宋体"/>
          <w:color w:val="auto"/>
          <w:szCs w:val="21"/>
          <w:highlight w:val="none"/>
        </w:rPr>
        <w:t>2</w:t>
      </w:r>
      <w:r>
        <w:rPr>
          <w:rFonts w:hint="eastAsia" w:ascii="宋体" w:hAnsi="宋体"/>
          <w:color w:val="auto"/>
          <w:szCs w:val="21"/>
          <w:highlight w:val="none"/>
        </w:rPr>
        <w:t>.落实政府采购政策需满足的资格要求：</w:t>
      </w:r>
      <w:r>
        <w:rPr>
          <w:rFonts w:hint="eastAsia" w:ascii="宋体" w:hAnsi="宋体"/>
          <w:color w:val="auto"/>
          <w:szCs w:val="21"/>
          <w:highlight w:val="none"/>
          <w:lang w:eastAsia="zh-CN"/>
        </w:rPr>
        <w:t>无。</w:t>
      </w:r>
    </w:p>
    <w:p w14:paraId="6CDED34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3.本项目的特定资格要求：投标人必须具有市政公用工程施工总承包三级以上（含三级）资质或城市及道路照明工程专业承包资质三级以上（含三级），具备有效的安全生产许可证</w:t>
      </w:r>
      <w:r>
        <w:rPr>
          <w:rFonts w:hint="eastAsia" w:ascii="宋体" w:hAnsi="宋体"/>
          <w:color w:val="auto"/>
          <w:szCs w:val="21"/>
          <w:highlight w:val="none"/>
          <w:lang w:eastAsia="zh-CN"/>
        </w:rPr>
        <w:t>，</w:t>
      </w:r>
      <w:r>
        <w:rPr>
          <w:rFonts w:hint="eastAsia" w:ascii="宋体" w:hAnsi="宋体"/>
          <w:color w:val="auto"/>
          <w:szCs w:val="21"/>
          <w:highlight w:val="none"/>
        </w:rPr>
        <w:t>拟投入的项目经理须具有市政公用工程专业二级以上（含二级）注册建造师资格。</w:t>
      </w:r>
    </w:p>
    <w:bookmarkEnd w:id="15"/>
    <w:p w14:paraId="10171441">
      <w:pPr>
        <w:spacing w:line="360" w:lineRule="auto"/>
        <w:rPr>
          <w:rFonts w:ascii="宋体" w:hAnsi="宋体"/>
          <w:b/>
          <w:bCs/>
          <w:color w:val="auto"/>
          <w:szCs w:val="21"/>
          <w:highlight w:val="none"/>
        </w:rPr>
      </w:pPr>
      <w:bookmarkStart w:id="18" w:name="_Toc35393623"/>
      <w:bookmarkStart w:id="19" w:name="_Toc35393792"/>
      <w:r>
        <w:rPr>
          <w:rFonts w:hint="eastAsia" w:ascii="宋体" w:hAnsi="宋体"/>
          <w:b/>
          <w:bCs/>
          <w:color w:val="auto"/>
          <w:szCs w:val="21"/>
          <w:highlight w:val="none"/>
        </w:rPr>
        <w:t>三、获取招标文件</w:t>
      </w:r>
      <w:bookmarkEnd w:id="16"/>
      <w:bookmarkEnd w:id="17"/>
      <w:bookmarkEnd w:id="18"/>
      <w:bookmarkEnd w:id="19"/>
    </w:p>
    <w:p w14:paraId="335043EC">
      <w:pPr>
        <w:spacing w:line="360" w:lineRule="auto"/>
        <w:ind w:firstLine="54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时间：202</w:t>
      </w:r>
      <w:r>
        <w:rPr>
          <w:rFonts w:hint="eastAsia" w:ascii="宋体" w:hAnsi="宋体" w:cs="宋体"/>
          <w:bCs/>
          <w:color w:val="auto"/>
          <w:kern w:val="0"/>
          <w:szCs w:val="21"/>
          <w:highlight w:val="none"/>
          <w:lang w:val="en-US" w:eastAsia="zh-CN"/>
        </w:rPr>
        <w:t>6</w:t>
      </w:r>
      <w:r>
        <w:rPr>
          <w:rFonts w:hint="eastAsia" w:ascii="宋体" w:hAnsi="宋体" w:cs="宋体"/>
          <w:bCs/>
          <w:color w:val="auto"/>
          <w:kern w:val="0"/>
          <w:szCs w:val="21"/>
          <w:highlight w:val="none"/>
        </w:rPr>
        <w:t>年</w:t>
      </w:r>
      <w:r>
        <w:rPr>
          <w:rFonts w:hint="eastAsia" w:ascii="宋体" w:hAnsi="宋体" w:cs="宋体"/>
          <w:bCs/>
          <w:color w:val="auto"/>
          <w:kern w:val="0"/>
          <w:szCs w:val="21"/>
          <w:highlight w:val="none"/>
          <w:lang w:val="en-US" w:eastAsia="zh-CN"/>
        </w:rPr>
        <w:t xml:space="preserve">  </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 xml:space="preserve">   </w:t>
      </w:r>
      <w:r>
        <w:rPr>
          <w:rFonts w:hint="eastAsia" w:ascii="宋体" w:hAnsi="宋体" w:cs="宋体"/>
          <w:bCs/>
          <w:color w:val="auto"/>
          <w:kern w:val="0"/>
          <w:szCs w:val="21"/>
          <w:highlight w:val="none"/>
        </w:rPr>
        <w:t>日至202</w:t>
      </w:r>
      <w:r>
        <w:rPr>
          <w:rFonts w:hint="eastAsia" w:ascii="宋体" w:hAnsi="宋体" w:cs="宋体"/>
          <w:bCs/>
          <w:color w:val="auto"/>
          <w:kern w:val="0"/>
          <w:szCs w:val="21"/>
          <w:highlight w:val="none"/>
          <w:lang w:val="en-US" w:eastAsia="zh-CN"/>
        </w:rPr>
        <w:t>6</w:t>
      </w:r>
      <w:r>
        <w:rPr>
          <w:rFonts w:hint="eastAsia" w:ascii="宋体" w:hAnsi="宋体" w:cs="宋体"/>
          <w:bCs/>
          <w:color w:val="auto"/>
          <w:kern w:val="0"/>
          <w:szCs w:val="21"/>
          <w:highlight w:val="none"/>
        </w:rPr>
        <w:t>年</w:t>
      </w:r>
      <w:r>
        <w:rPr>
          <w:rFonts w:hint="eastAsia" w:ascii="宋体" w:hAnsi="宋体" w:cs="宋体"/>
          <w:bCs/>
          <w:color w:val="auto"/>
          <w:kern w:val="0"/>
          <w:szCs w:val="21"/>
          <w:highlight w:val="none"/>
          <w:lang w:val="en-US" w:eastAsia="zh-CN"/>
        </w:rPr>
        <w:t xml:space="preserve">   </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 xml:space="preserve">   </w:t>
      </w:r>
      <w:r>
        <w:rPr>
          <w:rFonts w:hint="eastAsia" w:ascii="宋体" w:hAnsi="宋体" w:cs="宋体"/>
          <w:bCs/>
          <w:color w:val="auto"/>
          <w:kern w:val="0"/>
          <w:szCs w:val="21"/>
          <w:highlight w:val="none"/>
        </w:rPr>
        <w:t>日，</w:t>
      </w:r>
      <w:r>
        <w:rPr>
          <w:rFonts w:hint="eastAsia" w:ascii="宋体" w:hAnsi="宋体" w:cs="宋体"/>
          <w:color w:val="auto"/>
          <w:szCs w:val="21"/>
          <w:highlight w:val="none"/>
        </w:rPr>
        <w:t>每天上午8时00分至12时00分，下午3时00分至6时00分（北京时间，法定节假日除外）。</w:t>
      </w:r>
    </w:p>
    <w:p w14:paraId="29E3D198">
      <w:pPr>
        <w:spacing w:line="360" w:lineRule="auto"/>
        <w:ind w:firstLine="54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地点：广西政府采购云平台。</w:t>
      </w:r>
    </w:p>
    <w:p w14:paraId="2D29CFE7">
      <w:pPr>
        <w:spacing w:line="360" w:lineRule="auto"/>
        <w:ind w:firstLine="54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方式：网上下载。本项目不提供纸质文件，潜在供应商需使用账号登录或者使用CA登录广西政府采购云平台</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rPr>
        <w:t>进入“项目采购”应用，在获取采购文件菜单中选择项目，获取采购文件（或在“政采云电子投标客户端</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rPr>
        <w:t>获取采购文件”跳转到政采云系统获取）。电子响应文件制作需要基于广西政府采购云平台获取的采购文件编制，通过其他方式获取采购文件的，将有可能导致供应商无法在广西政府采购云平台编制及上传响应文件。未注册的供应商可登录广西政府采购云平台进行注册（广西政府采购云平台</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rPr>
        <w:t>商家入驻</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rPr>
        <w:t>注册），如在操作过程中遇到问题或者需要技术支持，请致电政采云客服热线：95763。供应商未按以上时间、方式获取本项目采购文件的，本公司将拒收其响应文件。已获取采购文件的供应商不等于符合本项目的供应商资格。</w:t>
      </w:r>
    </w:p>
    <w:p w14:paraId="30C5F186">
      <w:pPr>
        <w:spacing w:line="360" w:lineRule="auto"/>
        <w:ind w:firstLine="540"/>
        <w:rPr>
          <w:rFonts w:ascii="宋体" w:hAnsi="宋体" w:cs="宋体"/>
          <w:color w:val="auto"/>
          <w:szCs w:val="21"/>
          <w:highlight w:val="none"/>
        </w:rPr>
      </w:pPr>
      <w:r>
        <w:rPr>
          <w:rFonts w:hint="eastAsia" w:ascii="宋体" w:hAnsi="宋体" w:cs="宋体"/>
          <w:bCs/>
          <w:color w:val="auto"/>
          <w:kern w:val="0"/>
          <w:szCs w:val="21"/>
          <w:highlight w:val="none"/>
        </w:rPr>
        <w:t>售价：</w:t>
      </w:r>
      <w:r>
        <w:rPr>
          <w:rFonts w:hint="eastAsia" w:ascii="宋体" w:hAnsi="宋体" w:cs="宋体"/>
          <w:color w:val="auto"/>
          <w:szCs w:val="21"/>
          <w:highlight w:val="none"/>
          <w:u w:val="single"/>
        </w:rPr>
        <w:t>0</w:t>
      </w:r>
      <w:r>
        <w:rPr>
          <w:rFonts w:hint="eastAsia" w:ascii="宋体" w:hAnsi="宋体" w:cs="宋体"/>
          <w:color w:val="auto"/>
          <w:szCs w:val="21"/>
          <w:highlight w:val="none"/>
        </w:rPr>
        <w:t>元。</w:t>
      </w:r>
    </w:p>
    <w:p w14:paraId="65CE1A35">
      <w:pPr>
        <w:spacing w:line="360" w:lineRule="auto"/>
        <w:rPr>
          <w:rFonts w:ascii="宋体" w:hAnsi="宋体"/>
          <w:b/>
          <w:bCs/>
          <w:color w:val="auto"/>
          <w:szCs w:val="21"/>
          <w:highlight w:val="none"/>
        </w:rPr>
      </w:pPr>
      <w:bookmarkStart w:id="20" w:name="_Toc28359005"/>
      <w:bookmarkStart w:id="21" w:name="_Toc28359082"/>
      <w:bookmarkStart w:id="22" w:name="_Toc35393624"/>
      <w:bookmarkStart w:id="23" w:name="_Toc35393793"/>
      <w:r>
        <w:rPr>
          <w:rFonts w:hint="eastAsia" w:ascii="宋体" w:hAnsi="宋体"/>
          <w:b/>
          <w:bCs/>
          <w:color w:val="auto"/>
          <w:szCs w:val="21"/>
          <w:highlight w:val="none"/>
        </w:rPr>
        <w:t>四、提交投标文件</w:t>
      </w:r>
      <w:bookmarkEnd w:id="20"/>
      <w:bookmarkEnd w:id="21"/>
      <w:r>
        <w:rPr>
          <w:rFonts w:hint="eastAsia" w:ascii="宋体" w:hAnsi="宋体"/>
          <w:b/>
          <w:bCs/>
          <w:color w:val="auto"/>
          <w:szCs w:val="21"/>
          <w:highlight w:val="none"/>
        </w:rPr>
        <w:t>截止时间、开标时间和地点</w:t>
      </w:r>
      <w:bookmarkEnd w:id="22"/>
      <w:bookmarkEnd w:id="23"/>
    </w:p>
    <w:p w14:paraId="3F37D35B">
      <w:pPr>
        <w:spacing w:line="360" w:lineRule="auto"/>
        <w:ind w:firstLine="420" w:firstLineChars="200"/>
        <w:rPr>
          <w:rFonts w:hint="eastAsia" w:ascii="宋体" w:hAnsi="宋体"/>
          <w:color w:val="auto"/>
          <w:szCs w:val="21"/>
          <w:highlight w:val="none"/>
        </w:rPr>
      </w:pPr>
      <w:bookmarkStart w:id="24" w:name="_Toc28359084"/>
      <w:bookmarkStart w:id="25" w:name="_Toc35393625"/>
      <w:bookmarkStart w:id="26" w:name="_Toc35393794"/>
      <w:bookmarkStart w:id="27" w:name="_Toc28359007"/>
      <w:r>
        <w:rPr>
          <w:rFonts w:hint="eastAsia" w:ascii="宋体" w:hAnsi="宋体"/>
          <w:color w:val="auto"/>
          <w:szCs w:val="21"/>
          <w:highlight w:val="none"/>
        </w:rPr>
        <w:t>提交投标文件截止时间：202</w:t>
      </w:r>
      <w:r>
        <w:rPr>
          <w:rFonts w:hint="eastAsia" w:ascii="宋体" w:hAnsi="宋体"/>
          <w:color w:val="auto"/>
          <w:szCs w:val="21"/>
          <w:highlight w:val="none"/>
          <w:lang w:val="en-US" w:eastAsia="zh-CN"/>
        </w:rPr>
        <w:t>6</w:t>
      </w:r>
      <w:r>
        <w:rPr>
          <w:rFonts w:hint="eastAsia" w:ascii="宋体" w:hAnsi="宋体"/>
          <w:color w:val="auto"/>
          <w:szCs w:val="21"/>
          <w:highlight w:val="none"/>
        </w:rPr>
        <w:t>年</w:t>
      </w:r>
      <w:r>
        <w:rPr>
          <w:rFonts w:hint="eastAsia" w:ascii="宋体" w:hAnsi="宋体"/>
          <w:color w:val="auto"/>
          <w:szCs w:val="21"/>
          <w:highlight w:val="none"/>
          <w:lang w:val="en-US" w:eastAsia="zh-CN"/>
        </w:rPr>
        <w:t xml:space="preserve">  </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 xml:space="preserve">   </w:t>
      </w:r>
      <w:r>
        <w:rPr>
          <w:rFonts w:hint="eastAsia" w:ascii="宋体" w:hAnsi="宋体" w:cs="宋体"/>
          <w:bCs/>
          <w:color w:val="auto"/>
          <w:kern w:val="0"/>
          <w:szCs w:val="21"/>
          <w:highlight w:val="none"/>
        </w:rPr>
        <w:t>日</w:t>
      </w:r>
      <w:r>
        <w:rPr>
          <w:rFonts w:hint="eastAsia" w:ascii="宋体" w:hAnsi="宋体" w:cs="宋体"/>
          <w:bCs/>
          <w:color w:val="auto"/>
          <w:kern w:val="0"/>
          <w:szCs w:val="21"/>
          <w:highlight w:val="none"/>
          <w:lang w:val="en-US" w:eastAsia="zh-CN"/>
        </w:rPr>
        <w:t xml:space="preserve">  </w:t>
      </w:r>
      <w:r>
        <w:rPr>
          <w:rFonts w:hint="eastAsia" w:ascii="宋体" w:hAnsi="宋体" w:cs="宋体"/>
          <w:bCs/>
          <w:color w:val="auto"/>
          <w:kern w:val="0"/>
          <w:szCs w:val="21"/>
          <w:highlight w:val="none"/>
        </w:rPr>
        <w:t>时</w:t>
      </w:r>
      <w:r>
        <w:rPr>
          <w:rFonts w:hint="eastAsia" w:ascii="宋体" w:hAnsi="宋体" w:cs="宋体"/>
          <w:bCs/>
          <w:color w:val="auto"/>
          <w:kern w:val="0"/>
          <w:szCs w:val="21"/>
          <w:highlight w:val="none"/>
          <w:lang w:val="en-US" w:eastAsia="zh-CN"/>
        </w:rPr>
        <w:t xml:space="preserve">  </w:t>
      </w:r>
      <w:r>
        <w:rPr>
          <w:rFonts w:hint="eastAsia" w:ascii="宋体" w:hAnsi="宋体" w:cs="宋体"/>
          <w:bCs/>
          <w:color w:val="auto"/>
          <w:kern w:val="0"/>
          <w:szCs w:val="21"/>
          <w:highlight w:val="none"/>
        </w:rPr>
        <w:t>分</w:t>
      </w:r>
      <w:r>
        <w:rPr>
          <w:rFonts w:hint="eastAsia" w:ascii="宋体" w:hAnsi="宋体"/>
          <w:color w:val="auto"/>
          <w:szCs w:val="21"/>
          <w:highlight w:val="none"/>
        </w:rPr>
        <w:t>（北京时间）</w:t>
      </w:r>
    </w:p>
    <w:p w14:paraId="0F53FDDD">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地点：广西政府采购云平台电子开标大厅在线解密开启</w:t>
      </w:r>
    </w:p>
    <w:p w14:paraId="50ECA7B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投标地点：广西政府采购云平台</w:t>
      </w:r>
    </w:p>
    <w:p w14:paraId="120E541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开标地点：广西政府采购云平台电子开标大厅【政府采购开标室</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w:t>
      </w:r>
    </w:p>
    <w:p w14:paraId="317A1E47">
      <w:pPr>
        <w:spacing w:line="360" w:lineRule="auto"/>
        <w:ind w:firstLine="422" w:firstLineChars="200"/>
        <w:rPr>
          <w:rFonts w:ascii="宋体" w:hAnsi="宋体"/>
          <w:b/>
          <w:bCs/>
          <w:color w:val="auto"/>
          <w:szCs w:val="21"/>
          <w:highlight w:val="none"/>
        </w:rPr>
      </w:pPr>
      <w:r>
        <w:rPr>
          <w:rFonts w:hint="eastAsia" w:ascii="宋体" w:hAnsi="宋体"/>
          <w:b/>
          <w:bCs/>
          <w:color w:val="auto"/>
          <w:szCs w:val="21"/>
          <w:highlight w:val="none"/>
        </w:rPr>
        <w:t>五、公告期限</w:t>
      </w:r>
      <w:bookmarkEnd w:id="24"/>
      <w:bookmarkEnd w:id="25"/>
      <w:bookmarkEnd w:id="26"/>
      <w:bookmarkEnd w:id="27"/>
    </w:p>
    <w:p w14:paraId="3181683C">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57AE5082">
      <w:pPr>
        <w:spacing w:line="360" w:lineRule="auto"/>
        <w:rPr>
          <w:rFonts w:ascii="宋体" w:hAnsi="宋体"/>
          <w:b/>
          <w:bCs/>
          <w:color w:val="auto"/>
          <w:szCs w:val="21"/>
          <w:highlight w:val="none"/>
        </w:rPr>
      </w:pPr>
      <w:bookmarkStart w:id="28" w:name="_Toc35393626"/>
      <w:bookmarkStart w:id="29" w:name="_Toc35393795"/>
      <w:r>
        <w:rPr>
          <w:rFonts w:hint="eastAsia" w:ascii="宋体" w:hAnsi="宋体"/>
          <w:b/>
          <w:bCs/>
          <w:color w:val="auto"/>
          <w:szCs w:val="21"/>
          <w:highlight w:val="none"/>
        </w:rPr>
        <w:t>六、其他补充事宜</w:t>
      </w:r>
      <w:bookmarkEnd w:id="28"/>
      <w:bookmarkEnd w:id="29"/>
    </w:p>
    <w:p w14:paraId="3012F94A">
      <w:pPr>
        <w:spacing w:line="360" w:lineRule="auto"/>
        <w:ind w:firstLine="420" w:firstLineChars="200"/>
        <w:rPr>
          <w:rFonts w:hint="eastAsia" w:ascii="宋体" w:hAnsi="宋体" w:cs="宋体"/>
          <w:color w:val="auto"/>
          <w:kern w:val="0"/>
          <w:szCs w:val="21"/>
          <w:highlight w:val="none"/>
        </w:rPr>
      </w:pPr>
      <w:bookmarkStart w:id="30" w:name="_Toc28359085"/>
      <w:bookmarkStart w:id="31" w:name="_Toc28359008"/>
      <w:bookmarkStart w:id="32" w:name="_Toc35393796"/>
      <w:bookmarkStart w:id="33" w:name="_Toc35393627"/>
      <w:r>
        <w:rPr>
          <w:rFonts w:hint="eastAsia" w:ascii="宋体" w:hAnsi="宋体" w:cs="宋体"/>
          <w:color w:val="auto"/>
          <w:kern w:val="0"/>
          <w:szCs w:val="21"/>
          <w:highlight w:val="none"/>
        </w:rPr>
        <w:t>1.网上查询地址：中国政府采购网、广西壮族自治区政府采购网、全国公共资源交易平台（广西·防城港）。</w:t>
      </w:r>
    </w:p>
    <w:p w14:paraId="6DCEB31A">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2.本项目需要落实的政府采购政策：（1）政府采购促进中小企业发展；（2）政府采购支持采用本国产品的政策；（3）强制采购节能产品；优先采购节能产品、环境标志产品；（4）政府采购促进残疾人就业政策。</w:t>
      </w:r>
    </w:p>
    <w:p w14:paraId="53E286BB">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3.投标人投标注意事项</w:t>
      </w:r>
    </w:p>
    <w:p w14:paraId="60666C82">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本项目为全流程电子化采购项目，通过“广西政府采购云平台”实行在线电子投标，投标人应先安装“广西政府采购云平台电子投标客户端”（请自行前往“广西政府采购云平台”进行下载），并按照本项目招标文件和“广西政府采购云平台”的要求编制、加密后在投标截止时间前通过网络上传至“广西政府采购云平台”（加密的电子投标文件是指后缀名为</w:t>
      </w:r>
      <w:r>
        <w:rPr>
          <w:rFonts w:hint="eastAsia" w:ascii="宋体" w:hAnsi="宋体" w:cs="宋体"/>
          <w:color w:val="auto"/>
          <w:kern w:val="0"/>
          <w:szCs w:val="21"/>
          <w:highlight w:val="none"/>
          <w:u w:val="none"/>
        </w:rPr>
        <w:t>“jmbs”</w:t>
      </w:r>
      <w:r>
        <w:rPr>
          <w:rFonts w:hint="eastAsia" w:ascii="宋体" w:hAnsi="宋体" w:cs="宋体"/>
          <w:color w:val="auto"/>
          <w:kern w:val="0"/>
          <w:szCs w:val="21"/>
          <w:highlight w:val="none"/>
        </w:rPr>
        <w:t>的文件），投标人在“广西政府采购云平台”提交电子投标文件时，请填写参加远程开标活动经办人联系方式。投标人登录“广西政府采购云平台”，依次进入“服务中心</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项目采购</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操作流程</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电子招投标</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政府采购项目电子交易管理操作指南</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供应商”查看电子投标具体操作流程。</w:t>
      </w:r>
    </w:p>
    <w:p w14:paraId="1125C8AE">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下载专区”或者登录“广西政府采购云平台”，依次进入“服务中心</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入驻与配置”中查看CA数字证书办理操作流程。如在操作过程中遇到问题或者需要技术支持，请致电广西政府采购云平台客服热线：95763）。</w:t>
      </w:r>
    </w:p>
    <w:p w14:paraId="3F54BDB3">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（3）CA证书在线解密：投标人投标时，需凭制作投标文件时用来加密的有效数字证书（CA认证）登录“广西政府采购云平台”电子开标大厅现场按规定时间对加密的投标文件进行解密，否则后果自负。</w:t>
      </w:r>
    </w:p>
    <w:p w14:paraId="6A123BA3">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注：1）为确保网上操作合法、有效和安全，请投标人确保在电子投标过程中能够对相关数据电文进行加密和使用电子签章，妥善保管CA数字证书并使用有效的CA数字证书参与整个招标活动。2）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p>
    <w:p w14:paraId="2A09CBEC">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4.投标保证金：本项目不收取投标保证金。</w:t>
      </w:r>
    </w:p>
    <w:p w14:paraId="47928A6B">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5.监督部门</w:t>
      </w:r>
    </w:p>
    <w:p w14:paraId="603508AA">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名称：防城港市财政局 </w:t>
      </w:r>
    </w:p>
    <w:p w14:paraId="60790A78">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电话：0770-</w:t>
      </w:r>
      <w:r>
        <w:rPr>
          <w:rFonts w:hint="eastAsia" w:ascii="宋体" w:hAnsi="宋体" w:cs="宋体"/>
          <w:color w:val="auto"/>
          <w:kern w:val="0"/>
          <w:szCs w:val="21"/>
          <w:highlight w:val="none"/>
          <w:lang w:eastAsia="zh-CN"/>
        </w:rPr>
        <w:t>6102323</w:t>
      </w:r>
      <w:r>
        <w:rPr>
          <w:rFonts w:hint="eastAsia" w:ascii="宋体" w:hAnsi="宋体" w:cs="宋体"/>
          <w:color w:val="auto"/>
          <w:kern w:val="0"/>
          <w:szCs w:val="21"/>
          <w:highlight w:val="none"/>
        </w:rPr>
        <w:t xml:space="preserve">  </w:t>
      </w:r>
    </w:p>
    <w:p w14:paraId="513DC35C">
      <w:pPr>
        <w:spacing w:line="360" w:lineRule="auto"/>
        <w:ind w:firstLine="420" w:firstLineChars="200"/>
        <w:rPr>
          <w:rFonts w:hint="eastAsia" w:ascii="宋体" w:hAnsi="宋体"/>
          <w:b w:val="0"/>
          <w:bCs w:val="0"/>
          <w:color w:val="auto"/>
          <w:szCs w:val="21"/>
          <w:highlight w:val="none"/>
        </w:rPr>
      </w:pPr>
      <w:r>
        <w:rPr>
          <w:rFonts w:hint="eastAsia" w:ascii="宋体" w:hAnsi="宋体"/>
          <w:b w:val="0"/>
          <w:bCs w:val="0"/>
          <w:color w:val="auto"/>
          <w:szCs w:val="21"/>
          <w:highlight w:val="none"/>
          <w:lang w:val="en-US" w:eastAsia="zh-CN"/>
        </w:rPr>
        <w:t>6</w:t>
      </w:r>
      <w:r>
        <w:rPr>
          <w:rFonts w:hint="eastAsia" w:ascii="宋体" w:hAnsi="宋体"/>
          <w:b w:val="0"/>
          <w:bCs w:val="0"/>
          <w:color w:val="auto"/>
          <w:szCs w:val="21"/>
          <w:highlight w:val="none"/>
        </w:rPr>
        <w:t>.本项目为全流程电子化远程异地评标项目，评标主会场为防城港市公共资源交易中心评标室，联系电话：0770-6126169，评标分会场为：</w:t>
      </w:r>
      <w:r>
        <w:rPr>
          <w:rFonts w:hint="eastAsia" w:ascii="宋体" w:hAnsi="宋体"/>
          <w:b w:val="0"/>
          <w:bCs w:val="0"/>
          <w:color w:val="auto"/>
          <w:szCs w:val="21"/>
          <w:highlight w:val="none"/>
          <w:u w:val="single"/>
          <w:lang w:val="en-US" w:eastAsia="zh-CN"/>
        </w:rPr>
        <w:t xml:space="preserve">    </w:t>
      </w:r>
      <w:r>
        <w:rPr>
          <w:rFonts w:hint="eastAsia" w:ascii="宋体" w:hAnsi="宋体"/>
          <w:b w:val="0"/>
          <w:bCs w:val="0"/>
          <w:color w:val="auto"/>
          <w:szCs w:val="21"/>
          <w:highlight w:val="none"/>
        </w:rPr>
        <w:t>市公共资源交易中心。</w:t>
      </w:r>
    </w:p>
    <w:p w14:paraId="294796E6">
      <w:pPr>
        <w:spacing w:line="360" w:lineRule="auto"/>
        <w:ind w:firstLine="422" w:firstLineChars="200"/>
        <w:rPr>
          <w:rFonts w:ascii="宋体" w:hAnsi="宋体"/>
          <w:b/>
          <w:bCs/>
          <w:color w:val="auto"/>
          <w:szCs w:val="21"/>
          <w:highlight w:val="none"/>
        </w:rPr>
      </w:pPr>
      <w:r>
        <w:rPr>
          <w:rFonts w:hint="eastAsia" w:ascii="宋体" w:hAnsi="宋体"/>
          <w:b/>
          <w:bCs/>
          <w:color w:val="auto"/>
          <w:szCs w:val="21"/>
          <w:highlight w:val="none"/>
        </w:rPr>
        <w:t>七、对本次招标提出询问，请按</w:t>
      </w:r>
      <w:r>
        <w:rPr>
          <w:rFonts w:ascii="宋体" w:hAnsi="宋体"/>
          <w:b/>
          <w:bCs/>
          <w:color w:val="auto"/>
          <w:szCs w:val="21"/>
          <w:highlight w:val="none"/>
        </w:rPr>
        <w:t>以下方式</w:t>
      </w:r>
      <w:r>
        <w:rPr>
          <w:rFonts w:hint="eastAsia" w:ascii="宋体" w:hAnsi="宋体"/>
          <w:b/>
          <w:bCs/>
          <w:color w:val="auto"/>
          <w:szCs w:val="21"/>
          <w:highlight w:val="none"/>
        </w:rPr>
        <w:t>联系。</w:t>
      </w:r>
      <w:bookmarkEnd w:id="30"/>
      <w:bookmarkEnd w:id="31"/>
      <w:bookmarkEnd w:id="32"/>
      <w:bookmarkEnd w:id="33"/>
    </w:p>
    <w:p w14:paraId="5126CFFE">
      <w:pPr>
        <w:spacing w:line="360" w:lineRule="exact"/>
        <w:ind w:firstLine="420" w:firstLineChars="200"/>
        <w:rPr>
          <w:rFonts w:hint="eastAsia" w:ascii="宋体" w:hAnsi="宋体" w:cs="宋体"/>
          <w:color w:val="auto"/>
          <w:kern w:val="0"/>
          <w:szCs w:val="21"/>
          <w:highlight w:val="none"/>
        </w:rPr>
      </w:pPr>
      <w:bookmarkStart w:id="34" w:name="_Toc35393806"/>
      <w:bookmarkStart w:id="35" w:name="_Toc28359019"/>
      <w:bookmarkStart w:id="36" w:name="_Toc35393637"/>
      <w:bookmarkStart w:id="37" w:name="_Toc28359096"/>
      <w:r>
        <w:rPr>
          <w:rFonts w:hint="eastAsia" w:ascii="宋体" w:hAnsi="宋体" w:cs="宋体"/>
          <w:color w:val="auto"/>
          <w:kern w:val="0"/>
          <w:szCs w:val="21"/>
          <w:highlight w:val="none"/>
        </w:rPr>
        <w:t>1.采购人信息</w:t>
      </w:r>
      <w:bookmarkEnd w:id="34"/>
      <w:bookmarkEnd w:id="35"/>
      <w:bookmarkEnd w:id="36"/>
      <w:bookmarkEnd w:id="37"/>
    </w:p>
    <w:p w14:paraId="7DEB0A4E">
      <w:pPr>
        <w:spacing w:line="360" w:lineRule="exact"/>
        <w:ind w:firstLine="420" w:firstLineChars="200"/>
        <w:rPr>
          <w:rFonts w:hint="eastAsia" w:ascii="宋体" w:hAnsi="宋体"/>
          <w:color w:val="auto"/>
          <w:szCs w:val="21"/>
          <w:highlight w:val="none"/>
          <w:lang w:eastAsia="zh-CN"/>
        </w:rPr>
      </w:pPr>
      <w:bookmarkStart w:id="38" w:name="_Toc35393807"/>
      <w:bookmarkStart w:id="39" w:name="_Toc28359097"/>
      <w:bookmarkStart w:id="40" w:name="_Toc35393638"/>
      <w:bookmarkStart w:id="41" w:name="_Toc28359020"/>
      <w:r>
        <w:rPr>
          <w:rFonts w:hint="eastAsia" w:ascii="宋体" w:hAnsi="宋体" w:cs="宋体"/>
          <w:color w:val="auto"/>
          <w:kern w:val="0"/>
          <w:szCs w:val="21"/>
          <w:highlight w:val="none"/>
        </w:rPr>
        <w:t>名称：</w:t>
      </w:r>
      <w:r>
        <w:rPr>
          <w:rFonts w:hint="eastAsia" w:ascii="宋体" w:hAnsi="宋体"/>
          <w:color w:val="auto"/>
          <w:szCs w:val="21"/>
          <w:highlight w:val="none"/>
          <w:lang w:eastAsia="zh-CN"/>
        </w:rPr>
        <w:t>防城港市住房和城乡建设局</w:t>
      </w:r>
    </w:p>
    <w:p w14:paraId="3609D5B9">
      <w:pPr>
        <w:spacing w:line="3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地址：广西壮族自治区防城港市港口区北部湾大道136号</w:t>
      </w:r>
    </w:p>
    <w:p w14:paraId="56A041AA">
      <w:pPr>
        <w:spacing w:line="360" w:lineRule="exact"/>
        <w:ind w:firstLine="420" w:firstLineChars="200"/>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联系方式：</w:t>
      </w:r>
      <w:r>
        <w:rPr>
          <w:rFonts w:hint="eastAsia" w:ascii="宋体" w:hAnsi="宋体" w:cs="宋体"/>
          <w:color w:val="auto"/>
          <w:kern w:val="0"/>
          <w:szCs w:val="21"/>
          <w:highlight w:val="none"/>
          <w:lang w:val="en-US" w:eastAsia="zh-CN"/>
        </w:rPr>
        <w:t>0770-2831586</w:t>
      </w:r>
    </w:p>
    <w:p w14:paraId="53DADF96">
      <w:pPr>
        <w:spacing w:line="3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2.采购代理机构信息</w:t>
      </w:r>
      <w:bookmarkEnd w:id="38"/>
      <w:bookmarkEnd w:id="39"/>
      <w:bookmarkEnd w:id="40"/>
      <w:bookmarkEnd w:id="41"/>
    </w:p>
    <w:p w14:paraId="5F9502DE">
      <w:pPr>
        <w:spacing w:line="360" w:lineRule="exact"/>
        <w:ind w:firstLine="420" w:firstLineChars="20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名称：</w:t>
      </w:r>
      <w:r>
        <w:rPr>
          <w:rFonts w:hint="eastAsia" w:ascii="宋体" w:hAnsi="宋体" w:cs="宋体"/>
          <w:color w:val="auto"/>
          <w:kern w:val="0"/>
          <w:szCs w:val="21"/>
          <w:highlight w:val="none"/>
          <w:lang w:eastAsia="zh-CN"/>
        </w:rPr>
        <w:t>广西达华工程造价咨询有限责任公司</w:t>
      </w:r>
    </w:p>
    <w:p w14:paraId="71D0A610">
      <w:pPr>
        <w:spacing w:line="360" w:lineRule="exact"/>
        <w:ind w:firstLine="420" w:firstLineChars="20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地址：</w:t>
      </w:r>
      <w:r>
        <w:rPr>
          <w:rFonts w:hint="eastAsia" w:ascii="宋体" w:hAnsi="宋体" w:cs="宋体"/>
          <w:color w:val="auto"/>
          <w:kern w:val="0"/>
          <w:szCs w:val="21"/>
          <w:highlight w:val="none"/>
          <w:lang w:eastAsia="zh-CN"/>
        </w:rPr>
        <w:t>防城港市港口区常山新区桃中路南面金石财富中心1302、1310号房</w:t>
      </w:r>
    </w:p>
    <w:p w14:paraId="4E08BF05">
      <w:pPr>
        <w:spacing w:line="360" w:lineRule="exact"/>
        <w:ind w:firstLine="420" w:firstLineChars="20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联系方式：</w:t>
      </w:r>
      <w:r>
        <w:rPr>
          <w:rFonts w:hint="eastAsia" w:ascii="宋体" w:hAnsi="宋体" w:cs="宋体"/>
          <w:color w:val="auto"/>
          <w:kern w:val="0"/>
          <w:szCs w:val="21"/>
          <w:highlight w:val="none"/>
          <w:lang w:eastAsia="zh-CN"/>
        </w:rPr>
        <w:t>0770-2882618</w:t>
      </w:r>
    </w:p>
    <w:p w14:paraId="325A4000">
      <w:pPr>
        <w:spacing w:line="360" w:lineRule="exact"/>
        <w:ind w:firstLine="420" w:firstLineChars="200"/>
        <w:rPr>
          <w:rFonts w:hint="eastAsia" w:ascii="宋体" w:hAnsi="宋体" w:cs="宋体"/>
          <w:color w:val="auto"/>
          <w:kern w:val="0"/>
          <w:szCs w:val="21"/>
          <w:highlight w:val="none"/>
        </w:rPr>
      </w:pPr>
      <w:bookmarkStart w:id="42" w:name="_Toc35393639"/>
      <w:bookmarkStart w:id="43" w:name="_Toc35393808"/>
      <w:bookmarkStart w:id="44" w:name="_Toc28359021"/>
      <w:bookmarkStart w:id="45" w:name="_Toc28359098"/>
      <w:r>
        <w:rPr>
          <w:rFonts w:hint="eastAsia" w:ascii="宋体" w:hAnsi="宋体" w:cs="宋体"/>
          <w:color w:val="auto"/>
          <w:kern w:val="0"/>
          <w:szCs w:val="21"/>
          <w:highlight w:val="none"/>
        </w:rPr>
        <w:t>3.项目联系方式</w:t>
      </w:r>
      <w:bookmarkEnd w:id="42"/>
      <w:bookmarkEnd w:id="43"/>
      <w:bookmarkEnd w:id="44"/>
      <w:bookmarkEnd w:id="45"/>
    </w:p>
    <w:p w14:paraId="1AFC6AC8">
      <w:pPr>
        <w:spacing w:line="360" w:lineRule="exact"/>
        <w:ind w:firstLine="420" w:firstLineChars="20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项目联系人：</w:t>
      </w:r>
      <w:r>
        <w:rPr>
          <w:rFonts w:hint="eastAsia" w:ascii="宋体" w:hAnsi="宋体" w:cs="宋体"/>
          <w:color w:val="auto"/>
          <w:kern w:val="0"/>
          <w:szCs w:val="21"/>
          <w:highlight w:val="none"/>
          <w:lang w:eastAsia="zh-CN"/>
        </w:rPr>
        <w:t>林桦</w:t>
      </w:r>
    </w:p>
    <w:p w14:paraId="261950F8">
      <w:pPr>
        <w:spacing w:line="360" w:lineRule="exact"/>
        <w:ind w:firstLine="420" w:firstLineChars="20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电话：</w:t>
      </w:r>
      <w:r>
        <w:rPr>
          <w:rFonts w:hint="eastAsia" w:ascii="宋体" w:hAnsi="宋体" w:cs="宋体"/>
          <w:color w:val="auto"/>
          <w:kern w:val="0"/>
          <w:szCs w:val="21"/>
          <w:highlight w:val="none"/>
          <w:lang w:eastAsia="zh-CN"/>
        </w:rPr>
        <w:t>0770-2882618</w:t>
      </w:r>
    </w:p>
    <w:p w14:paraId="00659CB4">
      <w:pPr>
        <w:spacing w:line="360" w:lineRule="exact"/>
        <w:ind w:firstLine="420" w:firstLineChars="200"/>
        <w:rPr>
          <w:rFonts w:hint="eastAsia" w:ascii="宋体" w:hAnsi="宋体" w:cs="宋体"/>
          <w:color w:val="auto"/>
          <w:kern w:val="0"/>
          <w:szCs w:val="21"/>
          <w:highlight w:val="none"/>
        </w:rPr>
      </w:pPr>
    </w:p>
    <w:p w14:paraId="5507A9FD">
      <w:pPr>
        <w:spacing w:line="360" w:lineRule="exact"/>
        <w:ind w:firstLine="420" w:firstLineChars="200"/>
        <w:jc w:val="right"/>
        <w:rPr>
          <w:rFonts w:hint="eastAsia" w:ascii="宋体" w:hAnsi="宋体"/>
          <w:color w:val="auto"/>
          <w:szCs w:val="21"/>
          <w:highlight w:val="none"/>
          <w:lang w:eastAsia="zh-CN"/>
        </w:rPr>
      </w:pPr>
      <w:r>
        <w:rPr>
          <w:rFonts w:hint="eastAsia" w:ascii="宋体" w:hAnsi="宋体" w:cs="宋体"/>
          <w:color w:val="auto"/>
          <w:kern w:val="0"/>
          <w:szCs w:val="21"/>
          <w:highlight w:val="none"/>
        </w:rPr>
        <w:t>采购人：</w:t>
      </w:r>
      <w:r>
        <w:rPr>
          <w:rFonts w:hint="eastAsia" w:ascii="宋体" w:hAnsi="宋体"/>
          <w:color w:val="auto"/>
          <w:szCs w:val="21"/>
          <w:highlight w:val="none"/>
          <w:lang w:eastAsia="zh-CN"/>
        </w:rPr>
        <w:t>防城港市住房和城乡建设局</w:t>
      </w:r>
    </w:p>
    <w:p w14:paraId="485C3473">
      <w:pPr>
        <w:spacing w:line="360" w:lineRule="exact"/>
        <w:ind w:firstLine="420" w:firstLineChars="200"/>
        <w:jc w:val="righ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采购代理机构：</w:t>
      </w:r>
      <w:r>
        <w:rPr>
          <w:rFonts w:hint="eastAsia" w:ascii="宋体" w:hAnsi="宋体" w:cs="宋体"/>
          <w:color w:val="auto"/>
          <w:kern w:val="0"/>
          <w:szCs w:val="21"/>
          <w:highlight w:val="none"/>
          <w:lang w:eastAsia="zh-CN"/>
        </w:rPr>
        <w:t>广西达华工程造价咨询有限责任公司</w:t>
      </w:r>
    </w:p>
    <w:p w14:paraId="3E5B9CD7">
      <w:pPr>
        <w:spacing w:line="360" w:lineRule="exact"/>
        <w:ind w:firstLine="420" w:firstLineChars="200"/>
        <w:jc w:val="righ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202</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年</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日</w:t>
      </w:r>
    </w:p>
    <w:p w14:paraId="32F1E993">
      <w:pPr>
        <w:pStyle w:val="18"/>
        <w:rPr>
          <w:rFonts w:hint="eastAsia"/>
          <w:color w:val="auto"/>
          <w:highlight w:val="none"/>
        </w:rPr>
      </w:pPr>
    </w:p>
    <w:p w14:paraId="0DEF4035">
      <w:pPr>
        <w:pStyle w:val="18"/>
        <w:rPr>
          <w:rFonts w:hint="eastAsia"/>
          <w:color w:val="auto"/>
          <w:highlight w:val="none"/>
        </w:rPr>
      </w:pPr>
    </w:p>
    <w:p w14:paraId="3EB328B8">
      <w:pPr>
        <w:pStyle w:val="18"/>
        <w:rPr>
          <w:rFonts w:hint="eastAsia"/>
          <w:color w:val="auto"/>
          <w:highlight w:val="none"/>
        </w:rPr>
      </w:pPr>
    </w:p>
    <w:p w14:paraId="276464D1">
      <w:pPr>
        <w:pStyle w:val="18"/>
        <w:rPr>
          <w:rFonts w:hint="eastAsia"/>
          <w:color w:val="auto"/>
          <w:highlight w:val="none"/>
        </w:rPr>
      </w:pPr>
    </w:p>
    <w:p w14:paraId="57439FDB">
      <w:pPr>
        <w:pStyle w:val="18"/>
        <w:rPr>
          <w:rFonts w:hint="eastAsia"/>
          <w:color w:val="auto"/>
          <w:highlight w:val="none"/>
        </w:rPr>
      </w:pPr>
    </w:p>
    <w:p w14:paraId="77F16D03">
      <w:pPr>
        <w:pStyle w:val="18"/>
        <w:rPr>
          <w:rFonts w:hint="eastAsia"/>
          <w:color w:val="auto"/>
          <w:highlight w:val="none"/>
        </w:rPr>
      </w:pPr>
    </w:p>
    <w:p w14:paraId="5DB9F4EB">
      <w:pPr>
        <w:pStyle w:val="18"/>
        <w:rPr>
          <w:rFonts w:hint="eastAsia"/>
          <w:color w:val="auto"/>
          <w:highlight w:val="none"/>
        </w:rPr>
      </w:pPr>
    </w:p>
    <w:p w14:paraId="7D505315">
      <w:pPr>
        <w:pStyle w:val="18"/>
        <w:rPr>
          <w:rFonts w:hint="eastAsia"/>
          <w:color w:val="auto"/>
          <w:highlight w:val="none"/>
        </w:rPr>
      </w:pPr>
    </w:p>
    <w:p w14:paraId="2D3CE790">
      <w:pPr>
        <w:pStyle w:val="18"/>
        <w:rPr>
          <w:rFonts w:hint="eastAsia"/>
          <w:color w:val="auto"/>
          <w:highlight w:val="none"/>
        </w:rPr>
      </w:pPr>
    </w:p>
    <w:p w14:paraId="1A5D5314">
      <w:pPr>
        <w:pStyle w:val="18"/>
        <w:rPr>
          <w:rFonts w:hint="eastAsia"/>
          <w:color w:val="auto"/>
          <w:highlight w:val="none"/>
        </w:rPr>
      </w:pPr>
    </w:p>
    <w:p w14:paraId="6CA8B3DF">
      <w:pPr>
        <w:pStyle w:val="18"/>
        <w:rPr>
          <w:rFonts w:hint="eastAsia"/>
          <w:color w:val="auto"/>
          <w:highlight w:val="none"/>
        </w:rPr>
      </w:pPr>
    </w:p>
    <w:p w14:paraId="33E0BD83">
      <w:pPr>
        <w:pStyle w:val="18"/>
        <w:rPr>
          <w:rFonts w:hint="eastAsia"/>
          <w:color w:val="auto"/>
          <w:highlight w:val="none"/>
        </w:rPr>
      </w:pPr>
    </w:p>
    <w:p w14:paraId="7BA98276">
      <w:pPr>
        <w:pStyle w:val="18"/>
        <w:rPr>
          <w:rFonts w:hint="eastAsia"/>
          <w:color w:val="auto"/>
          <w:highlight w:val="none"/>
        </w:rPr>
      </w:pPr>
    </w:p>
    <w:p w14:paraId="654B4581">
      <w:pPr>
        <w:pStyle w:val="18"/>
        <w:rPr>
          <w:rFonts w:hint="eastAsia"/>
          <w:color w:val="auto"/>
          <w:highlight w:val="none"/>
        </w:rPr>
      </w:pPr>
    </w:p>
    <w:p w14:paraId="100A6FE1">
      <w:pPr>
        <w:pStyle w:val="18"/>
        <w:rPr>
          <w:rFonts w:hint="eastAsia"/>
          <w:color w:val="auto"/>
          <w:highlight w:val="none"/>
        </w:rPr>
      </w:pPr>
    </w:p>
    <w:p w14:paraId="59F01E98">
      <w:pPr>
        <w:pStyle w:val="18"/>
        <w:rPr>
          <w:rFonts w:hint="eastAsia"/>
          <w:color w:val="auto"/>
          <w:highlight w:val="none"/>
        </w:rPr>
      </w:pPr>
    </w:p>
    <w:p w14:paraId="2893F59A">
      <w:pPr>
        <w:pStyle w:val="18"/>
        <w:rPr>
          <w:rFonts w:hint="eastAsia"/>
          <w:color w:val="auto"/>
          <w:highlight w:val="none"/>
        </w:rPr>
      </w:pPr>
    </w:p>
    <w:p w14:paraId="0AF6C4A6">
      <w:pPr>
        <w:pStyle w:val="18"/>
        <w:rPr>
          <w:rFonts w:hint="eastAsia"/>
          <w:color w:val="auto"/>
          <w:highlight w:val="none"/>
        </w:rPr>
      </w:pPr>
    </w:p>
    <w:p w14:paraId="2E563F77">
      <w:pPr>
        <w:pStyle w:val="18"/>
        <w:rPr>
          <w:rFonts w:hint="eastAsia"/>
          <w:color w:val="auto"/>
          <w:highlight w:val="none"/>
        </w:rPr>
      </w:pPr>
    </w:p>
    <w:p w14:paraId="25095000">
      <w:pPr>
        <w:pStyle w:val="18"/>
        <w:rPr>
          <w:rFonts w:hint="eastAsia"/>
          <w:color w:val="auto"/>
          <w:highlight w:val="none"/>
        </w:rPr>
      </w:pPr>
    </w:p>
    <w:p w14:paraId="571DCD92">
      <w:pPr>
        <w:pStyle w:val="18"/>
        <w:rPr>
          <w:rFonts w:hint="eastAsia"/>
          <w:color w:val="auto"/>
          <w:highlight w:val="none"/>
        </w:rPr>
      </w:pPr>
    </w:p>
    <w:p w14:paraId="6118D122">
      <w:pPr>
        <w:pStyle w:val="18"/>
        <w:rPr>
          <w:rFonts w:hint="eastAsia"/>
          <w:color w:val="auto"/>
          <w:highlight w:val="none"/>
        </w:rPr>
      </w:pPr>
    </w:p>
    <w:p w14:paraId="3C6920BD">
      <w:pPr>
        <w:pStyle w:val="18"/>
        <w:rPr>
          <w:rFonts w:hint="eastAsia"/>
          <w:color w:val="auto"/>
          <w:highlight w:val="none"/>
        </w:rPr>
      </w:pPr>
    </w:p>
    <w:p w14:paraId="5CBF30FA">
      <w:pPr>
        <w:pStyle w:val="18"/>
        <w:rPr>
          <w:rFonts w:hint="eastAsia"/>
          <w:color w:val="auto"/>
          <w:highlight w:val="none"/>
          <w:lang w:eastAsia="zh-CN"/>
        </w:rPr>
      </w:pPr>
    </w:p>
    <w:p w14:paraId="08E1A9F1">
      <w:pPr>
        <w:pStyle w:val="18"/>
        <w:rPr>
          <w:rFonts w:hint="eastAsia"/>
          <w:color w:val="auto"/>
          <w:highlight w:val="none"/>
          <w:lang w:eastAsia="zh-CN"/>
        </w:rPr>
      </w:pPr>
    </w:p>
    <w:p w14:paraId="0D7B3706">
      <w:pPr>
        <w:pStyle w:val="3"/>
        <w:spacing w:line="240" w:lineRule="auto"/>
        <w:jc w:val="center"/>
        <w:rPr>
          <w:rFonts w:hint="eastAsia" w:ascii="宋体" w:hAnsi="宋体"/>
          <w:color w:val="auto"/>
          <w:highlight w:val="none"/>
        </w:rPr>
      </w:pPr>
      <w:bookmarkStart w:id="46" w:name="_Toc121503196"/>
      <w:r>
        <w:rPr>
          <w:rFonts w:hint="eastAsia" w:ascii="宋体" w:hAnsi="宋体"/>
          <w:color w:val="auto"/>
          <w:highlight w:val="none"/>
        </w:rPr>
        <w:t>第二章  采购需求</w:t>
      </w:r>
      <w:bookmarkEnd w:id="46"/>
    </w:p>
    <w:p w14:paraId="383796D4">
      <w:pPr>
        <w:spacing w:line="360" w:lineRule="auto"/>
        <w:jc w:val="left"/>
        <w:rPr>
          <w:rFonts w:ascii="宋体" w:hAnsi="宋体" w:cs="宋体"/>
          <w:color w:val="auto"/>
          <w:szCs w:val="21"/>
          <w:highlight w:val="none"/>
        </w:rPr>
      </w:pPr>
      <w:bookmarkStart w:id="47" w:name="_Toc254970490"/>
      <w:bookmarkStart w:id="48" w:name="_Toc254970631"/>
      <w:r>
        <w:rPr>
          <w:rFonts w:hint="eastAsia" w:ascii="宋体" w:hAnsi="宋体" w:cs="宋体"/>
          <w:color w:val="auto"/>
          <w:szCs w:val="21"/>
          <w:highlight w:val="none"/>
        </w:rPr>
        <w:t>说明：</w:t>
      </w:r>
    </w:p>
    <w:p w14:paraId="4EB81F13">
      <w:pPr>
        <w:spacing w:line="360" w:lineRule="auto"/>
        <w:ind w:firstLine="420" w:firstLineChars="200"/>
        <w:jc w:val="left"/>
        <w:rPr>
          <w:rFonts w:hint="eastAsia" w:ascii="宋体" w:hAnsi="宋体" w:cs="宋体"/>
          <w:color w:val="auto"/>
          <w:szCs w:val="21"/>
          <w:highlight w:val="none"/>
        </w:rPr>
      </w:pPr>
      <w:r>
        <w:rPr>
          <w:rFonts w:hint="eastAsia" w:ascii="宋体" w:hAnsi="宋体"/>
          <w:color w:val="auto"/>
          <w:highlight w:val="none"/>
        </w:rPr>
        <w:t>1. 为落实政府采购政策需满足的要求</w:t>
      </w:r>
      <w:r>
        <w:rPr>
          <w:rFonts w:hint="eastAsia" w:ascii="宋体" w:hAnsi="宋体" w:cs="宋体"/>
          <w:color w:val="auto"/>
          <w:szCs w:val="21"/>
          <w:highlight w:val="none"/>
        </w:rPr>
        <w:t>：本招标文件所称中小企业必须符合《政府采购促进中小企业发展管理办法》（财库〔2020〕46号）的规定。</w:t>
      </w:r>
    </w:p>
    <w:p w14:paraId="44F16BB4">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2.“实质性要求”是指招标文件中已经指明不满足则投标无效的条款，或者不能负偏离的条款，或者采购需求中带“▲”的条款。</w:t>
      </w:r>
    </w:p>
    <w:p w14:paraId="63AF348A">
      <w:pPr>
        <w:spacing w:line="360" w:lineRule="auto"/>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3.采购需求中出现的品牌、型号或者生产厂家仅起参考作用，不属于指定品牌、型号或者生产厂家的情形。投标人可参照或者选用其他相当的品牌、型号或者生产厂家替代。</w:t>
      </w:r>
    </w:p>
    <w:p w14:paraId="4436ED81">
      <w:pPr>
        <w:spacing w:line="360" w:lineRule="auto"/>
        <w:ind w:firstLine="424" w:firstLineChars="202"/>
        <w:jc w:val="left"/>
        <w:rPr>
          <w:rStyle w:val="56"/>
          <w:color w:val="auto"/>
          <w:highlight w:val="none"/>
        </w:rPr>
      </w:pPr>
      <w:r>
        <w:rPr>
          <w:rFonts w:hint="eastAsia" w:ascii="宋体" w:hAnsi="宋体" w:cs="宋体"/>
          <w:color w:val="auto"/>
          <w:szCs w:val="21"/>
          <w:highlight w:val="none"/>
        </w:rPr>
        <w:t>4.投标人应根据自身实际情况如实响应招标文件</w:t>
      </w:r>
      <w:r>
        <w:rPr>
          <w:rFonts w:hint="eastAsia" w:ascii="宋体" w:hAnsi="宋体"/>
          <w:color w:val="auto"/>
          <w:szCs w:val="21"/>
          <w:highlight w:val="none"/>
        </w:rPr>
        <w:t>，不得仅将招标文件内容简单复制粘贴作为投标响应，还应当提供相关证明材料。</w:t>
      </w:r>
      <w:r>
        <w:rPr>
          <w:rFonts w:hint="eastAsia"/>
          <w:color w:val="auto"/>
          <w:highlight w:val="none"/>
        </w:rPr>
        <w:t>对于重要技术条款或技术参数应当在投标文件中提供技术支持资料，技术支持资料以招标文件中规定的形式为准。</w:t>
      </w:r>
    </w:p>
    <w:p w14:paraId="55D9C4EF">
      <w:pPr>
        <w:spacing w:line="360" w:lineRule="auto"/>
        <w:ind w:firstLine="308" w:firstLineChars="147"/>
        <w:jc w:val="left"/>
        <w:rPr>
          <w:rFonts w:hint="eastAsia"/>
          <w:color w:val="auto"/>
          <w:highlight w:val="none"/>
        </w:rPr>
      </w:pPr>
      <w:r>
        <w:rPr>
          <w:rFonts w:hint="eastAsia" w:ascii="宋体" w:hAnsi="宋体" w:cs="宋体"/>
          <w:color w:val="auto"/>
          <w:szCs w:val="21"/>
          <w:highlight w:val="none"/>
        </w:rPr>
        <w:t>5</w:t>
      </w:r>
      <w:r>
        <w:rPr>
          <w:rFonts w:ascii="宋体" w:hAnsi="宋体" w:cs="宋体"/>
          <w:color w:val="auto"/>
          <w:szCs w:val="21"/>
          <w:highlight w:val="none"/>
        </w:rPr>
        <w:t>.</w:t>
      </w:r>
      <w:r>
        <w:rPr>
          <w:rFonts w:hint="eastAsia"/>
          <w:color w:val="auto"/>
          <w:highlight w:val="none"/>
        </w:rPr>
        <w:t>投标人</w:t>
      </w:r>
      <w:r>
        <w:rPr>
          <w:color w:val="auto"/>
          <w:highlight w:val="none"/>
        </w:rPr>
        <w:t>必须自行为其</w:t>
      </w:r>
      <w:r>
        <w:rPr>
          <w:rFonts w:hint="eastAsia"/>
          <w:color w:val="auto"/>
          <w:highlight w:val="none"/>
        </w:rPr>
        <w:t>投标</w:t>
      </w:r>
      <w:r>
        <w:rPr>
          <w:color w:val="auto"/>
          <w:highlight w:val="none"/>
        </w:rPr>
        <w:t>产品侵犯</w:t>
      </w:r>
      <w:r>
        <w:rPr>
          <w:rFonts w:hint="eastAsia"/>
          <w:color w:val="auto"/>
          <w:highlight w:val="none"/>
        </w:rPr>
        <w:t>他人的知识产权或者专利成果的行为</w:t>
      </w:r>
      <w:r>
        <w:rPr>
          <w:color w:val="auto"/>
          <w:highlight w:val="none"/>
        </w:rPr>
        <w:t>承担相应法律责任</w:t>
      </w:r>
      <w:r>
        <w:rPr>
          <w:rFonts w:hint="eastAsia"/>
          <w:color w:val="auto"/>
          <w:highlight w:val="none"/>
        </w:rPr>
        <w:t>。</w:t>
      </w:r>
    </w:p>
    <w:p w14:paraId="60D57965">
      <w:pPr>
        <w:spacing w:line="360" w:lineRule="auto"/>
        <w:ind w:firstLine="310" w:firstLineChars="147"/>
        <w:jc w:val="left"/>
        <w:rPr>
          <w:rFonts w:hint="eastAsia" w:ascii="宋体" w:hAnsi="宋体"/>
          <w:b/>
          <w:color w:val="auto"/>
          <w:szCs w:val="21"/>
          <w:highlight w:val="none"/>
        </w:rPr>
      </w:pPr>
      <w:r>
        <w:rPr>
          <w:rFonts w:hint="eastAsia" w:ascii="宋体" w:hAnsi="宋体"/>
          <w:b/>
          <w:color w:val="auto"/>
          <w:szCs w:val="21"/>
          <w:highlight w:val="none"/>
        </w:rPr>
        <w:t>预算金额：人民币</w:t>
      </w:r>
      <w:r>
        <w:rPr>
          <w:rFonts w:hint="eastAsia" w:ascii="宋体" w:hAnsi="宋体"/>
          <w:b/>
          <w:color w:val="auto"/>
          <w:szCs w:val="21"/>
          <w:highlight w:val="none"/>
          <w:lang w:eastAsia="zh-CN"/>
        </w:rPr>
        <w:t>肆佰贰拾玖万元整（¥4290000.00）</w:t>
      </w:r>
      <w:r>
        <w:rPr>
          <w:rFonts w:hint="eastAsia" w:ascii="宋体" w:hAnsi="宋体"/>
          <w:b/>
          <w:color w:val="auto"/>
          <w:szCs w:val="21"/>
          <w:highlight w:val="none"/>
        </w:rPr>
        <w:t>。</w:t>
      </w:r>
    </w:p>
    <w:p w14:paraId="1C17F107">
      <w:pPr>
        <w:spacing w:line="360" w:lineRule="auto"/>
        <w:ind w:firstLine="310" w:firstLineChars="147"/>
        <w:jc w:val="left"/>
        <w:rPr>
          <w:rFonts w:hint="eastAsia" w:ascii="宋体" w:hAnsi="宋体"/>
          <w:b/>
          <w:color w:val="auto"/>
          <w:szCs w:val="21"/>
          <w:highlight w:val="none"/>
        </w:rPr>
      </w:pPr>
      <w:r>
        <w:rPr>
          <w:rFonts w:hint="eastAsia" w:ascii="宋体" w:hAnsi="宋体"/>
          <w:b/>
          <w:color w:val="auto"/>
          <w:szCs w:val="21"/>
          <w:highlight w:val="none"/>
        </w:rPr>
        <w:t>最高限价：人民币</w:t>
      </w:r>
      <w:r>
        <w:rPr>
          <w:rFonts w:hint="eastAsia" w:ascii="宋体" w:hAnsi="宋体"/>
          <w:b/>
          <w:color w:val="auto"/>
          <w:szCs w:val="21"/>
          <w:highlight w:val="none"/>
          <w:lang w:eastAsia="zh-CN"/>
        </w:rPr>
        <w:t>肆佰贰拾玖万元整（¥4290000.00）</w:t>
      </w:r>
      <w:r>
        <w:rPr>
          <w:rFonts w:hint="eastAsia" w:ascii="宋体" w:hAnsi="宋体"/>
          <w:b/>
          <w:color w:val="auto"/>
          <w:szCs w:val="21"/>
          <w:highlight w:val="none"/>
        </w:rPr>
        <w:t>。</w:t>
      </w:r>
    </w:p>
    <w:bookmarkEnd w:id="47"/>
    <w:bookmarkEnd w:id="48"/>
    <w:tbl>
      <w:tblPr>
        <w:tblStyle w:val="48"/>
        <w:tblW w:w="95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20"/>
        <w:gridCol w:w="784"/>
        <w:gridCol w:w="294"/>
        <w:gridCol w:w="351"/>
        <w:gridCol w:w="646"/>
        <w:gridCol w:w="6976"/>
      </w:tblGrid>
      <w:tr w14:paraId="31821F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jc w:val="center"/>
        </w:trPr>
        <w:tc>
          <w:tcPr>
            <w:tcW w:w="9571" w:type="dxa"/>
            <w:gridSpan w:val="6"/>
            <w:vAlign w:val="center"/>
          </w:tcPr>
          <w:p w14:paraId="6FF0D5D9">
            <w:pPr>
              <w:pStyle w:val="199"/>
              <w:rPr>
                <w:rFonts w:hint="eastAsia" w:ascii="宋体" w:hAnsi="宋体"/>
                <w:color w:val="auto"/>
                <w:kern w:val="2"/>
                <w:sz w:val="21"/>
                <w:szCs w:val="21"/>
                <w:highlight w:val="none"/>
                <w:lang w:eastAsia="zh-CN"/>
              </w:rPr>
            </w:pPr>
            <w:r>
              <w:rPr>
                <w:rFonts w:hint="eastAsia" w:ascii="宋体" w:hAnsi="宋体"/>
                <w:color w:val="auto"/>
                <w:kern w:val="2"/>
                <w:sz w:val="21"/>
                <w:szCs w:val="21"/>
                <w:highlight w:val="none"/>
                <w:lang w:eastAsia="zh-CN"/>
              </w:rPr>
              <w:t>一、采购需求</w:t>
            </w:r>
          </w:p>
        </w:tc>
      </w:tr>
      <w:tr w14:paraId="20D90F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520" w:type="dxa"/>
            <w:vAlign w:val="center"/>
          </w:tcPr>
          <w:p w14:paraId="77F287AA">
            <w:pPr>
              <w:pStyle w:val="199"/>
              <w:jc w:val="center"/>
              <w:rPr>
                <w:rFonts w:hint="eastAsia" w:ascii="宋体" w:hAnsi="宋体"/>
                <w:color w:val="auto"/>
                <w:kern w:val="2"/>
                <w:sz w:val="21"/>
                <w:szCs w:val="21"/>
                <w:highlight w:val="none"/>
                <w:lang w:eastAsia="zh-CN"/>
              </w:rPr>
            </w:pPr>
            <w:r>
              <w:rPr>
                <w:rFonts w:hint="eastAsia" w:ascii="宋体" w:hAnsi="宋体"/>
                <w:color w:val="auto"/>
                <w:kern w:val="2"/>
                <w:sz w:val="21"/>
                <w:szCs w:val="21"/>
                <w:highlight w:val="none"/>
                <w:lang w:eastAsia="zh-CN"/>
              </w:rPr>
              <w:t>序号</w:t>
            </w:r>
          </w:p>
        </w:tc>
        <w:tc>
          <w:tcPr>
            <w:tcW w:w="784" w:type="dxa"/>
            <w:vAlign w:val="center"/>
          </w:tcPr>
          <w:p w14:paraId="77F9F8FA">
            <w:pPr>
              <w:pStyle w:val="199"/>
              <w:jc w:val="center"/>
              <w:rPr>
                <w:rFonts w:hint="eastAsia" w:ascii="宋体" w:hAnsi="宋体"/>
                <w:color w:val="auto"/>
                <w:kern w:val="2"/>
                <w:sz w:val="21"/>
                <w:szCs w:val="21"/>
                <w:highlight w:val="none"/>
                <w:lang w:eastAsia="zh-CN"/>
              </w:rPr>
            </w:pPr>
            <w:r>
              <w:rPr>
                <w:rFonts w:hint="eastAsia" w:ascii="宋体" w:hAnsi="宋体"/>
                <w:color w:val="auto"/>
                <w:kern w:val="2"/>
                <w:sz w:val="21"/>
                <w:szCs w:val="21"/>
                <w:highlight w:val="none"/>
                <w:lang w:eastAsia="zh-CN"/>
              </w:rPr>
              <w:t>标的的名称</w:t>
            </w:r>
          </w:p>
        </w:tc>
        <w:tc>
          <w:tcPr>
            <w:tcW w:w="645" w:type="dxa"/>
            <w:gridSpan w:val="2"/>
          </w:tcPr>
          <w:p w14:paraId="288B20DC">
            <w:pPr>
              <w:pStyle w:val="199"/>
              <w:jc w:val="center"/>
              <w:rPr>
                <w:rFonts w:hint="eastAsia" w:ascii="宋体" w:hAnsi="宋体"/>
                <w:color w:val="auto"/>
                <w:kern w:val="2"/>
                <w:sz w:val="21"/>
                <w:szCs w:val="21"/>
                <w:highlight w:val="none"/>
                <w:lang w:eastAsia="zh-CN"/>
              </w:rPr>
            </w:pPr>
            <w:r>
              <w:rPr>
                <w:rFonts w:hint="eastAsia" w:ascii="宋体" w:hAnsi="宋体"/>
                <w:color w:val="auto"/>
                <w:kern w:val="2"/>
                <w:sz w:val="21"/>
                <w:szCs w:val="21"/>
                <w:highlight w:val="none"/>
                <w:lang w:eastAsia="zh-CN"/>
              </w:rPr>
              <w:t>数量及单位</w:t>
            </w:r>
          </w:p>
        </w:tc>
        <w:tc>
          <w:tcPr>
            <w:tcW w:w="646" w:type="dxa"/>
            <w:vAlign w:val="center"/>
          </w:tcPr>
          <w:p w14:paraId="73802A96">
            <w:pPr>
              <w:pStyle w:val="199"/>
              <w:jc w:val="center"/>
              <w:rPr>
                <w:rFonts w:hint="eastAsia" w:ascii="宋体" w:hAnsi="宋体"/>
                <w:color w:val="auto"/>
                <w:kern w:val="2"/>
                <w:sz w:val="21"/>
                <w:szCs w:val="21"/>
                <w:highlight w:val="none"/>
                <w:lang w:eastAsia="zh-CN"/>
              </w:rPr>
            </w:pPr>
            <w:r>
              <w:rPr>
                <w:rFonts w:hint="eastAsia" w:ascii="宋体" w:hAnsi="宋体"/>
                <w:color w:val="auto"/>
                <w:kern w:val="2"/>
                <w:sz w:val="21"/>
                <w:szCs w:val="21"/>
                <w:highlight w:val="none"/>
                <w:lang w:eastAsia="zh-CN"/>
              </w:rPr>
              <w:t>所属行业</w:t>
            </w:r>
          </w:p>
        </w:tc>
        <w:tc>
          <w:tcPr>
            <w:tcW w:w="6976" w:type="dxa"/>
            <w:vAlign w:val="center"/>
          </w:tcPr>
          <w:p w14:paraId="081FFC5C">
            <w:pPr>
              <w:pStyle w:val="199"/>
              <w:jc w:val="center"/>
              <w:rPr>
                <w:rFonts w:hint="eastAsia" w:ascii="宋体" w:hAnsi="宋体"/>
                <w:color w:val="auto"/>
                <w:kern w:val="2"/>
                <w:sz w:val="21"/>
                <w:szCs w:val="21"/>
                <w:highlight w:val="none"/>
                <w:lang w:eastAsia="zh-CN"/>
              </w:rPr>
            </w:pPr>
            <w:r>
              <w:rPr>
                <w:rFonts w:hint="eastAsia" w:ascii="宋体" w:hAnsi="宋体"/>
                <w:color w:val="auto"/>
                <w:kern w:val="2"/>
                <w:sz w:val="21"/>
                <w:szCs w:val="21"/>
                <w:highlight w:val="none"/>
                <w:lang w:eastAsia="zh-CN"/>
              </w:rPr>
              <w:t>服务要求</w:t>
            </w:r>
          </w:p>
        </w:tc>
      </w:tr>
      <w:tr w14:paraId="6BE142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jc w:val="center"/>
        </w:trPr>
        <w:tc>
          <w:tcPr>
            <w:tcW w:w="520" w:type="dxa"/>
            <w:vAlign w:val="center"/>
          </w:tcPr>
          <w:p w14:paraId="40A010D5">
            <w:pPr>
              <w:pStyle w:val="199"/>
              <w:jc w:val="center"/>
              <w:rPr>
                <w:rFonts w:hint="eastAsia" w:ascii="宋体" w:hAnsi="宋体"/>
                <w:color w:val="auto"/>
                <w:kern w:val="2"/>
                <w:sz w:val="21"/>
                <w:szCs w:val="21"/>
                <w:highlight w:val="none"/>
                <w:lang w:eastAsia="zh-CN"/>
              </w:rPr>
            </w:pPr>
            <w:r>
              <w:rPr>
                <w:rFonts w:hint="eastAsia" w:ascii="宋体" w:hAnsi="宋体"/>
                <w:color w:val="auto"/>
                <w:kern w:val="2"/>
                <w:sz w:val="21"/>
                <w:szCs w:val="21"/>
                <w:highlight w:val="none"/>
                <w:lang w:eastAsia="zh-CN"/>
              </w:rPr>
              <w:t>1</w:t>
            </w:r>
          </w:p>
        </w:tc>
        <w:tc>
          <w:tcPr>
            <w:tcW w:w="784" w:type="dxa"/>
            <w:vAlign w:val="center"/>
          </w:tcPr>
          <w:p w14:paraId="3A323F2D">
            <w:pPr>
              <w:pStyle w:val="199"/>
              <w:jc w:val="center"/>
              <w:rPr>
                <w:rFonts w:ascii="宋体" w:hAnsi="宋体"/>
                <w:color w:val="auto"/>
                <w:kern w:val="2"/>
                <w:sz w:val="21"/>
                <w:szCs w:val="21"/>
                <w:highlight w:val="none"/>
                <w:lang w:eastAsia="zh-CN"/>
              </w:rPr>
            </w:pPr>
            <w:r>
              <w:rPr>
                <w:rFonts w:hint="eastAsia" w:ascii="宋体" w:hAnsi="宋体"/>
                <w:color w:val="auto"/>
                <w:kern w:val="2"/>
                <w:sz w:val="21"/>
                <w:szCs w:val="21"/>
                <w:highlight w:val="none"/>
                <w:lang w:eastAsia="zh-CN"/>
              </w:rPr>
              <w:t>2026-2028年市管城市照明设施维修养护服务采购项目</w:t>
            </w:r>
          </w:p>
        </w:tc>
        <w:tc>
          <w:tcPr>
            <w:tcW w:w="645" w:type="dxa"/>
            <w:gridSpan w:val="2"/>
            <w:vAlign w:val="center"/>
          </w:tcPr>
          <w:p w14:paraId="0F5AD5CC">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3年</w:t>
            </w:r>
          </w:p>
        </w:tc>
        <w:tc>
          <w:tcPr>
            <w:tcW w:w="646" w:type="dxa"/>
            <w:vAlign w:val="center"/>
          </w:tcPr>
          <w:p w14:paraId="486028ED">
            <w:pPr>
              <w:pStyle w:val="16"/>
              <w:spacing w:line="360" w:lineRule="auto"/>
              <w:rPr>
                <w:rFonts w:hint="eastAsia" w:ascii="宋体" w:hAnsi="宋体" w:cs="Arial"/>
                <w:color w:val="auto"/>
                <w:szCs w:val="21"/>
                <w:highlight w:val="none"/>
                <w:lang w:val="en-US" w:eastAsia="zh-CN"/>
              </w:rPr>
            </w:pPr>
            <w:r>
              <w:rPr>
                <w:rFonts w:hint="eastAsia" w:ascii="宋体" w:hAnsi="宋体" w:cs="Arial"/>
                <w:color w:val="auto"/>
                <w:szCs w:val="21"/>
                <w:highlight w:val="none"/>
                <w:lang w:val="en-US" w:eastAsia="zh-CN"/>
              </w:rPr>
              <w:t>其他</w:t>
            </w:r>
          </w:p>
          <w:p w14:paraId="7751FF0E">
            <w:pPr>
              <w:pStyle w:val="16"/>
              <w:spacing w:line="360" w:lineRule="auto"/>
              <w:rPr>
                <w:rFonts w:hint="eastAsia" w:ascii="宋体" w:hAnsi="宋体" w:cs="Arial"/>
                <w:color w:val="auto"/>
                <w:szCs w:val="21"/>
                <w:highlight w:val="none"/>
                <w:lang w:val="en-US" w:eastAsia="zh-CN"/>
              </w:rPr>
            </w:pPr>
            <w:r>
              <w:rPr>
                <w:rFonts w:hint="eastAsia" w:ascii="宋体" w:hAnsi="宋体" w:cs="Arial"/>
                <w:color w:val="auto"/>
                <w:szCs w:val="21"/>
                <w:highlight w:val="none"/>
                <w:lang w:val="en-US" w:eastAsia="zh-CN"/>
              </w:rPr>
              <w:t>未列</w:t>
            </w:r>
          </w:p>
          <w:p w14:paraId="1FA03B0E">
            <w:pPr>
              <w:pStyle w:val="16"/>
              <w:spacing w:line="360" w:lineRule="auto"/>
              <w:rPr>
                <w:rFonts w:hint="eastAsia" w:ascii="宋体" w:hAnsi="宋体" w:cs="Arial"/>
                <w:color w:val="auto"/>
                <w:szCs w:val="21"/>
                <w:highlight w:val="none"/>
                <w:lang w:val="en-US" w:eastAsia="zh-CN"/>
              </w:rPr>
            </w:pPr>
            <w:r>
              <w:rPr>
                <w:rFonts w:hint="eastAsia" w:ascii="宋体" w:hAnsi="宋体" w:cs="Arial"/>
                <w:color w:val="auto"/>
                <w:szCs w:val="21"/>
                <w:highlight w:val="none"/>
                <w:lang w:val="en-US" w:eastAsia="zh-CN"/>
              </w:rPr>
              <w:t>明行</w:t>
            </w:r>
          </w:p>
          <w:p w14:paraId="05B03860">
            <w:pPr>
              <w:pStyle w:val="16"/>
              <w:spacing w:line="360" w:lineRule="auto"/>
              <w:rPr>
                <w:rFonts w:hint="eastAsia" w:ascii="宋体" w:hAnsi="宋体" w:cs="Arial"/>
                <w:color w:val="auto"/>
                <w:szCs w:val="21"/>
                <w:highlight w:val="none"/>
                <w:lang w:val="en-US" w:eastAsia="zh-CN"/>
              </w:rPr>
            </w:pPr>
            <w:r>
              <w:rPr>
                <w:rFonts w:hint="eastAsia" w:ascii="宋体" w:hAnsi="宋体" w:cs="Arial"/>
                <w:color w:val="auto"/>
                <w:szCs w:val="21"/>
                <w:highlight w:val="none"/>
                <w:lang w:val="en-US" w:eastAsia="zh-CN"/>
              </w:rPr>
              <w:t>业</w:t>
            </w:r>
          </w:p>
          <w:p w14:paraId="03C12FDE">
            <w:pPr>
              <w:pStyle w:val="16"/>
              <w:spacing w:line="360" w:lineRule="auto"/>
              <w:rPr>
                <w:rFonts w:hint="eastAsia" w:ascii="宋体" w:hAnsi="宋体" w:cs="Arial"/>
                <w:color w:val="auto"/>
                <w:szCs w:val="21"/>
                <w:highlight w:val="none"/>
                <w:lang w:val="en-US" w:eastAsia="zh-CN"/>
              </w:rPr>
            </w:pPr>
          </w:p>
        </w:tc>
        <w:tc>
          <w:tcPr>
            <w:tcW w:w="6976" w:type="dxa"/>
            <w:vAlign w:val="center"/>
          </w:tcPr>
          <w:p w14:paraId="187959D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一、</w:t>
            </w:r>
            <w:r>
              <w:rPr>
                <w:rFonts w:hint="eastAsia" w:ascii="宋体" w:hAnsi="宋体"/>
                <w:color w:val="auto"/>
                <w:szCs w:val="21"/>
                <w:highlight w:val="none"/>
              </w:rPr>
              <w:t>服务目标</w:t>
            </w:r>
          </w:p>
          <w:p w14:paraId="4F7C33B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1、</w:t>
            </w:r>
            <w:r>
              <w:rPr>
                <w:rFonts w:hint="eastAsia" w:ascii="宋体" w:hAnsi="宋体"/>
                <w:color w:val="auto"/>
                <w:szCs w:val="21"/>
                <w:highlight w:val="none"/>
              </w:rPr>
              <w:t>确保路灯照明设施正常运行率达到98%以上，亮灯率达到9</w:t>
            </w:r>
            <w:r>
              <w:rPr>
                <w:rFonts w:hint="eastAsia" w:ascii="宋体" w:hAnsi="宋体"/>
                <w:color w:val="auto"/>
                <w:szCs w:val="21"/>
                <w:highlight w:val="none"/>
                <w:lang w:val="en-US" w:eastAsia="zh-CN"/>
              </w:rPr>
              <w:t>8</w:t>
            </w:r>
            <w:r>
              <w:rPr>
                <w:rFonts w:hint="eastAsia" w:ascii="宋体" w:hAnsi="宋体"/>
                <w:color w:val="auto"/>
                <w:szCs w:val="21"/>
                <w:highlight w:val="none"/>
              </w:rPr>
              <w:t>%以上，为市民提供安全、舒适的夜间出行环境。</w:t>
            </w:r>
          </w:p>
          <w:p w14:paraId="2B613FD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实现城市照明设施管理的规范化、标准化，提升城市整体形象。</w:t>
            </w:r>
          </w:p>
          <w:p w14:paraId="4C009DA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二</w:t>
            </w:r>
            <w:r>
              <w:rPr>
                <w:rFonts w:hint="eastAsia" w:ascii="宋体" w:hAnsi="宋体"/>
                <w:color w:val="auto"/>
                <w:szCs w:val="21"/>
                <w:highlight w:val="none"/>
              </w:rPr>
              <w:t>、服</w:t>
            </w:r>
            <w:r>
              <w:rPr>
                <w:rFonts w:hint="eastAsia" w:ascii="宋体" w:hAnsi="宋体" w:eastAsia="宋体" w:cs="Times New Roman"/>
                <w:color w:val="auto"/>
                <w:szCs w:val="21"/>
                <w:highlight w:val="none"/>
              </w:rPr>
              <w:t>务承包范围：</w:t>
            </w:r>
            <w:r>
              <w:rPr>
                <w:rFonts w:hint="default" w:ascii="宋体" w:hAnsi="宋体" w:eastAsia="宋体" w:cs="Times New Roman"/>
                <w:color w:val="auto"/>
                <w:szCs w:val="21"/>
                <w:highlight w:val="none"/>
              </w:rPr>
              <w:t>服务范围涵</w:t>
            </w:r>
            <w:r>
              <w:rPr>
                <w:rFonts w:hint="default" w:ascii="宋体" w:hAnsi="宋体" w:eastAsia="宋体" w:cs="Times New Roman"/>
                <w:color w:val="auto"/>
                <w:szCs w:val="21"/>
                <w:highlight w:val="none"/>
              </w:rPr>
              <w:t>盖</w:t>
            </w:r>
            <w:r>
              <w:rPr>
                <w:rFonts w:hint="eastAsia" w:ascii="宋体" w:hAnsi="宋体" w:cs="Times New Roman"/>
                <w:color w:val="auto"/>
                <w:szCs w:val="21"/>
                <w:highlight w:val="none"/>
                <w:lang w:val="en-US" w:eastAsia="zh-CN"/>
              </w:rPr>
              <w:t>市级城市管理区域</w:t>
            </w:r>
            <w:r>
              <w:rPr>
                <w:rFonts w:hint="default" w:ascii="宋体" w:hAnsi="宋体" w:eastAsia="宋体" w:cs="Times New Roman"/>
                <w:color w:val="auto"/>
                <w:szCs w:val="21"/>
                <w:highlight w:val="none"/>
              </w:rPr>
              <w:t>内</w:t>
            </w:r>
            <w:r>
              <w:rPr>
                <w:rFonts w:hint="default" w:ascii="宋体" w:hAnsi="宋体" w:eastAsia="宋体" w:cs="Times New Roman"/>
                <w:color w:val="auto"/>
                <w:szCs w:val="21"/>
                <w:highlight w:val="none"/>
              </w:rPr>
              <w:t>的所有</w:t>
            </w:r>
            <w:r>
              <w:rPr>
                <w:rFonts w:hint="default" w:ascii="宋体" w:hAnsi="宋体" w:eastAsia="宋体" w:cs="Times New Roman"/>
                <w:color w:val="auto"/>
                <w:szCs w:val="21"/>
                <w:highlight w:val="none"/>
                <w:lang w:val="en-US" w:eastAsia="zh-CN"/>
              </w:rPr>
              <w:t>市政公用</w:t>
            </w:r>
            <w:r>
              <w:rPr>
                <w:rFonts w:hint="default" w:ascii="宋体" w:hAnsi="宋体" w:eastAsia="宋体" w:cs="Times New Roman"/>
                <w:color w:val="auto"/>
                <w:szCs w:val="21"/>
                <w:highlight w:val="none"/>
              </w:rPr>
              <w:t>照明设施，包括但不限于</w:t>
            </w:r>
            <w:r>
              <w:rPr>
                <w:rFonts w:hint="default" w:ascii="宋体" w:hAnsi="宋体" w:eastAsia="宋体" w:cs="Times New Roman"/>
                <w:color w:val="auto"/>
                <w:szCs w:val="21"/>
                <w:highlight w:val="none"/>
                <w:lang w:eastAsia="zh-CN"/>
              </w:rPr>
              <w:t>箱变、变压器、</w:t>
            </w:r>
            <w:r>
              <w:rPr>
                <w:rFonts w:hint="default" w:ascii="宋体" w:hAnsi="宋体" w:eastAsia="宋体" w:cs="Times New Roman"/>
                <w:color w:val="auto"/>
                <w:szCs w:val="21"/>
                <w:highlight w:val="none"/>
              </w:rPr>
              <w:t>路灯灯具、灯杆、配电箱、电缆、控制设备</w:t>
            </w:r>
            <w:r>
              <w:rPr>
                <w:rFonts w:hint="default" w:ascii="宋体" w:hAnsi="宋体" w:eastAsia="宋体" w:cs="Times New Roman"/>
                <w:color w:val="auto"/>
                <w:szCs w:val="21"/>
                <w:highlight w:val="none"/>
                <w:lang w:eastAsia="zh-CN"/>
              </w:rPr>
              <w:t>、景观亮化</w:t>
            </w:r>
            <w:r>
              <w:rPr>
                <w:rFonts w:hint="default" w:ascii="宋体" w:hAnsi="宋体" w:eastAsia="宋体" w:cs="Times New Roman"/>
                <w:color w:val="auto"/>
                <w:szCs w:val="21"/>
                <w:highlight w:val="none"/>
              </w:rPr>
              <w:t>等</w:t>
            </w:r>
            <w:r>
              <w:rPr>
                <w:rFonts w:hint="default" w:ascii="宋体" w:hAnsi="宋体" w:eastAsia="宋体" w:cs="Times New Roman"/>
                <w:color w:val="auto"/>
                <w:szCs w:val="21"/>
                <w:highlight w:val="none"/>
                <w:lang w:eastAsia="zh-CN"/>
              </w:rPr>
              <w:t>照明设施</w:t>
            </w:r>
            <w:r>
              <w:rPr>
                <w:rFonts w:hint="default" w:ascii="宋体" w:hAnsi="宋体" w:eastAsia="宋体" w:cs="Times New Roman"/>
                <w:color w:val="auto"/>
                <w:szCs w:val="21"/>
                <w:highlight w:val="none"/>
              </w:rPr>
              <w:t>的日常巡检、维护保养、故障维修、灯具清洗、照明节能改造协助等工作，以及应对极端天气、突发事件等情况下的应急处置工作。</w:t>
            </w:r>
          </w:p>
          <w:p w14:paraId="4CE02B4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三、承包方式：包工包料。</w:t>
            </w:r>
          </w:p>
          <w:p w14:paraId="1BF641B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四、服务期限：服务期限为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3</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年，自合同签订之日起计算。</w:t>
            </w:r>
          </w:p>
          <w:p w14:paraId="49AE841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五、</w:t>
            </w:r>
            <w:r>
              <w:rPr>
                <w:rFonts w:hint="eastAsia" w:ascii="宋体" w:hAnsi="宋体"/>
                <w:color w:val="auto"/>
                <w:szCs w:val="21"/>
                <w:highlight w:val="none"/>
              </w:rPr>
              <w:t>主要服务标准与要求</w:t>
            </w:r>
          </w:p>
          <w:p w14:paraId="7AF3107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1、</w:t>
            </w:r>
            <w:r>
              <w:rPr>
                <w:rFonts w:hint="eastAsia" w:ascii="宋体" w:hAnsi="宋体"/>
                <w:color w:val="auto"/>
                <w:szCs w:val="21"/>
                <w:highlight w:val="none"/>
              </w:rPr>
              <w:t>日常巡检：服务企业需制定详细的全覆盖巡检计划，对城市照明设施进行每日巡检，巡检内容包括设施外观、运行状态、安全隐患等，并做好巡检记录。及时处理巡检过程中发现的问题。</w:t>
            </w:r>
          </w:p>
          <w:p w14:paraId="20DCD1F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维护保养：定期对路灯灯具进行清洗，每年不少于1次；对灯杆进行防腐防锈处理，每3年不少于1次；对箱式变压器、配电箱等设备进行全面检测和维护，每季度不少于1次。确保设施处于良好运行状态。</w:t>
            </w:r>
          </w:p>
          <w:p w14:paraId="52A7589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故障维修：接到故障报修后，服务企业需在30分钟内响应，一般故障应在4小时内修复，复杂故障修复时间不得超过24小时（不可抗力因素除外）。</w:t>
            </w:r>
          </w:p>
          <w:p w14:paraId="19DCA82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应急处置：制定完善的应急预案，组建应急抢修队伍，配备必要的应急物资和设备。在遇到极端天气、自然灾害等突发事件时，确保在1小时内到达现场进行处置，保障路灯照明设施尽快恢复正常运行。</w:t>
            </w:r>
          </w:p>
          <w:p w14:paraId="64315B9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数据管理：实时记录设施运行状态、维护维修情况等数据，并定期向照明管理部门报送相关报表，为管理决策提供依据。</w:t>
            </w:r>
          </w:p>
          <w:p w14:paraId="08C4FBA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六</w:t>
            </w:r>
            <w:r>
              <w:rPr>
                <w:rFonts w:hint="eastAsia" w:ascii="宋体" w:hAnsi="宋体"/>
                <w:color w:val="auto"/>
                <w:szCs w:val="21"/>
                <w:highlight w:val="none"/>
              </w:rPr>
              <w:t>、</w:t>
            </w:r>
            <w:r>
              <w:rPr>
                <w:rFonts w:hint="eastAsia" w:ascii="宋体" w:hAnsi="宋体"/>
                <w:color w:val="auto"/>
                <w:szCs w:val="21"/>
                <w:highlight w:val="none"/>
                <w:lang w:val="en-US" w:eastAsia="zh-CN"/>
              </w:rPr>
              <w:t>服务内容</w:t>
            </w:r>
          </w:p>
          <w:p w14:paraId="66656EF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1.供应商必须配备适应本标内设施防盗和维护管理的工具设备及工作人员，其所有费用由供应商负责支出。配备1辆高空作业维护车辆、1辆皮卡巡逻作业车，</w:t>
            </w:r>
            <w:r>
              <w:rPr>
                <w:rFonts w:hint="eastAsia" w:ascii="宋体" w:hAnsi="宋体"/>
                <w:color w:val="auto"/>
                <w:szCs w:val="21"/>
                <w:highlight w:val="none"/>
              </w:rPr>
              <w:t>配备1名项目经理</w:t>
            </w:r>
            <w:r>
              <w:rPr>
                <w:rFonts w:hint="eastAsia" w:ascii="宋体" w:hAnsi="宋体"/>
                <w:color w:val="auto"/>
                <w:szCs w:val="21"/>
                <w:highlight w:val="none"/>
              </w:rPr>
              <w:t>；配备不少于13名（含13名）技术维修人员，所有技术维修均要求具有电工操作证，且至少有4人同时具有高处作业证、至少有2名人员同时具有熔化焊接与热切割作业证，电工技能、焊接技能熟练，且具有2年以上配电设备维修管理经验。配备1名项目资料员，要求具有资料员证，要求熟悉档案管理，了解建设承包方式、合同签订、施工预算、文字写作的基本知识，了解设计、施工验收规范和安全生产的法律法规、标准及规范，熟练使用办公软件，具有1年以上相关工作经验。配备专职安全员1名，要求具有安全员证。</w:t>
            </w:r>
          </w:p>
          <w:p w14:paraId="39681C9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2.为保证设施完好率，在合同期间发生照明设施被盗或人为破坏的，供应商负责赔偿并按采购单位要求的质量、时限进行修复。供应商发现照明设施重大故障及非被盗或人为损坏的1小时内应通知采购单位并做好现场安全防护措施。为做好被盗设施的修复工作，供应商可以通过保险公司购买财产被盗保险服务。因供应商巡查监管不到位造成损失的，相关修复费用由供应商承担。</w:t>
            </w:r>
          </w:p>
          <w:p w14:paraId="2737A08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3.供应商必须落实安全生产措施，且应按采购单位的要求，上岗工人统一配备工作证件（报采购单位备案），为上岗工人配置统一的维护工作服、反光背心、反光袖套、反光雨衣、安全头盔、电工鞋、工具袋、高空作业绳、安全扣、防电手套、高压令克棒等，解决安全作业问题及购买保险。在进行维护作业时必须认真负责，并注意安全规范操作。维护人员在维护项目服务期限结束前的社保及人身意外保险由供应商负责。如发生任何意外事故，维护供应商负责事故处理及一切费用，概与采购单位无关。</w:t>
            </w:r>
          </w:p>
          <w:p w14:paraId="21DAC55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4.电缆等维护要求：</w:t>
            </w:r>
          </w:p>
          <w:p w14:paraId="1184527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（1）电缆井：电缆井盖应该保证无破损和丢失，电缆井内无杂物填充，检查电缆井的封堵情况，必须符合采购单位要求，未达到要求的要按照采购单位要求整改。</w:t>
            </w:r>
          </w:p>
          <w:p w14:paraId="174B9D5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（2）电缆更换：电缆更换前必须报采购单位审核，必须采用同原来规格型号一致</w:t>
            </w:r>
            <w:r>
              <w:rPr>
                <w:rFonts w:hint="eastAsia" w:ascii="宋体" w:hAnsi="宋体"/>
                <w:color w:val="auto"/>
                <w:szCs w:val="21"/>
                <w:highlight w:val="none"/>
                <w:lang w:eastAsia="zh-CN"/>
              </w:rPr>
              <w:t>或更高等级</w:t>
            </w:r>
            <w:r>
              <w:rPr>
                <w:rFonts w:hint="eastAsia" w:ascii="宋体" w:hAnsi="宋体"/>
                <w:color w:val="auto"/>
                <w:szCs w:val="21"/>
                <w:highlight w:val="none"/>
              </w:rPr>
              <w:t>的电缆进行更换，不能采用降低规格或低于原材质的电缆进行更换，更换过程中需报采购单位进行现场核实或备案。电缆敷设必须符合相关技术规范及采购单位的要求。</w:t>
            </w:r>
          </w:p>
          <w:p w14:paraId="6C6ECEA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（3）电缆绝缘电阻测试：在维护年度内进行一次电缆绝缘测试。</w:t>
            </w:r>
          </w:p>
          <w:p w14:paraId="7D521C9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4）电缆的三相不平衡：要求调整负荷，使得中性线电流不超过20%，严禁同一条电缆三相供电合并成两相或单相供电，如有此类情况的，电缆需要更换，且更换后需要进行电缆绝缘测试并且符合相关技术要求，如有不符的需要整改并进行处罚。</w:t>
            </w:r>
          </w:p>
          <w:p w14:paraId="44B7146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（5）供应商应每月定期到配电房或箱变了解电缆负荷情况，并作记录。</w:t>
            </w:r>
          </w:p>
          <w:p w14:paraId="49B75C3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（6）路灯杆内电缆接头应符合采购单位的接头制作方式，并外套绝缘胶套。</w:t>
            </w:r>
          </w:p>
          <w:p w14:paraId="6E3FAA2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（7）路灯电缆故障修复需破路或顶管时（由采购单位现场核定），破路费用以及产生的绿化恢复、人行道及路面修复等引起的所有费用涵盖在</w:t>
            </w:r>
            <w:r>
              <w:rPr>
                <w:rFonts w:hint="eastAsia" w:ascii="宋体" w:hAnsi="宋体"/>
                <w:color w:val="auto"/>
                <w:szCs w:val="21"/>
                <w:highlight w:val="none"/>
                <w:lang w:eastAsia="zh-CN"/>
              </w:rPr>
              <w:t>此采购服务</w:t>
            </w:r>
            <w:r>
              <w:rPr>
                <w:rFonts w:hint="eastAsia" w:ascii="宋体" w:hAnsi="宋体"/>
                <w:color w:val="auto"/>
                <w:szCs w:val="21"/>
                <w:highlight w:val="none"/>
              </w:rPr>
              <w:t>照明设施管养费用中，由供应商自行负责，不</w:t>
            </w:r>
            <w:r>
              <w:rPr>
                <w:rFonts w:hint="eastAsia" w:ascii="宋体" w:hAnsi="宋体"/>
                <w:color w:val="auto"/>
                <w:szCs w:val="21"/>
                <w:highlight w:val="none"/>
                <w:lang w:eastAsia="zh-CN"/>
              </w:rPr>
              <w:t>另行</w:t>
            </w:r>
            <w:r>
              <w:rPr>
                <w:rFonts w:hint="eastAsia" w:ascii="宋体" w:hAnsi="宋体"/>
                <w:color w:val="auto"/>
                <w:szCs w:val="21"/>
                <w:highlight w:val="none"/>
              </w:rPr>
              <w:t>结算，现场道路如果没有过路管线，顶管工作由采购单位现场研判实施，费用</w:t>
            </w:r>
            <w:r>
              <w:rPr>
                <w:rFonts w:hint="eastAsia" w:ascii="宋体" w:hAnsi="宋体"/>
                <w:color w:val="auto"/>
                <w:szCs w:val="21"/>
                <w:highlight w:val="none"/>
                <w:lang w:eastAsia="zh-CN"/>
              </w:rPr>
              <w:t>由供应商与采购单位另行商议</w:t>
            </w:r>
            <w:r>
              <w:rPr>
                <w:rFonts w:hint="eastAsia" w:ascii="宋体" w:hAnsi="宋体"/>
                <w:color w:val="auto"/>
                <w:szCs w:val="21"/>
                <w:highlight w:val="none"/>
              </w:rPr>
              <w:t>。</w:t>
            </w:r>
          </w:p>
          <w:p w14:paraId="7A19668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5.照明设施维护：供应商负责照明设施的运行及安全工作,合同期内由照明设施引发的一切安全事故由供应商负责。不得私自安装未经采购单位批准的任何防盗设施，对照明设施的维护必须符合国家相关规范要求。</w:t>
            </w:r>
          </w:p>
          <w:p w14:paraId="593C180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6.被盗和人为破坏的照明设施以及亮化设施的日常维修必须满足</w:t>
            </w:r>
            <w:r>
              <w:rPr>
                <w:rFonts w:hint="eastAsia" w:ascii="宋体" w:hAnsi="宋体"/>
                <w:color w:val="auto"/>
                <w:szCs w:val="21"/>
                <w:highlight w:val="none"/>
                <w:lang w:eastAsia="zh-CN"/>
              </w:rPr>
              <w:t>《防城港市城市照明管理办法》《防城港市市管城市照明设施维修养护服务项目考核办法》的规定要求</w:t>
            </w:r>
            <w:r>
              <w:rPr>
                <w:rFonts w:hint="eastAsia" w:ascii="宋体" w:hAnsi="宋体"/>
                <w:color w:val="auto"/>
                <w:szCs w:val="21"/>
                <w:highlight w:val="none"/>
              </w:rPr>
              <w:t>。</w:t>
            </w:r>
          </w:p>
          <w:p w14:paraId="6DB3AF7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7.在合同期内，供应商因各种原因，造成第三方的损失或经济损失，由供应商独自承担其法律和经济责任，与采购单位无关。</w:t>
            </w:r>
          </w:p>
          <w:p w14:paraId="4B6761A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8.实施过程中供应商必须根据中标合同中的各项条款，履行各项职责。服务供应商应做好巡查维修计划、维修材料更换记录表、日常维护计划、保养记录的统计汇总，每月25日上报。如发现供应商组织措施不当、计划不落实、管理不严、实施方案中所列人员、机械设备（工具）与现场实际不符，导致维护质量达不到标准的，采购单位有权单方面终止合同。如延迟上报巡查计划、记录资料，</w:t>
            </w:r>
            <w:r>
              <w:rPr>
                <w:rFonts w:hint="eastAsia" w:ascii="宋体" w:hAnsi="宋体"/>
                <w:color w:val="auto"/>
                <w:szCs w:val="21"/>
                <w:highlight w:val="none"/>
              </w:rPr>
              <w:t>按</w:t>
            </w:r>
            <w:r>
              <w:rPr>
                <w:rFonts w:hint="eastAsia" w:ascii="宋体" w:hAnsi="宋体"/>
                <w:color w:val="auto"/>
                <w:szCs w:val="21"/>
                <w:highlight w:val="none"/>
                <w:lang w:eastAsia="zh-CN"/>
              </w:rPr>
              <w:t>《防城港市市管城市照明设施维修养护服务项目考核办法》</w:t>
            </w:r>
            <w:r>
              <w:rPr>
                <w:rFonts w:hint="eastAsia" w:ascii="宋体" w:hAnsi="宋体"/>
                <w:color w:val="auto"/>
                <w:szCs w:val="21"/>
                <w:highlight w:val="none"/>
              </w:rPr>
              <w:t>给予扣分。</w:t>
            </w:r>
          </w:p>
          <w:p w14:paraId="4EAC856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9.供应商必须积极响应并接受监督检查，若受到投诉、媒体曝光，经调查认定情况属实，且因供应商维护不到位的，根据考评细则进行相应的扣分，视情节轻重予</w:t>
            </w:r>
            <w:r>
              <w:rPr>
                <w:rFonts w:hint="eastAsia" w:ascii="宋体" w:hAnsi="宋体"/>
                <w:color w:val="auto"/>
                <w:szCs w:val="21"/>
                <w:highlight w:val="none"/>
              </w:rPr>
              <w:t>按</w:t>
            </w:r>
            <w:r>
              <w:rPr>
                <w:rFonts w:hint="eastAsia" w:ascii="宋体" w:hAnsi="宋体"/>
                <w:color w:val="auto"/>
                <w:szCs w:val="21"/>
                <w:highlight w:val="none"/>
                <w:lang w:eastAsia="zh-CN"/>
              </w:rPr>
              <w:t>《防城港市市管城市照明设施维修养护服务项目考核办法》</w:t>
            </w:r>
            <w:r>
              <w:rPr>
                <w:rFonts w:hint="eastAsia" w:ascii="宋体" w:hAnsi="宋体"/>
                <w:color w:val="auto"/>
                <w:szCs w:val="21"/>
                <w:highlight w:val="none"/>
              </w:rPr>
              <w:t>给予扣分；造成</w:t>
            </w:r>
            <w:r>
              <w:rPr>
                <w:rFonts w:hint="eastAsia" w:ascii="宋体" w:hAnsi="宋体"/>
                <w:color w:val="auto"/>
                <w:szCs w:val="21"/>
                <w:highlight w:val="none"/>
              </w:rPr>
              <w:t>恶劣影响的，采购单位有权单方面终止合同。</w:t>
            </w:r>
          </w:p>
          <w:p w14:paraId="23E2795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10.供应商应设立开、关灯巡灯、节假日或重大活动值班及故障紧急抢修制度，发现问题要上报采购单位并及时记录和检修。每遇节假日或重大活动，供应商应服从采购单位的安排，根据节假日或重大活动的工作要求进行临时开、关灯的调整，并提前进行详细的亮灯情况及设施巡查，保证节假日或重大活动期间正常开、关灯。因各种原因被损坏或被盗的，第一时间处理，原则上在</w:t>
            </w:r>
            <w:r>
              <w:rPr>
                <w:rFonts w:hint="eastAsia" w:ascii="宋体" w:hAnsi="宋体"/>
                <w:color w:val="auto"/>
                <w:szCs w:val="21"/>
                <w:highlight w:val="none"/>
              </w:rPr>
              <w:t>24小时内修复。如没有发现问题或发现问题不及时由第三方发现问题的，按</w:t>
            </w:r>
            <w:r>
              <w:rPr>
                <w:rFonts w:hint="eastAsia" w:ascii="宋体" w:hAnsi="宋体"/>
                <w:color w:val="auto"/>
                <w:szCs w:val="21"/>
                <w:highlight w:val="none"/>
                <w:lang w:eastAsia="zh-CN"/>
              </w:rPr>
              <w:t>《防城港市市管城市照明设施维修养护服务项目考核办法》</w:t>
            </w:r>
            <w:r>
              <w:rPr>
                <w:rFonts w:hint="eastAsia" w:ascii="宋体" w:hAnsi="宋体"/>
                <w:color w:val="auto"/>
                <w:szCs w:val="21"/>
                <w:highlight w:val="none"/>
              </w:rPr>
              <w:t>给予扣分。</w:t>
            </w:r>
          </w:p>
          <w:p w14:paraId="1D7B331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11.其它用电设施如广告、灯饰及其它非用于城市照明设施的用电未经采购单位同意，不得擅自接驳线路，供应商需对维护范围内的所有线路进行排查，并及时处理。采购单位将随机抽查，一经发现，按偷电处理，并按规定对供应商予以处理，情况严重者，采购单位有权单方面终止合同。若经采购单位同意接驳的线路，供应商必须认真配合。</w:t>
            </w:r>
          </w:p>
          <w:p w14:paraId="1B0DDB1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12.供应商对数字化城管案件、12345</w:t>
            </w:r>
            <w:r>
              <w:rPr>
                <w:rFonts w:hint="eastAsia" w:ascii="宋体" w:hAnsi="宋体"/>
                <w:color w:val="auto"/>
                <w:szCs w:val="21"/>
                <w:highlight w:val="none"/>
                <w:lang w:eastAsia="zh-CN"/>
              </w:rPr>
              <w:t>政务服务便民热线</w:t>
            </w:r>
            <w:r>
              <w:rPr>
                <w:rFonts w:hint="eastAsia" w:ascii="宋体" w:hAnsi="宋体"/>
                <w:color w:val="auto"/>
                <w:szCs w:val="21"/>
                <w:highlight w:val="none"/>
              </w:rPr>
              <w:t>、市长信箱及其他投诉案件必须按规定如期处理，并对处理现场用相机拍照记录存档，包括事前、事中和事后对比照片。如有延误，按考核办法扣分扣款。</w:t>
            </w:r>
          </w:p>
          <w:p w14:paraId="0EFAD46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13.供应商应制定有防汛抗台风、暴雨季节等应急预案，并提前进行排查整改。台风、雨季期间加强巡查，做好安全措施，并有应急抢修人员随时做好抢修准备。</w:t>
            </w:r>
          </w:p>
          <w:p w14:paraId="5AF4233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14.根据实际需要，在维护期内如需拆除部分亮化设施的，应由供应商负责拆除并入库，产生的费用由供应商负责。</w:t>
            </w:r>
          </w:p>
          <w:p w14:paraId="127C23E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15.供应商须对维护范围内的所有设施进行巡查及保护，并制止未经采购单位同意的可能损坏到照明设施的行为，如该行为已发生，供应商需立即修复并自行向当事方索赔；维护期内出现设施被损的一律由供应商进行修复及赔偿，采购单位给予协助。如相应损坏行为造成数字化案件扣分、12345</w:t>
            </w:r>
            <w:r>
              <w:rPr>
                <w:rFonts w:hint="eastAsia" w:ascii="宋体" w:hAnsi="宋体"/>
                <w:color w:val="auto"/>
                <w:szCs w:val="21"/>
                <w:highlight w:val="none"/>
                <w:lang w:eastAsia="zh-CN"/>
              </w:rPr>
              <w:t>政务服务便民热线</w:t>
            </w:r>
            <w:r>
              <w:rPr>
                <w:rFonts w:hint="eastAsia" w:ascii="宋体" w:hAnsi="宋体"/>
                <w:color w:val="auto"/>
                <w:szCs w:val="21"/>
                <w:highlight w:val="none"/>
              </w:rPr>
              <w:t>评价不满意、受到其他投诉</w:t>
            </w:r>
            <w:r>
              <w:rPr>
                <w:rFonts w:hint="eastAsia" w:ascii="宋体" w:hAnsi="宋体"/>
                <w:color w:val="auto"/>
                <w:szCs w:val="21"/>
                <w:highlight w:val="none"/>
                <w:lang w:eastAsia="zh-CN"/>
              </w:rPr>
              <w:t>不满意</w:t>
            </w:r>
            <w:r>
              <w:rPr>
                <w:rFonts w:hint="eastAsia" w:ascii="宋体" w:hAnsi="宋体"/>
                <w:color w:val="auto"/>
                <w:szCs w:val="21"/>
                <w:highlight w:val="none"/>
              </w:rPr>
              <w:t>的，按考评细则给予扣分。维护期</w:t>
            </w:r>
            <w:r>
              <w:rPr>
                <w:rFonts w:hint="eastAsia" w:ascii="宋体" w:hAnsi="宋体"/>
                <w:color w:val="auto"/>
                <w:szCs w:val="21"/>
                <w:highlight w:val="none"/>
              </w:rPr>
              <w:t>间，</w:t>
            </w:r>
            <w:r>
              <w:rPr>
                <w:rFonts w:hint="eastAsia" w:ascii="宋体" w:hAnsi="宋体"/>
                <w:color w:val="auto"/>
                <w:szCs w:val="21"/>
                <w:highlight w:val="none"/>
                <w:lang w:eastAsia="zh-CN"/>
              </w:rPr>
              <w:t>供应商</w:t>
            </w:r>
            <w:r>
              <w:rPr>
                <w:rFonts w:hint="eastAsia" w:ascii="宋体" w:hAnsi="宋体"/>
                <w:color w:val="auto"/>
                <w:szCs w:val="21"/>
                <w:highlight w:val="none"/>
              </w:rPr>
              <w:t>必须</w:t>
            </w:r>
            <w:r>
              <w:rPr>
                <w:rFonts w:hint="eastAsia" w:ascii="宋体" w:hAnsi="宋体"/>
                <w:color w:val="auto"/>
                <w:szCs w:val="21"/>
                <w:highlight w:val="none"/>
              </w:rPr>
              <w:t>做好灯容灯貌的清洁及维护工作。对在本标段区域内灯杆上未经过审批挂置广告牌及各类电线的，供应商必须及时制止并拆除。</w:t>
            </w:r>
          </w:p>
          <w:p w14:paraId="3CD7F1D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16.在合同期内，供应商对维护范围内的设施运行及安全状况负责。并按采购单位要求，保证每个电箱的防漏电开关安全运行。定期对照明设施进行绝缘接地及漏电检测，每月至少一次对本标段范围内的路灯接地进行安全检查，检查存在的问题及整改情况据实详细记录并做好台账资料，对易涝区域的照明设施防控的统计情况，报采购单位存档备查。如因供应商未履行合同及招标文件的约定条款进行检测，造成安全事故发生，所产生的费用及法律</w:t>
            </w:r>
            <w:r>
              <w:rPr>
                <w:rFonts w:hint="eastAsia" w:ascii="宋体" w:hAnsi="宋体"/>
                <w:color w:val="auto"/>
                <w:szCs w:val="21"/>
                <w:highlight w:val="none"/>
              </w:rPr>
              <w:t>责任均由供应商负责承担，且采购单位有权单方终止合同。</w:t>
            </w:r>
          </w:p>
          <w:p w14:paraId="48804E4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17.如涉及</w:t>
            </w:r>
            <w:r>
              <w:rPr>
                <w:rFonts w:hint="eastAsia" w:ascii="宋体" w:hAnsi="宋体"/>
                <w:color w:val="auto"/>
                <w:szCs w:val="21"/>
                <w:highlight w:val="none"/>
                <w:lang w:eastAsia="zh-CN"/>
              </w:rPr>
              <w:t>防城港市城市照明监控系统与集控器及单灯控制器故障</w:t>
            </w:r>
            <w:r>
              <w:rPr>
                <w:rFonts w:hint="eastAsia" w:ascii="宋体" w:hAnsi="宋体"/>
                <w:color w:val="auto"/>
                <w:szCs w:val="21"/>
                <w:highlight w:val="none"/>
              </w:rPr>
              <w:t>问题未亮灯的，供应商必须积极与采购单位联系并及时处理。</w:t>
            </w:r>
          </w:p>
          <w:p w14:paraId="33CF0CC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18.对养护内容进行日常维修、巡查、清洗及除草，对设备的运行情况及时记录并做好台账资料备查。</w:t>
            </w:r>
          </w:p>
          <w:p w14:paraId="53F98B3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19.供应商每个月对维护设施、外接用电设施进行漏电检测以及对路灯设施、箱式变电站周围的金属构件进行检测，防止金属构件意外带电，所有的维护设施不得发生漏电事故，否则一切责任及造成的损失由供应商负责。未按时完成的按照量化考核表扣除维护费用。</w:t>
            </w:r>
          </w:p>
          <w:p w14:paraId="6CDDC39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20.交通事故造成灯杆、灯具、基础等附属部件损坏的，供应商在发现问题后1小时内通知采购单位，供应商具体负责并保证责任认定理赔等事宜的正常开展，供应商负责及时进行修复、更换或迁移。供应商每月需排查灯杆摇晃和基础螺丝松动现象并及时加固校正灯杆；因台风或大风等原因造成灯具、灯臂螺丝、螺母脱落造成的安全隐患，必须用配套的紧固件加固。</w:t>
            </w:r>
          </w:p>
          <w:p w14:paraId="1152244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21.人为或施工损坏。供应商有义务随时巡查辖区，并上报、制止辖区内未经采购单位同意的可能损坏到路灯及设备的行为。出现该种情况造成路灯设施损坏的（先恢复后追赔的原则），供应商必须及时按照采购单位要求恢复，在恢复完成后，供应商编制恢复工程预算书，交采购单位审核，并由供应商向肇事方追讨恢复所需费用，采购单位予以协助。但采购单位不确保该笔费用能够追讨或全额追讨，出现该情况的，由供应商自行承担修复费用。</w:t>
            </w:r>
          </w:p>
          <w:p w14:paraId="2D35914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22.人力不可抗拒的自然灾害，供应商需要制定方案，报送采购单位并及时修复受损设施，修复后按照实际工程量编制结算书，向采购单位申报结算审核，费用另计。</w:t>
            </w:r>
          </w:p>
          <w:p w14:paraId="7CAD492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lang w:eastAsia="zh-CN"/>
              </w:rPr>
            </w:pPr>
            <w:r>
              <w:rPr>
                <w:rFonts w:hint="eastAsia" w:ascii="宋体" w:hAnsi="宋体"/>
                <w:color w:val="auto"/>
                <w:szCs w:val="21"/>
                <w:highlight w:val="none"/>
              </w:rPr>
              <w:t>23.关于新接收设施的要求</w:t>
            </w:r>
            <w:r>
              <w:rPr>
                <w:rFonts w:hint="eastAsia" w:ascii="宋体" w:hAnsi="宋体"/>
                <w:color w:val="auto"/>
                <w:szCs w:val="21"/>
                <w:highlight w:val="none"/>
                <w:lang w:eastAsia="zh-CN"/>
              </w:rPr>
              <w:t>：</w:t>
            </w:r>
          </w:p>
          <w:p w14:paraId="7B9B64A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（1）已竣工验收合格但未正式移交的照明设施，供应商只负责防盗巡查看护，不负责设施的日常维护维修。</w:t>
            </w:r>
          </w:p>
          <w:p w14:paraId="1B3E345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（2）对经验收合格的道路照明（含</w:t>
            </w:r>
            <w:r>
              <w:rPr>
                <w:rFonts w:hint="eastAsia" w:ascii="宋体" w:hAnsi="宋体"/>
                <w:color w:val="auto"/>
                <w:szCs w:val="21"/>
                <w:highlight w:val="none"/>
                <w:lang w:eastAsia="zh-CN"/>
              </w:rPr>
              <w:t>功能性照明设施、景观</w:t>
            </w:r>
            <w:r>
              <w:rPr>
                <w:rFonts w:hint="eastAsia" w:ascii="宋体" w:hAnsi="宋体"/>
                <w:color w:val="auto"/>
                <w:szCs w:val="21"/>
                <w:highlight w:val="none"/>
              </w:rPr>
              <w:t>亮化</w:t>
            </w:r>
            <w:r>
              <w:rPr>
                <w:rFonts w:hint="eastAsia" w:ascii="宋体" w:hAnsi="宋体"/>
                <w:color w:val="auto"/>
                <w:szCs w:val="21"/>
                <w:highlight w:val="none"/>
                <w:lang w:eastAsia="zh-CN"/>
              </w:rPr>
              <w:t>照明设施</w:t>
            </w:r>
            <w:r>
              <w:rPr>
                <w:rFonts w:hint="eastAsia" w:ascii="宋体" w:hAnsi="宋体"/>
                <w:color w:val="auto"/>
                <w:szCs w:val="21"/>
                <w:highlight w:val="none"/>
              </w:rPr>
              <w:t>），未包含在</w:t>
            </w:r>
            <w:r>
              <w:rPr>
                <w:rFonts w:hint="eastAsia" w:ascii="宋体" w:hAnsi="宋体"/>
                <w:color w:val="auto"/>
                <w:szCs w:val="21"/>
                <w:highlight w:val="none"/>
                <w:lang w:eastAsia="zh-CN"/>
              </w:rPr>
              <w:t>合同签订内市级城市管理区域</w:t>
            </w:r>
            <w:r>
              <w:rPr>
                <w:rFonts w:hint="eastAsia" w:ascii="宋体" w:hAnsi="宋体"/>
                <w:color w:val="auto"/>
                <w:szCs w:val="21"/>
                <w:highlight w:val="none"/>
              </w:rPr>
              <w:t>的，路灯灯具300套、景观照明灯具1000套以内的，供应商必须无条件在规定的时间内纳入看护及维修，不再增加费用；</w:t>
            </w:r>
            <w:r>
              <w:rPr>
                <w:rFonts w:hint="eastAsia" w:ascii="宋体" w:hAnsi="宋体"/>
                <w:color w:val="auto"/>
                <w:szCs w:val="21"/>
                <w:highlight w:val="none"/>
                <w:lang w:eastAsia="zh-CN"/>
              </w:rPr>
              <w:t>超过以上数量的</w:t>
            </w:r>
            <w:r>
              <w:rPr>
                <w:rFonts w:hint="eastAsia" w:ascii="宋体" w:hAnsi="宋体"/>
                <w:color w:val="auto"/>
                <w:szCs w:val="21"/>
                <w:highlight w:val="none"/>
              </w:rPr>
              <w:t>采购单位新接收的纳入</w:t>
            </w:r>
            <w:r>
              <w:rPr>
                <w:rFonts w:hint="eastAsia" w:ascii="宋体" w:hAnsi="宋体" w:cs="Times New Roman"/>
                <w:color w:val="auto"/>
                <w:szCs w:val="21"/>
                <w:highlight w:val="none"/>
                <w:lang w:val="en-US" w:eastAsia="zh-CN"/>
              </w:rPr>
              <w:t>市级城市管理区域</w:t>
            </w:r>
            <w:r>
              <w:rPr>
                <w:rFonts w:hint="eastAsia" w:ascii="宋体" w:hAnsi="宋体"/>
                <w:color w:val="auto"/>
                <w:szCs w:val="21"/>
                <w:highlight w:val="none"/>
              </w:rPr>
              <w:t>的城市照明及附属配套设施可根据需求委托供应商维修。</w:t>
            </w:r>
          </w:p>
          <w:p w14:paraId="2CBD5D3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24.本次招标中设施量书面统计与现场不符时，以现场为准。中标后如在该路段有黑灯、被盗、被损的属采购单位产权的照明设施，但在招标文件中未体现出来，均由供应商负责修复或赔偿。还属于第三方质保内的节点，经核实有未改造的旧设施，或存在争议，经核实属采购单位产权的照明设施，即使在招标文件中未体现出来，也应由供应商负责维护。</w:t>
            </w:r>
          </w:p>
          <w:p w14:paraId="7E09EEB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25.本标段内路灯灯具如属防城港市城市照明提升服务项目的</w:t>
            </w:r>
            <w:r>
              <w:rPr>
                <w:rFonts w:hint="eastAsia" w:ascii="宋体" w:hAnsi="宋体"/>
                <w:color w:val="auto"/>
                <w:szCs w:val="21"/>
                <w:highlight w:val="none"/>
              </w:rPr>
              <w:t>，维修不在本标段范围内。</w:t>
            </w:r>
          </w:p>
          <w:p w14:paraId="66A3C23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26.供应商在维护期内需要对采购单位的照明设施、灯具数量、型号、规格及电缆走向、长度等进行普查，中标后三个月内将标段范围内的照明设施量报采购单位备案。对在维护期内照明设施的变化情况要进行更新，在维护期满前一个月，将照明设施分布图、设施量统计表提交采购单位，作为与下一合同年度供应商交接的依据。</w:t>
            </w:r>
          </w:p>
          <w:p w14:paraId="3819E3C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27.维护材料</w:t>
            </w:r>
          </w:p>
          <w:p w14:paraId="696468F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（1）供应商在更换灯具、光源、电器等材料时，品牌、外形、规格应与原材料一致，如市场上已无原同品牌产品替换的，需采用合格产品进行替换（提供合格证、检测报告），并报采购单位签证备案。</w:t>
            </w:r>
          </w:p>
          <w:p w14:paraId="4FD61DD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2）各标段路灯、亮化维护涉及所有维护所用材料均由供应商采购，供应商要有相应的仓库存放灯杆、灯具、灯泡、电源、电缆等各类照明设施的维护材料及配件。采购单位采取不定期抽查方式对维护材料的库存及更换情况进行检查核对。采购单位对维护使用的零星材料提出质疑时，有权要求供应商提供未在招标文件中列出的零星材料的合格证或检测报告。</w:t>
            </w:r>
          </w:p>
          <w:p w14:paraId="5A15B87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（3）采购单位将在每期验收考核支付时，同时对供应商库存的照明设施维修材料进行检查验收工作。</w:t>
            </w:r>
          </w:p>
          <w:p w14:paraId="4FD4E4A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（4）供应商须对维修中更换的照明设施做好记录、照片等台账资料，并报采购单位备案，每季度验收时，采购单位根据供应商的维修台账资料进行现场抽查。</w:t>
            </w:r>
          </w:p>
          <w:p w14:paraId="17BE7F9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28.高杆灯维护的内容，每六个月检查一次（如遇台风预报，需要提前全部检查一次），每支高杆灯需要建立一个维护档案。未按时完成的按照量化考核表扣除维护费用。</w:t>
            </w:r>
          </w:p>
          <w:p w14:paraId="0F48EB5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（1）检查高杆照明设施的所有金属构件（包括灯杆内壁）的热镀锌防腐情况、紧固件的防松措施是否符合要求（防腐质量应符合GB/T9790、GBJ36011和GB/T11373的有关规定）。</w:t>
            </w:r>
          </w:p>
          <w:p w14:paraId="6295539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（2）确保正常亮灯的同时高杆灯的每组部件能够正常运行，保证升降传动系统完好并随时能正常运行。</w:t>
            </w:r>
          </w:p>
          <w:p w14:paraId="537E6F9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3）电气安全性能检查：检查电源进线与地之间绝缘电阻情况（不得小于10M欧），保护接地和避雷装置检查①金属灯杆及电气设备金属外壳应有良好的保护接地,用接地电阻仪测试接地电阻不应大于10欧；②检查避雷针固定情况；③用水平尺测量基础面板的平面,结合灯杆垂直度的检查结果,分析基础的不均匀沉降情况,并做出相应处理。</w:t>
            </w:r>
          </w:p>
          <w:p w14:paraId="26CF267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29.外接用电检查：供应商每月需对维护范围内的外接用电情况进行检查（其中，每年4-10月汛期应每半个月检查一次），包括电表核对、用电度数读抄、用电安全性检查。其它用电设施如广告、灯饰及其它非用于城市照明设施的用电未经采购单位同意，不得擅自接驳线路，供应商需对维护范围内的所有线路进行排查，并及时处理。采购单位将随机抽查，一经发现，按偷电处理，并按规定对供应商予以处理，情况严重者，采购单位有权单方面终止合同。若经采购单位同意接驳的线路，供应商必须认真配合。</w:t>
            </w:r>
          </w:p>
          <w:p w14:paraId="1D0427C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30.供应商负责本标段内所有照明设施安全检查及整改，对出现或存在安全隐患的设施与行为，要求在采购单位规定的响应时限内立即处置，并及时反</w:t>
            </w:r>
            <w:r>
              <w:rPr>
                <w:rFonts w:hint="eastAsia" w:ascii="宋体" w:hAnsi="宋体"/>
                <w:color w:val="auto"/>
                <w:szCs w:val="21"/>
                <w:highlight w:val="none"/>
              </w:rPr>
              <w:t>馈给</w:t>
            </w:r>
            <w:r>
              <w:rPr>
                <w:rFonts w:hint="eastAsia" w:ascii="宋体" w:hAnsi="宋体"/>
                <w:color w:val="auto"/>
                <w:szCs w:val="21"/>
                <w:highlight w:val="none"/>
                <w:lang w:eastAsia="zh-CN"/>
              </w:rPr>
              <w:t>采购</w:t>
            </w:r>
            <w:r>
              <w:rPr>
                <w:rFonts w:hint="eastAsia" w:ascii="宋体" w:hAnsi="宋体"/>
                <w:color w:val="auto"/>
                <w:szCs w:val="21"/>
                <w:highlight w:val="none"/>
              </w:rPr>
              <w:t>单</w:t>
            </w:r>
            <w:r>
              <w:rPr>
                <w:rFonts w:hint="eastAsia" w:ascii="宋体" w:hAnsi="宋体"/>
                <w:color w:val="auto"/>
                <w:szCs w:val="21"/>
                <w:highlight w:val="none"/>
              </w:rPr>
              <w:t>位照明设施及附属供配电设施的安全检查情况及处理结果。若发生意外事故，供应商应配合采购单位进行照明设施公众责任保险的报案、查勘及处置等相关工作。</w:t>
            </w:r>
          </w:p>
          <w:p w14:paraId="4A91CC6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31.供应商提供服务的质量保证，对达不到约定技术指标要求的，根据实际情况，经双方协商，可按以下办法处理：</w:t>
            </w:r>
          </w:p>
          <w:p w14:paraId="293F771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（1）责成整改：由供应商承担所发生的全部费用；</w:t>
            </w:r>
          </w:p>
          <w:p w14:paraId="78F3F4E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（2）在合同有效期内，供应商应对服务出现的质量及安全问题负责处理解决并承担一切责任和费用。</w:t>
            </w:r>
          </w:p>
          <w:p w14:paraId="12DF042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（3）供应商在服务期限内不能将相关业务、合同款收款、开票信息等以任何方式方法转给其他第三方（含下属分公司）。若发现供应商存在任何分包、转包或挂靠行为，或关键人员非</w:t>
            </w:r>
            <w:r>
              <w:rPr>
                <w:rFonts w:hint="eastAsia" w:ascii="宋体" w:hAnsi="宋体"/>
                <w:color w:val="auto"/>
                <w:szCs w:val="21"/>
                <w:highlight w:val="none"/>
                <w:lang w:val="en-US" w:eastAsia="zh-CN"/>
              </w:rPr>
              <w:t>供应商</w:t>
            </w:r>
            <w:r>
              <w:rPr>
                <w:rFonts w:hint="eastAsia" w:ascii="宋体" w:hAnsi="宋体"/>
                <w:color w:val="auto"/>
                <w:szCs w:val="21"/>
                <w:highlight w:val="none"/>
              </w:rPr>
              <w:t>自有员工，或现场实际作业人员与报备名单严重不符且无法合理解释，</w:t>
            </w:r>
            <w:r>
              <w:rPr>
                <w:rFonts w:hint="eastAsia" w:ascii="宋体" w:hAnsi="宋体"/>
                <w:color w:val="auto"/>
                <w:szCs w:val="21"/>
                <w:highlight w:val="none"/>
                <w:lang w:eastAsia="zh-CN"/>
              </w:rPr>
              <w:t>采购人</w:t>
            </w:r>
            <w:r>
              <w:rPr>
                <w:rFonts w:hint="eastAsia" w:ascii="宋体" w:hAnsi="宋体"/>
                <w:color w:val="auto"/>
                <w:szCs w:val="21"/>
                <w:highlight w:val="none"/>
              </w:rPr>
              <w:t>有权立即单方面终止合同，并视其为承包方方根本性违约。</w:t>
            </w:r>
          </w:p>
          <w:p w14:paraId="2F994C0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32.供应商必须提供安全事故承诺书，提供有关照明设施防盗损和维护的实施方案。</w:t>
            </w:r>
          </w:p>
          <w:p w14:paraId="38A24CD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33.汛期期间、遇暴风雨等极端天气，供应商需加强巡查，对因暴雨形成内涝路段可能导致漏电及时处置，并报采购单位。</w:t>
            </w:r>
          </w:p>
          <w:p w14:paraId="2A8F1C5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34.发生应急抢修、临时照明增设、市民投诉或其他原因需对照明设施完善等服务范围之外的（注：不包括列入改造计划，已安排经费的项目），额外增加的内容，经双方现场调查出具方案，如只是临时增设或采用架空等方式，后期材料还回收的，由供应商提供相关材料并负责施工；如属于永久保留设施的，涉及需要增加照明设施的，所需主材（灯杆、灯具、电缆）由采购单位提供，供应商需无条件配合，具体工作由供应商实施，产生的配件材料费、机械费由采购单位承担，人工费由供应商负责。</w:t>
            </w:r>
          </w:p>
          <w:p w14:paraId="3B3F395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35.根据实际需要，供应商需在本合同签订后及时一次或分季度集中采购维修材料，确保维修材料满足日常维护需求，材料需办理统一进行验收，验收合格后方能进场使用，日常维护过程中，每处维修点的材料使用情况及维修过程报采购单位备案，并随时接受采购单位的检查验收。对隐瞒不报、没有按验收通过的材料进行维修的</w:t>
            </w:r>
            <w:r>
              <w:rPr>
                <w:rFonts w:hint="eastAsia" w:ascii="宋体" w:hAnsi="宋体"/>
                <w:color w:val="auto"/>
                <w:szCs w:val="21"/>
                <w:highlight w:val="none"/>
              </w:rPr>
              <w:t>，</w:t>
            </w:r>
            <w:r>
              <w:rPr>
                <w:rFonts w:hint="eastAsia" w:ascii="宋体" w:hAnsi="宋体"/>
                <w:color w:val="auto"/>
                <w:szCs w:val="21"/>
                <w:highlight w:val="none"/>
                <w:lang w:eastAsia="zh-CN"/>
              </w:rPr>
              <w:t>采购单位有权</w:t>
            </w:r>
            <w:r>
              <w:rPr>
                <w:rFonts w:hint="eastAsia" w:ascii="宋体" w:hAnsi="宋体"/>
                <w:color w:val="auto"/>
                <w:szCs w:val="21"/>
                <w:highlight w:val="none"/>
              </w:rPr>
              <w:t>解除合同，</w:t>
            </w:r>
            <w:r>
              <w:rPr>
                <w:rFonts w:hint="eastAsia" w:ascii="宋体" w:hAnsi="宋体"/>
                <w:color w:val="auto"/>
                <w:szCs w:val="21"/>
                <w:highlight w:val="none"/>
              </w:rPr>
              <w:t>发生的一切损失由供应商承担。</w:t>
            </w:r>
          </w:p>
          <w:p w14:paraId="3E5D48E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36.供应商负责每季度对路灯箱变电力设备、设施进行一次维护、检查、测试、保养，检查时若发现故障隐患和管理漏洞，供应商应及时给采购单位出具书面报告及处理意见，待采购单位确认后立即采取措施修复。</w:t>
            </w:r>
          </w:p>
          <w:p w14:paraId="734FDDE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37.合同期内，供应商负责组织路灯箱变的故障维修工作，包括设备维修、更换以及供电部门供电报装手续等。</w:t>
            </w:r>
          </w:p>
          <w:p w14:paraId="015B86C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38.合同期内，供应商负责公园广场音乐喷泉的维护与管理，严格遵守采购单位在节假日期间对开放喷泉的工作安排，安排专人值守开放喷泉，维持开放喷泉时的现场秩序，同时承担相应安全责任。供应商负责喷泉相关设施、设备的日常管理维修（彩灯、电气线路、电气配件、喷泉喷嘴、水泵、音响设备等）相关费用涵盖</w:t>
            </w:r>
            <w:r>
              <w:rPr>
                <w:rFonts w:hint="eastAsia" w:ascii="宋体" w:hAnsi="宋体"/>
                <w:color w:val="auto"/>
                <w:szCs w:val="21"/>
                <w:highlight w:val="none"/>
                <w:lang w:eastAsia="zh-CN"/>
              </w:rPr>
              <w:t>此采购服务</w:t>
            </w:r>
            <w:r>
              <w:rPr>
                <w:rFonts w:hint="eastAsia" w:ascii="宋体" w:hAnsi="宋体"/>
                <w:color w:val="auto"/>
                <w:szCs w:val="21"/>
                <w:highlight w:val="none"/>
              </w:rPr>
              <w:t>照明设施管养费用中，由供应商自行负责，不</w:t>
            </w:r>
            <w:r>
              <w:rPr>
                <w:rFonts w:hint="eastAsia" w:ascii="宋体" w:hAnsi="宋体"/>
                <w:color w:val="auto"/>
                <w:szCs w:val="21"/>
                <w:highlight w:val="none"/>
                <w:lang w:eastAsia="zh-CN"/>
              </w:rPr>
              <w:t>另行结算</w:t>
            </w:r>
            <w:r>
              <w:rPr>
                <w:rFonts w:hint="eastAsia" w:ascii="宋体" w:hAnsi="宋体"/>
                <w:color w:val="auto"/>
                <w:szCs w:val="21"/>
                <w:highlight w:val="none"/>
              </w:rPr>
              <w:t>。喷泉需要进行大型维修的（电气控制系统、给排水设施等）由采购单位另行筹措经费解决。</w:t>
            </w:r>
          </w:p>
          <w:p w14:paraId="5E9D3F8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39.供应商需在第一合同年内委托专业机构对玉罗岭立交4座灯塔建筑结构安全进行检测，并出具相关检测报告。</w:t>
            </w:r>
          </w:p>
          <w:p w14:paraId="7F2B48D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40.供应商需承担采购单位安装的路灯道旗广告的维护、修复工作。</w:t>
            </w:r>
          </w:p>
          <w:p w14:paraId="0D9097E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41.供应商需全面检查管护范围内所有灯杆的检修孔盖板情况，如有缺失需按原规格补齐。</w:t>
            </w:r>
          </w:p>
          <w:p w14:paraId="5B886B3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42.除以上工作外采购单位安排的其他维护工作供应商必须按时完成</w:t>
            </w:r>
            <w:r>
              <w:rPr>
                <w:rFonts w:hint="eastAsia" w:ascii="宋体" w:hAnsi="宋体"/>
                <w:color w:val="auto"/>
                <w:szCs w:val="21"/>
                <w:highlight w:val="none"/>
                <w:lang w:eastAsia="zh-CN"/>
              </w:rPr>
              <w:t>。</w:t>
            </w:r>
          </w:p>
        </w:tc>
      </w:tr>
      <w:tr w14:paraId="72F590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71" w:type="dxa"/>
            <w:gridSpan w:val="6"/>
            <w:tcBorders>
              <w:top w:val="single" w:color="auto" w:sz="4" w:space="0"/>
              <w:left w:val="single" w:color="auto" w:sz="4" w:space="0"/>
              <w:bottom w:val="single" w:color="auto" w:sz="4" w:space="0"/>
              <w:right w:val="single" w:color="auto" w:sz="4" w:space="0"/>
            </w:tcBorders>
          </w:tcPr>
          <w:p w14:paraId="6BE976D8">
            <w:pPr>
              <w:snapToGrid w:val="0"/>
              <w:spacing w:line="360" w:lineRule="auto"/>
              <w:jc w:val="left"/>
              <w:rPr>
                <w:rFonts w:ascii="宋体" w:hAnsi="宋体"/>
                <w:b/>
                <w:bCs/>
                <w:color w:val="auto"/>
                <w:szCs w:val="21"/>
                <w:highlight w:val="none"/>
              </w:rPr>
            </w:pPr>
            <w:r>
              <w:rPr>
                <w:rFonts w:hint="eastAsia" w:ascii="宋体" w:hAnsi="宋体"/>
                <w:b/>
                <w:color w:val="auto"/>
                <w:sz w:val="24"/>
                <w:highlight w:val="none"/>
              </w:rPr>
              <w:t>▲二、商务要求</w:t>
            </w:r>
          </w:p>
        </w:tc>
      </w:tr>
      <w:tr w14:paraId="43ACF3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598" w:type="dxa"/>
            <w:gridSpan w:val="3"/>
            <w:tcBorders>
              <w:top w:val="single" w:color="auto" w:sz="4" w:space="0"/>
              <w:left w:val="single" w:color="auto" w:sz="4" w:space="0"/>
              <w:bottom w:val="single" w:color="auto" w:sz="4" w:space="0"/>
              <w:right w:val="single" w:color="auto" w:sz="4" w:space="0"/>
            </w:tcBorders>
            <w:vAlign w:val="center"/>
          </w:tcPr>
          <w:p w14:paraId="57183B45">
            <w:pPr>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投标报价</w:t>
            </w:r>
          </w:p>
        </w:tc>
        <w:tc>
          <w:tcPr>
            <w:tcW w:w="7973" w:type="dxa"/>
            <w:gridSpan w:val="3"/>
            <w:tcBorders>
              <w:top w:val="single" w:color="auto" w:sz="4" w:space="0"/>
              <w:left w:val="single" w:color="auto" w:sz="4" w:space="0"/>
              <w:bottom w:val="single" w:color="auto" w:sz="4" w:space="0"/>
              <w:right w:val="single" w:color="auto" w:sz="4" w:space="0"/>
            </w:tcBorders>
          </w:tcPr>
          <w:p w14:paraId="27B18AD8">
            <w:pPr>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1.报价须含（但不限于）以下部分：</w:t>
            </w:r>
          </w:p>
          <w:p w14:paraId="50625DF1">
            <w:pPr>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（1）服务的价格；</w:t>
            </w:r>
          </w:p>
          <w:p w14:paraId="7FB90D1A">
            <w:pPr>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（2）必要的保险费用和各项税金；</w:t>
            </w:r>
          </w:p>
          <w:p w14:paraId="2674A93A">
            <w:pPr>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（3）人员服务费、服务实施费、项目管理费、交通、通讯、办公场地、物资及相关</w:t>
            </w:r>
          </w:p>
          <w:p w14:paraId="1BE94B65">
            <w:pPr>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材料及设备等；</w:t>
            </w:r>
          </w:p>
          <w:p w14:paraId="6BABD6A8">
            <w:pPr>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（4）其他费用[如技术支持、售后服务等及实施过程中的应预见和不可预见的]。</w:t>
            </w:r>
          </w:p>
          <w:p w14:paraId="1F6253E0">
            <w:pPr>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2.本项目实行费用包干制，投标报价包含完成上述服务内容所需的一切费用。投标人</w:t>
            </w:r>
          </w:p>
          <w:p w14:paraId="780C0B97">
            <w:pPr>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实施项目工作期间如出现人员人身、财产安全事故、损失等由投标人全部负责，采购</w:t>
            </w:r>
          </w:p>
          <w:p w14:paraId="1E44FF41">
            <w:pPr>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人不负任何责任。</w:t>
            </w:r>
          </w:p>
        </w:tc>
      </w:tr>
      <w:tr w14:paraId="7DF344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598" w:type="dxa"/>
            <w:gridSpan w:val="3"/>
            <w:tcBorders>
              <w:top w:val="single" w:color="auto" w:sz="4" w:space="0"/>
              <w:left w:val="single" w:color="auto" w:sz="4" w:space="0"/>
              <w:bottom w:val="single" w:color="auto" w:sz="4" w:space="0"/>
              <w:right w:val="single" w:color="auto" w:sz="4" w:space="0"/>
            </w:tcBorders>
            <w:vAlign w:val="center"/>
          </w:tcPr>
          <w:p w14:paraId="02FC98D8">
            <w:pPr>
              <w:spacing w:line="360" w:lineRule="auto"/>
              <w:jc w:val="center"/>
              <w:rPr>
                <w:rFonts w:ascii="宋体" w:hAnsi="宋体"/>
                <w:b/>
                <w:color w:val="auto"/>
                <w:szCs w:val="21"/>
                <w:highlight w:val="none"/>
              </w:rPr>
            </w:pPr>
            <w:r>
              <w:rPr>
                <w:rFonts w:hint="eastAsia" w:ascii="宋体" w:hAnsi="宋体" w:cs="宋体"/>
                <w:color w:val="auto"/>
                <w:szCs w:val="21"/>
                <w:highlight w:val="none"/>
              </w:rPr>
              <w:t>交付地点</w:t>
            </w:r>
          </w:p>
        </w:tc>
        <w:tc>
          <w:tcPr>
            <w:tcW w:w="7973" w:type="dxa"/>
            <w:gridSpan w:val="3"/>
            <w:tcBorders>
              <w:top w:val="single" w:color="auto" w:sz="4" w:space="0"/>
              <w:left w:val="single" w:color="auto" w:sz="4" w:space="0"/>
              <w:bottom w:val="single" w:color="auto" w:sz="4" w:space="0"/>
              <w:right w:val="single" w:color="auto" w:sz="4" w:space="0"/>
            </w:tcBorders>
            <w:vAlign w:val="center"/>
          </w:tcPr>
          <w:p w14:paraId="07F93BF0">
            <w:pPr>
              <w:spacing w:line="360" w:lineRule="auto"/>
              <w:rPr>
                <w:rFonts w:ascii="宋体" w:hAnsi="宋体"/>
                <w:b/>
                <w:color w:val="auto"/>
                <w:szCs w:val="21"/>
                <w:highlight w:val="none"/>
              </w:rPr>
            </w:pPr>
            <w:r>
              <w:rPr>
                <w:rFonts w:hint="eastAsia" w:ascii="宋体" w:hAnsi="宋体"/>
                <w:color w:val="auto"/>
                <w:szCs w:val="21"/>
                <w:highlight w:val="none"/>
              </w:rPr>
              <w:t>防城港市内采购人指定地点。</w:t>
            </w:r>
          </w:p>
        </w:tc>
      </w:tr>
      <w:tr w14:paraId="090284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598" w:type="dxa"/>
            <w:gridSpan w:val="3"/>
            <w:tcBorders>
              <w:top w:val="single" w:color="auto" w:sz="4" w:space="0"/>
              <w:left w:val="single" w:color="auto" w:sz="4" w:space="0"/>
              <w:bottom w:val="single" w:color="auto" w:sz="4" w:space="0"/>
              <w:right w:val="single" w:color="auto" w:sz="4" w:space="0"/>
            </w:tcBorders>
            <w:vAlign w:val="center"/>
          </w:tcPr>
          <w:p w14:paraId="4D50FE89">
            <w:pPr>
              <w:spacing w:line="360" w:lineRule="auto"/>
              <w:jc w:val="center"/>
              <w:rPr>
                <w:rFonts w:ascii="宋体" w:hAnsi="宋体"/>
                <w:b/>
                <w:color w:val="auto"/>
                <w:szCs w:val="21"/>
                <w:highlight w:val="none"/>
              </w:rPr>
            </w:pPr>
            <w:r>
              <w:rPr>
                <w:rFonts w:hint="eastAsia" w:ascii="宋体" w:hAnsi="宋体"/>
                <w:color w:val="auto"/>
                <w:szCs w:val="21"/>
                <w:highlight w:val="none"/>
              </w:rPr>
              <w:t>合同签订时间</w:t>
            </w:r>
          </w:p>
        </w:tc>
        <w:tc>
          <w:tcPr>
            <w:tcW w:w="7973" w:type="dxa"/>
            <w:gridSpan w:val="3"/>
            <w:tcBorders>
              <w:top w:val="single" w:color="auto" w:sz="4" w:space="0"/>
              <w:left w:val="single" w:color="auto" w:sz="4" w:space="0"/>
              <w:bottom w:val="single" w:color="auto" w:sz="4" w:space="0"/>
              <w:right w:val="single" w:color="auto" w:sz="4" w:space="0"/>
            </w:tcBorders>
            <w:vAlign w:val="center"/>
          </w:tcPr>
          <w:p w14:paraId="630D6078">
            <w:pPr>
              <w:spacing w:line="360" w:lineRule="auto"/>
              <w:rPr>
                <w:rFonts w:ascii="宋体" w:hAnsi="宋体"/>
                <w:b/>
                <w:color w:val="auto"/>
                <w:szCs w:val="21"/>
                <w:highlight w:val="none"/>
              </w:rPr>
            </w:pPr>
            <w:r>
              <w:rPr>
                <w:rFonts w:hint="eastAsia" w:ascii="宋体" w:hAnsi="宋体"/>
                <w:color w:val="auto"/>
                <w:szCs w:val="21"/>
                <w:highlight w:val="none"/>
              </w:rPr>
              <w:t>自中标通知书发出之日起25日内。</w:t>
            </w:r>
          </w:p>
        </w:tc>
      </w:tr>
      <w:tr w14:paraId="3191F0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598" w:type="dxa"/>
            <w:gridSpan w:val="3"/>
            <w:tcBorders>
              <w:top w:val="single" w:color="auto" w:sz="4" w:space="0"/>
              <w:left w:val="single" w:color="auto" w:sz="4" w:space="0"/>
              <w:bottom w:val="single" w:color="auto" w:sz="4" w:space="0"/>
              <w:right w:val="single" w:color="auto" w:sz="4" w:space="0"/>
            </w:tcBorders>
            <w:vAlign w:val="center"/>
          </w:tcPr>
          <w:p w14:paraId="5FF8EDA5">
            <w:pPr>
              <w:spacing w:line="360" w:lineRule="auto"/>
              <w:jc w:val="center"/>
              <w:rPr>
                <w:rFonts w:hint="eastAsia" w:ascii="宋体" w:hAnsi="宋体"/>
                <w:color w:val="auto"/>
                <w:szCs w:val="21"/>
                <w:highlight w:val="none"/>
              </w:rPr>
            </w:pPr>
            <w:r>
              <w:rPr>
                <w:rFonts w:hint="eastAsia" w:ascii="宋体" w:hAnsi="宋体"/>
                <w:color w:val="auto"/>
                <w:szCs w:val="21"/>
                <w:highlight w:val="none"/>
              </w:rPr>
              <w:t>付款条件</w:t>
            </w:r>
          </w:p>
        </w:tc>
        <w:tc>
          <w:tcPr>
            <w:tcW w:w="7973" w:type="dxa"/>
            <w:gridSpan w:val="3"/>
            <w:tcBorders>
              <w:top w:val="single" w:color="auto" w:sz="4" w:space="0"/>
              <w:left w:val="single" w:color="auto" w:sz="4" w:space="0"/>
              <w:bottom w:val="single" w:color="auto" w:sz="4" w:space="0"/>
              <w:right w:val="single" w:color="auto" w:sz="4" w:space="0"/>
            </w:tcBorders>
            <w:vAlign w:val="center"/>
          </w:tcPr>
          <w:p w14:paraId="7E353D48">
            <w:pPr>
              <w:spacing w:line="360" w:lineRule="auto"/>
              <w:ind w:firstLine="420" w:firstLineChars="200"/>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lang w:val="en-US" w:eastAsia="zh-CN"/>
              </w:rPr>
              <w:t>1.</w:t>
            </w:r>
            <w:r>
              <w:rPr>
                <w:rFonts w:hint="eastAsia" w:ascii="宋体" w:hAnsi="宋体" w:eastAsia="宋体" w:cs="Times New Roman"/>
                <w:b w:val="0"/>
                <w:bCs/>
                <w:color w:val="auto"/>
                <w:szCs w:val="21"/>
                <w:highlight w:val="none"/>
              </w:rPr>
              <w:t>由</w:t>
            </w:r>
            <w:r>
              <w:rPr>
                <w:rFonts w:hint="eastAsia" w:ascii="宋体" w:hAnsi="宋体" w:eastAsia="宋体" w:cs="Times New Roman"/>
                <w:b w:val="0"/>
                <w:bCs/>
                <w:color w:val="auto"/>
                <w:szCs w:val="21"/>
                <w:highlight w:val="none"/>
                <w:lang w:val="en-US" w:eastAsia="zh-CN"/>
              </w:rPr>
              <w:t>采购人</w:t>
            </w:r>
            <w:r>
              <w:rPr>
                <w:rFonts w:hint="eastAsia" w:ascii="宋体" w:hAnsi="宋体" w:eastAsia="宋体" w:cs="Times New Roman"/>
                <w:b w:val="0"/>
                <w:bCs/>
                <w:color w:val="auto"/>
                <w:szCs w:val="21"/>
                <w:highlight w:val="none"/>
              </w:rPr>
              <w:t>根据考核结果支付养护经费，在开具服务类发票后，按财政拨款进度支付。养护经费</w:t>
            </w:r>
            <w:r>
              <w:rPr>
                <w:rFonts w:hint="eastAsia" w:ascii="宋体" w:hAnsi="宋体" w:eastAsia="宋体" w:cs="Times New Roman"/>
                <w:b w:val="0"/>
                <w:bCs/>
                <w:color w:val="auto"/>
                <w:szCs w:val="21"/>
                <w:highlight w:val="none"/>
                <w:lang w:val="en-US" w:eastAsia="zh-CN"/>
              </w:rPr>
              <w:t>分为两部分，</w:t>
            </w:r>
            <w:r>
              <w:rPr>
                <w:rFonts w:hint="eastAsia" w:ascii="宋体" w:hAnsi="宋体" w:eastAsia="宋体" w:cs="Times New Roman"/>
                <w:b w:val="0"/>
                <w:bCs/>
                <w:color w:val="auto"/>
                <w:szCs w:val="21"/>
                <w:highlight w:val="none"/>
                <w:lang w:eastAsia="zh-CN"/>
              </w:rPr>
              <w:t>采购人以连续</w:t>
            </w:r>
            <w:r>
              <w:rPr>
                <w:rFonts w:hint="eastAsia" w:ascii="宋体" w:hAnsi="宋体" w:eastAsia="宋体" w:cs="Times New Roman"/>
                <w:b w:val="0"/>
                <w:bCs/>
                <w:color w:val="auto"/>
                <w:szCs w:val="21"/>
                <w:highlight w:val="none"/>
                <w:lang w:val="en-US" w:eastAsia="zh-CN"/>
              </w:rPr>
              <w:t>3</w:t>
            </w:r>
            <w:r>
              <w:rPr>
                <w:rFonts w:hint="eastAsia" w:ascii="宋体" w:hAnsi="宋体" w:eastAsia="宋体" w:cs="Times New Roman"/>
                <w:b w:val="0"/>
                <w:bCs/>
                <w:color w:val="auto"/>
                <w:szCs w:val="21"/>
                <w:highlight w:val="none"/>
                <w:lang w:eastAsia="zh-CN"/>
              </w:rPr>
              <w:t>个月为</w:t>
            </w:r>
            <w:r>
              <w:rPr>
                <w:rFonts w:hint="eastAsia" w:ascii="宋体" w:hAnsi="宋体" w:eastAsia="宋体" w:cs="Times New Roman"/>
                <w:b w:val="0"/>
                <w:bCs/>
                <w:color w:val="auto"/>
                <w:szCs w:val="21"/>
                <w:highlight w:val="none"/>
                <w:lang w:val="en-US" w:eastAsia="zh-CN"/>
              </w:rPr>
              <w:t>1</w:t>
            </w:r>
            <w:r>
              <w:rPr>
                <w:rFonts w:hint="eastAsia" w:ascii="宋体" w:hAnsi="宋体" w:eastAsia="宋体" w:cs="Times New Roman"/>
                <w:b w:val="0"/>
                <w:bCs/>
                <w:color w:val="auto"/>
                <w:szCs w:val="21"/>
                <w:highlight w:val="none"/>
                <w:lang w:eastAsia="zh-CN"/>
              </w:rPr>
              <w:t>个基础考核周期向市财政局申请基础养护经费，以</w:t>
            </w:r>
            <w:r>
              <w:rPr>
                <w:rFonts w:hint="eastAsia" w:ascii="宋体" w:hAnsi="宋体" w:eastAsia="宋体" w:cs="Times New Roman"/>
                <w:b w:val="0"/>
                <w:bCs/>
                <w:color w:val="auto"/>
                <w:szCs w:val="21"/>
                <w:highlight w:val="none"/>
                <w:lang w:val="en-US" w:eastAsia="zh-CN"/>
              </w:rPr>
              <w:t>连续12个月</w:t>
            </w:r>
            <w:r>
              <w:rPr>
                <w:rFonts w:hint="eastAsia" w:ascii="宋体" w:hAnsi="宋体" w:eastAsia="宋体" w:cs="Times New Roman"/>
                <w:b w:val="0"/>
                <w:bCs/>
                <w:color w:val="auto"/>
                <w:szCs w:val="21"/>
                <w:highlight w:val="none"/>
                <w:lang w:eastAsia="zh-CN"/>
              </w:rPr>
              <w:t>为</w:t>
            </w:r>
            <w:r>
              <w:rPr>
                <w:rFonts w:hint="eastAsia" w:ascii="宋体" w:hAnsi="宋体" w:eastAsia="宋体" w:cs="Times New Roman"/>
                <w:b w:val="0"/>
                <w:bCs/>
                <w:color w:val="auto"/>
                <w:szCs w:val="21"/>
                <w:highlight w:val="none"/>
                <w:lang w:val="en-US" w:eastAsia="zh-CN"/>
              </w:rPr>
              <w:t>1</w:t>
            </w:r>
            <w:r>
              <w:rPr>
                <w:rFonts w:hint="eastAsia" w:ascii="宋体" w:hAnsi="宋体" w:eastAsia="宋体" w:cs="Times New Roman"/>
                <w:b w:val="0"/>
                <w:bCs/>
                <w:color w:val="auto"/>
                <w:szCs w:val="21"/>
                <w:highlight w:val="none"/>
                <w:lang w:eastAsia="zh-CN"/>
              </w:rPr>
              <w:t>个绩效考核周期向市财政局申请</w:t>
            </w:r>
            <w:r>
              <w:rPr>
                <w:rFonts w:hint="eastAsia" w:ascii="宋体" w:hAnsi="宋体" w:eastAsia="宋体" w:cs="Times New Roman"/>
                <w:b w:val="0"/>
                <w:bCs/>
                <w:color w:val="auto"/>
                <w:szCs w:val="21"/>
                <w:highlight w:val="none"/>
                <w:lang w:val="en-US" w:eastAsia="zh-CN"/>
              </w:rPr>
              <w:t>绩效养护经费</w:t>
            </w:r>
            <w:r>
              <w:rPr>
                <w:rFonts w:hint="eastAsia" w:ascii="宋体" w:hAnsi="宋体" w:eastAsia="宋体" w:cs="Times New Roman"/>
                <w:b w:val="0"/>
                <w:bCs/>
                <w:color w:val="auto"/>
                <w:szCs w:val="21"/>
                <w:highlight w:val="none"/>
              </w:rPr>
              <w:t>（如后期市财政局要求进行调整，中标</w:t>
            </w:r>
            <w:r>
              <w:rPr>
                <w:rFonts w:hint="eastAsia" w:ascii="宋体" w:hAnsi="宋体" w:eastAsia="宋体" w:cs="Times New Roman"/>
                <w:b w:val="0"/>
                <w:bCs/>
                <w:color w:val="auto"/>
                <w:szCs w:val="21"/>
                <w:highlight w:val="none"/>
                <w:lang w:val="en-US" w:eastAsia="zh-CN"/>
              </w:rPr>
              <w:t>人</w:t>
            </w:r>
            <w:r>
              <w:rPr>
                <w:rFonts w:hint="eastAsia" w:ascii="宋体" w:hAnsi="宋体" w:eastAsia="宋体" w:cs="Times New Roman"/>
                <w:b w:val="0"/>
                <w:bCs/>
                <w:color w:val="auto"/>
                <w:szCs w:val="21"/>
                <w:highlight w:val="none"/>
              </w:rPr>
              <w:t>需</w:t>
            </w:r>
            <w:r>
              <w:rPr>
                <w:rFonts w:hint="eastAsia" w:ascii="宋体" w:hAnsi="宋体" w:eastAsia="宋体" w:cs="Times New Roman"/>
                <w:b w:val="0"/>
                <w:bCs/>
                <w:color w:val="auto"/>
                <w:szCs w:val="21"/>
                <w:highlight w:val="none"/>
                <w:lang w:eastAsia="zh-CN"/>
              </w:rPr>
              <w:t>无条件</w:t>
            </w:r>
            <w:r>
              <w:rPr>
                <w:rFonts w:hint="eastAsia" w:ascii="宋体" w:hAnsi="宋体" w:eastAsia="宋体" w:cs="Times New Roman"/>
                <w:b w:val="0"/>
                <w:bCs/>
                <w:color w:val="auto"/>
                <w:szCs w:val="21"/>
                <w:highlight w:val="none"/>
              </w:rPr>
              <w:t>服从安排）。</w:t>
            </w:r>
          </w:p>
          <w:p w14:paraId="157ADD0D">
            <w:pPr>
              <w:spacing w:line="360" w:lineRule="auto"/>
              <w:ind w:firstLine="420" w:firstLineChars="200"/>
              <w:rPr>
                <w:rFonts w:hint="eastAsia" w:ascii="宋体" w:hAnsi="宋体" w:eastAsia="宋体" w:cs="Times New Roman"/>
                <w:b w:val="0"/>
                <w:bCs/>
                <w:color w:val="auto"/>
                <w:szCs w:val="21"/>
                <w:highlight w:val="none"/>
                <w:lang w:val="en-US" w:eastAsia="zh-CN"/>
              </w:rPr>
            </w:pPr>
            <w:r>
              <w:rPr>
                <w:rFonts w:hint="eastAsia" w:ascii="宋体" w:hAnsi="宋体" w:eastAsia="宋体" w:cs="Times New Roman"/>
                <w:b w:val="0"/>
                <w:bCs/>
                <w:color w:val="auto"/>
                <w:szCs w:val="21"/>
                <w:highlight w:val="none"/>
                <w:lang w:val="en-US" w:eastAsia="zh-CN"/>
              </w:rPr>
              <w:t>2.基础养护经费根据日常考核+月度考核的结果，每3个月支付一次。</w:t>
            </w:r>
            <w:r>
              <w:rPr>
                <w:rFonts w:hint="eastAsia" w:ascii="宋体" w:hAnsi="宋体" w:eastAsia="宋体" w:cs="Times New Roman"/>
                <w:b w:val="0"/>
                <w:bCs/>
                <w:color w:val="auto"/>
                <w:szCs w:val="21"/>
                <w:highlight w:val="none"/>
              </w:rPr>
              <w:t>考核结果</w:t>
            </w:r>
            <w:r>
              <w:rPr>
                <w:rFonts w:hint="eastAsia" w:ascii="宋体" w:hAnsi="宋体" w:eastAsia="宋体" w:cs="Times New Roman"/>
                <w:b w:val="0"/>
                <w:bCs/>
                <w:color w:val="auto"/>
                <w:szCs w:val="21"/>
                <w:highlight w:val="none"/>
                <w:lang w:eastAsia="zh-CN"/>
              </w:rPr>
              <w:t>分为</w:t>
            </w:r>
            <w:r>
              <w:rPr>
                <w:rFonts w:hint="eastAsia" w:ascii="宋体" w:hAnsi="宋体" w:eastAsia="宋体" w:cs="Times New Roman"/>
                <w:b w:val="0"/>
                <w:bCs/>
                <w:color w:val="auto"/>
                <w:szCs w:val="21"/>
                <w:highlight w:val="none"/>
              </w:rPr>
              <w:t>合格和不合格两个等级（考核满分为100</w:t>
            </w:r>
            <w:r>
              <w:rPr>
                <w:rFonts w:hint="eastAsia" w:ascii="宋体" w:hAnsi="宋体" w:eastAsia="宋体" w:cs="Times New Roman"/>
                <w:b w:val="0"/>
                <w:bCs/>
                <w:color w:val="auto"/>
                <w:szCs w:val="21"/>
                <w:highlight w:val="none"/>
                <w:lang w:val="en-US" w:eastAsia="zh-CN"/>
              </w:rPr>
              <w:t>0</w:t>
            </w:r>
            <w:r>
              <w:rPr>
                <w:rFonts w:hint="eastAsia" w:ascii="宋体" w:hAnsi="宋体" w:eastAsia="宋体" w:cs="Times New Roman"/>
                <w:b w:val="0"/>
                <w:bCs/>
                <w:color w:val="auto"/>
                <w:szCs w:val="21"/>
                <w:highlight w:val="none"/>
              </w:rPr>
              <w:t>分，考核得分≥90</w:t>
            </w:r>
            <w:r>
              <w:rPr>
                <w:rFonts w:hint="eastAsia" w:ascii="宋体" w:hAnsi="宋体" w:eastAsia="宋体" w:cs="Times New Roman"/>
                <w:b w:val="0"/>
                <w:bCs/>
                <w:color w:val="auto"/>
                <w:szCs w:val="21"/>
                <w:highlight w:val="none"/>
                <w:lang w:val="en-US" w:eastAsia="zh-CN"/>
              </w:rPr>
              <w:t>0</w:t>
            </w:r>
            <w:r>
              <w:rPr>
                <w:rFonts w:hint="eastAsia" w:ascii="宋体" w:hAnsi="宋体" w:eastAsia="宋体" w:cs="Times New Roman"/>
                <w:b w:val="0"/>
                <w:bCs/>
                <w:color w:val="auto"/>
                <w:szCs w:val="21"/>
                <w:highlight w:val="none"/>
              </w:rPr>
              <w:t>分为合格等级，考核得分＜9</w:t>
            </w:r>
            <w:r>
              <w:rPr>
                <w:rFonts w:hint="eastAsia" w:ascii="宋体" w:hAnsi="宋体" w:eastAsia="宋体" w:cs="Times New Roman"/>
                <w:b w:val="0"/>
                <w:bCs/>
                <w:color w:val="auto"/>
                <w:szCs w:val="21"/>
                <w:highlight w:val="none"/>
                <w:lang w:val="en-US" w:eastAsia="zh-CN"/>
              </w:rPr>
              <w:t>0</w:t>
            </w:r>
            <w:r>
              <w:rPr>
                <w:rFonts w:hint="eastAsia" w:ascii="宋体" w:hAnsi="宋体" w:eastAsia="宋体" w:cs="Times New Roman"/>
                <w:b w:val="0"/>
                <w:bCs/>
                <w:color w:val="auto"/>
                <w:szCs w:val="21"/>
                <w:highlight w:val="none"/>
              </w:rPr>
              <w:t>0分为不合格等级）。</w:t>
            </w:r>
            <w:r>
              <w:rPr>
                <w:rFonts w:hint="eastAsia" w:ascii="宋体" w:hAnsi="宋体" w:eastAsia="宋体" w:cs="Times New Roman"/>
                <w:b w:val="0"/>
                <w:bCs/>
                <w:color w:val="auto"/>
                <w:szCs w:val="21"/>
                <w:highlight w:val="none"/>
                <w:lang w:val="en-US" w:eastAsia="zh-CN"/>
              </w:rPr>
              <w:t>考核结果达到</w:t>
            </w:r>
            <w:r>
              <w:rPr>
                <w:rFonts w:hint="eastAsia" w:ascii="宋体" w:hAnsi="宋体" w:eastAsia="宋体" w:cs="Times New Roman"/>
                <w:b w:val="0"/>
                <w:bCs/>
                <w:color w:val="auto"/>
                <w:szCs w:val="21"/>
                <w:highlight w:val="none"/>
              </w:rPr>
              <w:t>合格等级</w:t>
            </w:r>
            <w:r>
              <w:rPr>
                <w:rFonts w:hint="eastAsia" w:ascii="宋体" w:hAnsi="宋体" w:eastAsia="宋体" w:cs="Times New Roman"/>
                <w:b w:val="0"/>
                <w:bCs/>
                <w:color w:val="auto"/>
                <w:szCs w:val="21"/>
                <w:highlight w:val="none"/>
                <w:lang w:eastAsia="zh-CN"/>
              </w:rPr>
              <w:t>的</w:t>
            </w:r>
            <w:r>
              <w:rPr>
                <w:rFonts w:hint="eastAsia" w:ascii="宋体" w:hAnsi="宋体" w:eastAsia="宋体" w:cs="Times New Roman"/>
                <w:b w:val="0"/>
                <w:bCs/>
                <w:color w:val="auto"/>
                <w:szCs w:val="21"/>
                <w:highlight w:val="none"/>
              </w:rPr>
              <w:t>按约定支付</w:t>
            </w:r>
            <w:r>
              <w:rPr>
                <w:rFonts w:hint="default" w:ascii="宋体" w:hAnsi="宋体" w:eastAsia="宋体" w:cs="Times New Roman"/>
                <w:b w:val="0"/>
                <w:bCs/>
                <w:color w:val="auto"/>
                <w:szCs w:val="21"/>
                <w:highlight w:val="none"/>
                <w:lang w:val="en-US" w:eastAsia="zh-CN"/>
              </w:rPr>
              <w:t>当</w:t>
            </w:r>
            <w:r>
              <w:rPr>
                <w:rFonts w:hint="eastAsia" w:ascii="宋体" w:hAnsi="宋体" w:eastAsia="宋体" w:cs="Times New Roman"/>
                <w:b w:val="0"/>
                <w:bCs/>
                <w:color w:val="auto"/>
                <w:szCs w:val="21"/>
                <w:highlight w:val="none"/>
                <w:lang w:val="en-US" w:eastAsia="zh-CN"/>
              </w:rPr>
              <w:t>月全部金额的基础养护</w:t>
            </w:r>
            <w:r>
              <w:rPr>
                <w:rFonts w:hint="eastAsia" w:ascii="宋体" w:hAnsi="宋体" w:cs="Times New Roman"/>
                <w:b w:val="0"/>
                <w:bCs/>
                <w:color w:val="auto"/>
                <w:szCs w:val="21"/>
                <w:highlight w:val="none"/>
                <w:lang w:val="en-US" w:eastAsia="zh-CN"/>
              </w:rPr>
              <w:t>服务</w:t>
            </w:r>
            <w:r>
              <w:rPr>
                <w:rFonts w:hint="eastAsia" w:ascii="宋体" w:hAnsi="宋体" w:eastAsia="宋体" w:cs="Times New Roman"/>
                <w:b w:val="0"/>
                <w:bCs/>
                <w:color w:val="auto"/>
                <w:szCs w:val="21"/>
                <w:highlight w:val="none"/>
                <w:lang w:val="en-US" w:eastAsia="zh-CN"/>
              </w:rPr>
              <w:t>费</w:t>
            </w:r>
            <w:r>
              <w:rPr>
                <w:rFonts w:hint="eastAsia" w:ascii="宋体" w:hAnsi="宋体" w:eastAsia="宋体" w:cs="Times New Roman"/>
                <w:b w:val="0"/>
                <w:bCs/>
                <w:color w:val="auto"/>
                <w:szCs w:val="21"/>
                <w:highlight w:val="none"/>
              </w:rPr>
              <w:t>，</w:t>
            </w:r>
            <w:r>
              <w:rPr>
                <w:rFonts w:hint="eastAsia" w:ascii="宋体" w:hAnsi="宋体" w:eastAsia="宋体" w:cs="Times New Roman"/>
                <w:b w:val="0"/>
                <w:bCs/>
                <w:color w:val="auto"/>
                <w:szCs w:val="21"/>
                <w:highlight w:val="none"/>
                <w:lang w:val="en-US" w:eastAsia="zh-CN"/>
              </w:rPr>
              <w:t>考核结果为</w:t>
            </w:r>
            <w:r>
              <w:rPr>
                <w:rFonts w:hint="eastAsia" w:ascii="宋体" w:hAnsi="宋体" w:eastAsia="宋体" w:cs="Times New Roman"/>
                <w:b w:val="0"/>
                <w:bCs/>
                <w:color w:val="auto"/>
                <w:szCs w:val="21"/>
                <w:highlight w:val="none"/>
              </w:rPr>
              <w:t>不合格等级</w:t>
            </w:r>
            <w:r>
              <w:rPr>
                <w:rFonts w:hint="eastAsia" w:ascii="宋体" w:hAnsi="宋体" w:eastAsia="宋体" w:cs="Times New Roman"/>
                <w:b w:val="0"/>
                <w:bCs/>
                <w:color w:val="auto"/>
                <w:szCs w:val="21"/>
                <w:highlight w:val="none"/>
                <w:lang w:eastAsia="zh-CN"/>
              </w:rPr>
              <w:t>且＞</w:t>
            </w:r>
            <w:r>
              <w:rPr>
                <w:rFonts w:hint="default" w:ascii="宋体" w:hAnsi="宋体" w:eastAsia="宋体" w:cs="Times New Roman"/>
                <w:b w:val="0"/>
                <w:bCs/>
                <w:color w:val="auto"/>
                <w:szCs w:val="21"/>
                <w:highlight w:val="none"/>
                <w:lang w:val="en-US" w:eastAsia="zh-CN"/>
              </w:rPr>
              <w:t>600分</w:t>
            </w:r>
            <w:r>
              <w:rPr>
                <w:rFonts w:hint="eastAsia" w:ascii="宋体" w:hAnsi="宋体" w:eastAsia="宋体" w:cs="Times New Roman"/>
                <w:b w:val="0"/>
                <w:bCs/>
                <w:color w:val="auto"/>
                <w:szCs w:val="21"/>
                <w:highlight w:val="none"/>
              </w:rPr>
              <w:t>的按</w:t>
            </w:r>
            <w:r>
              <w:rPr>
                <w:rFonts w:hint="default" w:ascii="宋体" w:hAnsi="宋体" w:eastAsia="宋体" w:cs="Times New Roman"/>
                <w:b w:val="0"/>
                <w:bCs/>
                <w:color w:val="auto"/>
                <w:szCs w:val="21"/>
                <w:highlight w:val="none"/>
                <w:lang w:val="en-US" w:eastAsia="zh-CN"/>
              </w:rPr>
              <w:t>当</w:t>
            </w:r>
            <w:r>
              <w:rPr>
                <w:rFonts w:hint="eastAsia" w:ascii="宋体" w:hAnsi="宋体" w:eastAsia="宋体" w:cs="Times New Roman"/>
                <w:b w:val="0"/>
                <w:bCs/>
                <w:color w:val="auto"/>
                <w:szCs w:val="21"/>
                <w:highlight w:val="none"/>
                <w:lang w:val="en-US" w:eastAsia="zh-CN"/>
              </w:rPr>
              <w:t>月</w:t>
            </w:r>
            <w:r>
              <w:rPr>
                <w:rFonts w:hint="eastAsia" w:ascii="宋体" w:hAnsi="宋体" w:eastAsia="宋体" w:cs="Times New Roman"/>
                <w:b w:val="0"/>
                <w:bCs/>
                <w:color w:val="auto"/>
                <w:szCs w:val="21"/>
                <w:highlight w:val="none"/>
              </w:rPr>
              <w:t>考核得分比例</w:t>
            </w:r>
            <w:r>
              <w:rPr>
                <w:rFonts w:hint="eastAsia" w:ascii="宋体" w:hAnsi="宋体" w:eastAsia="宋体" w:cs="Times New Roman"/>
                <w:b w:val="0"/>
                <w:bCs/>
                <w:color w:val="auto"/>
                <w:szCs w:val="21"/>
                <w:highlight w:val="none"/>
                <w:lang w:eastAsia="zh-CN"/>
              </w:rPr>
              <w:t>支付</w:t>
            </w:r>
            <w:r>
              <w:rPr>
                <w:rFonts w:hint="eastAsia" w:ascii="宋体" w:hAnsi="宋体" w:eastAsia="宋体" w:cs="Times New Roman"/>
                <w:b w:val="0"/>
                <w:bCs/>
                <w:color w:val="auto"/>
                <w:szCs w:val="21"/>
                <w:highlight w:val="none"/>
                <w:lang w:val="en-US" w:eastAsia="zh-CN"/>
              </w:rPr>
              <w:t>基础养护</w:t>
            </w:r>
            <w:r>
              <w:rPr>
                <w:rFonts w:hint="eastAsia" w:ascii="宋体" w:hAnsi="宋体" w:cs="Times New Roman"/>
                <w:b w:val="0"/>
                <w:bCs/>
                <w:color w:val="auto"/>
                <w:szCs w:val="21"/>
                <w:highlight w:val="none"/>
                <w:lang w:val="en-US" w:eastAsia="zh-CN"/>
              </w:rPr>
              <w:t>服务</w:t>
            </w:r>
            <w:r>
              <w:rPr>
                <w:rFonts w:hint="eastAsia" w:ascii="宋体" w:hAnsi="宋体" w:eastAsia="宋体" w:cs="Times New Roman"/>
                <w:b w:val="0"/>
                <w:bCs/>
                <w:color w:val="auto"/>
                <w:szCs w:val="21"/>
                <w:highlight w:val="none"/>
                <w:lang w:val="en-US" w:eastAsia="zh-CN"/>
              </w:rPr>
              <w:t>费。</w:t>
            </w:r>
            <w:r>
              <w:rPr>
                <w:rFonts w:hint="eastAsia" w:ascii="宋体" w:hAnsi="宋体" w:eastAsia="宋体" w:cs="Times New Roman"/>
                <w:b w:val="0"/>
                <w:bCs/>
                <w:color w:val="auto"/>
                <w:szCs w:val="21"/>
                <w:highlight w:val="none"/>
              </w:rPr>
              <w:t>考核得分</w:t>
            </w:r>
            <w:r>
              <w:rPr>
                <w:rFonts w:hint="eastAsia" w:ascii="宋体" w:hAnsi="宋体" w:eastAsia="宋体" w:cs="Times New Roman"/>
                <w:b w:val="0"/>
                <w:bCs/>
                <w:color w:val="auto"/>
                <w:szCs w:val="21"/>
                <w:highlight w:val="none"/>
                <w:lang w:eastAsia="zh-CN"/>
              </w:rPr>
              <w:t>≤</w:t>
            </w:r>
            <w:r>
              <w:rPr>
                <w:rFonts w:hint="default" w:ascii="宋体" w:hAnsi="宋体" w:eastAsia="宋体" w:cs="Times New Roman"/>
                <w:b w:val="0"/>
                <w:bCs/>
                <w:color w:val="auto"/>
                <w:szCs w:val="21"/>
                <w:highlight w:val="none"/>
                <w:lang w:val="en-US" w:eastAsia="zh-CN"/>
              </w:rPr>
              <w:t>600分</w:t>
            </w:r>
            <w:r>
              <w:rPr>
                <w:rFonts w:hint="eastAsia" w:ascii="宋体" w:hAnsi="宋体" w:eastAsia="宋体" w:cs="Times New Roman"/>
                <w:b w:val="0"/>
                <w:bCs/>
                <w:color w:val="auto"/>
                <w:szCs w:val="21"/>
                <w:highlight w:val="none"/>
                <w:lang w:val="en-US" w:eastAsia="zh-CN"/>
              </w:rPr>
              <w:t>的</w:t>
            </w:r>
            <w:r>
              <w:rPr>
                <w:rFonts w:hint="default" w:ascii="宋体" w:hAnsi="宋体" w:eastAsia="宋体" w:cs="Times New Roman"/>
                <w:b w:val="0"/>
                <w:bCs/>
                <w:color w:val="auto"/>
                <w:szCs w:val="21"/>
                <w:highlight w:val="none"/>
                <w:lang w:val="en-US" w:eastAsia="zh-CN"/>
              </w:rPr>
              <w:t>不予支付当</w:t>
            </w:r>
            <w:r>
              <w:rPr>
                <w:rFonts w:hint="eastAsia" w:ascii="宋体" w:hAnsi="宋体" w:eastAsia="宋体" w:cs="Times New Roman"/>
                <w:b w:val="0"/>
                <w:bCs/>
                <w:color w:val="auto"/>
                <w:szCs w:val="21"/>
                <w:highlight w:val="none"/>
                <w:lang w:val="en-US" w:eastAsia="zh-CN"/>
              </w:rPr>
              <w:t>月</w:t>
            </w:r>
            <w:r>
              <w:rPr>
                <w:rFonts w:hint="default" w:ascii="宋体" w:hAnsi="宋体" w:eastAsia="宋体" w:cs="Times New Roman"/>
                <w:b w:val="0"/>
                <w:bCs/>
                <w:color w:val="auto"/>
                <w:szCs w:val="21"/>
                <w:highlight w:val="none"/>
                <w:lang w:val="en-US" w:eastAsia="zh-CN"/>
              </w:rPr>
              <w:t>服务费用</w:t>
            </w:r>
            <w:r>
              <w:rPr>
                <w:rFonts w:hint="eastAsia" w:ascii="宋体" w:hAnsi="宋体" w:eastAsia="宋体" w:cs="Times New Roman"/>
                <w:b w:val="0"/>
                <w:bCs/>
                <w:color w:val="auto"/>
                <w:szCs w:val="21"/>
                <w:highlight w:val="none"/>
                <w:lang w:val="en-US" w:eastAsia="zh-CN"/>
              </w:rPr>
              <w:t>，采购人在服务期内保留终止合同的权利。</w:t>
            </w:r>
          </w:p>
          <w:p w14:paraId="5FCAB12F">
            <w:pPr>
              <w:spacing w:line="360" w:lineRule="auto"/>
              <w:ind w:firstLine="420" w:firstLineChars="200"/>
              <w:rPr>
                <w:rFonts w:hint="eastAsia" w:ascii="宋体" w:hAnsi="宋体" w:eastAsia="宋体" w:cs="Times New Roman"/>
                <w:b w:val="0"/>
                <w:bCs/>
                <w:color w:val="auto"/>
                <w:szCs w:val="21"/>
                <w:highlight w:val="none"/>
                <w:lang w:val="en-US" w:eastAsia="zh-CN"/>
              </w:rPr>
            </w:pPr>
            <w:r>
              <w:rPr>
                <w:rFonts w:hint="eastAsia" w:ascii="宋体" w:hAnsi="宋体" w:eastAsia="宋体" w:cs="Times New Roman"/>
                <w:b w:val="0"/>
                <w:bCs/>
                <w:color w:val="auto"/>
                <w:szCs w:val="21"/>
                <w:highlight w:val="none"/>
                <w:lang w:val="en-US" w:eastAsia="zh-CN"/>
              </w:rPr>
              <w:t>3.绩效养护经费根据1</w:t>
            </w:r>
            <w:r>
              <w:rPr>
                <w:rFonts w:hint="eastAsia" w:ascii="宋体" w:hAnsi="宋体" w:eastAsia="宋体" w:cs="Times New Roman"/>
                <w:b w:val="0"/>
                <w:bCs/>
                <w:color w:val="auto"/>
                <w:szCs w:val="21"/>
                <w:highlight w:val="none"/>
                <w:lang w:eastAsia="zh-CN"/>
              </w:rPr>
              <w:t>个绩效考核周期的</w:t>
            </w:r>
            <w:r>
              <w:rPr>
                <w:rFonts w:hint="eastAsia" w:ascii="宋体" w:hAnsi="宋体" w:eastAsia="宋体" w:cs="Times New Roman"/>
                <w:b w:val="0"/>
                <w:bCs/>
                <w:color w:val="auto"/>
                <w:szCs w:val="21"/>
                <w:highlight w:val="none"/>
                <w:lang w:val="en-US" w:eastAsia="zh-CN"/>
              </w:rPr>
              <w:t>考核结果（考核结果为该周期内每月考核+日常考核得分的累加），每12个月支付一次。其中，</w:t>
            </w:r>
            <w:r>
              <w:rPr>
                <w:rFonts w:hint="eastAsia" w:ascii="宋体" w:hAnsi="宋体" w:eastAsia="宋体" w:cs="Times New Roman"/>
                <w:b w:val="0"/>
                <w:bCs/>
                <w:color w:val="auto"/>
                <w:szCs w:val="21"/>
                <w:highlight w:val="none"/>
              </w:rPr>
              <w:t>考核</w:t>
            </w:r>
            <w:r>
              <w:rPr>
                <w:rFonts w:hint="eastAsia" w:ascii="宋体" w:hAnsi="宋体" w:eastAsia="宋体" w:cs="Times New Roman"/>
                <w:b w:val="0"/>
                <w:bCs/>
                <w:color w:val="auto"/>
                <w:szCs w:val="21"/>
                <w:highlight w:val="none"/>
                <w:lang w:eastAsia="zh-CN"/>
              </w:rPr>
              <w:t>合格的</w:t>
            </w:r>
            <w:r>
              <w:rPr>
                <w:rFonts w:hint="eastAsia" w:ascii="宋体" w:hAnsi="宋体" w:eastAsia="宋体" w:cs="Times New Roman"/>
                <w:b w:val="0"/>
                <w:bCs/>
                <w:color w:val="auto"/>
                <w:szCs w:val="21"/>
                <w:highlight w:val="none"/>
              </w:rPr>
              <w:t>得分</w:t>
            </w:r>
            <w:r>
              <w:rPr>
                <w:rFonts w:hint="eastAsia" w:ascii="宋体" w:hAnsi="宋体" w:eastAsia="宋体" w:cs="Times New Roman"/>
                <w:b w:val="0"/>
                <w:bCs/>
                <w:color w:val="auto"/>
                <w:szCs w:val="21"/>
                <w:highlight w:val="none"/>
                <w:lang w:eastAsia="zh-CN"/>
              </w:rPr>
              <w:t>全额计入绩效考核周期的考核结果，考核</w:t>
            </w:r>
            <w:r>
              <w:rPr>
                <w:rFonts w:hint="eastAsia" w:ascii="宋体" w:hAnsi="宋体" w:eastAsia="宋体" w:cs="Times New Roman"/>
                <w:b w:val="0"/>
                <w:bCs/>
                <w:color w:val="auto"/>
                <w:szCs w:val="21"/>
                <w:highlight w:val="none"/>
              </w:rPr>
              <w:t>不合格</w:t>
            </w:r>
            <w:r>
              <w:rPr>
                <w:rFonts w:hint="eastAsia" w:ascii="宋体" w:hAnsi="宋体" w:eastAsia="宋体" w:cs="Times New Roman"/>
                <w:b w:val="0"/>
                <w:bCs/>
                <w:color w:val="auto"/>
                <w:szCs w:val="21"/>
                <w:highlight w:val="none"/>
                <w:lang w:eastAsia="zh-CN"/>
              </w:rPr>
              <w:t>且＞</w:t>
            </w:r>
            <w:r>
              <w:rPr>
                <w:rFonts w:hint="default" w:ascii="宋体" w:hAnsi="宋体" w:eastAsia="宋体" w:cs="Times New Roman"/>
                <w:b w:val="0"/>
                <w:bCs/>
                <w:color w:val="auto"/>
                <w:szCs w:val="21"/>
                <w:highlight w:val="none"/>
                <w:lang w:val="en-US" w:eastAsia="zh-CN"/>
              </w:rPr>
              <w:t>600分</w:t>
            </w:r>
            <w:r>
              <w:rPr>
                <w:rFonts w:hint="eastAsia" w:ascii="宋体" w:hAnsi="宋体" w:eastAsia="宋体" w:cs="Times New Roman"/>
                <w:b w:val="0"/>
                <w:bCs/>
                <w:color w:val="auto"/>
                <w:szCs w:val="21"/>
                <w:highlight w:val="none"/>
              </w:rPr>
              <w:t>的得分</w:t>
            </w:r>
            <w:r>
              <w:rPr>
                <w:rFonts w:hint="eastAsia" w:ascii="宋体" w:hAnsi="宋体" w:eastAsia="宋体" w:cs="Times New Roman"/>
                <w:b w:val="0"/>
                <w:bCs/>
                <w:color w:val="auto"/>
                <w:szCs w:val="21"/>
                <w:highlight w:val="none"/>
                <w:lang w:eastAsia="zh-CN"/>
              </w:rPr>
              <w:t>按比例计入绩效考核周期的考核结果，</w:t>
            </w:r>
            <w:r>
              <w:rPr>
                <w:rFonts w:hint="eastAsia" w:ascii="宋体" w:hAnsi="宋体" w:eastAsia="宋体" w:cs="Times New Roman"/>
                <w:b w:val="0"/>
                <w:bCs/>
                <w:color w:val="auto"/>
                <w:szCs w:val="21"/>
                <w:highlight w:val="none"/>
              </w:rPr>
              <w:t>考核得分</w:t>
            </w:r>
            <w:r>
              <w:rPr>
                <w:rFonts w:hint="eastAsia" w:ascii="宋体" w:hAnsi="宋体" w:eastAsia="宋体" w:cs="Times New Roman"/>
                <w:b w:val="0"/>
                <w:bCs/>
                <w:color w:val="auto"/>
                <w:szCs w:val="21"/>
                <w:highlight w:val="none"/>
                <w:lang w:eastAsia="zh-CN"/>
              </w:rPr>
              <w:t>≤</w:t>
            </w:r>
            <w:r>
              <w:rPr>
                <w:rFonts w:hint="default" w:ascii="宋体" w:hAnsi="宋体" w:eastAsia="宋体" w:cs="Times New Roman"/>
                <w:b w:val="0"/>
                <w:bCs/>
                <w:color w:val="auto"/>
                <w:szCs w:val="21"/>
                <w:highlight w:val="none"/>
                <w:lang w:val="en-US" w:eastAsia="zh-CN"/>
              </w:rPr>
              <w:t>600分</w:t>
            </w:r>
            <w:r>
              <w:rPr>
                <w:rFonts w:hint="eastAsia" w:ascii="宋体" w:hAnsi="宋体" w:eastAsia="宋体" w:cs="Times New Roman"/>
                <w:b w:val="0"/>
                <w:bCs/>
                <w:color w:val="auto"/>
                <w:szCs w:val="21"/>
                <w:highlight w:val="none"/>
                <w:lang w:val="en-US" w:eastAsia="zh-CN"/>
              </w:rPr>
              <w:t>的不予计入</w:t>
            </w:r>
            <w:r>
              <w:rPr>
                <w:rFonts w:hint="eastAsia" w:ascii="宋体" w:hAnsi="宋体" w:eastAsia="宋体" w:cs="Times New Roman"/>
                <w:b w:val="0"/>
                <w:bCs/>
                <w:color w:val="auto"/>
                <w:szCs w:val="21"/>
                <w:highlight w:val="none"/>
                <w:lang w:eastAsia="zh-CN"/>
              </w:rPr>
              <w:t>考核结果。</w:t>
            </w:r>
            <w:r>
              <w:rPr>
                <w:rFonts w:hint="eastAsia" w:ascii="宋体" w:hAnsi="宋体" w:eastAsia="宋体" w:cs="Times New Roman"/>
                <w:b w:val="0"/>
                <w:bCs/>
                <w:strike w:val="0"/>
                <w:dstrike w:val="0"/>
                <w:color w:val="auto"/>
                <w:szCs w:val="21"/>
                <w:highlight w:val="none"/>
                <w:lang w:val="en-US" w:eastAsia="zh-CN"/>
              </w:rPr>
              <w:t>在1个绩效考核周期</w:t>
            </w:r>
            <w:r>
              <w:rPr>
                <w:rFonts w:hint="eastAsia" w:ascii="宋体" w:hAnsi="宋体" w:eastAsia="宋体" w:cs="Times New Roman"/>
                <w:b w:val="0"/>
                <w:bCs/>
                <w:color w:val="auto"/>
                <w:szCs w:val="21"/>
                <w:highlight w:val="none"/>
                <w:lang w:val="en-US" w:eastAsia="zh-CN"/>
              </w:rPr>
              <w:t>内出现累计6个月考核不合格的，将全额扣除本周期的绩效养护经费，采购人在服务期内保留终止合同的权利</w:t>
            </w:r>
            <w:r>
              <w:rPr>
                <w:rFonts w:hint="eastAsia" w:ascii="宋体" w:hAnsi="宋体" w:eastAsia="宋体" w:cs="Times New Roman"/>
                <w:b w:val="0"/>
                <w:bCs/>
                <w:color w:val="auto"/>
                <w:szCs w:val="21"/>
                <w:highlight w:val="none"/>
                <w:lang w:eastAsia="zh-CN"/>
              </w:rPr>
              <w:t>。因考核不合格扣减的养护经费，由采购人用于项目内城市照明设施更新修复工作经费。</w:t>
            </w:r>
          </w:p>
          <w:p w14:paraId="6213BAE9">
            <w:pPr>
              <w:snapToGrid w:val="0"/>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附：《防城港市市管城市照明设施维修养护服务项目考核办法》。</w:t>
            </w:r>
          </w:p>
        </w:tc>
      </w:tr>
      <w:tr w14:paraId="0C5D95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598" w:type="dxa"/>
            <w:gridSpan w:val="3"/>
            <w:tcBorders>
              <w:top w:val="single" w:color="auto" w:sz="4" w:space="0"/>
              <w:left w:val="single" w:color="auto" w:sz="4" w:space="0"/>
              <w:bottom w:val="single" w:color="auto" w:sz="4" w:space="0"/>
              <w:right w:val="single" w:color="auto" w:sz="4" w:space="0"/>
            </w:tcBorders>
            <w:vAlign w:val="center"/>
          </w:tcPr>
          <w:p w14:paraId="088371FB">
            <w:pPr>
              <w:spacing w:line="360" w:lineRule="auto"/>
              <w:jc w:val="center"/>
              <w:rPr>
                <w:rFonts w:ascii="宋体" w:hAnsi="宋体"/>
                <w:color w:val="auto"/>
                <w:szCs w:val="21"/>
                <w:highlight w:val="none"/>
              </w:rPr>
            </w:pPr>
            <w:r>
              <w:rPr>
                <w:rFonts w:ascii="宋体" w:hAnsi="宋体"/>
                <w:color w:val="auto"/>
                <w:szCs w:val="21"/>
                <w:highlight w:val="none"/>
              </w:rPr>
              <w:t>其他要求</w:t>
            </w:r>
          </w:p>
        </w:tc>
        <w:tc>
          <w:tcPr>
            <w:tcW w:w="7973" w:type="dxa"/>
            <w:gridSpan w:val="3"/>
            <w:tcBorders>
              <w:top w:val="single" w:color="auto" w:sz="4" w:space="0"/>
              <w:left w:val="single" w:color="auto" w:sz="4" w:space="0"/>
              <w:bottom w:val="single" w:color="auto" w:sz="4" w:space="0"/>
              <w:right w:val="single" w:color="auto" w:sz="4" w:space="0"/>
            </w:tcBorders>
            <w:vAlign w:val="center"/>
          </w:tcPr>
          <w:p w14:paraId="1E545803">
            <w:pPr>
              <w:spacing w:line="360" w:lineRule="auto"/>
              <w:rPr>
                <w:rFonts w:hint="eastAsia" w:ascii="宋体" w:hAnsi="宋体"/>
                <w:color w:val="auto"/>
                <w:szCs w:val="21"/>
                <w:highlight w:val="none"/>
              </w:rPr>
            </w:pPr>
            <w:r>
              <w:rPr>
                <w:rFonts w:hint="eastAsia" w:ascii="宋体" w:hAnsi="宋体"/>
                <w:color w:val="auto"/>
                <w:szCs w:val="21"/>
                <w:highlight w:val="none"/>
              </w:rPr>
              <w:t>1.以上“服务要求”有1项以上（含1项）负偏离的，投标无效； “商务要求”有1项以上（含1项）负偏离的，则投标无效。</w:t>
            </w:r>
          </w:p>
          <w:p w14:paraId="2DA3E9DE">
            <w:pPr>
              <w:spacing w:line="360" w:lineRule="auto"/>
              <w:rPr>
                <w:rFonts w:hint="eastAsia" w:ascii="宋体" w:hAnsi="宋体"/>
                <w:color w:val="auto"/>
                <w:szCs w:val="21"/>
                <w:highlight w:val="none"/>
              </w:rPr>
            </w:pPr>
            <w:r>
              <w:rPr>
                <w:rFonts w:hint="eastAsia" w:ascii="宋体" w:hAnsi="宋体"/>
                <w:color w:val="auto"/>
                <w:szCs w:val="21"/>
                <w:highlight w:val="none"/>
              </w:rPr>
              <w:t>2.投标人在投标文件中提供技术服务方案以供评分。</w:t>
            </w:r>
          </w:p>
          <w:p w14:paraId="5FC019F7">
            <w:pPr>
              <w:spacing w:line="360" w:lineRule="auto"/>
              <w:rPr>
                <w:rFonts w:ascii="宋体" w:hAnsi="宋体"/>
                <w:color w:val="auto"/>
                <w:szCs w:val="21"/>
                <w:highlight w:val="none"/>
              </w:rPr>
            </w:pPr>
            <w:r>
              <w:rPr>
                <w:rFonts w:hint="eastAsia" w:ascii="宋体" w:hAnsi="宋体"/>
                <w:color w:val="auto"/>
                <w:szCs w:val="21"/>
                <w:highlight w:val="none"/>
              </w:rPr>
              <w:t>3.本项目不允许投标人挂靠投标</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不允许分包、转包</w:t>
            </w:r>
            <w:r>
              <w:rPr>
                <w:rFonts w:hint="eastAsia" w:ascii="宋体" w:hAnsi="宋体"/>
                <w:color w:val="auto"/>
                <w:szCs w:val="21"/>
                <w:highlight w:val="none"/>
              </w:rPr>
              <w:t>。投标人中标后，如采购人发现中标人存在挂靠</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分包、转包</w:t>
            </w:r>
            <w:r>
              <w:rPr>
                <w:rFonts w:hint="eastAsia" w:ascii="宋体" w:hAnsi="宋体"/>
                <w:color w:val="auto"/>
                <w:szCs w:val="21"/>
                <w:highlight w:val="none"/>
              </w:rPr>
              <w:t>的，采购人将依法终止合同。</w:t>
            </w:r>
          </w:p>
        </w:tc>
      </w:tr>
    </w:tbl>
    <w:p w14:paraId="5CB9624A">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宋体" w:hAnsi="宋体" w:eastAsia="宋体" w:cs="宋体"/>
          <w:b/>
          <w:bCs/>
          <w:color w:val="auto"/>
          <w:spacing w:val="-11"/>
          <w:sz w:val="44"/>
          <w:szCs w:val="44"/>
          <w:highlight w:val="none"/>
          <w:lang w:val="en-US" w:eastAsia="zh-CN"/>
        </w:rPr>
      </w:pPr>
      <w:bookmarkStart w:id="49" w:name="_Toc121503213"/>
      <w:r>
        <w:rPr>
          <w:rFonts w:hint="eastAsia" w:ascii="宋体" w:hAnsi="宋体" w:eastAsia="宋体" w:cs="宋体"/>
          <w:b/>
          <w:bCs/>
          <w:color w:val="auto"/>
          <w:spacing w:val="-11"/>
          <w:sz w:val="44"/>
          <w:szCs w:val="44"/>
          <w:highlight w:val="none"/>
          <w:lang w:val="en-US" w:eastAsia="zh-CN"/>
        </w:rPr>
        <w:br w:type="page"/>
      </w:r>
      <w:r>
        <w:rPr>
          <w:rFonts w:hint="eastAsia" w:ascii="宋体" w:hAnsi="宋体" w:eastAsia="宋体" w:cs="宋体"/>
          <w:b/>
          <w:bCs/>
          <w:color w:val="auto"/>
          <w:spacing w:val="-11"/>
          <w:sz w:val="44"/>
          <w:szCs w:val="44"/>
          <w:highlight w:val="none"/>
          <w:lang w:val="en-US" w:eastAsia="zh-CN"/>
        </w:rPr>
        <w:t>防城港市市管城市照明设施维修养护服务项目</w:t>
      </w:r>
    </w:p>
    <w:p w14:paraId="7BD6FEB3">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b/>
          <w:bCs/>
          <w:color w:val="auto"/>
          <w:spacing w:val="-11"/>
          <w:sz w:val="44"/>
          <w:szCs w:val="44"/>
          <w:highlight w:val="none"/>
          <w:lang w:val="en-US" w:eastAsia="zh-CN"/>
        </w:rPr>
        <w:t>考核办法</w:t>
      </w:r>
    </w:p>
    <w:p w14:paraId="31485156">
      <w:pPr>
        <w:keepNext w:val="0"/>
        <w:keepLines w:val="0"/>
        <w:pageBreakBefore w:val="0"/>
        <w:widowControl w:val="0"/>
        <w:kinsoku/>
        <w:wordWrap/>
        <w:overflowPunct/>
        <w:topLinePunct w:val="0"/>
        <w:autoSpaceDE/>
        <w:autoSpaceDN/>
        <w:bidi w:val="0"/>
        <w:adjustRightInd/>
        <w:snapToGrid/>
        <w:spacing w:line="560" w:lineRule="exact"/>
        <w:ind w:left="0" w:leftChars="0" w:firstLine="440" w:firstLineChars="200"/>
        <w:textAlignment w:val="auto"/>
        <w:rPr>
          <w:rFonts w:hint="eastAsia" w:ascii="宋体" w:hAnsi="宋体" w:eastAsia="宋体" w:cs="宋体"/>
          <w:bCs/>
          <w:color w:val="auto"/>
          <w:sz w:val="22"/>
          <w:szCs w:val="22"/>
          <w:highlight w:val="none"/>
        </w:rPr>
      </w:pPr>
    </w:p>
    <w:p w14:paraId="1CA4595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2" w:firstLineChars="200"/>
        <w:textAlignment w:val="auto"/>
        <w:rPr>
          <w:rFonts w:hint="eastAsia" w:ascii="宋体" w:hAnsi="宋体" w:eastAsia="宋体" w:cs="宋体"/>
          <w:bCs/>
          <w:color w:val="auto"/>
          <w:sz w:val="21"/>
          <w:szCs w:val="21"/>
          <w:highlight w:val="none"/>
        </w:rPr>
      </w:pPr>
      <w:r>
        <w:rPr>
          <w:rFonts w:hint="eastAsia" w:ascii="宋体" w:hAnsi="宋体" w:eastAsia="宋体" w:cs="Times New Roman"/>
          <w:b/>
          <w:bCs/>
          <w:color w:val="auto"/>
          <w:kern w:val="2"/>
          <w:sz w:val="21"/>
          <w:szCs w:val="21"/>
          <w:highlight w:val="none"/>
          <w:lang w:val="en-US" w:eastAsia="zh-CN" w:bidi="ar-SA"/>
        </w:rPr>
        <w:t>一、总则</w:t>
      </w:r>
    </w:p>
    <w:p w14:paraId="0D1EDBA7">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z w:val="21"/>
          <w:szCs w:val="21"/>
          <w:highlight w:val="none"/>
        </w:rPr>
        <w:t>为进一步加强防城港市市管城市照明设施维修养护服务工作的监督考核，促进城市公共照明设施规范管理，提高维修养护项目服务质量，实现城市照明设施维修管护制度化、规范化、程序化，量化考核指标，确保城市照明亮灯率、设施完好率，落实照明设施承包管理养护责任，根据</w:t>
      </w:r>
      <w:r>
        <w:rPr>
          <w:rFonts w:hint="eastAsia" w:ascii="宋体" w:hAnsi="宋体" w:eastAsia="宋体" w:cs="宋体"/>
          <w:color w:val="auto"/>
          <w:spacing w:val="-6"/>
          <w:sz w:val="21"/>
          <w:szCs w:val="21"/>
          <w:highlight w:val="none"/>
        </w:rPr>
        <w:t>《防城港市城市照明管理办法》等有关文件，结合实际特制定本办法。</w:t>
      </w:r>
    </w:p>
    <w:p w14:paraId="04ECCA0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2" w:firstLineChars="200"/>
        <w:textAlignment w:val="auto"/>
        <w:rPr>
          <w:rFonts w:hint="eastAsia" w:ascii="宋体" w:hAnsi="宋体" w:eastAsia="宋体" w:cs="宋体"/>
          <w:bCs/>
          <w:color w:val="auto"/>
          <w:sz w:val="21"/>
          <w:szCs w:val="21"/>
          <w:highlight w:val="none"/>
        </w:rPr>
      </w:pPr>
      <w:r>
        <w:rPr>
          <w:rFonts w:hint="eastAsia" w:ascii="宋体" w:hAnsi="宋体" w:eastAsia="宋体" w:cs="Times New Roman"/>
          <w:b/>
          <w:bCs/>
          <w:color w:val="auto"/>
          <w:kern w:val="2"/>
          <w:sz w:val="21"/>
          <w:szCs w:val="21"/>
          <w:highlight w:val="none"/>
          <w:lang w:val="en-US" w:eastAsia="zh-CN" w:bidi="ar-SA"/>
        </w:rPr>
        <w:t>二、考核对象、范围和内容</w:t>
      </w:r>
    </w:p>
    <w:p w14:paraId="45F95F96">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rPr>
          <w:rFonts w:hint="eastAsia" w:ascii="宋体" w:hAnsi="宋体" w:eastAsia="宋体" w:cs="宋体"/>
          <w:color w:val="auto"/>
          <w:spacing w:val="-6"/>
          <w:sz w:val="21"/>
          <w:szCs w:val="21"/>
          <w:highlight w:val="none"/>
        </w:rPr>
      </w:pPr>
      <w:r>
        <w:rPr>
          <w:rFonts w:hint="eastAsia" w:ascii="宋体" w:hAnsi="宋体" w:eastAsia="宋体" w:cs="Times New Roman"/>
          <w:b/>
          <w:bCs/>
          <w:color w:val="auto"/>
          <w:kern w:val="2"/>
          <w:sz w:val="21"/>
          <w:szCs w:val="21"/>
          <w:highlight w:val="none"/>
          <w:lang w:val="en-US" w:eastAsia="zh-CN" w:bidi="ar-SA"/>
        </w:rPr>
        <w:t>（一）考核对象：</w:t>
      </w:r>
      <w:r>
        <w:rPr>
          <w:rFonts w:hint="eastAsia" w:ascii="宋体" w:hAnsi="宋体" w:eastAsia="宋体" w:cs="宋体"/>
          <w:color w:val="auto"/>
          <w:sz w:val="21"/>
          <w:szCs w:val="21"/>
          <w:highlight w:val="none"/>
        </w:rPr>
        <w:t>202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-202</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年市管城市照明设施维修养护服务</w:t>
      </w:r>
      <w:r>
        <w:rPr>
          <w:rFonts w:hint="eastAsia" w:ascii="宋体" w:hAnsi="宋体" w:eastAsia="宋体" w:cs="宋体"/>
          <w:color w:val="auto"/>
          <w:sz w:val="21"/>
          <w:szCs w:val="21"/>
          <w:highlight w:val="none"/>
          <w:lang w:eastAsia="zh-CN"/>
        </w:rPr>
        <w:t>采购项目</w:t>
      </w:r>
      <w:r>
        <w:rPr>
          <w:rFonts w:hint="eastAsia" w:ascii="宋体" w:hAnsi="宋体" w:eastAsia="宋体" w:cs="宋体"/>
          <w:color w:val="auto"/>
          <w:sz w:val="21"/>
          <w:szCs w:val="21"/>
          <w:highlight w:val="none"/>
        </w:rPr>
        <w:t>中标服务供应商</w:t>
      </w:r>
      <w:r>
        <w:rPr>
          <w:rFonts w:hint="eastAsia" w:ascii="宋体" w:hAnsi="宋体" w:eastAsia="宋体" w:cs="宋体"/>
          <w:color w:val="auto"/>
          <w:spacing w:val="-6"/>
          <w:sz w:val="21"/>
          <w:szCs w:val="21"/>
          <w:highlight w:val="none"/>
        </w:rPr>
        <w:t>。</w:t>
      </w:r>
    </w:p>
    <w:p w14:paraId="3CC2EB69">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rPr>
          <w:rFonts w:hint="eastAsia" w:ascii="宋体" w:hAnsi="宋体" w:eastAsia="宋体" w:cs="宋体"/>
          <w:color w:val="auto"/>
          <w:spacing w:val="-6"/>
          <w:sz w:val="21"/>
          <w:szCs w:val="21"/>
          <w:highlight w:val="none"/>
        </w:rPr>
      </w:pPr>
      <w:r>
        <w:rPr>
          <w:rFonts w:hint="eastAsia" w:ascii="宋体" w:hAnsi="宋体" w:eastAsia="宋体" w:cs="Times New Roman"/>
          <w:b/>
          <w:bCs/>
          <w:color w:val="auto"/>
          <w:kern w:val="2"/>
          <w:sz w:val="21"/>
          <w:szCs w:val="21"/>
          <w:highlight w:val="none"/>
          <w:lang w:val="en-US" w:eastAsia="zh-CN" w:bidi="ar-SA"/>
        </w:rPr>
        <w:t>（二）</w:t>
      </w:r>
      <w:r>
        <w:rPr>
          <w:rFonts w:hint="eastAsia" w:ascii="宋体" w:hAnsi="宋体" w:eastAsia="宋体" w:cs="Times New Roman"/>
          <w:b/>
          <w:bCs/>
          <w:color w:val="auto"/>
          <w:kern w:val="2"/>
          <w:sz w:val="21"/>
          <w:szCs w:val="21"/>
          <w:highlight w:val="none"/>
          <w:lang w:val="en-US" w:eastAsia="zh-CN" w:bidi="ar-SA"/>
        </w:rPr>
        <w:t>考核范围：</w:t>
      </w:r>
      <w:r>
        <w:rPr>
          <w:rFonts w:hint="eastAsia" w:ascii="宋体" w:hAnsi="宋体" w:eastAsia="宋体" w:cs="宋体"/>
          <w:color w:val="auto"/>
          <w:spacing w:val="-6"/>
          <w:sz w:val="21"/>
          <w:szCs w:val="21"/>
          <w:highlight w:val="none"/>
        </w:rPr>
        <w:t>纳入服务合同范围内的</w:t>
      </w:r>
      <w:r>
        <w:rPr>
          <w:rFonts w:hint="eastAsia" w:ascii="宋体" w:hAnsi="宋体" w:cs="宋体"/>
          <w:color w:val="auto"/>
          <w:sz w:val="21"/>
          <w:szCs w:val="21"/>
          <w:highlight w:val="none"/>
          <w:lang w:eastAsia="zh-CN"/>
        </w:rPr>
        <w:t>市级城市管理区域内</w:t>
      </w:r>
      <w:r>
        <w:rPr>
          <w:rFonts w:hint="eastAsia" w:ascii="宋体" w:hAnsi="宋体" w:eastAsia="宋体" w:cs="宋体"/>
          <w:color w:val="auto"/>
          <w:spacing w:val="-6"/>
          <w:sz w:val="21"/>
          <w:szCs w:val="21"/>
          <w:highlight w:val="none"/>
        </w:rPr>
        <w:t>管理的道路照明、桥梁照明、绿化带景观照明和公园广场等所有的路灯、景观灯及配套设施。</w:t>
      </w:r>
    </w:p>
    <w:p w14:paraId="0B390C31">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Times New Roman"/>
          <w:b/>
          <w:bCs/>
          <w:color w:val="auto"/>
          <w:kern w:val="2"/>
          <w:sz w:val="21"/>
          <w:szCs w:val="21"/>
          <w:highlight w:val="none"/>
          <w:lang w:val="en-US" w:eastAsia="zh-CN" w:bidi="ar-SA"/>
        </w:rPr>
        <w:t>（三）考核</w:t>
      </w:r>
      <w:r>
        <w:rPr>
          <w:rFonts w:hint="eastAsia" w:ascii="宋体" w:hAnsi="宋体" w:cs="Times New Roman"/>
          <w:b/>
          <w:bCs/>
          <w:color w:val="auto"/>
          <w:kern w:val="2"/>
          <w:sz w:val="21"/>
          <w:szCs w:val="21"/>
          <w:highlight w:val="none"/>
          <w:lang w:val="en-US" w:eastAsia="zh-CN" w:bidi="ar-SA"/>
        </w:rPr>
        <w:t>主要</w:t>
      </w:r>
      <w:r>
        <w:rPr>
          <w:rFonts w:hint="eastAsia" w:ascii="宋体" w:hAnsi="宋体" w:eastAsia="宋体" w:cs="Times New Roman"/>
          <w:b/>
          <w:bCs/>
          <w:color w:val="auto"/>
          <w:kern w:val="2"/>
          <w:sz w:val="21"/>
          <w:szCs w:val="21"/>
          <w:highlight w:val="none"/>
          <w:lang w:val="en-US" w:eastAsia="zh-CN" w:bidi="ar-SA"/>
        </w:rPr>
        <w:t>内容：</w:t>
      </w:r>
      <w:r>
        <w:rPr>
          <w:rFonts w:hint="eastAsia" w:ascii="宋体" w:hAnsi="宋体" w:eastAsia="宋体" w:cs="宋体"/>
          <w:color w:val="auto"/>
          <w:spacing w:val="-6"/>
          <w:sz w:val="21"/>
          <w:szCs w:val="21"/>
          <w:highlight w:val="none"/>
        </w:rPr>
        <w:t>主要考核</w:t>
      </w:r>
      <w:r>
        <w:rPr>
          <w:rFonts w:hint="eastAsia" w:ascii="宋体" w:hAnsi="宋体" w:cs="宋体"/>
          <w:color w:val="auto"/>
          <w:sz w:val="21"/>
          <w:szCs w:val="21"/>
          <w:highlight w:val="none"/>
          <w:lang w:eastAsia="zh-CN"/>
        </w:rPr>
        <w:t>市级城市管理区域内的</w:t>
      </w:r>
      <w:r>
        <w:rPr>
          <w:rFonts w:hint="eastAsia" w:ascii="宋体" w:hAnsi="宋体" w:eastAsia="宋体" w:cs="宋体"/>
          <w:color w:val="auto"/>
          <w:spacing w:val="-6"/>
          <w:sz w:val="21"/>
          <w:szCs w:val="21"/>
          <w:highlight w:val="none"/>
        </w:rPr>
        <w:t>道路及公园广场的城市照明设施维修养护工作，具体</w:t>
      </w:r>
      <w:r>
        <w:rPr>
          <w:rFonts w:hint="eastAsia" w:ascii="宋体" w:hAnsi="宋体" w:eastAsia="宋体" w:cs="宋体"/>
          <w:color w:val="auto"/>
          <w:kern w:val="0"/>
          <w:sz w:val="21"/>
          <w:szCs w:val="21"/>
          <w:highlight w:val="none"/>
        </w:rPr>
        <w:t>包括城市</w:t>
      </w:r>
      <w:r>
        <w:rPr>
          <w:rFonts w:hint="eastAsia" w:ascii="宋体" w:hAnsi="宋体" w:eastAsia="宋体" w:cs="宋体"/>
          <w:color w:val="auto"/>
          <w:spacing w:val="-6"/>
          <w:sz w:val="21"/>
          <w:szCs w:val="21"/>
          <w:highlight w:val="none"/>
        </w:rPr>
        <w:t>照明设施日常巡查维修、</w:t>
      </w:r>
      <w:r>
        <w:rPr>
          <w:rFonts w:hint="eastAsia" w:ascii="宋体" w:hAnsi="宋体" w:cs="宋体"/>
          <w:color w:val="auto"/>
          <w:spacing w:val="-6"/>
          <w:sz w:val="21"/>
          <w:szCs w:val="21"/>
          <w:highlight w:val="none"/>
          <w:lang w:eastAsia="zh-CN"/>
        </w:rPr>
        <w:t>照明</w:t>
      </w:r>
      <w:r>
        <w:rPr>
          <w:rFonts w:hint="eastAsia" w:ascii="宋体" w:hAnsi="宋体" w:eastAsia="宋体" w:cs="宋体"/>
          <w:color w:val="auto"/>
          <w:spacing w:val="-6"/>
          <w:sz w:val="21"/>
          <w:szCs w:val="21"/>
          <w:highlight w:val="none"/>
        </w:rPr>
        <w:t>设施</w:t>
      </w:r>
      <w:r>
        <w:rPr>
          <w:rFonts w:hint="eastAsia" w:ascii="宋体" w:hAnsi="宋体" w:eastAsia="宋体" w:cs="宋体"/>
          <w:color w:val="auto"/>
          <w:kern w:val="0"/>
          <w:sz w:val="21"/>
          <w:szCs w:val="21"/>
          <w:highlight w:val="none"/>
        </w:rPr>
        <w:t>涉电安全</w:t>
      </w:r>
      <w:r>
        <w:rPr>
          <w:rFonts w:hint="eastAsia" w:ascii="宋体" w:hAnsi="宋体" w:eastAsia="宋体" w:cs="宋体"/>
          <w:color w:val="auto"/>
          <w:kern w:val="0"/>
          <w:sz w:val="21"/>
          <w:szCs w:val="21"/>
          <w:highlight w:val="none"/>
        </w:rPr>
        <w:t>检查、突发事件应对处置、节假日及重大活动期间的照明设施应急保障工作等内容</w:t>
      </w:r>
      <w:r>
        <w:rPr>
          <w:rFonts w:hint="eastAsia" w:ascii="宋体" w:hAnsi="宋体" w:eastAsia="宋体" w:cs="宋体"/>
          <w:color w:val="auto"/>
          <w:sz w:val="21"/>
          <w:szCs w:val="21"/>
          <w:highlight w:val="none"/>
          <w:lang w:val="zh-CN"/>
        </w:rPr>
        <w:t>。</w:t>
      </w:r>
    </w:p>
    <w:p w14:paraId="54C1115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2" w:firstLineChars="200"/>
        <w:textAlignment w:val="auto"/>
        <w:rPr>
          <w:rFonts w:hint="eastAsia" w:ascii="宋体" w:hAnsi="宋体" w:eastAsia="宋体" w:cs="宋体"/>
          <w:bCs/>
          <w:color w:val="auto"/>
          <w:sz w:val="21"/>
          <w:szCs w:val="21"/>
          <w:highlight w:val="none"/>
          <w:lang w:val="zh-CN"/>
        </w:rPr>
      </w:pPr>
      <w:r>
        <w:rPr>
          <w:rFonts w:hint="eastAsia" w:ascii="宋体" w:hAnsi="宋体" w:eastAsia="宋体" w:cs="Times New Roman"/>
          <w:b/>
          <w:bCs/>
          <w:color w:val="auto"/>
          <w:kern w:val="2"/>
          <w:sz w:val="21"/>
          <w:szCs w:val="21"/>
          <w:highlight w:val="none"/>
          <w:lang w:val="zh-CN" w:eastAsia="zh-CN" w:bidi="ar-SA"/>
        </w:rPr>
        <w:t>三、考核、评分办法</w:t>
      </w:r>
    </w:p>
    <w:p w14:paraId="5B5B478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Times New Roman"/>
          <w:b/>
          <w:bCs/>
          <w:color w:val="auto"/>
          <w:kern w:val="2"/>
          <w:sz w:val="21"/>
          <w:szCs w:val="21"/>
          <w:highlight w:val="none"/>
          <w:lang w:val="en-US" w:eastAsia="zh-CN" w:bidi="ar-SA"/>
        </w:rPr>
        <w:t>（一）</w:t>
      </w:r>
      <w:r>
        <w:rPr>
          <w:rFonts w:hint="eastAsia" w:ascii="宋体" w:hAnsi="宋体" w:eastAsia="宋体" w:cs="宋体"/>
          <w:b/>
          <w:bCs/>
          <w:color w:val="auto"/>
          <w:sz w:val="21"/>
          <w:szCs w:val="21"/>
          <w:highlight w:val="none"/>
        </w:rPr>
        <w:t>考核机构</w:t>
      </w:r>
    </w:p>
    <w:p w14:paraId="2A50C2E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组建</w:t>
      </w:r>
      <w:bookmarkStart w:id="50" w:name="OLE_LINK8"/>
      <w:r>
        <w:rPr>
          <w:rFonts w:hint="eastAsia" w:ascii="宋体" w:hAnsi="宋体" w:eastAsia="宋体" w:cs="宋体"/>
          <w:color w:val="auto"/>
          <w:sz w:val="21"/>
          <w:szCs w:val="21"/>
          <w:highlight w:val="none"/>
          <w:lang w:eastAsia="zh-CN"/>
        </w:rPr>
        <w:t>城市</w:t>
      </w:r>
      <w:r>
        <w:rPr>
          <w:rFonts w:hint="eastAsia" w:ascii="宋体" w:hAnsi="宋体" w:eastAsia="宋体" w:cs="宋体"/>
          <w:color w:val="auto"/>
          <w:sz w:val="21"/>
          <w:szCs w:val="21"/>
          <w:highlight w:val="none"/>
        </w:rPr>
        <w:t>照明设施维修养护考评组</w:t>
      </w:r>
      <w:bookmarkEnd w:id="50"/>
      <w:r>
        <w:rPr>
          <w:rFonts w:hint="eastAsia" w:ascii="宋体" w:hAnsi="宋体" w:eastAsia="宋体" w:cs="宋体"/>
          <w:color w:val="auto"/>
          <w:sz w:val="21"/>
          <w:szCs w:val="21"/>
          <w:highlight w:val="none"/>
        </w:rPr>
        <w:t>，组长为</w:t>
      </w:r>
      <w:r>
        <w:rPr>
          <w:rFonts w:hint="eastAsia" w:ascii="宋体" w:hAnsi="宋体" w:eastAsia="宋体" w:cs="宋体"/>
          <w:color w:val="auto"/>
          <w:sz w:val="21"/>
          <w:szCs w:val="21"/>
          <w:highlight w:val="none"/>
          <w:lang w:eastAsia="zh-CN"/>
        </w:rPr>
        <w:t>市住房和城乡建设局</w:t>
      </w:r>
      <w:r>
        <w:rPr>
          <w:rFonts w:hint="eastAsia" w:ascii="宋体" w:hAnsi="宋体" w:eastAsia="宋体" w:cs="宋体"/>
          <w:color w:val="auto"/>
          <w:sz w:val="21"/>
          <w:szCs w:val="21"/>
          <w:highlight w:val="none"/>
        </w:rPr>
        <w:t>分管领导，副组长为市</w:t>
      </w:r>
      <w:r>
        <w:rPr>
          <w:rFonts w:hint="eastAsia" w:ascii="宋体" w:hAnsi="宋体" w:eastAsia="宋体" w:cs="宋体"/>
          <w:color w:val="auto"/>
          <w:sz w:val="21"/>
          <w:szCs w:val="21"/>
          <w:highlight w:val="none"/>
          <w:lang w:eastAsia="zh-CN"/>
        </w:rPr>
        <w:t>道路照明设施管理所</w:t>
      </w:r>
      <w:r>
        <w:rPr>
          <w:rFonts w:hint="eastAsia" w:ascii="宋体" w:hAnsi="宋体" w:eastAsia="宋体" w:cs="宋体"/>
          <w:color w:val="auto"/>
          <w:sz w:val="21"/>
          <w:szCs w:val="21"/>
          <w:highlight w:val="none"/>
        </w:rPr>
        <w:t>负责人，考评组成员由</w:t>
      </w:r>
      <w:r>
        <w:rPr>
          <w:rFonts w:hint="eastAsia" w:ascii="宋体" w:hAnsi="宋体" w:eastAsia="宋体" w:cs="宋体"/>
          <w:color w:val="auto"/>
          <w:sz w:val="21"/>
          <w:szCs w:val="21"/>
          <w:highlight w:val="none"/>
          <w:lang w:eastAsia="zh-CN"/>
        </w:rPr>
        <w:t>市住房和城乡建设局城市建设与更新</w:t>
      </w:r>
      <w:r>
        <w:rPr>
          <w:rFonts w:hint="eastAsia" w:ascii="宋体" w:hAnsi="宋体" w:eastAsia="宋体" w:cs="宋体"/>
          <w:color w:val="auto"/>
          <w:sz w:val="21"/>
          <w:szCs w:val="21"/>
          <w:highlight w:val="none"/>
        </w:rPr>
        <w:t>科和市</w:t>
      </w:r>
      <w:r>
        <w:rPr>
          <w:rFonts w:hint="eastAsia" w:ascii="宋体" w:hAnsi="宋体" w:eastAsia="宋体" w:cs="宋体"/>
          <w:color w:val="auto"/>
          <w:sz w:val="21"/>
          <w:szCs w:val="21"/>
          <w:highlight w:val="none"/>
          <w:lang w:eastAsia="zh-CN"/>
        </w:rPr>
        <w:t>道路照明设施管理所等相关</w:t>
      </w:r>
      <w:r>
        <w:rPr>
          <w:rFonts w:hint="eastAsia" w:ascii="宋体" w:hAnsi="宋体" w:eastAsia="宋体" w:cs="宋体"/>
          <w:color w:val="auto"/>
          <w:sz w:val="21"/>
          <w:szCs w:val="21"/>
          <w:highlight w:val="none"/>
        </w:rPr>
        <w:t>人员组成，市</w:t>
      </w:r>
      <w:r>
        <w:rPr>
          <w:rFonts w:hint="eastAsia" w:ascii="宋体" w:hAnsi="宋体" w:eastAsia="宋体" w:cs="宋体"/>
          <w:color w:val="auto"/>
          <w:sz w:val="21"/>
          <w:szCs w:val="21"/>
          <w:highlight w:val="none"/>
          <w:lang w:eastAsia="zh-CN"/>
        </w:rPr>
        <w:t>道路照明设施管理所</w:t>
      </w:r>
      <w:r>
        <w:rPr>
          <w:rFonts w:hint="eastAsia" w:ascii="宋体" w:hAnsi="宋体" w:eastAsia="宋体" w:cs="宋体"/>
          <w:color w:val="auto"/>
          <w:sz w:val="21"/>
          <w:szCs w:val="21"/>
          <w:highlight w:val="none"/>
        </w:rPr>
        <w:t>负责考核当中的相关组织、衔接、收集整理台账等工作</w:t>
      </w:r>
      <w:r>
        <w:rPr>
          <w:rFonts w:hint="eastAsia" w:ascii="宋体" w:hAnsi="宋体" w:eastAsia="宋体" w:cs="宋体"/>
          <w:color w:val="auto"/>
          <w:sz w:val="21"/>
          <w:szCs w:val="21"/>
          <w:highlight w:val="none"/>
          <w:lang w:eastAsia="zh-CN"/>
        </w:rPr>
        <w:t>，考评组成员可视工作实际进行调整。</w:t>
      </w:r>
    </w:p>
    <w:p w14:paraId="72E9ED30">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考核程序</w:t>
      </w:r>
    </w:p>
    <w:p w14:paraId="6189E116">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考核分为日常考核、月度考核和年度考核。其中日常考核主要由</w:t>
      </w:r>
      <w:bookmarkStart w:id="51" w:name="OLE_LINK9"/>
      <w:r>
        <w:rPr>
          <w:rFonts w:hint="eastAsia" w:ascii="宋体" w:hAnsi="宋体" w:eastAsia="宋体" w:cs="宋体"/>
          <w:color w:val="auto"/>
          <w:sz w:val="21"/>
          <w:szCs w:val="21"/>
          <w:highlight w:val="none"/>
        </w:rPr>
        <w:t>市</w:t>
      </w:r>
      <w:r>
        <w:rPr>
          <w:rFonts w:hint="eastAsia" w:ascii="宋体" w:hAnsi="宋体" w:eastAsia="宋体" w:cs="宋体"/>
          <w:color w:val="auto"/>
          <w:sz w:val="21"/>
          <w:szCs w:val="21"/>
          <w:highlight w:val="none"/>
          <w:lang w:eastAsia="zh-CN"/>
        </w:rPr>
        <w:t>道路照明设施管理所负责</w:t>
      </w:r>
      <w:bookmarkEnd w:id="51"/>
      <w:r>
        <w:rPr>
          <w:rFonts w:hint="eastAsia" w:ascii="宋体" w:hAnsi="宋体" w:eastAsia="宋体" w:cs="宋体"/>
          <w:color w:val="auto"/>
          <w:sz w:val="21"/>
          <w:szCs w:val="21"/>
          <w:highlight w:val="none"/>
          <w:lang w:eastAsia="zh-CN"/>
        </w:rPr>
        <w:t>，主要</w:t>
      </w:r>
      <w:r>
        <w:rPr>
          <w:rFonts w:hint="eastAsia" w:ascii="宋体" w:hAnsi="宋体" w:eastAsia="宋体" w:cs="宋体"/>
          <w:color w:val="auto"/>
          <w:sz w:val="21"/>
          <w:szCs w:val="21"/>
          <w:highlight w:val="none"/>
        </w:rPr>
        <w:t>通过</w:t>
      </w:r>
      <w:r>
        <w:rPr>
          <w:rFonts w:hint="eastAsia" w:ascii="宋体" w:hAnsi="宋体" w:eastAsia="宋体" w:cs="宋体"/>
          <w:color w:val="auto"/>
          <w:sz w:val="21"/>
          <w:szCs w:val="21"/>
          <w:highlight w:val="none"/>
          <w:lang w:eastAsia="zh-CN"/>
        </w:rPr>
        <w:t>日常巡检、抽</w:t>
      </w:r>
      <w:r>
        <w:rPr>
          <w:rFonts w:hint="eastAsia" w:ascii="宋体" w:hAnsi="宋体" w:eastAsia="宋体" w:cs="宋体"/>
          <w:color w:val="auto"/>
          <w:sz w:val="21"/>
          <w:szCs w:val="21"/>
          <w:highlight w:val="none"/>
        </w:rPr>
        <w:t>查、群众投诉反馈、设施运行数据监测等方式，对服务企业的服务质量、工作效率、响应速度</w:t>
      </w:r>
      <w:r>
        <w:rPr>
          <w:rFonts w:hint="eastAsia" w:ascii="宋体" w:hAnsi="宋体" w:eastAsia="宋体" w:cs="宋体"/>
          <w:color w:val="auto"/>
          <w:sz w:val="21"/>
          <w:szCs w:val="21"/>
          <w:highlight w:val="none"/>
          <w:lang w:eastAsia="zh-CN"/>
        </w:rPr>
        <w:t>、处置成效、养护成果</w:t>
      </w:r>
      <w:r>
        <w:rPr>
          <w:rFonts w:hint="eastAsia" w:ascii="宋体" w:hAnsi="宋体" w:eastAsia="宋体" w:cs="宋体"/>
          <w:color w:val="auto"/>
          <w:sz w:val="21"/>
          <w:szCs w:val="21"/>
          <w:highlight w:val="none"/>
        </w:rPr>
        <w:t>等进行实时监督和考核</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安全</w:t>
      </w:r>
      <w:r>
        <w:rPr>
          <w:rFonts w:hint="eastAsia" w:ascii="宋体" w:hAnsi="宋体" w:eastAsia="宋体" w:cs="宋体"/>
          <w:color w:val="auto"/>
          <w:sz w:val="21"/>
          <w:szCs w:val="21"/>
          <w:highlight w:val="none"/>
        </w:rPr>
        <w:t>隐患</w:t>
      </w:r>
      <w:r>
        <w:rPr>
          <w:rFonts w:hint="eastAsia" w:ascii="宋体" w:hAnsi="宋体" w:eastAsia="宋体" w:cs="宋体"/>
          <w:color w:val="auto"/>
          <w:sz w:val="21"/>
          <w:szCs w:val="21"/>
          <w:highlight w:val="none"/>
          <w:lang w:eastAsia="zh-CN"/>
        </w:rPr>
        <w:t>未消除、未按安全章程与制度规范施工作业、</w:t>
      </w:r>
      <w:r>
        <w:rPr>
          <w:rFonts w:hint="eastAsia" w:ascii="宋体" w:hAnsi="宋体" w:eastAsia="宋体" w:cs="宋体"/>
          <w:color w:val="auto"/>
          <w:sz w:val="21"/>
          <w:szCs w:val="21"/>
          <w:highlight w:val="none"/>
        </w:rPr>
        <w:t>故障</w:t>
      </w:r>
      <w:r>
        <w:rPr>
          <w:rFonts w:hint="eastAsia" w:ascii="宋体" w:hAnsi="宋体" w:eastAsia="宋体" w:cs="宋体"/>
          <w:color w:val="auto"/>
          <w:sz w:val="21"/>
          <w:szCs w:val="21"/>
          <w:highlight w:val="none"/>
          <w:lang w:eastAsia="zh-CN"/>
        </w:rPr>
        <w:t>排查与检修不到位、设施（设备）缺失、台账记录缺失或不达标、设施（设备）维修保养不到位、城市照明监控系统与现场巡查未落实、未经允许调整城市照明监控系统控制策略和开</w:t>
      </w:r>
      <w:r>
        <w:rPr>
          <w:rFonts w:hint="eastAsia" w:ascii="宋体" w:hAnsi="宋体" w:eastAsia="宋体" w:cs="宋体"/>
          <w:color w:val="auto"/>
          <w:sz w:val="21"/>
          <w:szCs w:val="21"/>
          <w:highlight w:val="none"/>
          <w:lang w:val="en-US" w:eastAsia="zh-CN"/>
        </w:rPr>
        <w:t>/关灯时间</w:t>
      </w:r>
      <w:r>
        <w:rPr>
          <w:rFonts w:hint="eastAsia" w:ascii="宋体" w:hAnsi="宋体" w:eastAsia="宋体" w:cs="宋体"/>
          <w:color w:val="auto"/>
          <w:sz w:val="21"/>
          <w:szCs w:val="21"/>
          <w:highlight w:val="none"/>
          <w:lang w:eastAsia="zh-CN"/>
        </w:rPr>
        <w:t>、未经允许私拉接电或巡检不到位导致被偷电与被盗设施（设备）、未及时处置恢复被损被盗设施（设备）、未及时反馈处置信息被考核方与第三方发现或投诉、保障照明与供电不到位、时效响应方面拖延迟缓、未在规定时限内处置修复及整改项目逾期未完成</w:t>
      </w:r>
      <w:r>
        <w:rPr>
          <w:rFonts w:hint="eastAsia" w:ascii="宋体" w:hAnsi="宋体" w:eastAsia="宋体" w:cs="宋体"/>
          <w:color w:val="auto"/>
          <w:sz w:val="21"/>
          <w:szCs w:val="21"/>
          <w:highlight w:val="none"/>
        </w:rPr>
        <w:t>问题</w:t>
      </w:r>
      <w:r>
        <w:rPr>
          <w:rFonts w:hint="eastAsia" w:ascii="宋体" w:hAnsi="宋体" w:eastAsia="宋体" w:cs="宋体"/>
          <w:color w:val="auto"/>
          <w:sz w:val="21"/>
          <w:szCs w:val="21"/>
          <w:highlight w:val="none"/>
          <w:lang w:eastAsia="zh-CN"/>
        </w:rPr>
        <w:t>，考评组</w:t>
      </w:r>
      <w:r>
        <w:rPr>
          <w:rFonts w:hint="eastAsia" w:ascii="宋体" w:hAnsi="宋体" w:eastAsia="宋体" w:cs="宋体"/>
          <w:color w:val="auto"/>
          <w:sz w:val="21"/>
          <w:szCs w:val="21"/>
          <w:highlight w:val="none"/>
        </w:rPr>
        <w:t>下发考评扣分通知单，按规定扣除相应分值</w:t>
      </w:r>
      <w:r>
        <w:rPr>
          <w:rFonts w:hint="eastAsia" w:ascii="宋体" w:hAnsi="宋体" w:eastAsia="宋体" w:cs="宋体"/>
          <w:color w:val="auto"/>
          <w:sz w:val="21"/>
          <w:szCs w:val="21"/>
          <w:highlight w:val="none"/>
          <w:lang w:eastAsia="zh-CN"/>
        </w:rPr>
        <w:t>或扣除相应服务费，</w:t>
      </w:r>
      <w:r>
        <w:rPr>
          <w:rFonts w:hint="eastAsia" w:ascii="宋体" w:hAnsi="宋体" w:eastAsia="宋体" w:cs="宋体"/>
          <w:color w:val="auto"/>
          <w:sz w:val="21"/>
          <w:szCs w:val="21"/>
          <w:highlight w:val="none"/>
        </w:rPr>
        <w:t>并将有关情况登记汇总，若</w:t>
      </w:r>
      <w:r>
        <w:rPr>
          <w:rFonts w:hint="eastAsia" w:ascii="宋体" w:hAnsi="宋体" w:eastAsia="宋体" w:cs="宋体"/>
          <w:color w:val="auto"/>
          <w:sz w:val="21"/>
          <w:szCs w:val="21"/>
          <w:highlight w:val="none"/>
          <w:lang w:eastAsia="zh-CN"/>
        </w:rPr>
        <w:t>服务企业</w:t>
      </w:r>
      <w:r>
        <w:rPr>
          <w:rFonts w:hint="eastAsia" w:ascii="宋体" w:hAnsi="宋体" w:eastAsia="宋体" w:cs="宋体"/>
          <w:color w:val="auto"/>
          <w:sz w:val="21"/>
          <w:szCs w:val="21"/>
          <w:highlight w:val="none"/>
        </w:rPr>
        <w:t>未能按期完成整改的，</w:t>
      </w:r>
      <w:r>
        <w:rPr>
          <w:rFonts w:hint="eastAsia" w:ascii="宋体" w:hAnsi="宋体" w:eastAsia="宋体" w:cs="宋体"/>
          <w:color w:val="auto"/>
          <w:sz w:val="21"/>
          <w:szCs w:val="21"/>
          <w:highlight w:val="none"/>
          <w:lang w:eastAsia="zh-CN"/>
        </w:rPr>
        <w:t>将继续滚动式扣分直至完成并达到工作要求。月度考核由</w:t>
      </w:r>
      <w:r>
        <w:rPr>
          <w:rFonts w:hint="eastAsia" w:ascii="宋体" w:hAnsi="宋体" w:eastAsia="宋体" w:cs="宋体"/>
          <w:color w:val="auto"/>
          <w:sz w:val="21"/>
          <w:szCs w:val="21"/>
          <w:highlight w:val="none"/>
        </w:rPr>
        <w:t>市</w:t>
      </w:r>
      <w:r>
        <w:rPr>
          <w:rFonts w:hint="eastAsia" w:ascii="宋体" w:hAnsi="宋体" w:eastAsia="宋体" w:cs="宋体"/>
          <w:color w:val="auto"/>
          <w:sz w:val="21"/>
          <w:szCs w:val="21"/>
          <w:highlight w:val="none"/>
          <w:lang w:eastAsia="zh-CN"/>
        </w:rPr>
        <w:t>道路照明设施管理所负责，主要</w:t>
      </w:r>
      <w:r>
        <w:rPr>
          <w:rFonts w:hint="eastAsia" w:ascii="宋体" w:hAnsi="宋体" w:eastAsia="宋体" w:cs="宋体"/>
          <w:color w:val="auto"/>
          <w:sz w:val="21"/>
          <w:szCs w:val="21"/>
          <w:highlight w:val="none"/>
        </w:rPr>
        <w:t>通过现场检查、</w:t>
      </w:r>
      <w:r>
        <w:rPr>
          <w:rFonts w:hint="eastAsia" w:ascii="宋体" w:hAnsi="宋体" w:eastAsia="宋体" w:cs="宋体"/>
          <w:color w:val="auto"/>
          <w:sz w:val="21"/>
          <w:szCs w:val="21"/>
          <w:highlight w:val="none"/>
          <w:lang w:eastAsia="zh-CN"/>
        </w:rPr>
        <w:t>资料台账抽查审核、项目奖惩、当月维修养护服务综合评议、</w:t>
      </w:r>
      <w:r>
        <w:rPr>
          <w:rFonts w:hint="eastAsia" w:ascii="宋体" w:hAnsi="宋体" w:eastAsia="宋体" w:cs="宋体"/>
          <w:color w:val="auto"/>
          <w:sz w:val="21"/>
          <w:szCs w:val="21"/>
          <w:highlight w:val="none"/>
        </w:rPr>
        <w:t>群众投诉反馈、设施运行数据监测等方式，对服务企业的服务质量、工作效率、响应速度</w:t>
      </w:r>
      <w:r>
        <w:rPr>
          <w:rFonts w:hint="eastAsia" w:ascii="宋体" w:hAnsi="宋体" w:eastAsia="宋体" w:cs="宋体"/>
          <w:color w:val="auto"/>
          <w:sz w:val="21"/>
          <w:szCs w:val="21"/>
          <w:highlight w:val="none"/>
          <w:lang w:eastAsia="zh-CN"/>
        </w:rPr>
        <w:t>、承诺服务及合同履约情况</w:t>
      </w:r>
      <w:r>
        <w:rPr>
          <w:rFonts w:hint="eastAsia" w:ascii="宋体" w:hAnsi="宋体" w:eastAsia="宋体" w:cs="宋体"/>
          <w:color w:val="auto"/>
          <w:sz w:val="21"/>
          <w:szCs w:val="21"/>
          <w:highlight w:val="none"/>
        </w:rPr>
        <w:t>等进行实时监督和考核</w:t>
      </w:r>
      <w:r>
        <w:rPr>
          <w:rFonts w:hint="eastAsia" w:ascii="宋体" w:hAnsi="宋体" w:eastAsia="宋体" w:cs="宋体"/>
          <w:color w:val="auto"/>
          <w:sz w:val="21"/>
          <w:szCs w:val="21"/>
          <w:highlight w:val="none"/>
          <w:lang w:eastAsia="zh-CN"/>
        </w:rPr>
        <w:t>。年度考核由</w:t>
      </w:r>
      <w:r>
        <w:rPr>
          <w:rFonts w:hint="eastAsia" w:ascii="宋体" w:hAnsi="宋体" w:eastAsia="宋体" w:cs="宋体"/>
          <w:color w:val="auto"/>
          <w:sz w:val="21"/>
          <w:szCs w:val="21"/>
          <w:highlight w:val="none"/>
        </w:rPr>
        <w:t>照明设施维修养护考评组</w:t>
      </w:r>
      <w:r>
        <w:rPr>
          <w:rFonts w:hint="eastAsia" w:ascii="宋体" w:hAnsi="宋体" w:eastAsia="宋体" w:cs="宋体"/>
          <w:color w:val="auto"/>
          <w:sz w:val="21"/>
          <w:szCs w:val="21"/>
          <w:highlight w:val="none"/>
          <w:lang w:eastAsia="zh-CN"/>
        </w:rPr>
        <w:t>负责，对</w:t>
      </w:r>
      <w:r>
        <w:rPr>
          <w:rFonts w:hint="eastAsia" w:ascii="宋体" w:hAnsi="宋体" w:eastAsia="宋体" w:cs="宋体"/>
          <w:color w:val="auto"/>
          <w:sz w:val="21"/>
          <w:szCs w:val="21"/>
          <w:highlight w:val="none"/>
        </w:rPr>
        <w:t>每年对服务企业进行</w:t>
      </w:r>
      <w:bookmarkStart w:id="52" w:name="OLE_LINK2"/>
      <w:r>
        <w:rPr>
          <w:rFonts w:hint="eastAsia" w:ascii="宋体" w:hAnsi="宋体" w:eastAsia="宋体" w:cs="宋体"/>
          <w:color w:val="auto"/>
          <w:sz w:val="21"/>
          <w:szCs w:val="21"/>
          <w:highlight w:val="none"/>
        </w:rPr>
        <w:t>全面考核评估</w:t>
      </w:r>
      <w:bookmarkEnd w:id="52"/>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该</w:t>
      </w:r>
      <w:r>
        <w:rPr>
          <w:rFonts w:hint="eastAsia" w:ascii="宋体" w:hAnsi="宋体" w:eastAsia="宋体" w:cs="宋体"/>
          <w:color w:val="auto"/>
          <w:sz w:val="21"/>
          <w:szCs w:val="21"/>
          <w:highlight w:val="none"/>
        </w:rPr>
        <w:t>考核结果作为</w:t>
      </w:r>
      <w:r>
        <w:rPr>
          <w:rFonts w:hint="eastAsia" w:ascii="宋体" w:hAnsi="宋体" w:eastAsia="宋体" w:cs="宋体"/>
          <w:color w:val="auto"/>
          <w:sz w:val="21"/>
          <w:szCs w:val="21"/>
          <w:highlight w:val="none"/>
          <w:lang w:val="en-US" w:eastAsia="zh-CN"/>
        </w:rPr>
        <w:t>绩效</w:t>
      </w:r>
      <w:r>
        <w:rPr>
          <w:rFonts w:hint="eastAsia" w:ascii="宋体" w:hAnsi="宋体" w:eastAsia="宋体" w:cs="宋体"/>
          <w:color w:val="auto"/>
          <w:sz w:val="21"/>
          <w:szCs w:val="21"/>
          <w:highlight w:val="none"/>
        </w:rPr>
        <w:t>奖惩的重要依据。</w:t>
      </w:r>
    </w:p>
    <w:p w14:paraId="4C02034D">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bCs/>
          <w:color w:val="auto"/>
          <w:kern w:val="2"/>
          <w:sz w:val="21"/>
          <w:szCs w:val="21"/>
          <w:highlight w:val="none"/>
          <w:lang w:val="en-US" w:eastAsia="zh-CN" w:bidi="ar-SA"/>
        </w:rPr>
        <w:t>（三）考核、评分标准</w:t>
      </w:r>
    </w:p>
    <w:p w14:paraId="2D5033F1">
      <w:pPr>
        <w:pStyle w:val="2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sectPr>
          <w:footerReference r:id="rId3" w:type="default"/>
          <w:pgSz w:w="11906" w:h="16838"/>
          <w:pgMar w:top="2098" w:right="1417" w:bottom="1417" w:left="1417" w:header="851" w:footer="992" w:gutter="0"/>
          <w:pgNumType w:fmt="decimal"/>
          <w:cols w:space="720" w:num="1"/>
          <w:docGrid w:type="lines" w:linePitch="312" w:charSpace="0"/>
        </w:sectPr>
      </w:pPr>
      <w:r>
        <w:rPr>
          <w:rFonts w:hint="eastAsia" w:ascii="宋体" w:hAnsi="宋体" w:eastAsia="宋体" w:cs="宋体"/>
          <w:color w:val="auto"/>
          <w:sz w:val="21"/>
          <w:szCs w:val="21"/>
          <w:highlight w:val="none"/>
          <w:lang w:val="en-US" w:eastAsia="zh-CN"/>
        </w:rPr>
        <w:t>1.日常考核细则</w:t>
      </w:r>
      <w:bookmarkStart w:id="53" w:name="_Toc529885405"/>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750"/>
        <w:gridCol w:w="1835"/>
        <w:gridCol w:w="683"/>
        <w:gridCol w:w="4881"/>
        <w:gridCol w:w="837"/>
        <w:gridCol w:w="402"/>
      </w:tblGrid>
      <w:tr w14:paraId="1987A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3" w:type="dxa"/>
            <w:vAlign w:val="center"/>
          </w:tcPr>
          <w:p w14:paraId="59477A6A">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序号</w:t>
            </w:r>
          </w:p>
        </w:tc>
        <w:tc>
          <w:tcPr>
            <w:tcW w:w="750" w:type="dxa"/>
            <w:vAlign w:val="center"/>
          </w:tcPr>
          <w:p w14:paraId="27F97819">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项目</w:t>
            </w:r>
          </w:p>
        </w:tc>
        <w:tc>
          <w:tcPr>
            <w:tcW w:w="1835" w:type="dxa"/>
            <w:vAlign w:val="center"/>
          </w:tcPr>
          <w:p w14:paraId="792A73A2">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考核内容</w:t>
            </w:r>
          </w:p>
        </w:tc>
        <w:tc>
          <w:tcPr>
            <w:tcW w:w="683" w:type="dxa"/>
            <w:vAlign w:val="center"/>
          </w:tcPr>
          <w:p w14:paraId="4679317F">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分值</w:t>
            </w:r>
          </w:p>
        </w:tc>
        <w:tc>
          <w:tcPr>
            <w:tcW w:w="4881" w:type="dxa"/>
            <w:vAlign w:val="center"/>
          </w:tcPr>
          <w:p w14:paraId="7C397B72">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计分方法和扣分</w:t>
            </w:r>
            <w:r>
              <w:rPr>
                <w:rFonts w:hint="eastAsia" w:ascii="宋体" w:hAnsi="宋体" w:eastAsia="宋体" w:cs="宋体"/>
                <w:color w:val="auto"/>
                <w:sz w:val="21"/>
                <w:szCs w:val="21"/>
                <w:highlight w:val="none"/>
                <w:lang w:val="en-US" w:eastAsia="zh-CN"/>
              </w:rPr>
              <w:t>/扣款</w:t>
            </w:r>
            <w:r>
              <w:rPr>
                <w:rFonts w:hint="eastAsia" w:ascii="宋体" w:hAnsi="宋体" w:eastAsia="宋体" w:cs="宋体"/>
                <w:color w:val="auto"/>
                <w:sz w:val="21"/>
                <w:szCs w:val="21"/>
                <w:highlight w:val="none"/>
              </w:rPr>
              <w:t>标准</w:t>
            </w:r>
          </w:p>
        </w:tc>
        <w:tc>
          <w:tcPr>
            <w:tcW w:w="837" w:type="dxa"/>
            <w:vAlign w:val="center"/>
          </w:tcPr>
          <w:p w14:paraId="730F23D2">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得分</w:t>
            </w:r>
          </w:p>
        </w:tc>
        <w:tc>
          <w:tcPr>
            <w:tcW w:w="402" w:type="dxa"/>
            <w:vAlign w:val="center"/>
          </w:tcPr>
          <w:p w14:paraId="0FEAD008">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备注</w:t>
            </w:r>
          </w:p>
        </w:tc>
      </w:tr>
      <w:tr w14:paraId="4E044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1" w:hRule="atLeast"/>
          <w:jc w:val="center"/>
        </w:trPr>
        <w:tc>
          <w:tcPr>
            <w:tcW w:w="683" w:type="dxa"/>
            <w:vAlign w:val="center"/>
          </w:tcPr>
          <w:p w14:paraId="64526F82">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750" w:type="dxa"/>
            <w:vAlign w:val="center"/>
          </w:tcPr>
          <w:p w14:paraId="22178ED2">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巡查维修</w:t>
            </w:r>
          </w:p>
        </w:tc>
        <w:tc>
          <w:tcPr>
            <w:tcW w:w="1835" w:type="dxa"/>
            <w:vAlign w:val="center"/>
          </w:tcPr>
          <w:p w14:paraId="26529EDC">
            <w:pPr>
              <w:pStyle w:val="25"/>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1.对合同范围内所有照明设施巡查，对亮灯率、设备完好率、防盗情况进行记录。</w:t>
            </w:r>
          </w:p>
          <w:p w14:paraId="683638B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2.对中标方日常巡查与招标方抽查检查发现的隐患问题及时处理到位（遇到天气问题等不可抗力特殊情况顺延）。</w:t>
            </w:r>
          </w:p>
        </w:tc>
        <w:tc>
          <w:tcPr>
            <w:tcW w:w="683" w:type="dxa"/>
            <w:vAlign w:val="center"/>
          </w:tcPr>
          <w:p w14:paraId="20AF100D">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100</w:t>
            </w:r>
          </w:p>
        </w:tc>
        <w:tc>
          <w:tcPr>
            <w:tcW w:w="4881" w:type="dxa"/>
            <w:vAlign w:val="center"/>
          </w:tcPr>
          <w:p w14:paraId="0C380E1B">
            <w:pPr>
              <w:pStyle w:val="25"/>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中标方每月25日前上报巡查计划表，包含人员安排、车辆信息及联系方式，未按时上报的每次扣10分。</w:t>
            </w:r>
            <w:r>
              <w:rPr>
                <w:rFonts w:hint="eastAsia" w:ascii="宋体" w:hAnsi="宋体" w:eastAsia="宋体" w:cs="宋体"/>
                <w:color w:val="auto"/>
                <w:sz w:val="21"/>
                <w:szCs w:val="21"/>
                <w:highlight w:val="none"/>
                <w:lang w:val="en-US" w:eastAsia="zh-CN"/>
              </w:rPr>
              <w:t>每7天为一个周期上报一次全覆盖巡查轨迹，包含巡查图片、动态轨迹视频。未按时上报每次扣5分。</w:t>
            </w:r>
          </w:p>
          <w:p w14:paraId="6C0C4508">
            <w:pPr>
              <w:pStyle w:val="2"/>
              <w:keepNext w:val="0"/>
              <w:keepLines w:val="0"/>
              <w:pageBreakBefore w:val="0"/>
              <w:widowControl w:val="0"/>
              <w:numPr>
                <w:ilvl w:val="0"/>
                <w:numId w:val="0"/>
              </w:numPr>
              <w:kinsoku/>
              <w:wordWrap/>
              <w:overflowPunct/>
              <w:topLinePunct w:val="0"/>
              <w:autoSpaceDE/>
              <w:autoSpaceDN/>
              <w:bidi w:val="0"/>
              <w:snapToGrid/>
              <w:spacing w:before="0" w:beforeLines="0" w:line="360" w:lineRule="auto"/>
              <w:jc w:val="left"/>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color w:val="auto"/>
                <w:sz w:val="21"/>
                <w:szCs w:val="21"/>
                <w:highlight w:val="none"/>
              </w:rPr>
              <w:t>中标方未及时上报一次巡查记录、未对亮灯、完好率等情况进行及时记录、或未使用相机对发现问题的节点进行拍照记录的每次扣5分。</w:t>
            </w:r>
          </w:p>
          <w:p w14:paraId="1D37AA7D">
            <w:pPr>
              <w:pStyle w:val="2"/>
              <w:keepNext w:val="0"/>
              <w:keepLines w:val="0"/>
              <w:pageBreakBefore w:val="0"/>
              <w:widowControl w:val="0"/>
              <w:numPr>
                <w:ilvl w:val="0"/>
                <w:numId w:val="0"/>
              </w:numPr>
              <w:kinsoku/>
              <w:wordWrap/>
              <w:overflowPunct/>
              <w:topLinePunct w:val="0"/>
              <w:autoSpaceDE/>
              <w:autoSpaceDN/>
              <w:bidi w:val="0"/>
              <w:snapToGrid/>
              <w:spacing w:before="0" w:beforeLines="0"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rPr>
              <w:t>3.</w:t>
            </w:r>
            <w:r>
              <w:rPr>
                <w:rFonts w:hint="eastAsia" w:ascii="宋体" w:hAnsi="宋体" w:eastAsia="宋体" w:cs="宋体"/>
                <w:color w:val="auto"/>
                <w:sz w:val="21"/>
                <w:szCs w:val="21"/>
                <w:highlight w:val="none"/>
              </w:rPr>
              <w:t>招标方不定期按中标方制定的巡查计划表对人员的到位情况进行抽查，如发现中标方人员配置不齐的每次扣10分。</w:t>
            </w:r>
          </w:p>
          <w:p w14:paraId="1FC39AFA">
            <w:pPr>
              <w:pStyle w:val="25"/>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4.因中标方巡查不到位，没有及时发现问题，由招标方或第三方发现问题的（如大面积停电故障</w:t>
            </w:r>
            <w:r>
              <w:rPr>
                <w:rFonts w:hint="eastAsia" w:hAnsi="宋体" w:eastAsia="宋体" w:cs="宋体"/>
                <w:color w:val="auto"/>
                <w:sz w:val="21"/>
                <w:szCs w:val="21"/>
                <w:highlight w:val="none"/>
                <w:lang w:val="en-US" w:eastAsia="zh-CN"/>
              </w:rPr>
              <w:t>、整段熄灯、城市照明监控系统故障、异常开/关灯</w:t>
            </w:r>
            <w:r>
              <w:rPr>
                <w:rFonts w:hint="eastAsia" w:ascii="宋体" w:hAnsi="宋体" w:eastAsia="宋体" w:cs="宋体"/>
                <w:color w:val="auto"/>
                <w:sz w:val="21"/>
                <w:szCs w:val="21"/>
                <w:highlight w:val="none"/>
                <w:lang w:val="en-US" w:eastAsia="zh-CN"/>
              </w:rPr>
              <w:t>等。）每次扣款200元，扣10分。</w:t>
            </w:r>
          </w:p>
          <w:p w14:paraId="1C728750">
            <w:pPr>
              <w:pStyle w:val="25"/>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5.国家法定节日（含“壮族三月三”）、重大活动</w:t>
            </w:r>
            <w:r>
              <w:rPr>
                <w:rFonts w:hint="eastAsia" w:hAnsi="宋体" w:eastAsia="宋体" w:cs="宋体"/>
                <w:color w:val="auto"/>
                <w:sz w:val="21"/>
                <w:szCs w:val="21"/>
                <w:highlight w:val="none"/>
                <w:lang w:val="en-US" w:eastAsia="zh-CN"/>
              </w:rPr>
              <w:t>、汛期及台风值班（根据上级通知要求）</w:t>
            </w:r>
            <w:r>
              <w:rPr>
                <w:rFonts w:hint="eastAsia" w:ascii="宋体" w:hAnsi="宋体" w:eastAsia="宋体" w:cs="宋体"/>
                <w:color w:val="auto"/>
                <w:sz w:val="21"/>
                <w:szCs w:val="21"/>
                <w:highlight w:val="none"/>
                <w:lang w:val="en-US" w:eastAsia="zh-CN"/>
              </w:rPr>
              <w:t>前三天对城区主干道（北部湾大道、金花茶大道、西湾大道、江山大道、玉桂大道、迎宾街</w:t>
            </w:r>
            <w:r>
              <w:rPr>
                <w:rFonts w:hint="eastAsia" w:hAnsi="宋体" w:eastAsia="宋体" w:cs="宋体"/>
                <w:color w:val="auto"/>
                <w:sz w:val="21"/>
                <w:szCs w:val="21"/>
                <w:highlight w:val="none"/>
                <w:lang w:val="en-US" w:eastAsia="zh-CN"/>
              </w:rPr>
              <w:t>、跨海大桥、针鱼岭大桥</w:t>
            </w:r>
            <w:r>
              <w:rPr>
                <w:rFonts w:hint="eastAsia" w:ascii="宋体" w:hAnsi="宋体" w:eastAsia="宋体" w:cs="宋体"/>
                <w:color w:val="auto"/>
                <w:sz w:val="21"/>
                <w:szCs w:val="21"/>
                <w:highlight w:val="none"/>
                <w:lang w:val="en-US" w:eastAsia="zh-CN"/>
              </w:rPr>
              <w:t>等）、城市沙滩二期、北部湾海洋文化公园、白鹭公园、伏波公园、</w:t>
            </w:r>
            <w:r>
              <w:rPr>
                <w:rFonts w:hint="eastAsia" w:hAnsi="宋体" w:eastAsia="宋体" w:cs="宋体"/>
                <w:color w:val="auto"/>
                <w:sz w:val="21"/>
                <w:szCs w:val="21"/>
                <w:highlight w:val="none"/>
                <w:lang w:val="en-US" w:eastAsia="zh-CN"/>
              </w:rPr>
              <w:t>仙人山</w:t>
            </w:r>
            <w:r>
              <w:rPr>
                <w:rFonts w:hint="eastAsia" w:ascii="宋体" w:hAnsi="宋体" w:eastAsia="宋体" w:cs="宋体"/>
                <w:color w:val="auto"/>
                <w:sz w:val="21"/>
                <w:szCs w:val="21"/>
                <w:highlight w:val="none"/>
                <w:lang w:val="en-US" w:eastAsia="zh-CN"/>
              </w:rPr>
              <w:t>公园等进行全面巡查和维修。因中标方巡查和维修不到位（因其他单位损坏、天气条件</w:t>
            </w:r>
            <w:r>
              <w:rPr>
                <w:rFonts w:hint="eastAsia" w:hAnsi="宋体" w:eastAsia="宋体" w:cs="宋体"/>
                <w:color w:val="auto"/>
                <w:sz w:val="21"/>
                <w:szCs w:val="21"/>
                <w:highlight w:val="none"/>
                <w:lang w:val="en-US" w:eastAsia="zh-CN"/>
              </w:rPr>
              <w:t>及现场客观条件不允许</w:t>
            </w:r>
            <w:r>
              <w:rPr>
                <w:rFonts w:hint="eastAsia" w:ascii="宋体" w:hAnsi="宋体" w:eastAsia="宋体" w:cs="宋体"/>
                <w:color w:val="auto"/>
                <w:sz w:val="21"/>
                <w:szCs w:val="21"/>
                <w:highlight w:val="none"/>
                <w:lang w:val="en-US" w:eastAsia="zh-CN"/>
              </w:rPr>
              <w:t>影响维修、供电停电等特殊情况除外），收到群众投诉2条及以上，每件投诉扣5分</w:t>
            </w:r>
            <w:r>
              <w:rPr>
                <w:rFonts w:hint="eastAsia"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被上级领导</w:t>
            </w:r>
            <w:r>
              <w:rPr>
                <w:rFonts w:hint="eastAsia" w:hAnsi="宋体" w:eastAsia="宋体" w:cs="宋体"/>
                <w:color w:val="auto"/>
                <w:sz w:val="21"/>
                <w:szCs w:val="21"/>
                <w:highlight w:val="none"/>
                <w:lang w:val="en-US" w:eastAsia="zh-CN"/>
              </w:rPr>
              <w:t>或招标方</w:t>
            </w:r>
            <w:r>
              <w:rPr>
                <w:rFonts w:hint="eastAsia" w:ascii="宋体" w:hAnsi="宋体" w:eastAsia="宋体" w:cs="宋体"/>
                <w:color w:val="auto"/>
                <w:sz w:val="21"/>
                <w:szCs w:val="21"/>
                <w:highlight w:val="none"/>
                <w:lang w:val="en-US" w:eastAsia="zh-CN"/>
              </w:rPr>
              <w:t>检查发现问题每次扣200元。</w:t>
            </w:r>
          </w:p>
          <w:p w14:paraId="1D5C9C5F">
            <w:pPr>
              <w:pStyle w:val="25"/>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4.未及时发现及处理电缆被盗、灯杆被损坏、灯具缺失等情况，</w:t>
            </w:r>
            <w:r>
              <w:rPr>
                <w:rFonts w:hint="eastAsia" w:hAnsi="宋体" w:eastAsia="宋体" w:cs="宋体"/>
                <w:color w:val="auto"/>
                <w:sz w:val="21"/>
                <w:szCs w:val="21"/>
                <w:highlight w:val="none"/>
                <w:vertAlign w:val="baseline"/>
                <w:lang w:val="en-US" w:eastAsia="zh-CN"/>
              </w:rPr>
              <w:t>收到</w:t>
            </w:r>
            <w:r>
              <w:rPr>
                <w:rFonts w:hint="eastAsia" w:ascii="宋体" w:hAnsi="宋体" w:eastAsia="宋体" w:cs="宋体"/>
                <w:color w:val="auto"/>
                <w:sz w:val="21"/>
                <w:szCs w:val="21"/>
                <w:highlight w:val="none"/>
                <w:lang w:val="en-US" w:eastAsia="zh-CN"/>
              </w:rPr>
              <w:t>群众投诉，每件投诉扣5分</w:t>
            </w:r>
            <w:r>
              <w:rPr>
                <w:rFonts w:hint="eastAsia"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被上级领导</w:t>
            </w:r>
            <w:r>
              <w:rPr>
                <w:rFonts w:hint="eastAsia" w:hAnsi="宋体" w:eastAsia="宋体" w:cs="宋体"/>
                <w:color w:val="auto"/>
                <w:sz w:val="21"/>
                <w:szCs w:val="21"/>
                <w:highlight w:val="none"/>
                <w:lang w:val="en-US" w:eastAsia="zh-CN"/>
              </w:rPr>
              <w:t>或招标方</w:t>
            </w:r>
            <w:r>
              <w:rPr>
                <w:rFonts w:hint="eastAsia" w:ascii="宋体" w:hAnsi="宋体" w:eastAsia="宋体" w:cs="宋体"/>
                <w:color w:val="auto"/>
                <w:sz w:val="21"/>
                <w:szCs w:val="21"/>
                <w:highlight w:val="none"/>
                <w:lang w:val="en-US" w:eastAsia="zh-CN"/>
              </w:rPr>
              <w:t>检查发现问题每次扣200元。</w:t>
            </w:r>
          </w:p>
        </w:tc>
        <w:tc>
          <w:tcPr>
            <w:tcW w:w="837" w:type="dxa"/>
            <w:vAlign w:val="center"/>
          </w:tcPr>
          <w:p w14:paraId="6177D2FC">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vertAlign w:val="baseline"/>
              </w:rPr>
            </w:pPr>
          </w:p>
        </w:tc>
        <w:tc>
          <w:tcPr>
            <w:tcW w:w="402" w:type="dxa"/>
            <w:vAlign w:val="center"/>
          </w:tcPr>
          <w:p w14:paraId="2A10BA21">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vertAlign w:val="baseline"/>
              </w:rPr>
            </w:pPr>
          </w:p>
        </w:tc>
      </w:tr>
      <w:tr w14:paraId="7726B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3" w:type="dxa"/>
            <w:vAlign w:val="center"/>
          </w:tcPr>
          <w:p w14:paraId="25E9E57D">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w:t>
            </w:r>
          </w:p>
        </w:tc>
        <w:tc>
          <w:tcPr>
            <w:tcW w:w="750" w:type="dxa"/>
            <w:vAlign w:val="center"/>
          </w:tcPr>
          <w:p w14:paraId="3D12AAEF">
            <w:pPr>
              <w:keepNext w:val="0"/>
              <w:keepLines w:val="0"/>
              <w:pageBreakBefore w:val="0"/>
              <w:widowControl w:val="0"/>
              <w:kinsoku/>
              <w:wordWrap/>
              <w:overflowPunct/>
              <w:topLinePunct w:val="0"/>
              <w:autoSpaceDE/>
              <w:autoSpaceDN/>
              <w:bidi w:val="0"/>
              <w:snapToGrid/>
              <w:spacing w:line="36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安全生产、文明施工</w:t>
            </w:r>
          </w:p>
        </w:tc>
        <w:tc>
          <w:tcPr>
            <w:tcW w:w="1835" w:type="dxa"/>
            <w:vAlign w:val="center"/>
          </w:tcPr>
          <w:p w14:paraId="66293F63">
            <w:pPr>
              <w:keepNext w:val="0"/>
              <w:keepLines w:val="0"/>
              <w:pageBreakBefore w:val="0"/>
              <w:widowControl w:val="0"/>
              <w:kinsoku/>
              <w:wordWrap/>
              <w:overflowPunct/>
              <w:topLinePunct w:val="0"/>
              <w:autoSpaceDE/>
              <w:autoSpaceDN/>
              <w:bidi w:val="0"/>
              <w:snapToGrid/>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中标方负责照明设施的运行及安全工作,必须要对施工现场进行安全监督。</w:t>
            </w:r>
          </w:p>
        </w:tc>
        <w:tc>
          <w:tcPr>
            <w:tcW w:w="683" w:type="dxa"/>
            <w:vAlign w:val="center"/>
          </w:tcPr>
          <w:p w14:paraId="341F6DE1">
            <w:pPr>
              <w:keepNext w:val="0"/>
              <w:keepLines w:val="0"/>
              <w:pageBreakBefore w:val="0"/>
              <w:widowControl w:val="0"/>
              <w:kinsoku/>
              <w:wordWrap/>
              <w:overflowPunct/>
              <w:topLinePunct w:val="0"/>
              <w:autoSpaceDE/>
              <w:autoSpaceDN/>
              <w:bidi w:val="0"/>
              <w:snapToGrid/>
              <w:spacing w:line="36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100</w:t>
            </w:r>
          </w:p>
        </w:tc>
        <w:tc>
          <w:tcPr>
            <w:tcW w:w="4881" w:type="dxa"/>
            <w:vAlign w:val="center"/>
          </w:tcPr>
          <w:p w14:paraId="5BC14202">
            <w:pPr>
              <w:keepNext w:val="0"/>
              <w:keepLines w:val="0"/>
              <w:pageBreakBefore w:val="0"/>
              <w:widowControl w:val="0"/>
              <w:numPr>
                <w:ilvl w:val="0"/>
                <w:numId w:val="0"/>
              </w:numPr>
              <w:kinsoku/>
              <w:wordWrap/>
              <w:overflowPunct/>
              <w:topLinePunct w:val="0"/>
              <w:autoSpaceDE/>
              <w:autoSpaceDN/>
              <w:bidi w:val="0"/>
              <w:snapToGrid/>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1.施工时违反安全章程制度操作，每次扣10分。</w:t>
            </w:r>
          </w:p>
          <w:p w14:paraId="278A3074">
            <w:pPr>
              <w:keepNext w:val="0"/>
              <w:keepLines w:val="0"/>
              <w:pageBreakBefore w:val="0"/>
              <w:widowControl w:val="0"/>
              <w:numPr>
                <w:ilvl w:val="0"/>
                <w:numId w:val="0"/>
              </w:numPr>
              <w:kinsoku/>
              <w:wordWrap/>
              <w:overflowPunct/>
              <w:topLinePunct w:val="0"/>
              <w:autoSpaceDE/>
              <w:autoSpaceDN/>
              <w:bidi w:val="0"/>
              <w:snapToGrid/>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2.施工时现场施工人员未按要求着反光服、佩戴安全帽、未按要求规范放置安全锥筒等安全工具的每次扣10分；</w:t>
            </w:r>
          </w:p>
          <w:p w14:paraId="7C524B7E">
            <w:pPr>
              <w:keepNext w:val="0"/>
              <w:keepLines w:val="0"/>
              <w:pageBreakBefore w:val="0"/>
              <w:widowControl w:val="0"/>
              <w:numPr>
                <w:ilvl w:val="0"/>
                <w:numId w:val="0"/>
              </w:numPr>
              <w:kinsoku/>
              <w:wordWrap/>
              <w:overflowPunct/>
              <w:topLinePunct w:val="0"/>
              <w:autoSpaceDE/>
              <w:autoSpaceDN/>
              <w:bidi w:val="0"/>
              <w:snapToGrid/>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3.占道施工时未做好安全防护工作的每次扣10分；</w:t>
            </w:r>
          </w:p>
          <w:p w14:paraId="72109828">
            <w:pPr>
              <w:keepNext w:val="0"/>
              <w:keepLines w:val="0"/>
              <w:pageBreakBefore w:val="0"/>
              <w:widowControl w:val="0"/>
              <w:numPr>
                <w:ilvl w:val="0"/>
                <w:numId w:val="0"/>
              </w:numPr>
              <w:kinsoku/>
              <w:wordWrap/>
              <w:overflowPunct/>
              <w:topLinePunct w:val="0"/>
              <w:autoSpaceDE/>
              <w:autoSpaceDN/>
              <w:bidi w:val="0"/>
              <w:snapToGrid/>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4.高空作业未佩戴安全帽、防坠自锁器、下方未配置安全人员采取措施进行安全隔离或有其他违规操作的每次扣10分；</w:t>
            </w:r>
          </w:p>
          <w:p w14:paraId="33E25F12">
            <w:pPr>
              <w:keepNext w:val="0"/>
              <w:keepLines w:val="0"/>
              <w:pageBreakBefore w:val="0"/>
              <w:widowControl w:val="0"/>
              <w:numPr>
                <w:ilvl w:val="0"/>
                <w:numId w:val="0"/>
              </w:numPr>
              <w:kinsoku/>
              <w:wordWrap/>
              <w:overflowPunct/>
              <w:topLinePunct w:val="0"/>
              <w:autoSpaceDE/>
              <w:autoSpaceDN/>
              <w:bidi w:val="0"/>
              <w:snapToGrid/>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5.中标方在施工过程中未按照相关规定做好围挡施工、违反安全文明施工要求的每次扣10分。</w:t>
            </w:r>
          </w:p>
          <w:p w14:paraId="4BA1B643">
            <w:pPr>
              <w:pStyle w:val="2"/>
              <w:keepNext w:val="0"/>
              <w:keepLines w:val="0"/>
              <w:pageBreakBefore w:val="0"/>
              <w:widowControl w:val="0"/>
              <w:kinsoku/>
              <w:wordWrap/>
              <w:overflowPunct/>
              <w:topLinePunct w:val="0"/>
              <w:autoSpaceDE/>
              <w:autoSpaceDN/>
              <w:bidi w:val="0"/>
              <w:snapToGrid/>
              <w:spacing w:before="0" w:beforeLines="0" w:line="360" w:lineRule="auto"/>
              <w:ind w:left="0" w:leftChars="0" w:firstLine="0" w:firstLineChars="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6.未按相关要求开展安全生产、消防、防汛防台风等传达部署、学习培训、演练演习的，每次扣10分；拒不开展的，每缺少一次扣20分，直至落实到位；缺少佐证台账资料的，每缺少一项扣10分。</w:t>
            </w:r>
          </w:p>
          <w:p w14:paraId="4CE811FF">
            <w:pPr>
              <w:keepNext w:val="0"/>
              <w:keepLines w:val="0"/>
              <w:pageBreakBefore w:val="0"/>
              <w:widowControl w:val="0"/>
              <w:numPr>
                <w:ilvl w:val="0"/>
                <w:numId w:val="0"/>
              </w:numPr>
              <w:kinsoku/>
              <w:wordWrap/>
              <w:overflowPunct/>
              <w:topLinePunct w:val="0"/>
              <w:autoSpaceDE/>
              <w:autoSpaceDN/>
              <w:bidi w:val="0"/>
              <w:snapToGrid/>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7.中标方没有制定详细、符合本项目安全生产、文明施工方面的章程、制度的扣20分，限期整改未完成再扣20分，滚动式扣分直至落实到位。</w:t>
            </w:r>
          </w:p>
          <w:p w14:paraId="62812AA4">
            <w:pPr>
              <w:keepNext w:val="0"/>
              <w:keepLines w:val="0"/>
              <w:pageBreakBefore w:val="0"/>
              <w:widowControl w:val="0"/>
              <w:numPr>
                <w:ilvl w:val="0"/>
                <w:numId w:val="0"/>
              </w:numPr>
              <w:kinsoku/>
              <w:wordWrap/>
              <w:overflowPunct/>
              <w:topLinePunct w:val="0"/>
              <w:autoSpaceDE/>
              <w:autoSpaceDN/>
              <w:bidi w:val="0"/>
              <w:snapToGrid/>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8.未按要求积极落实隐患排查及整治的，收到群众投诉，每件投诉扣5分；被安全监督部门、供电部门检查发现安全问题，经核实为中标方原因导致的，每次扣10分；被招标方或第三方发现一次扣200元。</w:t>
            </w:r>
          </w:p>
          <w:p w14:paraId="2A72662D">
            <w:pPr>
              <w:keepNext w:val="0"/>
              <w:keepLines w:val="0"/>
              <w:pageBreakBefore w:val="0"/>
              <w:widowControl w:val="0"/>
              <w:numPr>
                <w:ilvl w:val="0"/>
                <w:numId w:val="0"/>
              </w:numPr>
              <w:kinsoku/>
              <w:wordWrap/>
              <w:overflowPunct/>
              <w:topLinePunct w:val="0"/>
              <w:autoSpaceDE/>
              <w:autoSpaceDN/>
              <w:bidi w:val="0"/>
              <w:snapToGrid/>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SA"/>
              </w:rPr>
              <w:t>9.</w:t>
            </w:r>
            <w:bookmarkStart w:id="54" w:name="OLE_LINK7"/>
            <w:r>
              <w:rPr>
                <w:rFonts w:hint="eastAsia" w:ascii="宋体" w:hAnsi="宋体" w:eastAsia="宋体" w:cs="宋体"/>
                <w:color w:val="auto"/>
                <w:sz w:val="21"/>
                <w:szCs w:val="21"/>
                <w:highlight w:val="none"/>
                <w:lang w:val="en-US" w:eastAsia="zh-CN"/>
              </w:rPr>
              <w:t>对招标方巡查发现</w:t>
            </w:r>
            <w:r>
              <w:rPr>
                <w:rFonts w:hint="eastAsia" w:ascii="宋体" w:hAnsi="宋体" w:eastAsia="宋体" w:cs="宋体"/>
                <w:color w:val="auto"/>
                <w:kern w:val="0"/>
                <w:sz w:val="21"/>
                <w:szCs w:val="21"/>
                <w:highlight w:val="none"/>
                <w:lang w:val="en-US" w:eastAsia="zh-CN" w:bidi="ar-SA"/>
              </w:rPr>
              <w:t>一般</w:t>
            </w:r>
            <w:r>
              <w:rPr>
                <w:rFonts w:hint="eastAsia" w:ascii="宋体" w:hAnsi="宋体" w:eastAsia="宋体" w:cs="宋体"/>
                <w:color w:val="auto"/>
                <w:kern w:val="2"/>
                <w:sz w:val="21"/>
                <w:szCs w:val="21"/>
                <w:highlight w:val="none"/>
                <w:lang w:val="en-US" w:eastAsia="zh-CN" w:bidi="ar-SA"/>
              </w:rPr>
              <w:t>隐患</w:t>
            </w:r>
            <w:r>
              <w:rPr>
                <w:rFonts w:hint="eastAsia" w:ascii="宋体" w:hAnsi="宋体" w:eastAsia="宋体" w:cs="宋体"/>
                <w:color w:val="auto"/>
                <w:sz w:val="21"/>
                <w:szCs w:val="21"/>
                <w:highlight w:val="none"/>
                <w:lang w:val="en-US" w:eastAsia="zh-CN"/>
              </w:rPr>
              <w:t>问题要及时处理，如灯具缺失、灯具底座缺失或松动、灯杆歪斜与基础锈蚀及松动、线头裸露、检查口盖板缺失、检查井盖损坏缺失等3天内可完成处理的</w:t>
            </w:r>
            <w:bookmarkEnd w:id="54"/>
            <w:r>
              <w:rPr>
                <w:rFonts w:hint="eastAsia" w:ascii="宋体" w:hAnsi="宋体" w:eastAsia="宋体" w:cs="宋体"/>
                <w:color w:val="auto"/>
                <w:sz w:val="21"/>
                <w:szCs w:val="21"/>
                <w:highlight w:val="none"/>
                <w:lang w:val="en-US" w:eastAsia="zh-CN"/>
              </w:rPr>
              <w:t>隐患，逾期1天扣5分，逾期2天扣10分，以此类推扣完该项分值为止。</w:t>
            </w:r>
          </w:p>
          <w:p w14:paraId="4A023568">
            <w:pPr>
              <w:keepNext w:val="0"/>
              <w:keepLines w:val="0"/>
              <w:pageBreakBefore w:val="0"/>
              <w:widowControl w:val="0"/>
              <w:numPr>
                <w:ilvl w:val="0"/>
                <w:numId w:val="0"/>
              </w:numPr>
              <w:kinsoku/>
              <w:wordWrap/>
              <w:overflowPunct/>
              <w:topLinePunct w:val="0"/>
              <w:autoSpaceDE/>
              <w:autoSpaceDN/>
              <w:bidi w:val="0"/>
              <w:snapToGrid/>
              <w:spacing w:line="360" w:lineRule="auto"/>
              <w:jc w:val="left"/>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10.</w:t>
            </w:r>
            <w:r>
              <w:rPr>
                <w:rFonts w:hint="eastAsia" w:ascii="宋体" w:hAnsi="宋体" w:eastAsia="宋体" w:cs="宋体"/>
                <w:color w:val="auto"/>
                <w:sz w:val="21"/>
                <w:szCs w:val="21"/>
                <w:highlight w:val="none"/>
                <w:lang w:val="en-US" w:eastAsia="zh-CN"/>
              </w:rPr>
              <w:t>对招标方巡查发现的重大隐患问题要及时处理，需要采取工程性修复的，要第一时间采取应急安全处置措施，并及时与招标方协商解决隐患；未在1小时内采取应急安全处置措施的，扣20分，300元；超过1小时每增加0.5小时，扣10分</w:t>
            </w:r>
            <w:r>
              <w:rPr>
                <w:rFonts w:hint="eastAsia" w:ascii="宋体" w:hAnsi="宋体" w:eastAsia="宋体" w:cs="宋体"/>
                <w:color w:val="auto"/>
                <w:kern w:val="0"/>
                <w:sz w:val="21"/>
                <w:szCs w:val="21"/>
                <w:highlight w:val="none"/>
                <w:lang w:val="en-US" w:eastAsia="zh-CN" w:bidi="ar-SA"/>
              </w:rPr>
              <w:t>，</w:t>
            </w:r>
            <w:r>
              <w:rPr>
                <w:rFonts w:hint="eastAsia" w:ascii="宋体" w:hAnsi="宋体" w:eastAsia="宋体" w:cs="宋体"/>
                <w:color w:val="auto"/>
                <w:sz w:val="21"/>
                <w:szCs w:val="21"/>
                <w:highlight w:val="none"/>
                <w:lang w:val="en-US" w:eastAsia="zh-CN"/>
              </w:rPr>
              <w:t>以此类推扣完该项分值为止；不及时或</w:t>
            </w:r>
            <w:r>
              <w:rPr>
                <w:rFonts w:hint="eastAsia" w:ascii="宋体" w:hAnsi="宋体" w:eastAsia="宋体" w:cs="宋体"/>
                <w:color w:val="auto"/>
                <w:kern w:val="0"/>
                <w:sz w:val="21"/>
                <w:szCs w:val="21"/>
                <w:highlight w:val="none"/>
                <w:lang w:val="en-US" w:eastAsia="zh-CN" w:bidi="ar-SA"/>
              </w:rPr>
              <w:t>拒不与招标方商定解决隐患的，招标方将委托第三方解决隐患问题，费用从此采购服务照明设施管养费中扣除，并保留终止合同的权利</w:t>
            </w:r>
            <w:r>
              <w:rPr>
                <w:rFonts w:hint="eastAsia" w:ascii="宋体" w:hAnsi="宋体" w:eastAsia="宋体" w:cs="宋体"/>
                <w:color w:val="auto"/>
                <w:sz w:val="21"/>
                <w:szCs w:val="21"/>
                <w:highlight w:val="none"/>
                <w:lang w:val="en-US" w:eastAsia="zh-CN"/>
              </w:rPr>
              <w:t>。</w:t>
            </w:r>
          </w:p>
          <w:p w14:paraId="03B7EFA3">
            <w:pPr>
              <w:keepNext w:val="0"/>
              <w:keepLines w:val="0"/>
              <w:pageBreakBefore w:val="0"/>
              <w:widowControl w:val="0"/>
              <w:kinsoku/>
              <w:wordWrap/>
              <w:overflowPunct/>
              <w:topLinePunct w:val="0"/>
              <w:autoSpaceDE/>
              <w:autoSpaceDN/>
              <w:bidi w:val="0"/>
              <w:snapToGrid/>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SA"/>
              </w:rPr>
              <w:t>11.承包期内在管理辖区内发生一般安全事故2次，或者发生较大安全事故、重大安全事故、特别重大安全事故的，除招标方有权终止合同外还要追究中标方法律责任。</w:t>
            </w:r>
          </w:p>
        </w:tc>
        <w:tc>
          <w:tcPr>
            <w:tcW w:w="837" w:type="dxa"/>
            <w:vAlign w:val="center"/>
          </w:tcPr>
          <w:p w14:paraId="4289F1D3">
            <w:pPr>
              <w:pStyle w:val="25"/>
              <w:keepNext w:val="0"/>
              <w:keepLines w:val="0"/>
              <w:pageBreakBefore w:val="0"/>
              <w:widowControl w:val="0"/>
              <w:kinsoku/>
              <w:wordWrap/>
              <w:overflowPunct/>
              <w:topLinePunct w:val="0"/>
              <w:autoSpaceDE/>
              <w:autoSpaceDN/>
              <w:bidi w:val="0"/>
              <w:snapToGrid/>
              <w:spacing w:line="360" w:lineRule="auto"/>
              <w:jc w:val="center"/>
              <w:outlineLvl w:val="0"/>
              <w:rPr>
                <w:rFonts w:hint="eastAsia" w:ascii="宋体" w:hAnsi="宋体" w:eastAsia="宋体" w:cs="宋体"/>
                <w:color w:val="auto"/>
                <w:kern w:val="2"/>
                <w:sz w:val="21"/>
                <w:szCs w:val="21"/>
                <w:highlight w:val="none"/>
                <w:lang w:val="en-US" w:eastAsia="zh-CN" w:bidi="ar-SA"/>
              </w:rPr>
            </w:pPr>
          </w:p>
        </w:tc>
        <w:tc>
          <w:tcPr>
            <w:tcW w:w="402" w:type="dxa"/>
            <w:vAlign w:val="center"/>
          </w:tcPr>
          <w:p w14:paraId="59E4AB67">
            <w:pPr>
              <w:pStyle w:val="25"/>
              <w:keepNext w:val="0"/>
              <w:keepLines w:val="0"/>
              <w:pageBreakBefore w:val="0"/>
              <w:widowControl w:val="0"/>
              <w:kinsoku/>
              <w:wordWrap/>
              <w:overflowPunct/>
              <w:topLinePunct w:val="0"/>
              <w:autoSpaceDE/>
              <w:autoSpaceDN/>
              <w:bidi w:val="0"/>
              <w:snapToGrid/>
              <w:spacing w:line="360" w:lineRule="auto"/>
              <w:jc w:val="center"/>
              <w:outlineLvl w:val="0"/>
              <w:rPr>
                <w:rFonts w:hint="eastAsia" w:ascii="宋体" w:hAnsi="宋体" w:eastAsia="宋体" w:cs="宋体"/>
                <w:color w:val="auto"/>
                <w:kern w:val="2"/>
                <w:sz w:val="21"/>
                <w:szCs w:val="21"/>
                <w:highlight w:val="none"/>
                <w:lang w:val="en-US" w:eastAsia="zh-CN" w:bidi="ar-SA"/>
              </w:rPr>
            </w:pPr>
          </w:p>
        </w:tc>
      </w:tr>
      <w:tr w14:paraId="7EBD4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3" w:type="dxa"/>
            <w:vAlign w:val="center"/>
          </w:tcPr>
          <w:p w14:paraId="3F777779">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w:t>
            </w:r>
          </w:p>
        </w:tc>
        <w:tc>
          <w:tcPr>
            <w:tcW w:w="750" w:type="dxa"/>
            <w:vAlign w:val="center"/>
          </w:tcPr>
          <w:p w14:paraId="7E6B3850">
            <w:pPr>
              <w:keepNext w:val="0"/>
              <w:keepLines w:val="0"/>
              <w:pageBreakBefore w:val="0"/>
              <w:widowControl w:val="0"/>
              <w:kinsoku/>
              <w:wordWrap/>
              <w:overflowPunct/>
              <w:topLinePunct w:val="0"/>
              <w:autoSpaceDE/>
              <w:autoSpaceDN/>
              <w:bidi w:val="0"/>
              <w:snapToGrid/>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时效响应</w:t>
            </w:r>
          </w:p>
        </w:tc>
        <w:tc>
          <w:tcPr>
            <w:tcW w:w="1835" w:type="dxa"/>
            <w:vAlign w:val="center"/>
          </w:tcPr>
          <w:p w14:paraId="08241B27">
            <w:pPr>
              <w:keepNext w:val="0"/>
              <w:keepLines w:val="0"/>
              <w:pageBreakBefore w:val="0"/>
              <w:widowControl w:val="0"/>
              <w:kinsoku/>
              <w:wordWrap/>
              <w:overflowPunct/>
              <w:topLinePunct w:val="0"/>
              <w:autoSpaceDE/>
              <w:autoSpaceDN/>
              <w:bidi w:val="0"/>
              <w:snapToGrid/>
              <w:spacing w:line="36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中标方必须保证在合同范围内按巡查计划表安排值班员巡查，出现紧急情况，自接通知后半小时内赶赴现场处理，并处置、排除安全隐患。</w:t>
            </w:r>
          </w:p>
        </w:tc>
        <w:tc>
          <w:tcPr>
            <w:tcW w:w="683" w:type="dxa"/>
            <w:vAlign w:val="center"/>
          </w:tcPr>
          <w:p w14:paraId="330FAA3D">
            <w:pPr>
              <w:keepNext w:val="0"/>
              <w:keepLines w:val="0"/>
              <w:pageBreakBefore w:val="0"/>
              <w:widowControl w:val="0"/>
              <w:kinsoku/>
              <w:wordWrap/>
              <w:overflowPunct/>
              <w:topLinePunct w:val="0"/>
              <w:autoSpaceDE/>
              <w:autoSpaceDN/>
              <w:bidi w:val="0"/>
              <w:snapToGrid/>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100</w:t>
            </w:r>
          </w:p>
        </w:tc>
        <w:tc>
          <w:tcPr>
            <w:tcW w:w="4881" w:type="dxa"/>
            <w:vAlign w:val="center"/>
          </w:tcPr>
          <w:p w14:paraId="4BC22D67">
            <w:pPr>
              <w:keepNext w:val="0"/>
              <w:keepLines w:val="0"/>
              <w:pageBreakBefore w:val="0"/>
              <w:widowControl w:val="0"/>
              <w:numPr>
                <w:ilvl w:val="0"/>
                <w:numId w:val="0"/>
              </w:numPr>
              <w:kinsoku/>
              <w:wordWrap/>
              <w:overflowPunct/>
              <w:topLinePunct w:val="0"/>
              <w:autoSpaceDE/>
              <w:autoSpaceDN/>
              <w:bidi w:val="0"/>
              <w:snapToGrid/>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发生事故或其他紧急情况，中标方半小时内到达现场并及时处理安全隐患，到达现场超时半个小时至1个小时内扣5分，1个小时至2个时间内，扣10分，2个小时至3小时扣20分，3个小时以上该项不得分。</w:t>
            </w:r>
          </w:p>
          <w:p w14:paraId="5E2C46CF">
            <w:pPr>
              <w:keepNext w:val="0"/>
              <w:keepLines w:val="0"/>
              <w:pageBreakBefore w:val="0"/>
              <w:widowControl w:val="0"/>
              <w:numPr>
                <w:ilvl w:val="0"/>
                <w:numId w:val="0"/>
              </w:numPr>
              <w:kinsoku/>
              <w:wordWrap/>
              <w:overflowPunct/>
              <w:topLinePunct w:val="0"/>
              <w:autoSpaceDE/>
              <w:autoSpaceDN/>
              <w:bidi w:val="0"/>
              <w:snapToGrid/>
              <w:spacing w:line="36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设施损坏未在规定时限内处理的（在</w:t>
            </w:r>
            <w:r>
              <w:rPr>
                <w:rFonts w:hint="eastAsia" w:ascii="宋体" w:hAnsi="宋体" w:eastAsia="宋体" w:cs="宋体"/>
                <w:color w:val="auto"/>
                <w:sz w:val="21"/>
                <w:szCs w:val="21"/>
                <w:highlight w:val="none"/>
                <w:lang w:eastAsia="zh-CN"/>
              </w:rPr>
              <w:t>防城港市城市管理监控指挥中心</w:t>
            </w:r>
            <w:r>
              <w:rPr>
                <w:rFonts w:hint="eastAsia" w:ascii="宋体" w:hAnsi="宋体" w:eastAsia="宋体" w:cs="宋体"/>
                <w:color w:val="auto"/>
                <w:sz w:val="21"/>
                <w:szCs w:val="21"/>
                <w:highlight w:val="none"/>
              </w:rPr>
              <w:t>处置手册要求时限内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行业标准要求规定时间范围内</w:t>
            </w:r>
            <w:r>
              <w:rPr>
                <w:rFonts w:hint="eastAsia" w:ascii="宋体" w:hAnsi="宋体" w:eastAsia="宋体" w:cs="宋体"/>
                <w:color w:val="auto"/>
                <w:sz w:val="21"/>
                <w:szCs w:val="21"/>
                <w:highlight w:val="none"/>
                <w:lang w:val="en-US" w:eastAsia="zh-CN"/>
              </w:rPr>
              <w:t>或双方协商确认的期限内</w:t>
            </w:r>
            <w:r>
              <w:rPr>
                <w:rFonts w:hint="eastAsia" w:ascii="宋体" w:hAnsi="宋体" w:eastAsia="宋体" w:cs="宋体"/>
                <w:color w:val="auto"/>
                <w:sz w:val="21"/>
                <w:szCs w:val="21"/>
                <w:highlight w:val="none"/>
              </w:rPr>
              <w:t>），每次扣20分。</w:t>
            </w:r>
          </w:p>
        </w:tc>
        <w:tc>
          <w:tcPr>
            <w:tcW w:w="837" w:type="dxa"/>
            <w:vAlign w:val="center"/>
          </w:tcPr>
          <w:p w14:paraId="4F349E51">
            <w:pPr>
              <w:pStyle w:val="25"/>
              <w:keepNext w:val="0"/>
              <w:keepLines w:val="0"/>
              <w:pageBreakBefore w:val="0"/>
              <w:widowControl w:val="0"/>
              <w:kinsoku/>
              <w:wordWrap/>
              <w:overflowPunct/>
              <w:topLinePunct w:val="0"/>
              <w:autoSpaceDE/>
              <w:autoSpaceDN/>
              <w:bidi w:val="0"/>
              <w:snapToGrid/>
              <w:spacing w:line="360" w:lineRule="auto"/>
              <w:jc w:val="center"/>
              <w:outlineLvl w:val="0"/>
              <w:rPr>
                <w:rFonts w:hint="eastAsia" w:ascii="宋体" w:hAnsi="宋体" w:eastAsia="宋体" w:cs="宋体"/>
                <w:color w:val="auto"/>
                <w:kern w:val="2"/>
                <w:sz w:val="21"/>
                <w:szCs w:val="21"/>
                <w:highlight w:val="none"/>
                <w:lang w:val="en-US" w:eastAsia="zh-CN" w:bidi="ar-SA"/>
              </w:rPr>
            </w:pPr>
          </w:p>
        </w:tc>
        <w:tc>
          <w:tcPr>
            <w:tcW w:w="402" w:type="dxa"/>
            <w:vAlign w:val="center"/>
          </w:tcPr>
          <w:p w14:paraId="000545A0">
            <w:pPr>
              <w:pStyle w:val="25"/>
              <w:keepNext w:val="0"/>
              <w:keepLines w:val="0"/>
              <w:pageBreakBefore w:val="0"/>
              <w:widowControl w:val="0"/>
              <w:kinsoku/>
              <w:wordWrap/>
              <w:overflowPunct/>
              <w:topLinePunct w:val="0"/>
              <w:autoSpaceDE/>
              <w:autoSpaceDN/>
              <w:bidi w:val="0"/>
              <w:snapToGrid/>
              <w:spacing w:line="360" w:lineRule="auto"/>
              <w:jc w:val="center"/>
              <w:outlineLvl w:val="0"/>
              <w:rPr>
                <w:rFonts w:hint="eastAsia" w:ascii="宋体" w:hAnsi="宋体" w:eastAsia="宋体" w:cs="宋体"/>
                <w:color w:val="auto"/>
                <w:sz w:val="21"/>
                <w:szCs w:val="21"/>
                <w:highlight w:val="none"/>
              </w:rPr>
            </w:pPr>
          </w:p>
        </w:tc>
      </w:tr>
      <w:tr w14:paraId="72F5A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3" w:type="dxa"/>
            <w:vAlign w:val="center"/>
          </w:tcPr>
          <w:p w14:paraId="478B587D">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4</w:t>
            </w:r>
          </w:p>
        </w:tc>
        <w:tc>
          <w:tcPr>
            <w:tcW w:w="750" w:type="dxa"/>
            <w:vAlign w:val="center"/>
          </w:tcPr>
          <w:p w14:paraId="4663C47C">
            <w:pPr>
              <w:keepNext w:val="0"/>
              <w:keepLines w:val="0"/>
              <w:pageBreakBefore w:val="0"/>
              <w:widowControl w:val="0"/>
              <w:kinsoku/>
              <w:wordWrap/>
              <w:overflowPunct/>
              <w:topLinePunct w:val="0"/>
              <w:autoSpaceDE/>
              <w:autoSpaceDN/>
              <w:bidi w:val="0"/>
              <w:snapToGrid/>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数字化城管案件、</w:t>
            </w:r>
            <w:r>
              <w:rPr>
                <w:rFonts w:hint="eastAsia" w:ascii="宋体" w:hAnsi="宋体" w:eastAsia="宋体" w:cs="Times New Roman"/>
                <w:color w:val="auto"/>
                <w:szCs w:val="21"/>
                <w:highlight w:val="none"/>
              </w:rPr>
              <w:t>12345</w:t>
            </w:r>
            <w:r>
              <w:rPr>
                <w:rFonts w:hint="eastAsia" w:ascii="宋体" w:hAnsi="宋体" w:eastAsia="宋体" w:cs="Times New Roman"/>
                <w:color w:val="auto"/>
                <w:szCs w:val="21"/>
                <w:highlight w:val="none"/>
                <w:lang w:eastAsia="zh-CN"/>
              </w:rPr>
              <w:t>政务服务便民热线、市长信箱</w:t>
            </w:r>
            <w:r>
              <w:rPr>
                <w:rFonts w:hint="eastAsia" w:ascii="宋体" w:hAnsi="宋体" w:eastAsia="宋体" w:cs="宋体"/>
                <w:color w:val="auto"/>
                <w:sz w:val="21"/>
                <w:szCs w:val="21"/>
                <w:highlight w:val="none"/>
              </w:rPr>
              <w:t>投诉等处置</w:t>
            </w:r>
          </w:p>
        </w:tc>
        <w:tc>
          <w:tcPr>
            <w:tcW w:w="1835" w:type="dxa"/>
            <w:vAlign w:val="center"/>
          </w:tcPr>
          <w:p w14:paraId="2E25181E">
            <w:pPr>
              <w:keepNext w:val="0"/>
              <w:keepLines w:val="0"/>
              <w:pageBreakBefore w:val="0"/>
              <w:widowControl w:val="0"/>
              <w:kinsoku/>
              <w:wordWrap/>
              <w:overflowPunct/>
              <w:topLinePunct w:val="0"/>
              <w:autoSpaceDE/>
              <w:autoSpaceDN/>
              <w:bidi w:val="0"/>
              <w:snapToGrid/>
              <w:spacing w:line="36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因中标方维护不到位受到市民投诉、数字城管立案、</w:t>
            </w:r>
            <w:r>
              <w:rPr>
                <w:rFonts w:hint="eastAsia" w:ascii="宋体" w:hAnsi="宋体" w:eastAsia="宋体" w:cs="Times New Roman"/>
                <w:color w:val="auto"/>
                <w:szCs w:val="21"/>
                <w:highlight w:val="none"/>
              </w:rPr>
              <w:t>12345</w:t>
            </w:r>
            <w:r>
              <w:rPr>
                <w:rFonts w:hint="eastAsia" w:ascii="宋体" w:hAnsi="宋体" w:eastAsia="宋体" w:cs="Times New Roman"/>
                <w:color w:val="auto"/>
                <w:szCs w:val="21"/>
                <w:highlight w:val="none"/>
                <w:lang w:eastAsia="zh-CN"/>
              </w:rPr>
              <w:t>政务服务便民热线、市长信箱</w:t>
            </w:r>
            <w:r>
              <w:rPr>
                <w:rFonts w:hint="eastAsia" w:ascii="宋体" w:hAnsi="宋体" w:eastAsia="宋体" w:cs="宋体"/>
                <w:color w:val="auto"/>
                <w:sz w:val="21"/>
                <w:szCs w:val="21"/>
                <w:highlight w:val="none"/>
              </w:rPr>
              <w:t>及媒体曝光的应及时处置并及时反馈。</w:t>
            </w:r>
          </w:p>
        </w:tc>
        <w:tc>
          <w:tcPr>
            <w:tcW w:w="683" w:type="dxa"/>
            <w:vAlign w:val="center"/>
          </w:tcPr>
          <w:p w14:paraId="4C872868">
            <w:pPr>
              <w:keepNext w:val="0"/>
              <w:keepLines w:val="0"/>
              <w:pageBreakBefore w:val="0"/>
              <w:widowControl w:val="0"/>
              <w:kinsoku/>
              <w:wordWrap/>
              <w:overflowPunct/>
              <w:topLinePunct w:val="0"/>
              <w:autoSpaceDE/>
              <w:autoSpaceDN/>
              <w:bidi w:val="0"/>
              <w:snapToGrid/>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100</w:t>
            </w:r>
          </w:p>
        </w:tc>
        <w:tc>
          <w:tcPr>
            <w:tcW w:w="4881" w:type="dxa"/>
            <w:vAlign w:val="center"/>
          </w:tcPr>
          <w:p w14:paraId="04A64CF1">
            <w:pPr>
              <w:keepNext w:val="0"/>
              <w:keepLines w:val="0"/>
              <w:pageBreakBefore w:val="0"/>
              <w:widowControl w:val="0"/>
              <w:numPr>
                <w:ilvl w:val="0"/>
                <w:numId w:val="0"/>
              </w:numPr>
              <w:kinsoku/>
              <w:wordWrap/>
              <w:overflowPunct/>
              <w:topLinePunct w:val="0"/>
              <w:autoSpaceDE/>
              <w:autoSpaceDN/>
              <w:bidi w:val="0"/>
              <w:snapToGrid/>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没有在规定时间内处理完毕或不能使用照片证明处置结果的每次扣10分。</w:t>
            </w:r>
          </w:p>
          <w:p w14:paraId="1249B1CC">
            <w:pPr>
              <w:keepNext w:val="0"/>
              <w:keepLines w:val="0"/>
              <w:pageBreakBefore w:val="0"/>
              <w:widowControl w:val="0"/>
              <w:numPr>
                <w:ilvl w:val="0"/>
                <w:numId w:val="0"/>
              </w:numPr>
              <w:kinsoku/>
              <w:wordWrap/>
              <w:overflowPunct/>
              <w:topLinePunct w:val="0"/>
              <w:autoSpaceDE/>
              <w:autoSpaceDN/>
              <w:bidi w:val="0"/>
              <w:snapToGrid/>
              <w:spacing w:line="360" w:lineRule="auto"/>
              <w:ind w:lef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未妥善处理,一个月内再次受到有效投诉的，每次叠加扣10分。</w:t>
            </w:r>
          </w:p>
          <w:p w14:paraId="2281F7D8">
            <w:pPr>
              <w:keepNext w:val="0"/>
              <w:keepLines w:val="0"/>
              <w:pageBreakBefore w:val="0"/>
              <w:widowControl w:val="0"/>
              <w:numPr>
                <w:ilvl w:val="0"/>
                <w:numId w:val="0"/>
              </w:numPr>
              <w:kinsoku/>
              <w:wordWrap/>
              <w:overflowPunct/>
              <w:topLinePunct w:val="0"/>
              <w:autoSpaceDE/>
              <w:autoSpaceDN/>
              <w:bidi w:val="0"/>
              <w:snapToGrid/>
              <w:spacing w:line="360" w:lineRule="auto"/>
              <w:ind w:lef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处理完毕，未及时回复的，每次扣5分。</w:t>
            </w:r>
          </w:p>
          <w:p w14:paraId="5ECAB006">
            <w:pPr>
              <w:keepNext w:val="0"/>
              <w:keepLines w:val="0"/>
              <w:pageBreakBefore w:val="0"/>
              <w:widowControl w:val="0"/>
              <w:numPr>
                <w:ilvl w:val="0"/>
                <w:numId w:val="0"/>
              </w:numPr>
              <w:kinsoku/>
              <w:wordWrap/>
              <w:overflowPunct/>
              <w:topLinePunct w:val="0"/>
              <w:autoSpaceDE/>
              <w:autoSpaceDN/>
              <w:bidi w:val="0"/>
              <w:snapToGrid/>
              <w:spacing w:line="360" w:lineRule="auto"/>
              <w:ind w:left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4.</w:t>
            </w:r>
            <w:r>
              <w:rPr>
                <w:rFonts w:hint="eastAsia" w:ascii="宋体" w:hAnsi="宋体" w:eastAsia="宋体" w:cs="宋体"/>
                <w:color w:val="auto"/>
                <w:sz w:val="21"/>
                <w:szCs w:val="21"/>
                <w:highlight w:val="none"/>
              </w:rPr>
              <w:t>由于中标方处置不当，照明设施故障受市一级层面批评或市一级媒体负面报道的，每次扣5分；受到自治区及以上层面通报批评的，每次扣10分；受到自治区领导或市主要领导批评的，每次扣10分。</w:t>
            </w:r>
          </w:p>
        </w:tc>
        <w:tc>
          <w:tcPr>
            <w:tcW w:w="837" w:type="dxa"/>
            <w:vAlign w:val="center"/>
          </w:tcPr>
          <w:p w14:paraId="6764324A">
            <w:pPr>
              <w:pStyle w:val="25"/>
              <w:keepNext w:val="0"/>
              <w:keepLines w:val="0"/>
              <w:pageBreakBefore w:val="0"/>
              <w:widowControl w:val="0"/>
              <w:kinsoku/>
              <w:wordWrap/>
              <w:overflowPunct/>
              <w:topLinePunct w:val="0"/>
              <w:autoSpaceDE/>
              <w:autoSpaceDN/>
              <w:bidi w:val="0"/>
              <w:snapToGrid/>
              <w:spacing w:line="360" w:lineRule="auto"/>
              <w:jc w:val="center"/>
              <w:outlineLvl w:val="0"/>
              <w:rPr>
                <w:rFonts w:hint="eastAsia" w:ascii="宋体" w:hAnsi="宋体" w:eastAsia="宋体" w:cs="宋体"/>
                <w:color w:val="auto"/>
                <w:kern w:val="2"/>
                <w:sz w:val="21"/>
                <w:szCs w:val="21"/>
                <w:highlight w:val="none"/>
                <w:lang w:val="en-US" w:eastAsia="zh-CN" w:bidi="ar-SA"/>
              </w:rPr>
            </w:pPr>
          </w:p>
        </w:tc>
        <w:tc>
          <w:tcPr>
            <w:tcW w:w="402" w:type="dxa"/>
            <w:vAlign w:val="center"/>
          </w:tcPr>
          <w:p w14:paraId="3E53C76D">
            <w:pPr>
              <w:pStyle w:val="25"/>
              <w:keepNext w:val="0"/>
              <w:keepLines w:val="0"/>
              <w:pageBreakBefore w:val="0"/>
              <w:widowControl w:val="0"/>
              <w:kinsoku/>
              <w:wordWrap/>
              <w:overflowPunct/>
              <w:topLinePunct w:val="0"/>
              <w:autoSpaceDE/>
              <w:autoSpaceDN/>
              <w:bidi w:val="0"/>
              <w:snapToGrid/>
              <w:spacing w:line="360" w:lineRule="auto"/>
              <w:jc w:val="center"/>
              <w:outlineLvl w:val="0"/>
              <w:rPr>
                <w:rFonts w:hint="eastAsia" w:ascii="宋体" w:hAnsi="宋体" w:eastAsia="宋体" w:cs="宋体"/>
                <w:color w:val="auto"/>
                <w:kern w:val="2"/>
                <w:sz w:val="21"/>
                <w:szCs w:val="21"/>
                <w:highlight w:val="none"/>
                <w:lang w:val="en-US" w:eastAsia="zh-CN" w:bidi="ar-SA"/>
              </w:rPr>
            </w:pPr>
          </w:p>
        </w:tc>
      </w:tr>
      <w:tr w14:paraId="52EEC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3" w:type="dxa"/>
            <w:vAlign w:val="center"/>
          </w:tcPr>
          <w:p w14:paraId="4B196DE0">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5</w:t>
            </w:r>
          </w:p>
        </w:tc>
        <w:tc>
          <w:tcPr>
            <w:tcW w:w="750" w:type="dxa"/>
            <w:vAlign w:val="center"/>
          </w:tcPr>
          <w:p w14:paraId="4D99D798">
            <w:pPr>
              <w:keepNext w:val="0"/>
              <w:keepLines w:val="0"/>
              <w:pageBreakBefore w:val="0"/>
              <w:widowControl w:val="0"/>
              <w:kinsoku/>
              <w:wordWrap/>
              <w:overflowPunct/>
              <w:topLinePunct w:val="0"/>
              <w:autoSpaceDE/>
              <w:autoSpaceDN/>
              <w:bidi w:val="0"/>
              <w:snapToGrid/>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承诺服务</w:t>
            </w:r>
          </w:p>
        </w:tc>
        <w:tc>
          <w:tcPr>
            <w:tcW w:w="1835" w:type="dxa"/>
            <w:vAlign w:val="center"/>
          </w:tcPr>
          <w:p w14:paraId="4075D05A">
            <w:pPr>
              <w:keepNext w:val="0"/>
              <w:keepLines w:val="0"/>
              <w:pageBreakBefore w:val="0"/>
              <w:widowControl w:val="0"/>
              <w:kinsoku/>
              <w:wordWrap/>
              <w:overflowPunct/>
              <w:topLinePunct w:val="0"/>
              <w:autoSpaceDE/>
              <w:autoSpaceDN/>
              <w:bidi w:val="0"/>
              <w:snapToGrid/>
              <w:spacing w:line="36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对灯杆、灯罩、设备表面定期清洗，对看护范围内的箱变、架变、配电房、控制箱、节能箱等照明设施周围定期进行除草，及时清除城市照明设施上的乱张贴和乱涂写。按合同约定完成采购需求所要求的各项工作。</w:t>
            </w:r>
          </w:p>
        </w:tc>
        <w:tc>
          <w:tcPr>
            <w:tcW w:w="683" w:type="dxa"/>
            <w:vAlign w:val="center"/>
          </w:tcPr>
          <w:p w14:paraId="4B28FC54">
            <w:pPr>
              <w:keepNext w:val="0"/>
              <w:keepLines w:val="0"/>
              <w:pageBreakBefore w:val="0"/>
              <w:widowControl w:val="0"/>
              <w:kinsoku/>
              <w:wordWrap/>
              <w:overflowPunct/>
              <w:topLinePunct w:val="0"/>
              <w:autoSpaceDE/>
              <w:autoSpaceDN/>
              <w:bidi w:val="0"/>
              <w:snapToGrid/>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00</w:t>
            </w:r>
          </w:p>
        </w:tc>
        <w:tc>
          <w:tcPr>
            <w:tcW w:w="4881" w:type="dxa"/>
            <w:vAlign w:val="center"/>
          </w:tcPr>
          <w:p w14:paraId="268A51A2">
            <w:pPr>
              <w:keepNext w:val="0"/>
              <w:keepLines w:val="0"/>
              <w:pageBreakBefore w:val="0"/>
              <w:widowControl w:val="0"/>
              <w:numPr>
                <w:ilvl w:val="0"/>
                <w:numId w:val="0"/>
              </w:numPr>
              <w:kinsoku/>
              <w:wordWrap/>
              <w:overflowPunct/>
              <w:topLinePunct w:val="0"/>
              <w:autoSpaceDE/>
              <w:autoSpaceDN/>
              <w:bidi w:val="0"/>
              <w:snapToGrid/>
              <w:spacing w:line="360" w:lineRule="auto"/>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中标方没有按期对灯杆、灯罩、设备进行清洗的每次扣10分。</w:t>
            </w:r>
          </w:p>
          <w:p w14:paraId="55611C27">
            <w:pPr>
              <w:keepNext w:val="0"/>
              <w:keepLines w:val="0"/>
              <w:pageBreakBefore w:val="0"/>
              <w:widowControl w:val="0"/>
              <w:numPr>
                <w:ilvl w:val="0"/>
                <w:numId w:val="0"/>
              </w:numPr>
              <w:kinsoku/>
              <w:wordWrap/>
              <w:overflowPunct/>
              <w:topLinePunct w:val="0"/>
              <w:autoSpaceDE/>
              <w:autoSpaceDN/>
              <w:bidi w:val="0"/>
              <w:snapToGrid/>
              <w:spacing w:line="360" w:lineRule="auto"/>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2.中标方每月未对箱变、架变、配电房、控制箱、节能箱等照明设施周围定期进行除草的，每次扣10分。</w:t>
            </w:r>
          </w:p>
          <w:p w14:paraId="1D5F71BC">
            <w:pPr>
              <w:keepNext w:val="0"/>
              <w:keepLines w:val="0"/>
              <w:pageBreakBefore w:val="0"/>
              <w:widowControl w:val="0"/>
              <w:numPr>
                <w:ilvl w:val="0"/>
                <w:numId w:val="0"/>
              </w:numPr>
              <w:kinsoku/>
              <w:wordWrap/>
              <w:overflowPunct/>
              <w:topLinePunct w:val="0"/>
              <w:autoSpaceDE/>
              <w:autoSpaceDN/>
              <w:bidi w:val="0"/>
              <w:snapToGrid/>
              <w:spacing w:line="360" w:lineRule="auto"/>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3.因中标方巡查不到位，由招标方或第三方发现设施有乱张贴、乱涂写的每次扣10分。</w:t>
            </w:r>
          </w:p>
          <w:p w14:paraId="2981A54B">
            <w:pPr>
              <w:keepNext w:val="0"/>
              <w:keepLines w:val="0"/>
              <w:pageBreakBefore w:val="0"/>
              <w:widowControl w:val="0"/>
              <w:numPr>
                <w:ilvl w:val="0"/>
                <w:numId w:val="0"/>
              </w:numPr>
              <w:kinsoku/>
              <w:wordWrap/>
              <w:overflowPunct/>
              <w:topLinePunct w:val="0"/>
              <w:autoSpaceDE/>
              <w:autoSpaceDN/>
              <w:bidi w:val="0"/>
              <w:snapToGrid/>
              <w:spacing w:line="360" w:lineRule="auto"/>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4.因中标方没有按招标方要求在规定时间内落实时控开关(定时器)的开、关灯时间调整和运行时间调校的，由招标方或第三方发现问题的，每段道路或每座公园广场扣5分。</w:t>
            </w:r>
          </w:p>
          <w:p w14:paraId="79BBF6A6">
            <w:pPr>
              <w:keepNext w:val="0"/>
              <w:keepLines w:val="0"/>
              <w:pageBreakBefore w:val="0"/>
              <w:widowControl w:val="0"/>
              <w:numPr>
                <w:ilvl w:val="0"/>
                <w:numId w:val="0"/>
              </w:numPr>
              <w:kinsoku/>
              <w:wordWrap/>
              <w:overflowPunct/>
              <w:topLinePunct w:val="0"/>
              <w:autoSpaceDE/>
              <w:autoSpaceDN/>
              <w:bidi w:val="0"/>
              <w:snapToGrid/>
              <w:spacing w:line="360" w:lineRule="auto"/>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5.未按合同约定条款，对承包工作内容的相关设施(设备)进行日常维修、维护的，由招标方或第三方发现问题的，每次扣5分。</w:t>
            </w:r>
          </w:p>
        </w:tc>
        <w:tc>
          <w:tcPr>
            <w:tcW w:w="837" w:type="dxa"/>
            <w:vAlign w:val="center"/>
          </w:tcPr>
          <w:p w14:paraId="5CA37A51">
            <w:pPr>
              <w:pStyle w:val="25"/>
              <w:keepNext w:val="0"/>
              <w:keepLines w:val="0"/>
              <w:pageBreakBefore w:val="0"/>
              <w:widowControl w:val="0"/>
              <w:kinsoku/>
              <w:wordWrap/>
              <w:overflowPunct/>
              <w:topLinePunct w:val="0"/>
              <w:autoSpaceDE/>
              <w:autoSpaceDN/>
              <w:bidi w:val="0"/>
              <w:snapToGrid/>
              <w:spacing w:line="360" w:lineRule="auto"/>
              <w:jc w:val="center"/>
              <w:outlineLvl w:val="0"/>
              <w:rPr>
                <w:rFonts w:hint="eastAsia" w:ascii="宋体" w:hAnsi="宋体" w:eastAsia="宋体" w:cs="宋体"/>
                <w:color w:val="auto"/>
                <w:kern w:val="2"/>
                <w:sz w:val="21"/>
                <w:szCs w:val="21"/>
                <w:highlight w:val="none"/>
                <w:lang w:val="en-US" w:eastAsia="zh-CN" w:bidi="ar-SA"/>
              </w:rPr>
            </w:pPr>
          </w:p>
        </w:tc>
        <w:tc>
          <w:tcPr>
            <w:tcW w:w="402" w:type="dxa"/>
            <w:vAlign w:val="center"/>
          </w:tcPr>
          <w:p w14:paraId="33767EE7">
            <w:pPr>
              <w:pStyle w:val="25"/>
              <w:keepNext w:val="0"/>
              <w:keepLines w:val="0"/>
              <w:pageBreakBefore w:val="0"/>
              <w:widowControl w:val="0"/>
              <w:kinsoku/>
              <w:wordWrap/>
              <w:overflowPunct/>
              <w:topLinePunct w:val="0"/>
              <w:autoSpaceDE/>
              <w:autoSpaceDN/>
              <w:bidi w:val="0"/>
              <w:snapToGrid/>
              <w:spacing w:line="360" w:lineRule="auto"/>
              <w:jc w:val="center"/>
              <w:outlineLvl w:val="0"/>
              <w:rPr>
                <w:rFonts w:hint="eastAsia" w:ascii="宋体" w:hAnsi="宋体" w:eastAsia="宋体" w:cs="宋体"/>
                <w:color w:val="auto"/>
                <w:kern w:val="2"/>
                <w:sz w:val="21"/>
                <w:szCs w:val="21"/>
                <w:highlight w:val="none"/>
                <w:lang w:val="en-US" w:eastAsia="zh-CN" w:bidi="ar-SA"/>
              </w:rPr>
            </w:pPr>
          </w:p>
        </w:tc>
      </w:tr>
      <w:tr w14:paraId="15640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3" w:type="dxa"/>
            <w:vAlign w:val="center"/>
          </w:tcPr>
          <w:p w14:paraId="74CA3519">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6</w:t>
            </w:r>
          </w:p>
        </w:tc>
        <w:tc>
          <w:tcPr>
            <w:tcW w:w="750" w:type="dxa"/>
            <w:vAlign w:val="center"/>
          </w:tcPr>
          <w:p w14:paraId="5B987461">
            <w:pPr>
              <w:keepNext w:val="0"/>
              <w:keepLines w:val="0"/>
              <w:pageBreakBefore w:val="0"/>
              <w:widowControl w:val="0"/>
              <w:kinsoku/>
              <w:wordWrap/>
              <w:overflowPunct/>
              <w:topLinePunct w:val="0"/>
              <w:autoSpaceDE/>
              <w:autoSpaceDN/>
              <w:bidi w:val="0"/>
              <w:snapToGrid/>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设施被损被盗处置</w:t>
            </w:r>
          </w:p>
        </w:tc>
        <w:tc>
          <w:tcPr>
            <w:tcW w:w="1835" w:type="dxa"/>
            <w:vAlign w:val="center"/>
          </w:tcPr>
          <w:p w14:paraId="4C18EF06">
            <w:pPr>
              <w:keepNext w:val="0"/>
              <w:keepLines w:val="0"/>
              <w:pageBreakBefore w:val="0"/>
              <w:widowControl w:val="0"/>
              <w:kinsoku/>
              <w:wordWrap/>
              <w:overflowPunct/>
              <w:topLinePunct w:val="0"/>
              <w:autoSpaceDE/>
              <w:autoSpaceDN/>
              <w:bidi w:val="0"/>
              <w:snapToGrid/>
              <w:spacing w:line="36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发现设施有被损、被盗时应及时制止并立即修复。</w:t>
            </w:r>
          </w:p>
        </w:tc>
        <w:tc>
          <w:tcPr>
            <w:tcW w:w="683" w:type="dxa"/>
            <w:vAlign w:val="center"/>
          </w:tcPr>
          <w:p w14:paraId="3C57ABD2">
            <w:pPr>
              <w:keepNext w:val="0"/>
              <w:keepLines w:val="0"/>
              <w:pageBreakBefore w:val="0"/>
              <w:widowControl w:val="0"/>
              <w:kinsoku/>
              <w:wordWrap/>
              <w:overflowPunct/>
              <w:topLinePunct w:val="0"/>
              <w:autoSpaceDE/>
              <w:autoSpaceDN/>
              <w:bidi w:val="0"/>
              <w:snapToGrid/>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100</w:t>
            </w:r>
          </w:p>
        </w:tc>
        <w:tc>
          <w:tcPr>
            <w:tcW w:w="4881" w:type="dxa"/>
            <w:vAlign w:val="center"/>
          </w:tcPr>
          <w:p w14:paraId="47B0647E">
            <w:pPr>
              <w:keepNext w:val="0"/>
              <w:keepLines w:val="0"/>
              <w:pageBreakBefore w:val="0"/>
              <w:widowControl w:val="0"/>
              <w:numPr>
                <w:ilvl w:val="0"/>
                <w:numId w:val="0"/>
              </w:numPr>
              <w:kinsoku/>
              <w:wordWrap/>
              <w:overflowPunct/>
              <w:topLinePunct w:val="0"/>
              <w:autoSpaceDE/>
              <w:autoSpaceDN/>
              <w:bidi w:val="0"/>
              <w:snapToGrid/>
              <w:spacing w:line="36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维护范围内的所有灯具、设备、电线、电缆等发生被盗、被损的未及时（在</w:t>
            </w:r>
            <w:r>
              <w:rPr>
                <w:rFonts w:hint="eastAsia" w:ascii="宋体" w:hAnsi="宋体" w:eastAsia="宋体" w:cs="宋体"/>
                <w:color w:val="auto"/>
                <w:sz w:val="21"/>
                <w:szCs w:val="21"/>
                <w:highlight w:val="none"/>
                <w:lang w:eastAsia="zh-CN"/>
              </w:rPr>
              <w:t>防城港市城市管理监控指挥中心</w:t>
            </w:r>
            <w:r>
              <w:rPr>
                <w:rFonts w:hint="eastAsia" w:ascii="宋体" w:hAnsi="宋体" w:eastAsia="宋体" w:cs="宋体"/>
                <w:color w:val="auto"/>
                <w:sz w:val="21"/>
                <w:szCs w:val="21"/>
                <w:highlight w:val="none"/>
              </w:rPr>
              <w:t>处置手册要求时限内）进行恢复的每次扣20分。</w:t>
            </w:r>
          </w:p>
          <w:p w14:paraId="11448F43">
            <w:pPr>
              <w:keepNext w:val="0"/>
              <w:keepLines w:val="0"/>
              <w:pageBreakBefore w:val="0"/>
              <w:widowControl w:val="0"/>
              <w:numPr>
                <w:ilvl w:val="0"/>
                <w:numId w:val="0"/>
              </w:numPr>
              <w:kinsoku/>
              <w:wordWrap/>
              <w:overflowPunct/>
              <w:topLinePunct w:val="0"/>
              <w:autoSpaceDE/>
              <w:autoSpaceDN/>
              <w:bidi w:val="0"/>
              <w:snapToGrid/>
              <w:spacing w:line="36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2.中标方没有对设施被损、被盗情况及时报给招标人导致出现大面积不亮灯超过3小时的严重后果每次扣20分。</w:t>
            </w:r>
          </w:p>
        </w:tc>
        <w:tc>
          <w:tcPr>
            <w:tcW w:w="837" w:type="dxa"/>
            <w:vAlign w:val="center"/>
          </w:tcPr>
          <w:p w14:paraId="358CF9B6">
            <w:pPr>
              <w:pStyle w:val="25"/>
              <w:keepNext w:val="0"/>
              <w:keepLines w:val="0"/>
              <w:pageBreakBefore w:val="0"/>
              <w:widowControl w:val="0"/>
              <w:kinsoku/>
              <w:wordWrap/>
              <w:overflowPunct/>
              <w:topLinePunct w:val="0"/>
              <w:autoSpaceDE/>
              <w:autoSpaceDN/>
              <w:bidi w:val="0"/>
              <w:snapToGrid/>
              <w:spacing w:line="360" w:lineRule="auto"/>
              <w:jc w:val="center"/>
              <w:outlineLvl w:val="0"/>
              <w:rPr>
                <w:rFonts w:hint="eastAsia" w:ascii="宋体" w:hAnsi="宋体" w:eastAsia="宋体" w:cs="宋体"/>
                <w:color w:val="auto"/>
                <w:kern w:val="2"/>
                <w:sz w:val="21"/>
                <w:szCs w:val="21"/>
                <w:highlight w:val="none"/>
                <w:lang w:val="en-US" w:eastAsia="zh-CN" w:bidi="ar-SA"/>
              </w:rPr>
            </w:pPr>
          </w:p>
        </w:tc>
        <w:tc>
          <w:tcPr>
            <w:tcW w:w="402" w:type="dxa"/>
            <w:vAlign w:val="center"/>
          </w:tcPr>
          <w:p w14:paraId="748C9E09">
            <w:pPr>
              <w:pStyle w:val="25"/>
              <w:keepNext w:val="0"/>
              <w:keepLines w:val="0"/>
              <w:pageBreakBefore w:val="0"/>
              <w:widowControl w:val="0"/>
              <w:kinsoku/>
              <w:wordWrap/>
              <w:overflowPunct/>
              <w:topLinePunct w:val="0"/>
              <w:autoSpaceDE/>
              <w:autoSpaceDN/>
              <w:bidi w:val="0"/>
              <w:snapToGrid/>
              <w:spacing w:line="360" w:lineRule="auto"/>
              <w:jc w:val="center"/>
              <w:outlineLvl w:val="0"/>
              <w:rPr>
                <w:rFonts w:hint="eastAsia" w:ascii="宋体" w:hAnsi="宋体" w:eastAsia="宋体" w:cs="宋体"/>
                <w:color w:val="auto"/>
                <w:kern w:val="2"/>
                <w:sz w:val="21"/>
                <w:szCs w:val="21"/>
                <w:highlight w:val="none"/>
                <w:lang w:val="en-US" w:eastAsia="zh-CN" w:bidi="ar-SA"/>
              </w:rPr>
            </w:pPr>
          </w:p>
        </w:tc>
      </w:tr>
      <w:tr w14:paraId="74A68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3" w:type="dxa"/>
            <w:vAlign w:val="center"/>
          </w:tcPr>
          <w:p w14:paraId="3A9CF71C">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7</w:t>
            </w:r>
          </w:p>
        </w:tc>
        <w:tc>
          <w:tcPr>
            <w:tcW w:w="750" w:type="dxa"/>
            <w:vAlign w:val="center"/>
          </w:tcPr>
          <w:p w14:paraId="38EC42DB">
            <w:pPr>
              <w:keepNext w:val="0"/>
              <w:keepLines w:val="0"/>
              <w:pageBreakBefore w:val="0"/>
              <w:widowControl w:val="0"/>
              <w:kinsoku/>
              <w:wordWrap/>
              <w:overflowPunct/>
              <w:topLinePunct w:val="0"/>
              <w:autoSpaceDE/>
              <w:autoSpaceDN/>
              <w:bidi w:val="0"/>
              <w:snapToGrid/>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接电管理</w:t>
            </w:r>
          </w:p>
        </w:tc>
        <w:tc>
          <w:tcPr>
            <w:tcW w:w="1835" w:type="dxa"/>
            <w:vAlign w:val="center"/>
          </w:tcPr>
          <w:p w14:paraId="443D746B">
            <w:pPr>
              <w:keepNext w:val="0"/>
              <w:keepLines w:val="0"/>
              <w:pageBreakBefore w:val="0"/>
              <w:widowControl w:val="0"/>
              <w:kinsoku/>
              <w:wordWrap/>
              <w:overflowPunct/>
              <w:topLinePunct w:val="0"/>
              <w:autoSpaceDE/>
              <w:autoSpaceDN/>
              <w:bidi w:val="0"/>
              <w:snapToGrid/>
              <w:spacing w:line="36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中标方应对维护范围内的所有用电点进行监督检查，确保景观照明电路专线专用，不得未经允许私自外接用电。</w:t>
            </w:r>
          </w:p>
        </w:tc>
        <w:tc>
          <w:tcPr>
            <w:tcW w:w="683" w:type="dxa"/>
            <w:vAlign w:val="center"/>
          </w:tcPr>
          <w:p w14:paraId="5773ECCB">
            <w:pPr>
              <w:keepNext w:val="0"/>
              <w:keepLines w:val="0"/>
              <w:pageBreakBefore w:val="0"/>
              <w:widowControl w:val="0"/>
              <w:kinsoku/>
              <w:wordWrap/>
              <w:overflowPunct/>
              <w:topLinePunct w:val="0"/>
              <w:autoSpaceDE/>
              <w:autoSpaceDN/>
              <w:bidi w:val="0"/>
              <w:snapToGrid/>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100</w:t>
            </w:r>
          </w:p>
        </w:tc>
        <w:tc>
          <w:tcPr>
            <w:tcW w:w="4881" w:type="dxa"/>
            <w:vAlign w:val="center"/>
          </w:tcPr>
          <w:p w14:paraId="75D004EE">
            <w:pPr>
              <w:keepNext w:val="0"/>
              <w:keepLines w:val="0"/>
              <w:pageBreakBefore w:val="0"/>
              <w:widowControl w:val="0"/>
              <w:numPr>
                <w:ilvl w:val="0"/>
                <w:numId w:val="0"/>
              </w:numPr>
              <w:kinsoku/>
              <w:wordWrap/>
              <w:overflowPunct/>
              <w:topLinePunct w:val="0"/>
              <w:autoSpaceDE/>
              <w:autoSpaceDN/>
              <w:bidi w:val="0"/>
              <w:snapToGrid/>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未经招标方同意，中标方私自接驳线路或同意他人接驳线路的，每次扣20分，并按偷电处理，情节严重的移交公安机关处理，招标方有权单方面终止合同。</w:t>
            </w:r>
          </w:p>
          <w:p w14:paraId="76C2D306">
            <w:pPr>
              <w:keepNext w:val="0"/>
              <w:keepLines w:val="0"/>
              <w:pageBreakBefore w:val="0"/>
              <w:widowControl w:val="0"/>
              <w:numPr>
                <w:ilvl w:val="0"/>
                <w:numId w:val="0"/>
              </w:numPr>
              <w:kinsoku/>
              <w:wordWrap/>
              <w:overflowPunct/>
              <w:topLinePunct w:val="0"/>
              <w:autoSpaceDE/>
              <w:autoSpaceDN/>
              <w:bidi w:val="0"/>
              <w:snapToGrid/>
              <w:spacing w:line="36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2.因中标方巡查、检查不到位，导致其他人员偷接电现象的每次扣10分。</w:t>
            </w:r>
          </w:p>
        </w:tc>
        <w:tc>
          <w:tcPr>
            <w:tcW w:w="837" w:type="dxa"/>
            <w:vAlign w:val="center"/>
          </w:tcPr>
          <w:p w14:paraId="1F794772">
            <w:pPr>
              <w:pStyle w:val="25"/>
              <w:keepNext w:val="0"/>
              <w:keepLines w:val="0"/>
              <w:pageBreakBefore w:val="0"/>
              <w:widowControl w:val="0"/>
              <w:kinsoku/>
              <w:wordWrap/>
              <w:overflowPunct/>
              <w:topLinePunct w:val="0"/>
              <w:autoSpaceDE/>
              <w:autoSpaceDN/>
              <w:bidi w:val="0"/>
              <w:snapToGrid/>
              <w:spacing w:line="360" w:lineRule="auto"/>
              <w:jc w:val="center"/>
              <w:outlineLvl w:val="0"/>
              <w:rPr>
                <w:rFonts w:hint="eastAsia" w:ascii="宋体" w:hAnsi="宋体" w:eastAsia="宋体" w:cs="宋体"/>
                <w:color w:val="auto"/>
                <w:kern w:val="2"/>
                <w:sz w:val="21"/>
                <w:szCs w:val="21"/>
                <w:highlight w:val="none"/>
                <w:lang w:val="en-US" w:eastAsia="zh-CN" w:bidi="ar-SA"/>
              </w:rPr>
            </w:pPr>
          </w:p>
        </w:tc>
        <w:tc>
          <w:tcPr>
            <w:tcW w:w="402" w:type="dxa"/>
            <w:vAlign w:val="center"/>
          </w:tcPr>
          <w:p w14:paraId="21C70290">
            <w:pPr>
              <w:pStyle w:val="25"/>
              <w:keepNext w:val="0"/>
              <w:keepLines w:val="0"/>
              <w:pageBreakBefore w:val="0"/>
              <w:widowControl w:val="0"/>
              <w:kinsoku/>
              <w:wordWrap/>
              <w:overflowPunct/>
              <w:topLinePunct w:val="0"/>
              <w:autoSpaceDE/>
              <w:autoSpaceDN/>
              <w:bidi w:val="0"/>
              <w:snapToGrid/>
              <w:spacing w:line="360" w:lineRule="auto"/>
              <w:jc w:val="center"/>
              <w:outlineLvl w:val="0"/>
              <w:rPr>
                <w:rFonts w:hint="eastAsia" w:ascii="宋体" w:hAnsi="宋体" w:eastAsia="宋体" w:cs="宋体"/>
                <w:color w:val="auto"/>
                <w:kern w:val="2"/>
                <w:sz w:val="21"/>
                <w:szCs w:val="21"/>
                <w:highlight w:val="none"/>
                <w:lang w:val="en-US" w:eastAsia="zh-CN" w:bidi="ar-SA"/>
              </w:rPr>
            </w:pPr>
          </w:p>
        </w:tc>
      </w:tr>
      <w:tr w14:paraId="3533F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3" w:type="dxa"/>
            <w:vAlign w:val="center"/>
          </w:tcPr>
          <w:p w14:paraId="605DF37A">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vertAlign w:val="baseline"/>
                <w:lang w:val="en-US" w:eastAsia="zh-CN"/>
              </w:rPr>
            </w:pPr>
          </w:p>
        </w:tc>
        <w:tc>
          <w:tcPr>
            <w:tcW w:w="750" w:type="dxa"/>
            <w:vAlign w:val="center"/>
          </w:tcPr>
          <w:p w14:paraId="49E0DBE8">
            <w:pPr>
              <w:keepNext w:val="0"/>
              <w:keepLines w:val="0"/>
              <w:pageBreakBefore w:val="0"/>
              <w:widowControl w:val="0"/>
              <w:kinsoku/>
              <w:wordWrap/>
              <w:overflowPunct/>
              <w:topLinePunct w:val="0"/>
              <w:autoSpaceDE/>
              <w:autoSpaceDN/>
              <w:bidi w:val="0"/>
              <w:snapToGrid/>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总分</w:t>
            </w:r>
          </w:p>
        </w:tc>
        <w:tc>
          <w:tcPr>
            <w:tcW w:w="1835" w:type="dxa"/>
            <w:vAlign w:val="center"/>
          </w:tcPr>
          <w:p w14:paraId="16AC7579">
            <w:pPr>
              <w:keepNext w:val="0"/>
              <w:keepLines w:val="0"/>
              <w:pageBreakBefore w:val="0"/>
              <w:widowControl w:val="0"/>
              <w:kinsoku/>
              <w:wordWrap/>
              <w:overflowPunct/>
              <w:topLinePunct w:val="0"/>
              <w:autoSpaceDE/>
              <w:autoSpaceDN/>
              <w:bidi w:val="0"/>
              <w:snapToGrid/>
              <w:spacing w:line="360" w:lineRule="auto"/>
              <w:jc w:val="left"/>
              <w:rPr>
                <w:rFonts w:hint="eastAsia" w:ascii="宋体" w:hAnsi="宋体" w:eastAsia="宋体" w:cs="宋体"/>
                <w:color w:val="auto"/>
                <w:sz w:val="21"/>
                <w:szCs w:val="21"/>
                <w:highlight w:val="none"/>
              </w:rPr>
            </w:pPr>
          </w:p>
        </w:tc>
        <w:tc>
          <w:tcPr>
            <w:tcW w:w="683" w:type="dxa"/>
            <w:vAlign w:val="center"/>
          </w:tcPr>
          <w:p w14:paraId="1F323D38">
            <w:pPr>
              <w:keepNext w:val="0"/>
              <w:keepLines w:val="0"/>
              <w:pageBreakBefore w:val="0"/>
              <w:widowControl w:val="0"/>
              <w:kinsoku/>
              <w:wordWrap/>
              <w:overflowPunct/>
              <w:topLinePunct w:val="0"/>
              <w:autoSpaceDE/>
              <w:autoSpaceDN/>
              <w:bidi w:val="0"/>
              <w:snapToGrid/>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700</w:t>
            </w:r>
          </w:p>
        </w:tc>
        <w:tc>
          <w:tcPr>
            <w:tcW w:w="4881" w:type="dxa"/>
            <w:vAlign w:val="center"/>
          </w:tcPr>
          <w:p w14:paraId="42E35D08">
            <w:pPr>
              <w:keepNext w:val="0"/>
              <w:keepLines w:val="0"/>
              <w:pageBreakBefore w:val="0"/>
              <w:widowControl w:val="0"/>
              <w:numPr>
                <w:ilvl w:val="0"/>
                <w:numId w:val="0"/>
              </w:numPr>
              <w:kinsoku/>
              <w:wordWrap/>
              <w:overflowPunct/>
              <w:topLinePunct w:val="0"/>
              <w:autoSpaceDE/>
              <w:autoSpaceDN/>
              <w:bidi w:val="0"/>
              <w:snapToGrid/>
              <w:spacing w:line="360" w:lineRule="auto"/>
              <w:jc w:val="left"/>
              <w:rPr>
                <w:rFonts w:hint="eastAsia" w:ascii="宋体" w:hAnsi="宋体" w:eastAsia="宋体" w:cs="宋体"/>
                <w:b/>
                <w:bCs/>
                <w:color w:val="auto"/>
                <w:sz w:val="21"/>
                <w:szCs w:val="21"/>
                <w:highlight w:val="none"/>
              </w:rPr>
            </w:pPr>
          </w:p>
        </w:tc>
        <w:tc>
          <w:tcPr>
            <w:tcW w:w="837" w:type="dxa"/>
            <w:vAlign w:val="center"/>
          </w:tcPr>
          <w:p w14:paraId="0D1E0050">
            <w:pPr>
              <w:pStyle w:val="25"/>
              <w:keepNext w:val="0"/>
              <w:keepLines w:val="0"/>
              <w:pageBreakBefore w:val="0"/>
              <w:widowControl w:val="0"/>
              <w:kinsoku/>
              <w:wordWrap/>
              <w:overflowPunct/>
              <w:topLinePunct w:val="0"/>
              <w:autoSpaceDE/>
              <w:autoSpaceDN/>
              <w:bidi w:val="0"/>
              <w:snapToGrid/>
              <w:spacing w:line="360" w:lineRule="auto"/>
              <w:jc w:val="center"/>
              <w:outlineLvl w:val="0"/>
              <w:rPr>
                <w:rFonts w:hint="eastAsia" w:ascii="宋体" w:hAnsi="宋体" w:eastAsia="宋体" w:cs="宋体"/>
                <w:color w:val="auto"/>
                <w:kern w:val="2"/>
                <w:sz w:val="21"/>
                <w:szCs w:val="21"/>
                <w:highlight w:val="none"/>
                <w:lang w:val="en-US" w:eastAsia="zh-CN" w:bidi="ar-SA"/>
              </w:rPr>
            </w:pPr>
          </w:p>
        </w:tc>
        <w:tc>
          <w:tcPr>
            <w:tcW w:w="402" w:type="dxa"/>
            <w:vAlign w:val="center"/>
          </w:tcPr>
          <w:p w14:paraId="4203556F">
            <w:pPr>
              <w:pStyle w:val="25"/>
              <w:keepNext w:val="0"/>
              <w:keepLines w:val="0"/>
              <w:pageBreakBefore w:val="0"/>
              <w:widowControl w:val="0"/>
              <w:kinsoku/>
              <w:wordWrap/>
              <w:overflowPunct/>
              <w:topLinePunct w:val="0"/>
              <w:autoSpaceDE/>
              <w:autoSpaceDN/>
              <w:bidi w:val="0"/>
              <w:snapToGrid/>
              <w:spacing w:line="360" w:lineRule="auto"/>
              <w:jc w:val="center"/>
              <w:outlineLvl w:val="0"/>
              <w:rPr>
                <w:rFonts w:hint="eastAsia" w:ascii="宋体" w:hAnsi="宋体" w:eastAsia="宋体" w:cs="宋体"/>
                <w:color w:val="auto"/>
                <w:kern w:val="2"/>
                <w:sz w:val="21"/>
                <w:szCs w:val="21"/>
                <w:highlight w:val="none"/>
                <w:lang w:val="en-US" w:eastAsia="zh-CN" w:bidi="ar-SA"/>
              </w:rPr>
            </w:pPr>
          </w:p>
        </w:tc>
      </w:tr>
    </w:tbl>
    <w:p w14:paraId="4E0015C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2.月度考核细则</w:t>
      </w:r>
    </w:p>
    <w:bookmarkEnd w:id="53"/>
    <w:tbl>
      <w:tblPr>
        <w:tblStyle w:val="4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840"/>
        <w:gridCol w:w="1922"/>
        <w:gridCol w:w="928"/>
        <w:gridCol w:w="3874"/>
        <w:gridCol w:w="800"/>
        <w:gridCol w:w="669"/>
      </w:tblGrid>
      <w:tr w14:paraId="449E1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0" w:type="dxa"/>
            <w:tcBorders>
              <w:top w:val="single" w:color="auto" w:sz="4" w:space="0"/>
              <w:left w:val="single" w:color="auto" w:sz="4" w:space="0"/>
              <w:bottom w:val="single" w:color="auto" w:sz="4" w:space="0"/>
              <w:right w:val="single" w:color="auto" w:sz="4" w:space="0"/>
            </w:tcBorders>
            <w:vAlign w:val="center"/>
          </w:tcPr>
          <w:p w14:paraId="280051CA">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840" w:type="dxa"/>
            <w:tcBorders>
              <w:top w:val="single" w:color="auto" w:sz="4" w:space="0"/>
              <w:left w:val="single" w:color="auto" w:sz="4" w:space="0"/>
              <w:bottom w:val="single" w:color="auto" w:sz="4" w:space="0"/>
              <w:right w:val="single" w:color="auto" w:sz="4" w:space="0"/>
            </w:tcBorders>
            <w:vAlign w:val="center"/>
          </w:tcPr>
          <w:p w14:paraId="04C42942">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w:t>
            </w:r>
          </w:p>
        </w:tc>
        <w:tc>
          <w:tcPr>
            <w:tcW w:w="1922" w:type="dxa"/>
            <w:tcBorders>
              <w:top w:val="single" w:color="auto" w:sz="4" w:space="0"/>
              <w:left w:val="single" w:color="auto" w:sz="4" w:space="0"/>
              <w:bottom w:val="single" w:color="auto" w:sz="4" w:space="0"/>
              <w:right w:val="single" w:color="auto" w:sz="4" w:space="0"/>
            </w:tcBorders>
            <w:vAlign w:val="center"/>
          </w:tcPr>
          <w:p w14:paraId="42D35C61">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考核内容</w:t>
            </w:r>
          </w:p>
        </w:tc>
        <w:tc>
          <w:tcPr>
            <w:tcW w:w="928" w:type="dxa"/>
            <w:tcBorders>
              <w:top w:val="single" w:color="auto" w:sz="4" w:space="0"/>
              <w:left w:val="single" w:color="auto" w:sz="4" w:space="0"/>
              <w:bottom w:val="single" w:color="auto" w:sz="4" w:space="0"/>
              <w:right w:val="single" w:color="auto" w:sz="4" w:space="0"/>
            </w:tcBorders>
            <w:vAlign w:val="center"/>
          </w:tcPr>
          <w:p w14:paraId="2AF91DB9">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分值</w:t>
            </w:r>
          </w:p>
        </w:tc>
        <w:tc>
          <w:tcPr>
            <w:tcW w:w="3874" w:type="dxa"/>
            <w:tcBorders>
              <w:top w:val="single" w:color="auto" w:sz="4" w:space="0"/>
              <w:left w:val="single" w:color="auto" w:sz="4" w:space="0"/>
              <w:bottom w:val="single" w:color="auto" w:sz="4" w:space="0"/>
              <w:right w:val="single" w:color="auto" w:sz="4" w:space="0"/>
            </w:tcBorders>
            <w:vAlign w:val="center"/>
          </w:tcPr>
          <w:p w14:paraId="35A594C1">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计分方法和扣分标准</w:t>
            </w:r>
          </w:p>
        </w:tc>
        <w:tc>
          <w:tcPr>
            <w:tcW w:w="800" w:type="dxa"/>
            <w:tcBorders>
              <w:top w:val="single" w:color="auto" w:sz="4" w:space="0"/>
              <w:left w:val="single" w:color="auto" w:sz="4" w:space="0"/>
              <w:bottom w:val="single" w:color="auto" w:sz="4" w:space="0"/>
              <w:right w:val="single" w:color="auto" w:sz="4" w:space="0"/>
            </w:tcBorders>
            <w:vAlign w:val="center"/>
          </w:tcPr>
          <w:p w14:paraId="401ECB5A">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得分</w:t>
            </w:r>
          </w:p>
        </w:tc>
        <w:tc>
          <w:tcPr>
            <w:tcW w:w="669" w:type="dxa"/>
            <w:tcBorders>
              <w:top w:val="single" w:color="auto" w:sz="4" w:space="0"/>
              <w:left w:val="single" w:color="auto" w:sz="4" w:space="0"/>
              <w:bottom w:val="single" w:color="auto" w:sz="4" w:space="0"/>
              <w:right w:val="single" w:color="auto" w:sz="4" w:space="0"/>
            </w:tcBorders>
            <w:vAlign w:val="center"/>
          </w:tcPr>
          <w:p w14:paraId="7A2D6395">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12FDB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0" w:type="dxa"/>
            <w:tcBorders>
              <w:top w:val="single" w:color="auto" w:sz="4" w:space="0"/>
              <w:left w:val="single" w:color="auto" w:sz="4" w:space="0"/>
              <w:bottom w:val="single" w:color="auto" w:sz="4" w:space="0"/>
              <w:right w:val="single" w:color="auto" w:sz="4" w:space="0"/>
            </w:tcBorders>
            <w:vAlign w:val="center"/>
          </w:tcPr>
          <w:p w14:paraId="21D7F4A7">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840" w:type="dxa"/>
            <w:tcBorders>
              <w:top w:val="single" w:color="auto" w:sz="4" w:space="0"/>
              <w:left w:val="single" w:color="auto" w:sz="4" w:space="0"/>
              <w:bottom w:val="single" w:color="auto" w:sz="4" w:space="0"/>
              <w:right w:val="single" w:color="auto" w:sz="4" w:space="0"/>
            </w:tcBorders>
            <w:vAlign w:val="center"/>
          </w:tcPr>
          <w:p w14:paraId="316681E5">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维修</w:t>
            </w:r>
          </w:p>
        </w:tc>
        <w:tc>
          <w:tcPr>
            <w:tcW w:w="1922" w:type="dxa"/>
            <w:tcBorders>
              <w:top w:val="single" w:color="auto" w:sz="4" w:space="0"/>
              <w:left w:val="single" w:color="auto" w:sz="4" w:space="0"/>
              <w:bottom w:val="single" w:color="auto" w:sz="4" w:space="0"/>
              <w:right w:val="single" w:color="auto" w:sz="4" w:space="0"/>
            </w:tcBorders>
            <w:vAlign w:val="center"/>
          </w:tcPr>
          <w:p w14:paraId="29B652C4">
            <w:pPr>
              <w:pStyle w:val="25"/>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每一条主干道的亮灯率均应达到98%；每一条次干道、支路的亮灯率均应达到96%。每一条道路照明设施完好率均应达到96%，每座公园广场的景观照明设施亮灯率应达到92%。</w:t>
            </w:r>
          </w:p>
        </w:tc>
        <w:tc>
          <w:tcPr>
            <w:tcW w:w="928" w:type="dxa"/>
            <w:tcBorders>
              <w:top w:val="single" w:color="auto" w:sz="4" w:space="0"/>
              <w:left w:val="single" w:color="auto" w:sz="4" w:space="0"/>
              <w:bottom w:val="single" w:color="auto" w:sz="4" w:space="0"/>
              <w:right w:val="single" w:color="auto" w:sz="4" w:space="0"/>
            </w:tcBorders>
            <w:vAlign w:val="center"/>
          </w:tcPr>
          <w:p w14:paraId="2B75AC13">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100</w:t>
            </w:r>
          </w:p>
        </w:tc>
        <w:tc>
          <w:tcPr>
            <w:tcW w:w="3874" w:type="dxa"/>
            <w:tcBorders>
              <w:top w:val="single" w:color="auto" w:sz="4" w:space="0"/>
              <w:left w:val="single" w:color="auto" w:sz="4" w:space="0"/>
              <w:bottom w:val="single" w:color="auto" w:sz="4" w:space="0"/>
              <w:right w:val="single" w:color="auto" w:sz="4" w:space="0"/>
            </w:tcBorders>
            <w:vAlign w:val="center"/>
          </w:tcPr>
          <w:p w14:paraId="190C8593">
            <w:pPr>
              <w:pStyle w:val="25"/>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0"/>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rPr>
              <w:t>1.</w:t>
            </w:r>
            <w:r>
              <w:rPr>
                <w:rFonts w:hint="eastAsia" w:ascii="宋体" w:hAnsi="宋体" w:eastAsia="宋体" w:cs="宋体"/>
                <w:color w:val="auto"/>
                <w:sz w:val="21"/>
                <w:szCs w:val="21"/>
                <w:highlight w:val="none"/>
              </w:rPr>
              <w:t>招标方每月</w:t>
            </w:r>
            <w:r>
              <w:rPr>
                <w:rFonts w:hint="eastAsia" w:ascii="宋体" w:hAnsi="宋体" w:eastAsia="宋体" w:cs="宋体"/>
                <w:color w:val="auto"/>
                <w:sz w:val="21"/>
                <w:szCs w:val="21"/>
                <w:highlight w:val="none"/>
                <w:lang w:eastAsia="zh-CN"/>
              </w:rPr>
              <w:t>集中</w:t>
            </w:r>
            <w:r>
              <w:rPr>
                <w:rFonts w:hint="eastAsia" w:ascii="宋体" w:hAnsi="宋体" w:eastAsia="宋体" w:cs="宋体"/>
                <w:color w:val="auto"/>
                <w:sz w:val="21"/>
                <w:szCs w:val="21"/>
                <w:highlight w:val="none"/>
              </w:rPr>
              <w:t>对中标方维修情况进行核查，任何一个考核对象的亮灯率、设施完好率任何一项指标每低于考核标准要求1个百分点，扣20分。</w:t>
            </w:r>
          </w:p>
          <w:p w14:paraId="3C5CA261">
            <w:pPr>
              <w:pStyle w:val="25"/>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0"/>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color w:val="auto"/>
                <w:sz w:val="21"/>
                <w:szCs w:val="21"/>
                <w:highlight w:val="none"/>
              </w:rPr>
              <w:t>非外力损坏、供电停电、自然灾害等不可抗力等原因造成的主干道平均亮灯率低于93%，次干道、</w:t>
            </w:r>
            <w:r>
              <w:rPr>
                <w:rFonts w:hint="eastAsia" w:ascii="宋体" w:hAnsi="宋体" w:eastAsia="宋体" w:cs="宋体"/>
                <w:color w:val="auto"/>
                <w:sz w:val="21"/>
                <w:szCs w:val="21"/>
                <w:highlight w:val="none"/>
              </w:rPr>
              <w:t>支路的平均亮灯率低于91%，设施平均完好率低于91%，景观照明设施平均亮灯率低于87%，</w:t>
            </w:r>
            <w:r>
              <w:rPr>
                <w:rFonts w:hint="eastAsia" w:ascii="宋体" w:hAnsi="宋体" w:eastAsia="宋体" w:cs="宋体"/>
                <w:b w:val="0"/>
                <w:bCs w:val="0"/>
                <w:color w:val="auto"/>
                <w:sz w:val="21"/>
                <w:szCs w:val="21"/>
                <w:highlight w:val="none"/>
              </w:rPr>
              <w:t>出现上述任何一种情况，招标方有权直接终止合同，重新招标。</w:t>
            </w:r>
          </w:p>
        </w:tc>
        <w:tc>
          <w:tcPr>
            <w:tcW w:w="800" w:type="dxa"/>
            <w:tcBorders>
              <w:top w:val="single" w:color="auto" w:sz="4" w:space="0"/>
              <w:left w:val="single" w:color="auto" w:sz="4" w:space="0"/>
              <w:bottom w:val="single" w:color="auto" w:sz="4" w:space="0"/>
              <w:right w:val="single" w:color="auto" w:sz="4" w:space="0"/>
            </w:tcBorders>
            <w:vAlign w:val="center"/>
          </w:tcPr>
          <w:p w14:paraId="6B27C809">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color w:val="auto"/>
                <w:sz w:val="21"/>
                <w:szCs w:val="21"/>
                <w:highlight w:val="none"/>
              </w:rPr>
            </w:pPr>
          </w:p>
        </w:tc>
        <w:tc>
          <w:tcPr>
            <w:tcW w:w="669" w:type="dxa"/>
            <w:tcBorders>
              <w:top w:val="single" w:color="auto" w:sz="4" w:space="0"/>
              <w:left w:val="single" w:color="auto" w:sz="4" w:space="0"/>
              <w:bottom w:val="single" w:color="auto" w:sz="4" w:space="0"/>
              <w:right w:val="single" w:color="auto" w:sz="4" w:space="0"/>
            </w:tcBorders>
            <w:vAlign w:val="center"/>
          </w:tcPr>
          <w:p w14:paraId="66A607C8">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color w:val="auto"/>
                <w:sz w:val="21"/>
                <w:szCs w:val="21"/>
                <w:highlight w:val="none"/>
              </w:rPr>
            </w:pPr>
          </w:p>
        </w:tc>
      </w:tr>
      <w:tr w14:paraId="7772C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0" w:type="dxa"/>
            <w:tcBorders>
              <w:top w:val="single" w:color="auto" w:sz="4" w:space="0"/>
              <w:left w:val="single" w:color="auto" w:sz="4" w:space="0"/>
              <w:bottom w:val="single" w:color="auto" w:sz="4" w:space="0"/>
              <w:right w:val="single" w:color="auto" w:sz="4" w:space="0"/>
            </w:tcBorders>
            <w:vAlign w:val="center"/>
          </w:tcPr>
          <w:p w14:paraId="675B49E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p>
        </w:tc>
        <w:tc>
          <w:tcPr>
            <w:tcW w:w="840" w:type="dxa"/>
            <w:tcBorders>
              <w:top w:val="single" w:color="auto" w:sz="4" w:space="0"/>
              <w:left w:val="single" w:color="auto" w:sz="4" w:space="0"/>
              <w:bottom w:val="single" w:color="auto" w:sz="4" w:space="0"/>
              <w:right w:val="single" w:color="auto" w:sz="4" w:space="0"/>
            </w:tcBorders>
            <w:vAlign w:val="center"/>
          </w:tcPr>
          <w:p w14:paraId="22A79F0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台帐记录</w:t>
            </w:r>
          </w:p>
        </w:tc>
        <w:tc>
          <w:tcPr>
            <w:tcW w:w="1922" w:type="dxa"/>
            <w:tcBorders>
              <w:top w:val="single" w:color="auto" w:sz="4" w:space="0"/>
              <w:left w:val="single" w:color="auto" w:sz="4" w:space="0"/>
              <w:bottom w:val="single" w:color="auto" w:sz="4" w:space="0"/>
              <w:right w:val="single" w:color="auto" w:sz="4" w:space="0"/>
            </w:tcBorders>
            <w:vAlign w:val="center"/>
          </w:tcPr>
          <w:p w14:paraId="1C7B9CA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日常的设施巡查、维修过程中应做好记录并将相关记录在每个月的25日前报送至招标方作为验收资料依据，按时完成并提供上级交办的工作台账。</w:t>
            </w:r>
          </w:p>
        </w:tc>
        <w:tc>
          <w:tcPr>
            <w:tcW w:w="928" w:type="dxa"/>
            <w:tcBorders>
              <w:top w:val="single" w:color="auto" w:sz="4" w:space="0"/>
              <w:left w:val="single" w:color="auto" w:sz="4" w:space="0"/>
              <w:bottom w:val="single" w:color="auto" w:sz="4" w:space="0"/>
              <w:right w:val="single" w:color="auto" w:sz="4" w:space="0"/>
            </w:tcBorders>
            <w:vAlign w:val="center"/>
          </w:tcPr>
          <w:p w14:paraId="2409EFE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100</w:t>
            </w:r>
          </w:p>
        </w:tc>
        <w:tc>
          <w:tcPr>
            <w:tcW w:w="3874" w:type="dxa"/>
            <w:tcBorders>
              <w:top w:val="single" w:color="auto" w:sz="4" w:space="0"/>
              <w:left w:val="single" w:color="auto" w:sz="4" w:space="0"/>
              <w:bottom w:val="single" w:color="auto" w:sz="4" w:space="0"/>
              <w:right w:val="single" w:color="auto" w:sz="4" w:space="0"/>
            </w:tcBorders>
            <w:vAlign w:val="center"/>
          </w:tcPr>
          <w:p w14:paraId="1C86CA2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未在每个月的25日前上报当月巡查、维修、安全生产排查整治、案件处理、亮灯率点检等相关工作总结、报表、报告台账资料的扣10分。</w:t>
            </w:r>
          </w:p>
          <w:p w14:paraId="2C6069B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2.上报台账缺一份记录的每次扣5分。</w:t>
            </w:r>
          </w:p>
          <w:p w14:paraId="67D9D24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3.记录不完善、台账达不到要求标准的每次扣5分。</w:t>
            </w:r>
          </w:p>
          <w:p w14:paraId="3890009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rPr>
              <w:t>4.未按照招标方要求及时提供工作开展情况、数据及佐证对比照片等工作台账的，每延误1天，扣5分。</w:t>
            </w:r>
          </w:p>
        </w:tc>
        <w:tc>
          <w:tcPr>
            <w:tcW w:w="800" w:type="dxa"/>
            <w:tcBorders>
              <w:top w:val="single" w:color="auto" w:sz="4" w:space="0"/>
              <w:left w:val="single" w:color="auto" w:sz="4" w:space="0"/>
              <w:bottom w:val="single" w:color="auto" w:sz="4" w:space="0"/>
              <w:right w:val="single" w:color="auto" w:sz="4" w:space="0"/>
            </w:tcBorders>
            <w:vAlign w:val="center"/>
          </w:tcPr>
          <w:p w14:paraId="1075DFD7">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color w:val="auto"/>
                <w:sz w:val="21"/>
                <w:szCs w:val="21"/>
                <w:highlight w:val="none"/>
              </w:rPr>
            </w:pPr>
          </w:p>
        </w:tc>
        <w:tc>
          <w:tcPr>
            <w:tcW w:w="669" w:type="dxa"/>
            <w:tcBorders>
              <w:top w:val="single" w:color="auto" w:sz="4" w:space="0"/>
              <w:left w:val="single" w:color="auto" w:sz="4" w:space="0"/>
              <w:bottom w:val="single" w:color="auto" w:sz="4" w:space="0"/>
              <w:right w:val="single" w:color="auto" w:sz="4" w:space="0"/>
            </w:tcBorders>
            <w:vAlign w:val="center"/>
          </w:tcPr>
          <w:p w14:paraId="3D623347">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color w:val="auto"/>
                <w:sz w:val="21"/>
                <w:szCs w:val="21"/>
                <w:highlight w:val="none"/>
              </w:rPr>
            </w:pPr>
          </w:p>
        </w:tc>
      </w:tr>
      <w:tr w14:paraId="5EE9C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0" w:type="dxa"/>
            <w:tcBorders>
              <w:top w:val="single" w:color="auto" w:sz="4" w:space="0"/>
              <w:left w:val="single" w:color="auto" w:sz="4" w:space="0"/>
              <w:bottom w:val="single" w:color="auto" w:sz="4" w:space="0"/>
              <w:right w:val="single" w:color="auto" w:sz="4" w:space="0"/>
            </w:tcBorders>
            <w:vAlign w:val="center"/>
          </w:tcPr>
          <w:p w14:paraId="4FA5552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840" w:type="dxa"/>
            <w:tcBorders>
              <w:top w:val="single" w:color="auto" w:sz="4" w:space="0"/>
              <w:left w:val="single" w:color="auto" w:sz="4" w:space="0"/>
              <w:bottom w:val="single" w:color="auto" w:sz="4" w:space="0"/>
              <w:right w:val="single" w:color="auto" w:sz="4" w:space="0"/>
            </w:tcBorders>
            <w:vAlign w:val="center"/>
          </w:tcPr>
          <w:p w14:paraId="1222BEA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日常考核发现问题重复发生</w:t>
            </w:r>
          </w:p>
        </w:tc>
        <w:tc>
          <w:tcPr>
            <w:tcW w:w="1922" w:type="dxa"/>
            <w:tcBorders>
              <w:top w:val="single" w:color="auto" w:sz="4" w:space="0"/>
              <w:left w:val="single" w:color="auto" w:sz="4" w:space="0"/>
              <w:bottom w:val="single" w:color="auto" w:sz="4" w:space="0"/>
              <w:right w:val="single" w:color="auto" w:sz="4" w:space="0"/>
            </w:tcBorders>
            <w:vAlign w:val="center"/>
          </w:tcPr>
          <w:p w14:paraId="197242E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对日常考核发现问题整改情况进行检查。</w:t>
            </w:r>
          </w:p>
        </w:tc>
        <w:tc>
          <w:tcPr>
            <w:tcW w:w="928" w:type="dxa"/>
            <w:tcBorders>
              <w:top w:val="single" w:color="auto" w:sz="4" w:space="0"/>
              <w:left w:val="single" w:color="auto" w:sz="4" w:space="0"/>
              <w:bottom w:val="single" w:color="auto" w:sz="4" w:space="0"/>
              <w:right w:val="single" w:color="auto" w:sz="4" w:space="0"/>
            </w:tcBorders>
            <w:vAlign w:val="center"/>
          </w:tcPr>
          <w:p w14:paraId="7FCBDA6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100</w:t>
            </w:r>
          </w:p>
        </w:tc>
        <w:tc>
          <w:tcPr>
            <w:tcW w:w="3874" w:type="dxa"/>
            <w:tcBorders>
              <w:top w:val="single" w:color="auto" w:sz="4" w:space="0"/>
              <w:left w:val="single" w:color="auto" w:sz="4" w:space="0"/>
              <w:bottom w:val="single" w:color="auto" w:sz="4" w:space="0"/>
              <w:right w:val="single" w:color="auto" w:sz="4" w:space="0"/>
            </w:tcBorders>
            <w:vAlign w:val="center"/>
          </w:tcPr>
          <w:p w14:paraId="5BB4667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lang w:val="en-US"/>
              </w:rPr>
            </w:pPr>
            <w:r>
              <w:rPr>
                <w:rFonts w:hint="eastAsia" w:ascii="宋体" w:hAnsi="宋体" w:eastAsia="宋体" w:cs="宋体"/>
                <w:color w:val="auto"/>
                <w:sz w:val="21"/>
                <w:szCs w:val="21"/>
                <w:highlight w:val="none"/>
                <w:lang w:eastAsia="zh-CN"/>
              </w:rPr>
              <w:t>对日常考核发现问题未按时整改、整改不到位、同样问题再次发生，每一件</w:t>
            </w:r>
            <w:r>
              <w:rPr>
                <w:rFonts w:hint="eastAsia" w:ascii="宋体" w:hAnsi="宋体" w:eastAsia="宋体" w:cs="宋体"/>
                <w:color w:val="auto"/>
                <w:sz w:val="21"/>
                <w:szCs w:val="21"/>
                <w:highlight w:val="none"/>
                <w:lang w:val="en-US" w:eastAsia="zh-CN"/>
              </w:rPr>
              <w:t>/单问题，扣10分，如扣分达100分，当月考核不合格，并扣1000元。</w:t>
            </w:r>
          </w:p>
        </w:tc>
        <w:tc>
          <w:tcPr>
            <w:tcW w:w="800" w:type="dxa"/>
            <w:tcBorders>
              <w:top w:val="single" w:color="auto" w:sz="4" w:space="0"/>
              <w:left w:val="single" w:color="auto" w:sz="4" w:space="0"/>
              <w:bottom w:val="single" w:color="auto" w:sz="4" w:space="0"/>
              <w:right w:val="single" w:color="auto" w:sz="4" w:space="0"/>
            </w:tcBorders>
            <w:vAlign w:val="center"/>
          </w:tcPr>
          <w:p w14:paraId="0A517AC4">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color w:val="auto"/>
                <w:sz w:val="21"/>
                <w:szCs w:val="21"/>
                <w:highlight w:val="none"/>
              </w:rPr>
            </w:pPr>
          </w:p>
        </w:tc>
        <w:tc>
          <w:tcPr>
            <w:tcW w:w="669" w:type="dxa"/>
            <w:tcBorders>
              <w:top w:val="single" w:color="auto" w:sz="4" w:space="0"/>
              <w:left w:val="single" w:color="auto" w:sz="4" w:space="0"/>
              <w:bottom w:val="single" w:color="auto" w:sz="4" w:space="0"/>
              <w:right w:val="single" w:color="auto" w:sz="4" w:space="0"/>
            </w:tcBorders>
            <w:vAlign w:val="center"/>
          </w:tcPr>
          <w:p w14:paraId="310D4F61">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color w:val="auto"/>
                <w:sz w:val="21"/>
                <w:szCs w:val="21"/>
                <w:highlight w:val="none"/>
              </w:rPr>
            </w:pPr>
          </w:p>
        </w:tc>
      </w:tr>
      <w:tr w14:paraId="0A3E2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0" w:type="dxa"/>
            <w:tcBorders>
              <w:top w:val="single" w:color="auto" w:sz="4" w:space="0"/>
              <w:left w:val="single" w:color="auto" w:sz="4" w:space="0"/>
              <w:bottom w:val="single" w:color="auto" w:sz="4" w:space="0"/>
              <w:right w:val="single" w:color="auto" w:sz="4" w:space="0"/>
            </w:tcBorders>
            <w:vAlign w:val="center"/>
          </w:tcPr>
          <w:p w14:paraId="3D6DB2B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tc>
        <w:tc>
          <w:tcPr>
            <w:tcW w:w="840" w:type="dxa"/>
            <w:tcBorders>
              <w:top w:val="single" w:color="auto" w:sz="4" w:space="0"/>
              <w:left w:val="single" w:color="auto" w:sz="4" w:space="0"/>
              <w:bottom w:val="single" w:color="auto" w:sz="4" w:space="0"/>
              <w:right w:val="single" w:color="auto" w:sz="4" w:space="0"/>
            </w:tcBorders>
            <w:vAlign w:val="center"/>
          </w:tcPr>
          <w:p w14:paraId="5CAE72A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1922" w:type="dxa"/>
            <w:tcBorders>
              <w:top w:val="single" w:color="auto" w:sz="4" w:space="0"/>
              <w:left w:val="single" w:color="auto" w:sz="4" w:space="0"/>
              <w:bottom w:val="single" w:color="auto" w:sz="4" w:space="0"/>
              <w:right w:val="single" w:color="auto" w:sz="4" w:space="0"/>
            </w:tcBorders>
            <w:vAlign w:val="center"/>
          </w:tcPr>
          <w:p w14:paraId="606B29A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tc>
        <w:tc>
          <w:tcPr>
            <w:tcW w:w="928" w:type="dxa"/>
            <w:tcBorders>
              <w:top w:val="single" w:color="auto" w:sz="4" w:space="0"/>
              <w:left w:val="single" w:color="auto" w:sz="4" w:space="0"/>
              <w:bottom w:val="single" w:color="auto" w:sz="4" w:space="0"/>
              <w:right w:val="single" w:color="auto" w:sz="4" w:space="0"/>
            </w:tcBorders>
            <w:vAlign w:val="center"/>
          </w:tcPr>
          <w:p w14:paraId="48825A4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00</w:t>
            </w:r>
          </w:p>
        </w:tc>
        <w:tc>
          <w:tcPr>
            <w:tcW w:w="3874" w:type="dxa"/>
            <w:tcBorders>
              <w:top w:val="single" w:color="auto" w:sz="4" w:space="0"/>
              <w:left w:val="single" w:color="auto" w:sz="4" w:space="0"/>
              <w:bottom w:val="single" w:color="auto" w:sz="4" w:space="0"/>
              <w:right w:val="single" w:color="auto" w:sz="4" w:space="0"/>
            </w:tcBorders>
            <w:vAlign w:val="center"/>
          </w:tcPr>
          <w:p w14:paraId="13AFA168">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得分</w:t>
            </w:r>
          </w:p>
        </w:tc>
        <w:tc>
          <w:tcPr>
            <w:tcW w:w="800" w:type="dxa"/>
            <w:tcBorders>
              <w:top w:val="single" w:color="auto" w:sz="4" w:space="0"/>
              <w:left w:val="single" w:color="auto" w:sz="4" w:space="0"/>
              <w:bottom w:val="single" w:color="auto" w:sz="4" w:space="0"/>
              <w:right w:val="single" w:color="auto" w:sz="4" w:space="0"/>
            </w:tcBorders>
            <w:vAlign w:val="center"/>
          </w:tcPr>
          <w:p w14:paraId="19C9D682">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color w:val="auto"/>
                <w:sz w:val="21"/>
                <w:szCs w:val="21"/>
                <w:highlight w:val="none"/>
              </w:rPr>
            </w:pPr>
          </w:p>
        </w:tc>
        <w:tc>
          <w:tcPr>
            <w:tcW w:w="669" w:type="dxa"/>
            <w:tcBorders>
              <w:top w:val="single" w:color="auto" w:sz="4" w:space="0"/>
              <w:left w:val="single" w:color="auto" w:sz="4" w:space="0"/>
              <w:bottom w:val="single" w:color="auto" w:sz="4" w:space="0"/>
              <w:right w:val="single" w:color="auto" w:sz="4" w:space="0"/>
            </w:tcBorders>
            <w:vAlign w:val="center"/>
          </w:tcPr>
          <w:p w14:paraId="36F5CAF6">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color w:val="auto"/>
                <w:sz w:val="21"/>
                <w:szCs w:val="21"/>
                <w:highlight w:val="none"/>
              </w:rPr>
            </w:pPr>
          </w:p>
        </w:tc>
      </w:tr>
      <w:tr w14:paraId="33FF7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63" w:type="dxa"/>
            <w:gridSpan w:val="7"/>
            <w:tcBorders>
              <w:top w:val="single" w:color="auto" w:sz="4" w:space="0"/>
              <w:left w:val="single" w:color="auto" w:sz="4" w:space="0"/>
              <w:bottom w:val="single" w:color="auto" w:sz="4" w:space="0"/>
              <w:right w:val="single" w:color="auto" w:sz="4" w:space="0"/>
            </w:tcBorders>
            <w:vAlign w:val="center"/>
          </w:tcPr>
          <w:p w14:paraId="67C93E7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备注：以上扣分项可叠加扣分。</w:t>
            </w:r>
          </w:p>
        </w:tc>
      </w:tr>
    </w:tbl>
    <w:p w14:paraId="77C2DE9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3.年度考核（</w:t>
      </w:r>
      <w:r>
        <w:rPr>
          <w:rFonts w:hint="eastAsia" w:ascii="宋体" w:hAnsi="宋体" w:eastAsia="宋体" w:cs="Times New Roman"/>
          <w:b w:val="0"/>
          <w:bCs/>
          <w:color w:val="auto"/>
          <w:szCs w:val="21"/>
          <w:highlight w:val="none"/>
          <w:lang w:eastAsia="zh-CN"/>
        </w:rPr>
        <w:t>以</w:t>
      </w:r>
      <w:r>
        <w:rPr>
          <w:rFonts w:hint="eastAsia" w:ascii="宋体" w:hAnsi="宋体" w:eastAsia="宋体" w:cs="Times New Roman"/>
          <w:b w:val="0"/>
          <w:bCs/>
          <w:color w:val="auto"/>
          <w:szCs w:val="21"/>
          <w:highlight w:val="none"/>
          <w:lang w:val="en-US" w:eastAsia="zh-CN"/>
        </w:rPr>
        <w:t>连续12个月</w:t>
      </w:r>
      <w:r>
        <w:rPr>
          <w:rFonts w:hint="eastAsia" w:ascii="宋体" w:hAnsi="宋体" w:eastAsia="宋体" w:cs="Times New Roman"/>
          <w:b w:val="0"/>
          <w:bCs/>
          <w:color w:val="auto"/>
          <w:szCs w:val="21"/>
          <w:highlight w:val="none"/>
          <w:lang w:eastAsia="zh-CN"/>
        </w:rPr>
        <w:t>为</w:t>
      </w:r>
      <w:r>
        <w:rPr>
          <w:rFonts w:hint="eastAsia" w:ascii="宋体" w:hAnsi="宋体" w:eastAsia="宋体" w:cs="Times New Roman"/>
          <w:b w:val="0"/>
          <w:bCs/>
          <w:color w:val="auto"/>
          <w:szCs w:val="21"/>
          <w:highlight w:val="none"/>
          <w:lang w:val="en-US" w:eastAsia="zh-CN"/>
        </w:rPr>
        <w:t>1</w:t>
      </w:r>
      <w:r>
        <w:rPr>
          <w:rFonts w:hint="eastAsia" w:ascii="宋体" w:hAnsi="宋体" w:eastAsia="宋体" w:cs="Times New Roman"/>
          <w:b w:val="0"/>
          <w:bCs/>
          <w:color w:val="auto"/>
          <w:szCs w:val="21"/>
          <w:highlight w:val="none"/>
          <w:lang w:eastAsia="zh-CN"/>
        </w:rPr>
        <w:t>个周期</w:t>
      </w:r>
      <w:r>
        <w:rPr>
          <w:rFonts w:hint="eastAsia" w:ascii="宋体" w:hAnsi="宋体" w:eastAsia="宋体" w:cs="宋体"/>
          <w:color w:val="auto"/>
          <w:sz w:val="21"/>
          <w:szCs w:val="21"/>
          <w:highlight w:val="none"/>
          <w:lang w:val="en-US" w:eastAsia="zh-CN"/>
        </w:rPr>
        <w:t>）</w:t>
      </w:r>
    </w:p>
    <w:p w14:paraId="2BCA437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年度考核将基础养护（</w:t>
      </w:r>
      <w:r>
        <w:rPr>
          <w:rFonts w:hint="eastAsia" w:ascii="宋体" w:hAnsi="宋体" w:eastAsia="宋体" w:cs="Times New Roman"/>
          <w:b w:val="0"/>
          <w:bCs/>
          <w:color w:val="auto"/>
          <w:szCs w:val="21"/>
          <w:highlight w:val="none"/>
          <w:lang w:val="en-US" w:eastAsia="zh-CN"/>
        </w:rPr>
        <w:t>每月考核+日常考核）</w:t>
      </w:r>
      <w:r>
        <w:rPr>
          <w:rFonts w:hint="eastAsia" w:ascii="宋体" w:hAnsi="宋体" w:eastAsia="宋体" w:cs="宋体"/>
          <w:b w:val="0"/>
          <w:bCs w:val="0"/>
          <w:color w:val="auto"/>
          <w:sz w:val="21"/>
          <w:szCs w:val="21"/>
          <w:highlight w:val="none"/>
          <w:lang w:val="en-US" w:eastAsia="zh-CN"/>
        </w:rPr>
        <w:t>的情况进行全面评估，对基础养护考核存在问题未按时整改、整改不到位、未按采购方要求提供佐证材料等情况，在计算年度考核总得分时每条未完成问题再扣50分，以最终得分情况依据考核结果档次计算绩效费用，</w:t>
      </w:r>
      <w:r>
        <w:rPr>
          <w:rFonts w:hint="eastAsia" w:ascii="宋体" w:hAnsi="宋体" w:eastAsia="宋体" w:cs="Times New Roman"/>
          <w:b w:val="0"/>
          <w:bCs/>
          <w:color w:val="auto"/>
          <w:szCs w:val="21"/>
          <w:highlight w:val="none"/>
          <w:lang w:val="en-US" w:eastAsia="zh-CN"/>
        </w:rPr>
        <w:t>如连续3个月（即1</w:t>
      </w:r>
      <w:r>
        <w:rPr>
          <w:rFonts w:hint="eastAsia" w:ascii="宋体" w:hAnsi="宋体" w:eastAsia="宋体" w:cs="Times New Roman"/>
          <w:b w:val="0"/>
          <w:bCs/>
          <w:color w:val="auto"/>
          <w:szCs w:val="21"/>
          <w:highlight w:val="none"/>
          <w:lang w:eastAsia="zh-CN"/>
        </w:rPr>
        <w:t>个基础考核周期</w:t>
      </w:r>
      <w:r>
        <w:rPr>
          <w:rFonts w:hint="eastAsia" w:ascii="宋体" w:hAnsi="宋体" w:eastAsia="宋体" w:cs="Times New Roman"/>
          <w:b w:val="0"/>
          <w:bCs/>
          <w:color w:val="auto"/>
          <w:szCs w:val="21"/>
          <w:highlight w:val="none"/>
          <w:lang w:val="en-US" w:eastAsia="zh-CN"/>
        </w:rPr>
        <w:t>）考核不合格或当年度内累计6个月考核不合格</w:t>
      </w:r>
      <w:r>
        <w:rPr>
          <w:rFonts w:hint="eastAsia" w:ascii="宋体" w:hAnsi="宋体" w:eastAsia="宋体" w:cs="宋体"/>
          <w:color w:val="auto"/>
          <w:sz w:val="21"/>
          <w:szCs w:val="21"/>
          <w:highlight w:val="none"/>
          <w:lang w:val="en-US" w:eastAsia="zh-CN"/>
        </w:rPr>
        <w:t>，将全额扣除绩效费用，采购方有权终止合同。</w:t>
      </w:r>
    </w:p>
    <w:p w14:paraId="112E0A7B">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（四）奖励机制(考核加分上限为100分，计入月度考核分数)</w:t>
      </w:r>
    </w:p>
    <w:p w14:paraId="7B75916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照明设施维修养护工作成效或亮点获得市一级表扬的，考核结果加5分/次；受到市级报刊、网站、微信公众号等官方媒体正面报道的，考核结果加5分/次；受到自治区及以上层面通报表扬的，考核结果加10分/次；受到自治区领导或市主要领导表扬（书面批示）的，考核结果加10分/次。积极主动配合采购方做好市场化服务范围以外的照明设施维修工作的，考核结果加5分/次；积极主动配合采购方做好重大活动照明保障、供电保障工作的，考核结果加10分/次。</w:t>
      </w:r>
    </w:p>
    <w:p w14:paraId="53612BB1">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（五）考核结果档次</w:t>
      </w:r>
    </w:p>
    <w:p w14:paraId="57FED23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考核实行千分制，按照扣分原则，下不保底。根据检查情况依据考核标准进行评分，</w:t>
      </w:r>
      <w:r>
        <w:rPr>
          <w:rFonts w:hint="eastAsia" w:ascii="宋体" w:hAnsi="宋体" w:eastAsia="宋体" w:cs="宋体"/>
          <w:b w:val="0"/>
          <w:bCs w:val="0"/>
          <w:color w:val="auto"/>
          <w:sz w:val="21"/>
          <w:szCs w:val="21"/>
          <w:highlight w:val="none"/>
          <w:lang w:val="en-US" w:eastAsia="zh-CN"/>
        </w:rPr>
        <w:t>基础养护（</w:t>
      </w:r>
      <w:r>
        <w:rPr>
          <w:rFonts w:hint="eastAsia" w:ascii="宋体" w:hAnsi="宋体" w:eastAsia="宋体" w:cs="Times New Roman"/>
          <w:b w:val="0"/>
          <w:bCs/>
          <w:color w:val="auto"/>
          <w:szCs w:val="21"/>
          <w:highlight w:val="none"/>
          <w:lang w:val="en-US" w:eastAsia="zh-CN"/>
        </w:rPr>
        <w:t>每月考核+日常考核）</w:t>
      </w:r>
      <w:r>
        <w:rPr>
          <w:rFonts w:hint="eastAsia" w:ascii="宋体" w:hAnsi="宋体" w:eastAsia="宋体" w:cs="宋体"/>
          <w:color w:val="auto"/>
          <w:kern w:val="2"/>
          <w:sz w:val="21"/>
          <w:szCs w:val="21"/>
          <w:highlight w:val="none"/>
          <w:lang w:val="en-US" w:eastAsia="zh-CN" w:bidi="ar-SA"/>
        </w:rPr>
        <w:t>得分900分（含900分）以上为合格，采购方按70%</w:t>
      </w:r>
      <w:r>
        <w:rPr>
          <w:rFonts w:hint="eastAsia" w:ascii="宋体" w:hAnsi="宋体" w:eastAsia="宋体" w:cs="宋体"/>
          <w:b w:val="0"/>
          <w:bCs w:val="0"/>
          <w:color w:val="auto"/>
          <w:sz w:val="21"/>
          <w:szCs w:val="21"/>
          <w:highlight w:val="none"/>
          <w:lang w:val="en-US" w:eastAsia="zh-CN"/>
        </w:rPr>
        <w:t>年度预算养护经费</w:t>
      </w:r>
      <w:r>
        <w:rPr>
          <w:rFonts w:hint="eastAsia" w:ascii="宋体" w:hAnsi="宋体" w:eastAsia="宋体" w:cs="宋体"/>
          <w:color w:val="auto"/>
          <w:kern w:val="2"/>
          <w:sz w:val="21"/>
          <w:szCs w:val="21"/>
          <w:highlight w:val="none"/>
          <w:lang w:val="en-US" w:eastAsia="zh-CN" w:bidi="ar-SA"/>
        </w:rPr>
        <w:t>计算当月</w:t>
      </w:r>
      <w:r>
        <w:rPr>
          <w:rFonts w:hint="eastAsia" w:ascii="宋体" w:hAnsi="宋体" w:eastAsia="宋体" w:cs="Times New Roman"/>
          <w:b w:val="0"/>
          <w:bCs/>
          <w:color w:val="auto"/>
          <w:szCs w:val="21"/>
          <w:highlight w:val="none"/>
          <w:lang w:val="en-US" w:eastAsia="zh-CN"/>
        </w:rPr>
        <w:t>基础养护服务费</w:t>
      </w:r>
      <w:r>
        <w:rPr>
          <w:rFonts w:hint="eastAsia" w:ascii="宋体" w:hAnsi="宋体" w:eastAsia="宋体" w:cs="宋体"/>
          <w:color w:val="auto"/>
          <w:kern w:val="2"/>
          <w:sz w:val="21"/>
          <w:szCs w:val="21"/>
          <w:highlight w:val="none"/>
          <w:lang w:val="en-US" w:eastAsia="zh-CN" w:bidi="ar-SA"/>
        </w:rPr>
        <w:t>；900分（不含900分）以下为不合格，</w:t>
      </w:r>
      <w:r>
        <w:rPr>
          <w:rFonts w:hint="eastAsia" w:ascii="宋体" w:hAnsi="宋体" w:eastAsia="宋体" w:cs="Times New Roman"/>
          <w:b w:val="0"/>
          <w:bCs/>
          <w:color w:val="auto"/>
          <w:szCs w:val="21"/>
          <w:highlight w:val="none"/>
          <w:lang w:eastAsia="zh-CN"/>
        </w:rPr>
        <w:t>其中大于</w:t>
      </w:r>
      <w:r>
        <w:rPr>
          <w:rFonts w:hint="default" w:ascii="宋体" w:hAnsi="宋体" w:eastAsia="宋体" w:cs="Times New Roman"/>
          <w:b w:val="0"/>
          <w:bCs/>
          <w:color w:val="auto"/>
          <w:szCs w:val="21"/>
          <w:highlight w:val="none"/>
          <w:lang w:val="en-US" w:eastAsia="zh-CN"/>
        </w:rPr>
        <w:t>600分</w:t>
      </w:r>
      <w:r>
        <w:rPr>
          <w:rFonts w:hint="eastAsia" w:ascii="宋体" w:hAnsi="宋体" w:eastAsia="宋体" w:cs="Times New Roman"/>
          <w:b w:val="0"/>
          <w:bCs/>
          <w:color w:val="auto"/>
          <w:szCs w:val="21"/>
          <w:highlight w:val="none"/>
          <w:lang w:val="en-US" w:eastAsia="zh-CN"/>
        </w:rPr>
        <w:t>（不含600分）</w:t>
      </w:r>
      <w:r>
        <w:rPr>
          <w:rFonts w:hint="eastAsia" w:ascii="宋体" w:hAnsi="宋体" w:eastAsia="宋体" w:cs="Times New Roman"/>
          <w:b w:val="0"/>
          <w:bCs/>
          <w:color w:val="auto"/>
          <w:szCs w:val="21"/>
          <w:highlight w:val="none"/>
        </w:rPr>
        <w:t>的按</w:t>
      </w:r>
      <w:r>
        <w:rPr>
          <w:rFonts w:hint="eastAsia" w:ascii="宋体" w:hAnsi="宋体" w:eastAsia="宋体" w:cs="宋体"/>
          <w:color w:val="auto"/>
          <w:kern w:val="2"/>
          <w:sz w:val="21"/>
          <w:szCs w:val="21"/>
          <w:highlight w:val="none"/>
          <w:lang w:val="en-US" w:eastAsia="zh-CN" w:bidi="ar-SA"/>
        </w:rPr>
        <w:t>当月</w:t>
      </w:r>
      <w:r>
        <w:rPr>
          <w:rFonts w:hint="eastAsia" w:ascii="宋体" w:hAnsi="宋体" w:eastAsia="宋体" w:cs="Times New Roman"/>
          <w:b w:val="0"/>
          <w:bCs/>
          <w:color w:val="auto"/>
          <w:szCs w:val="21"/>
          <w:highlight w:val="none"/>
        </w:rPr>
        <w:t>考核得分比例</w:t>
      </w:r>
      <w:r>
        <w:rPr>
          <w:rFonts w:hint="eastAsia" w:ascii="宋体" w:hAnsi="宋体" w:eastAsia="宋体" w:cs="宋体"/>
          <w:color w:val="auto"/>
          <w:kern w:val="2"/>
          <w:sz w:val="21"/>
          <w:szCs w:val="21"/>
          <w:highlight w:val="none"/>
          <w:lang w:val="en-US" w:eastAsia="zh-CN" w:bidi="ar-SA"/>
        </w:rPr>
        <w:t>计算</w:t>
      </w:r>
      <w:r>
        <w:rPr>
          <w:rFonts w:hint="eastAsia" w:ascii="宋体" w:hAnsi="宋体" w:eastAsia="宋体" w:cs="Times New Roman"/>
          <w:b w:val="0"/>
          <w:bCs/>
          <w:color w:val="auto"/>
          <w:szCs w:val="21"/>
          <w:highlight w:val="none"/>
          <w:lang w:val="en-US" w:eastAsia="zh-CN"/>
        </w:rPr>
        <w:t>基础养护服务费</w:t>
      </w:r>
      <w:r>
        <w:rPr>
          <w:rFonts w:hint="eastAsia" w:ascii="宋体" w:hAnsi="宋体" w:eastAsia="宋体" w:cs="宋体"/>
          <w:color w:val="auto"/>
          <w:kern w:val="2"/>
          <w:sz w:val="21"/>
          <w:szCs w:val="21"/>
          <w:highlight w:val="none"/>
          <w:lang w:val="en-US" w:eastAsia="zh-CN" w:bidi="ar-SA"/>
        </w:rPr>
        <w:t>，并由照明设施维修养护考评组组长约谈承包单位负责人，600分（含600分）以下的，不予支付当月服务费用，采购方有权终止合同。采购方按得分率计算</w:t>
      </w:r>
      <w:r>
        <w:rPr>
          <w:rFonts w:hint="eastAsia" w:ascii="宋体" w:hAnsi="宋体" w:eastAsia="宋体" w:cs="Times New Roman"/>
          <w:b w:val="0"/>
          <w:bCs/>
          <w:strike w:val="0"/>
          <w:dstrike w:val="0"/>
          <w:color w:val="auto"/>
          <w:szCs w:val="21"/>
          <w:highlight w:val="none"/>
          <w:lang w:val="en-US" w:eastAsia="zh-CN"/>
        </w:rPr>
        <w:t>1个绩效考核周期内的</w:t>
      </w:r>
      <w:r>
        <w:rPr>
          <w:rFonts w:hint="eastAsia" w:ascii="宋体" w:hAnsi="宋体" w:eastAsia="宋体" w:cs="宋体"/>
          <w:color w:val="auto"/>
          <w:kern w:val="2"/>
          <w:sz w:val="21"/>
          <w:szCs w:val="21"/>
          <w:highlight w:val="none"/>
          <w:lang w:val="en-US" w:eastAsia="zh-CN" w:bidi="ar-SA"/>
        </w:rPr>
        <w:t>基础养护与绩效养护服务费，具体计算方法如下：</w:t>
      </w:r>
    </w:p>
    <w:p w14:paraId="203DB1F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1.服</w:t>
      </w:r>
      <w:r>
        <w:rPr>
          <w:rFonts w:hint="eastAsia" w:ascii="宋体" w:hAnsi="宋体" w:eastAsia="宋体" w:cs="Times New Roman"/>
          <w:b w:val="0"/>
          <w:bCs/>
          <w:color w:val="auto"/>
          <w:szCs w:val="21"/>
          <w:highlight w:val="none"/>
          <w:lang w:val="en-US" w:eastAsia="zh-CN"/>
        </w:rPr>
        <w:t>务期内连续3个月为1</w:t>
      </w:r>
      <w:r>
        <w:rPr>
          <w:rFonts w:hint="eastAsia" w:ascii="宋体" w:hAnsi="宋体" w:eastAsia="宋体" w:cs="Times New Roman"/>
          <w:b w:val="0"/>
          <w:bCs/>
          <w:color w:val="auto"/>
          <w:szCs w:val="21"/>
          <w:highlight w:val="none"/>
          <w:lang w:eastAsia="zh-CN"/>
        </w:rPr>
        <w:t>个基础考核周期，</w:t>
      </w:r>
      <w:r>
        <w:rPr>
          <w:rFonts w:hint="eastAsia" w:ascii="宋体" w:hAnsi="宋体" w:eastAsia="宋体" w:cs="Times New Roman"/>
          <w:b w:val="0"/>
          <w:bCs/>
          <w:color w:val="auto"/>
          <w:szCs w:val="21"/>
          <w:highlight w:val="none"/>
          <w:lang w:val="en-US" w:eastAsia="zh-CN"/>
        </w:rPr>
        <w:t>年度考核结果为</w:t>
      </w:r>
      <w:r>
        <w:rPr>
          <w:rFonts w:hint="eastAsia" w:ascii="宋体" w:hAnsi="宋体" w:eastAsia="宋体" w:cs="Times New Roman"/>
          <w:b w:val="0"/>
          <w:bCs/>
          <w:strike w:val="0"/>
          <w:dstrike w:val="0"/>
          <w:color w:val="auto"/>
          <w:szCs w:val="21"/>
          <w:highlight w:val="none"/>
          <w:lang w:val="en-US" w:eastAsia="zh-CN"/>
        </w:rPr>
        <w:t>1个绩效考核周期内</w:t>
      </w:r>
      <w:r>
        <w:rPr>
          <w:rFonts w:hint="eastAsia" w:ascii="宋体" w:hAnsi="宋体" w:eastAsia="宋体" w:cs="Times New Roman"/>
          <w:b w:val="0"/>
          <w:bCs/>
          <w:color w:val="auto"/>
          <w:szCs w:val="21"/>
          <w:highlight w:val="none"/>
          <w:lang w:val="en-US" w:eastAsia="zh-CN"/>
        </w:rPr>
        <w:t>每月考核+日常考核得分的累加；当月基础养护600分（含600分）以下的不计入本轮</w:t>
      </w:r>
      <w:r>
        <w:rPr>
          <w:rFonts w:hint="eastAsia" w:ascii="宋体" w:hAnsi="宋体" w:eastAsia="宋体" w:cs="Times New Roman"/>
          <w:b w:val="0"/>
          <w:bCs/>
          <w:strike w:val="0"/>
          <w:dstrike w:val="0"/>
          <w:color w:val="auto"/>
          <w:szCs w:val="21"/>
          <w:highlight w:val="none"/>
          <w:lang w:val="en-US" w:eastAsia="zh-CN"/>
        </w:rPr>
        <w:t>绩效考核周期的</w:t>
      </w:r>
      <w:r>
        <w:rPr>
          <w:rFonts w:hint="eastAsia" w:ascii="宋体" w:hAnsi="宋体" w:eastAsia="宋体" w:cs="Times New Roman"/>
          <w:b w:val="0"/>
          <w:bCs/>
          <w:color w:val="auto"/>
          <w:szCs w:val="21"/>
          <w:highlight w:val="none"/>
          <w:lang w:val="en-US" w:eastAsia="zh-CN"/>
        </w:rPr>
        <w:t>考核结果，不计入</w:t>
      </w:r>
      <w:r>
        <w:rPr>
          <w:rFonts w:hint="eastAsia" w:ascii="宋体" w:hAnsi="宋体" w:eastAsia="宋体" w:cs="Times New Roman"/>
          <w:b w:val="0"/>
          <w:bCs/>
          <w:strike w:val="0"/>
          <w:dstrike w:val="0"/>
          <w:color w:val="auto"/>
          <w:szCs w:val="21"/>
          <w:highlight w:val="none"/>
          <w:lang w:val="en-US" w:eastAsia="zh-CN"/>
        </w:rPr>
        <w:t>绩效考核周期的</w:t>
      </w:r>
      <w:r>
        <w:rPr>
          <w:rFonts w:hint="eastAsia" w:ascii="宋体" w:hAnsi="宋体" w:eastAsia="宋体" w:cs="Times New Roman"/>
          <w:b w:val="0"/>
          <w:bCs/>
          <w:color w:val="auto"/>
          <w:szCs w:val="21"/>
          <w:highlight w:val="none"/>
          <w:lang w:val="en-US" w:eastAsia="zh-CN"/>
        </w:rPr>
        <w:t>考核结果即不予支付该部分服务费；</w:t>
      </w:r>
      <w:r>
        <w:rPr>
          <w:rFonts w:hint="eastAsia" w:ascii="宋体" w:hAnsi="宋体" w:eastAsia="宋体" w:cs="Times New Roman"/>
          <w:b w:val="0"/>
          <w:bCs/>
          <w:strike w:val="0"/>
          <w:dstrike w:val="0"/>
          <w:color w:val="auto"/>
          <w:szCs w:val="21"/>
          <w:highlight w:val="none"/>
          <w:lang w:val="en-US" w:eastAsia="zh-CN"/>
        </w:rPr>
        <w:t>1个绩效考核周期的</w:t>
      </w:r>
      <w:r>
        <w:rPr>
          <w:rFonts w:hint="eastAsia" w:ascii="宋体" w:hAnsi="宋体" w:eastAsia="宋体" w:cs="Times New Roman"/>
          <w:b w:val="0"/>
          <w:bCs/>
          <w:color w:val="auto"/>
          <w:szCs w:val="21"/>
          <w:highlight w:val="none"/>
          <w:lang w:val="en-US" w:eastAsia="zh-CN"/>
        </w:rPr>
        <w:t>基础养护经费=</w:t>
      </w:r>
      <w:r>
        <w:rPr>
          <w:rFonts w:hint="eastAsia" w:ascii="宋体" w:hAnsi="宋体" w:eastAsia="宋体" w:cs="宋体"/>
          <w:color w:val="auto"/>
          <w:kern w:val="2"/>
          <w:sz w:val="21"/>
          <w:szCs w:val="21"/>
          <w:highlight w:val="none"/>
          <w:lang w:val="en-US" w:eastAsia="zh-CN" w:bidi="ar-SA"/>
        </w:rPr>
        <w:t>70%</w:t>
      </w:r>
      <w:r>
        <w:rPr>
          <w:rFonts w:hint="eastAsia" w:ascii="宋体" w:hAnsi="宋体" w:eastAsia="宋体" w:cs="宋体"/>
          <w:b w:val="0"/>
          <w:bCs w:val="0"/>
          <w:color w:val="auto"/>
          <w:sz w:val="21"/>
          <w:szCs w:val="21"/>
          <w:highlight w:val="none"/>
          <w:lang w:val="en-US" w:eastAsia="zh-CN"/>
        </w:rPr>
        <w:t>年度预算养护经费，年度</w:t>
      </w:r>
      <w:r>
        <w:rPr>
          <w:rFonts w:hint="eastAsia" w:ascii="宋体" w:hAnsi="宋体" w:eastAsia="宋体" w:cs="Times New Roman"/>
          <w:b w:val="0"/>
          <w:bCs/>
          <w:color w:val="auto"/>
          <w:szCs w:val="21"/>
          <w:highlight w:val="none"/>
          <w:lang w:val="en-US" w:eastAsia="zh-CN"/>
        </w:rPr>
        <w:t>绩效养护经费=</w:t>
      </w:r>
      <w:r>
        <w:rPr>
          <w:rFonts w:hint="eastAsia" w:ascii="宋体" w:hAnsi="宋体" w:eastAsia="宋体" w:cs="宋体"/>
          <w:color w:val="auto"/>
          <w:kern w:val="2"/>
          <w:sz w:val="21"/>
          <w:szCs w:val="21"/>
          <w:highlight w:val="none"/>
          <w:lang w:val="en-US" w:eastAsia="zh-CN" w:bidi="ar-SA"/>
        </w:rPr>
        <w:t>30%</w:t>
      </w:r>
      <w:r>
        <w:rPr>
          <w:rFonts w:hint="eastAsia" w:ascii="宋体" w:hAnsi="宋体" w:eastAsia="宋体" w:cs="宋体"/>
          <w:b w:val="0"/>
          <w:bCs w:val="0"/>
          <w:color w:val="auto"/>
          <w:sz w:val="21"/>
          <w:szCs w:val="21"/>
          <w:highlight w:val="none"/>
          <w:lang w:val="en-US" w:eastAsia="zh-CN"/>
        </w:rPr>
        <w:t>年度预算养护经费</w:t>
      </w:r>
      <w:r>
        <w:rPr>
          <w:rFonts w:hint="eastAsia" w:ascii="宋体" w:hAnsi="宋体" w:eastAsia="宋体" w:cs="Times New Roman"/>
          <w:b w:val="0"/>
          <w:bCs/>
          <w:color w:val="auto"/>
          <w:szCs w:val="21"/>
          <w:highlight w:val="none"/>
          <w:lang w:val="en-US" w:eastAsia="zh-CN"/>
        </w:rPr>
        <w:t>。</w:t>
      </w:r>
    </w:p>
    <w:p w14:paraId="588A009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2.每月考核900分以上的（上限为满分1000分），计算方式为当月</w:t>
      </w:r>
      <w:r>
        <w:rPr>
          <w:rFonts w:hint="eastAsia" w:ascii="宋体" w:hAnsi="宋体" w:eastAsia="宋体" w:cs="宋体"/>
          <w:b w:val="0"/>
          <w:bCs w:val="0"/>
          <w:color w:val="auto"/>
          <w:sz w:val="21"/>
          <w:szCs w:val="21"/>
          <w:highlight w:val="none"/>
          <w:lang w:val="en-US" w:eastAsia="zh-CN"/>
        </w:rPr>
        <w:t>基础养护</w:t>
      </w:r>
      <w:r>
        <w:rPr>
          <w:rFonts w:hint="eastAsia" w:ascii="宋体" w:hAnsi="宋体" w:eastAsia="宋体" w:cs="宋体"/>
          <w:color w:val="auto"/>
          <w:kern w:val="2"/>
          <w:sz w:val="21"/>
          <w:szCs w:val="21"/>
          <w:highlight w:val="none"/>
          <w:lang w:val="en-US" w:eastAsia="zh-CN" w:bidi="ar-SA"/>
        </w:rPr>
        <w:t>服务费=70%</w:t>
      </w:r>
      <w:r>
        <w:rPr>
          <w:rFonts w:hint="eastAsia" w:ascii="宋体" w:hAnsi="宋体" w:eastAsia="宋体" w:cs="宋体"/>
          <w:b w:val="0"/>
          <w:bCs w:val="0"/>
          <w:color w:val="auto"/>
          <w:sz w:val="21"/>
          <w:szCs w:val="21"/>
          <w:highlight w:val="none"/>
          <w:lang w:val="en-US" w:eastAsia="zh-CN"/>
        </w:rPr>
        <w:t>年度预算养护经费</w:t>
      </w:r>
      <w:r>
        <w:rPr>
          <w:rFonts w:hint="eastAsia" w:ascii="宋体" w:hAnsi="宋体" w:eastAsia="宋体" w:cs="宋体"/>
          <w:color w:val="auto"/>
          <w:kern w:val="2"/>
          <w:sz w:val="21"/>
          <w:szCs w:val="21"/>
          <w:highlight w:val="none"/>
          <w:lang w:val="en-US" w:eastAsia="zh-CN" w:bidi="ar-SA"/>
        </w:rPr>
        <w:t>÷12</w:t>
      </w:r>
      <w:r>
        <w:rPr>
          <w:rFonts w:hint="eastAsia" w:ascii="宋体" w:hAnsi="宋体" w:eastAsia="宋体" w:cs="宋体"/>
          <w:color w:val="auto"/>
          <w:sz w:val="21"/>
          <w:szCs w:val="21"/>
          <w:highlight w:val="none"/>
        </w:rPr>
        <w:t>×100%</w:t>
      </w:r>
      <w:r>
        <w:rPr>
          <w:rFonts w:hint="eastAsia" w:ascii="宋体" w:hAnsi="宋体" w:eastAsia="宋体" w:cs="宋体"/>
          <w:color w:val="auto"/>
          <w:kern w:val="2"/>
          <w:sz w:val="21"/>
          <w:szCs w:val="21"/>
          <w:highlight w:val="none"/>
          <w:lang w:val="en-US" w:eastAsia="zh-CN" w:bidi="ar-SA"/>
        </w:rPr>
        <w:t>。</w:t>
      </w:r>
    </w:p>
    <w:p w14:paraId="4EECB3A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3.每月考核900分以下，600分（不含600分）以上的，计算方式为当月</w:t>
      </w:r>
      <w:r>
        <w:rPr>
          <w:rFonts w:hint="eastAsia" w:ascii="宋体" w:hAnsi="宋体" w:eastAsia="宋体" w:cs="宋体"/>
          <w:b w:val="0"/>
          <w:bCs w:val="0"/>
          <w:color w:val="auto"/>
          <w:sz w:val="21"/>
          <w:szCs w:val="21"/>
          <w:highlight w:val="none"/>
          <w:lang w:val="en-US" w:eastAsia="zh-CN"/>
        </w:rPr>
        <w:t>基础养护</w:t>
      </w:r>
      <w:r>
        <w:rPr>
          <w:rFonts w:hint="eastAsia" w:ascii="宋体" w:hAnsi="宋体" w:eastAsia="宋体" w:cs="宋体"/>
          <w:color w:val="auto"/>
          <w:kern w:val="2"/>
          <w:sz w:val="21"/>
          <w:szCs w:val="21"/>
          <w:highlight w:val="none"/>
          <w:lang w:val="en-US" w:eastAsia="zh-CN" w:bidi="ar-SA"/>
        </w:rPr>
        <w:t>服务费=当期得分÷900×（70%</w:t>
      </w:r>
      <w:r>
        <w:rPr>
          <w:rFonts w:hint="eastAsia" w:ascii="宋体" w:hAnsi="宋体" w:eastAsia="宋体" w:cs="宋体"/>
          <w:b w:val="0"/>
          <w:bCs w:val="0"/>
          <w:color w:val="auto"/>
          <w:sz w:val="21"/>
          <w:szCs w:val="21"/>
          <w:highlight w:val="none"/>
          <w:lang w:val="en-US" w:eastAsia="zh-CN"/>
        </w:rPr>
        <w:t>年度预算养护经费</w:t>
      </w:r>
      <w:r>
        <w:rPr>
          <w:rFonts w:hint="eastAsia" w:ascii="宋体" w:hAnsi="宋体" w:eastAsia="宋体" w:cs="宋体"/>
          <w:color w:val="auto"/>
          <w:kern w:val="2"/>
          <w:sz w:val="21"/>
          <w:szCs w:val="21"/>
          <w:highlight w:val="none"/>
          <w:lang w:val="en-US" w:eastAsia="zh-CN" w:bidi="ar-SA"/>
        </w:rPr>
        <w:t>÷12）。</w:t>
      </w:r>
    </w:p>
    <w:p w14:paraId="319CD17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4.年度绩效服务费=</w:t>
      </w:r>
      <w:r>
        <w:rPr>
          <w:rFonts w:hint="eastAsia" w:ascii="宋体" w:hAnsi="宋体" w:eastAsia="宋体" w:cs="Times New Roman"/>
          <w:b w:val="0"/>
          <w:bCs/>
          <w:strike w:val="0"/>
          <w:dstrike w:val="0"/>
          <w:color w:val="auto"/>
          <w:szCs w:val="21"/>
          <w:highlight w:val="none"/>
          <w:lang w:val="en-US" w:eastAsia="zh-CN"/>
        </w:rPr>
        <w:t>1个绩效考核周期内的</w:t>
      </w:r>
      <w:r>
        <w:rPr>
          <w:rFonts w:hint="eastAsia" w:ascii="宋体" w:hAnsi="宋体" w:eastAsia="宋体" w:cs="宋体"/>
          <w:color w:val="auto"/>
          <w:kern w:val="2"/>
          <w:sz w:val="21"/>
          <w:szCs w:val="21"/>
          <w:highlight w:val="none"/>
          <w:lang w:val="en-US" w:eastAsia="zh-CN" w:bidi="ar-SA"/>
        </w:rPr>
        <w:t>考核结果总得分÷全年考核满分12000分×30%</w:t>
      </w:r>
      <w:r>
        <w:rPr>
          <w:rFonts w:hint="eastAsia" w:ascii="宋体" w:hAnsi="宋体" w:eastAsia="宋体" w:cs="宋体"/>
          <w:b w:val="0"/>
          <w:bCs w:val="0"/>
          <w:color w:val="auto"/>
          <w:sz w:val="21"/>
          <w:szCs w:val="21"/>
          <w:highlight w:val="none"/>
          <w:lang w:val="en-US" w:eastAsia="zh-CN"/>
        </w:rPr>
        <w:t>年度预算养护经费</w:t>
      </w:r>
      <w:r>
        <w:rPr>
          <w:rFonts w:hint="eastAsia" w:ascii="宋体" w:hAnsi="宋体" w:eastAsia="宋体" w:cs="宋体"/>
          <w:color w:val="auto"/>
          <w:kern w:val="2"/>
          <w:sz w:val="21"/>
          <w:szCs w:val="21"/>
          <w:highlight w:val="none"/>
          <w:lang w:val="en-US" w:eastAsia="zh-CN" w:bidi="ar-SA"/>
        </w:rPr>
        <w:t>。</w:t>
      </w:r>
    </w:p>
    <w:p w14:paraId="2DD49991">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（六）考核争议处理</w:t>
      </w:r>
    </w:p>
    <w:p w14:paraId="01AE0F6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被考核对象对照明设施维修养护考核结果存有异议的，可在3个工作日内向</w:t>
      </w:r>
      <w:bookmarkStart w:id="55" w:name="OLE_LINK12"/>
      <w:r>
        <w:rPr>
          <w:rFonts w:hint="eastAsia" w:ascii="宋体" w:hAnsi="宋体" w:eastAsia="宋体" w:cs="宋体"/>
          <w:color w:val="auto"/>
          <w:kern w:val="2"/>
          <w:sz w:val="21"/>
          <w:szCs w:val="21"/>
          <w:highlight w:val="none"/>
          <w:lang w:val="en-US" w:eastAsia="zh-CN" w:bidi="ar-SA"/>
        </w:rPr>
        <w:t>防城港市道路照明设施管理所</w:t>
      </w:r>
      <w:bookmarkEnd w:id="55"/>
      <w:r>
        <w:rPr>
          <w:rFonts w:hint="eastAsia" w:ascii="宋体" w:hAnsi="宋体" w:eastAsia="宋体" w:cs="宋体"/>
          <w:color w:val="auto"/>
          <w:kern w:val="2"/>
          <w:sz w:val="21"/>
          <w:szCs w:val="21"/>
          <w:highlight w:val="none"/>
          <w:lang w:val="en-US" w:eastAsia="zh-CN" w:bidi="ar-SA"/>
        </w:rPr>
        <w:t>提交复查申请，</w:t>
      </w:r>
      <w:bookmarkStart w:id="56" w:name="OLE_LINK14"/>
      <w:r>
        <w:rPr>
          <w:rFonts w:hint="eastAsia" w:ascii="宋体" w:hAnsi="宋体" w:eastAsia="宋体" w:cs="宋体"/>
          <w:color w:val="auto"/>
          <w:kern w:val="2"/>
          <w:sz w:val="21"/>
          <w:szCs w:val="21"/>
          <w:highlight w:val="none"/>
          <w:lang w:val="en-US" w:eastAsia="zh-CN" w:bidi="ar-SA"/>
        </w:rPr>
        <w:t>防城港市道路照明设施管理所</w:t>
      </w:r>
      <w:bookmarkEnd w:id="56"/>
      <w:r>
        <w:rPr>
          <w:rFonts w:hint="eastAsia" w:ascii="宋体" w:hAnsi="宋体" w:eastAsia="宋体" w:cs="宋体"/>
          <w:color w:val="auto"/>
          <w:kern w:val="2"/>
          <w:sz w:val="21"/>
          <w:szCs w:val="21"/>
          <w:highlight w:val="none"/>
          <w:lang w:val="en-US" w:eastAsia="zh-CN" w:bidi="ar-SA"/>
        </w:rPr>
        <w:t>受理后在3个工作日内进行复查，并对复查结果再次确认；如被考核对象对复查结果仍存有异议，可向防城港市住房和城乡建设局再次提出书面复核申请，防城港市住房和城乡建设局受理后进行复核，并对考核结果最终确认。</w:t>
      </w:r>
    </w:p>
    <w:p w14:paraId="597412A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2" w:firstLineChars="200"/>
        <w:textAlignment w:val="auto"/>
        <w:rPr>
          <w:rFonts w:hint="eastAsia" w:ascii="宋体" w:hAnsi="宋体" w:eastAsia="宋体" w:cs="Times New Roman"/>
          <w:b/>
          <w:bCs/>
          <w:color w:val="auto"/>
          <w:kern w:val="2"/>
          <w:sz w:val="21"/>
          <w:szCs w:val="21"/>
          <w:highlight w:val="none"/>
          <w:lang w:val="zh-CN" w:eastAsia="zh-CN" w:bidi="ar-SA"/>
        </w:rPr>
      </w:pPr>
      <w:r>
        <w:rPr>
          <w:rFonts w:hint="eastAsia" w:ascii="宋体" w:hAnsi="宋体" w:eastAsia="宋体" w:cs="Times New Roman"/>
          <w:b/>
          <w:bCs/>
          <w:color w:val="auto"/>
          <w:kern w:val="2"/>
          <w:sz w:val="21"/>
          <w:szCs w:val="21"/>
          <w:highlight w:val="none"/>
          <w:lang w:val="zh-CN" w:eastAsia="zh-CN" w:bidi="ar-SA"/>
        </w:rPr>
        <w:t>四、实施时间</w:t>
      </w:r>
    </w:p>
    <w:p w14:paraId="4A59605E">
      <w:pPr>
        <w:spacing w:before="156" w:line="338" w:lineRule="auto"/>
        <w:ind w:firstLine="476" w:firstLineChars="20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本考核办法由双方盖章，自合同签订之日起</w:t>
      </w:r>
      <w:r>
        <w:rPr>
          <w:rFonts w:hint="eastAsia" w:ascii="宋体" w:hAnsi="宋体" w:cs="宋体"/>
          <w:color w:val="auto"/>
          <w:spacing w:val="-1"/>
          <w:sz w:val="24"/>
          <w:szCs w:val="24"/>
          <w:highlight w:val="none"/>
          <w:lang w:eastAsia="zh-CN"/>
        </w:rPr>
        <w:t>施行</w:t>
      </w:r>
      <w:r>
        <w:rPr>
          <w:rFonts w:hint="eastAsia" w:ascii="宋体" w:hAnsi="宋体" w:eastAsia="宋体" w:cs="宋体"/>
          <w:color w:val="auto"/>
          <w:spacing w:val="-1"/>
          <w:sz w:val="24"/>
          <w:szCs w:val="24"/>
          <w:highlight w:val="none"/>
        </w:rPr>
        <w:t>。</w:t>
      </w:r>
    </w:p>
    <w:p w14:paraId="4E49E1D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2" w:firstLineChars="200"/>
        <w:textAlignment w:val="auto"/>
        <w:rPr>
          <w:rFonts w:hint="eastAsia" w:ascii="宋体" w:hAnsi="宋体" w:eastAsia="宋体" w:cs="Times New Roman"/>
          <w:b/>
          <w:bCs/>
          <w:color w:val="auto"/>
          <w:kern w:val="2"/>
          <w:sz w:val="21"/>
          <w:szCs w:val="21"/>
          <w:highlight w:val="none"/>
          <w:lang w:val="zh-CN" w:eastAsia="zh-CN" w:bidi="ar-SA"/>
        </w:rPr>
      </w:pPr>
      <w:r>
        <w:rPr>
          <w:rFonts w:hint="eastAsia" w:ascii="宋体" w:hAnsi="宋体" w:eastAsia="宋体" w:cs="Times New Roman"/>
          <w:b/>
          <w:bCs/>
          <w:color w:val="auto"/>
          <w:kern w:val="2"/>
          <w:sz w:val="21"/>
          <w:szCs w:val="21"/>
          <w:highlight w:val="none"/>
          <w:lang w:val="zh-CN" w:eastAsia="zh-CN" w:bidi="ar-SA"/>
        </w:rPr>
        <w:t>五、附则</w:t>
      </w:r>
    </w:p>
    <w:p w14:paraId="5E28D281">
      <w:pPr>
        <w:spacing w:before="156" w:line="338" w:lineRule="auto"/>
        <w:ind w:left="12" w:firstLine="517"/>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(一)本办法由</w:t>
      </w:r>
      <w:r>
        <w:rPr>
          <w:rFonts w:hint="eastAsia" w:ascii="宋体" w:hAnsi="宋体" w:eastAsia="宋体" w:cs="宋体"/>
          <w:color w:val="auto"/>
          <w:spacing w:val="-1"/>
          <w:sz w:val="24"/>
          <w:szCs w:val="24"/>
          <w:highlight w:val="none"/>
          <w:lang w:val="en-US" w:eastAsia="zh-CN"/>
        </w:rPr>
        <w:t>防城港市住房和城乡建设局</w:t>
      </w:r>
      <w:r>
        <w:rPr>
          <w:rFonts w:hint="eastAsia" w:ascii="宋体" w:hAnsi="宋体" w:eastAsia="宋体" w:cs="宋体"/>
          <w:color w:val="auto"/>
          <w:spacing w:val="-1"/>
          <w:sz w:val="24"/>
          <w:szCs w:val="24"/>
          <w:highlight w:val="none"/>
        </w:rPr>
        <w:t>负责解释，根据实际情况适时修改，未尽事宜，依照合同</w:t>
      </w:r>
      <w:r>
        <w:rPr>
          <w:rFonts w:hint="eastAsia" w:ascii="宋体" w:hAnsi="宋体" w:eastAsia="宋体" w:cs="宋体"/>
          <w:color w:val="auto"/>
          <w:spacing w:val="-1"/>
          <w:sz w:val="24"/>
          <w:szCs w:val="24"/>
          <w:highlight w:val="none"/>
        </w:rPr>
        <w:t>协议、</w:t>
      </w:r>
      <w:r>
        <w:rPr>
          <w:rFonts w:hint="eastAsia" w:ascii="宋体" w:hAnsi="宋体" w:cs="宋体"/>
          <w:color w:val="auto"/>
          <w:spacing w:val="-1"/>
          <w:sz w:val="24"/>
          <w:szCs w:val="24"/>
          <w:highlight w:val="none"/>
          <w:lang w:eastAsia="zh-CN"/>
        </w:rPr>
        <w:t>招标</w:t>
      </w:r>
      <w:r>
        <w:rPr>
          <w:rFonts w:hint="eastAsia" w:ascii="宋体" w:hAnsi="宋体" w:eastAsia="宋体" w:cs="宋体"/>
          <w:color w:val="auto"/>
          <w:spacing w:val="-1"/>
          <w:sz w:val="24"/>
          <w:szCs w:val="24"/>
          <w:highlight w:val="none"/>
        </w:rPr>
        <w:t>文件、城市</w:t>
      </w:r>
      <w:r>
        <w:rPr>
          <w:rFonts w:hint="eastAsia" w:ascii="宋体" w:hAnsi="宋体" w:eastAsia="宋体" w:cs="宋体"/>
          <w:color w:val="auto"/>
          <w:spacing w:val="-1"/>
          <w:sz w:val="24"/>
          <w:szCs w:val="24"/>
          <w:highlight w:val="none"/>
        </w:rPr>
        <w:t>照明管理办法等有关规定执行。</w:t>
      </w:r>
    </w:p>
    <w:p w14:paraId="2E815F09">
      <w:pPr>
        <w:spacing w:before="156" w:line="338" w:lineRule="auto"/>
        <w:ind w:left="12" w:firstLine="517"/>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(二)</w:t>
      </w:r>
      <w:r>
        <w:rPr>
          <w:rFonts w:hint="eastAsia" w:ascii="宋体" w:hAnsi="宋体" w:eastAsia="宋体" w:cs="宋体"/>
          <w:color w:val="auto"/>
          <w:spacing w:val="-1"/>
          <w:sz w:val="24"/>
          <w:szCs w:val="24"/>
          <w:highlight w:val="none"/>
          <w:lang w:eastAsia="zh-CN"/>
        </w:rPr>
        <w:t>防城港</w:t>
      </w:r>
      <w:r>
        <w:rPr>
          <w:rFonts w:hint="eastAsia" w:ascii="宋体" w:hAnsi="宋体" w:eastAsia="宋体" w:cs="宋体"/>
          <w:color w:val="auto"/>
          <w:spacing w:val="-1"/>
          <w:sz w:val="24"/>
          <w:szCs w:val="24"/>
          <w:highlight w:val="none"/>
        </w:rPr>
        <w:t>市</w:t>
      </w:r>
      <w:r>
        <w:rPr>
          <w:rFonts w:hint="eastAsia" w:ascii="宋体" w:hAnsi="宋体" w:eastAsia="宋体" w:cs="宋体"/>
          <w:color w:val="auto"/>
          <w:spacing w:val="-1"/>
          <w:sz w:val="24"/>
          <w:szCs w:val="24"/>
          <w:highlight w:val="none"/>
          <w:lang w:eastAsia="zh-CN"/>
        </w:rPr>
        <w:t>道路照明设施管理所</w:t>
      </w:r>
      <w:r>
        <w:rPr>
          <w:rFonts w:hint="eastAsia" w:ascii="宋体" w:hAnsi="宋体" w:eastAsia="宋体" w:cs="宋体"/>
          <w:color w:val="auto"/>
          <w:spacing w:val="-1"/>
          <w:sz w:val="24"/>
          <w:szCs w:val="24"/>
          <w:highlight w:val="none"/>
        </w:rPr>
        <w:t>将每次考核评分情况</w:t>
      </w:r>
      <w:r>
        <w:rPr>
          <w:rFonts w:hint="eastAsia" w:ascii="宋体" w:hAnsi="宋体" w:eastAsia="宋体" w:cs="宋体"/>
          <w:color w:val="auto"/>
          <w:spacing w:val="-1"/>
          <w:sz w:val="24"/>
          <w:szCs w:val="24"/>
          <w:highlight w:val="none"/>
          <w:lang w:eastAsia="zh-CN"/>
        </w:rPr>
        <w:t>报告</w:t>
      </w:r>
      <w:r>
        <w:rPr>
          <w:rFonts w:hint="eastAsia" w:ascii="宋体" w:hAnsi="宋体" w:eastAsia="宋体" w:cs="宋体"/>
          <w:color w:val="auto"/>
          <w:spacing w:val="-1"/>
          <w:sz w:val="24"/>
          <w:szCs w:val="24"/>
          <w:highlight w:val="none"/>
        </w:rPr>
        <w:t>防城港市</w:t>
      </w:r>
      <w:r>
        <w:rPr>
          <w:rFonts w:hint="eastAsia" w:ascii="宋体" w:hAnsi="宋体" w:eastAsia="宋体" w:cs="宋体"/>
          <w:color w:val="auto"/>
          <w:spacing w:val="-1"/>
          <w:sz w:val="24"/>
          <w:szCs w:val="24"/>
          <w:highlight w:val="none"/>
          <w:lang w:eastAsia="zh-CN"/>
        </w:rPr>
        <w:t>住房和城乡建设局</w:t>
      </w:r>
      <w:r>
        <w:rPr>
          <w:rFonts w:hint="eastAsia" w:ascii="宋体" w:hAnsi="宋体" w:eastAsia="宋体" w:cs="宋体"/>
          <w:color w:val="auto"/>
          <w:spacing w:val="-1"/>
          <w:sz w:val="24"/>
          <w:szCs w:val="24"/>
          <w:highlight w:val="none"/>
        </w:rPr>
        <w:t>，作为服务费支付、合同管理、考核监管的依据。</w:t>
      </w:r>
    </w:p>
    <w:p w14:paraId="60A71AFB">
      <w:pPr>
        <w:pStyle w:val="2"/>
        <w:rPr>
          <w:rFonts w:hint="eastAsia"/>
          <w:color w:val="auto"/>
          <w:highlight w:val="none"/>
        </w:rPr>
      </w:pPr>
    </w:p>
    <w:tbl>
      <w:tblPr>
        <w:tblStyle w:val="48"/>
        <w:tblpPr w:leftFromText="180" w:rightFromText="180" w:vertAnchor="text" w:horzAnchor="margin" w:tblpY="214"/>
        <w:tblW w:w="91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4583"/>
      </w:tblGrid>
      <w:tr w14:paraId="6268C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5" w:hRule="atLeast"/>
        </w:trPr>
        <w:tc>
          <w:tcPr>
            <w:tcW w:w="4582" w:type="dxa"/>
            <w:tcBorders>
              <w:top w:val="single" w:color="auto" w:sz="4" w:space="0"/>
              <w:left w:val="single" w:color="auto" w:sz="4" w:space="0"/>
              <w:bottom w:val="single" w:color="auto" w:sz="4" w:space="0"/>
              <w:right w:val="single" w:color="auto" w:sz="4" w:space="0"/>
            </w:tcBorders>
            <w:vAlign w:val="center"/>
          </w:tcPr>
          <w:p w14:paraId="298269D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公</w:t>
            </w:r>
            <w:r>
              <w:rPr>
                <w:rFonts w:hint="eastAsia" w:ascii="宋体" w:hAnsi="宋体" w:eastAsia="宋体" w:cs="宋体"/>
                <w:color w:val="auto"/>
                <w:szCs w:val="21"/>
                <w:highlight w:val="none"/>
              </w:rPr>
              <w:t>章）</w:t>
            </w:r>
          </w:p>
          <w:p w14:paraId="79AFCA7D">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Cs w:val="21"/>
                <w:highlight w:val="none"/>
              </w:rPr>
            </w:pPr>
          </w:p>
          <w:p w14:paraId="68CA376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Cs w:val="21"/>
                <w:highlight w:val="none"/>
              </w:rPr>
            </w:pPr>
          </w:p>
          <w:p w14:paraId="708E6624">
            <w:pPr>
              <w:keepNext w:val="0"/>
              <w:keepLines w:val="0"/>
              <w:pageBreakBefore w:val="0"/>
              <w:widowControl w:val="0"/>
              <w:kinsoku/>
              <w:wordWrap/>
              <w:overflowPunct/>
              <w:topLinePunct w:val="0"/>
              <w:autoSpaceDE/>
              <w:autoSpaceDN/>
              <w:bidi w:val="0"/>
              <w:adjustRightInd/>
              <w:snapToGrid w:val="0"/>
              <w:spacing w:line="360" w:lineRule="auto"/>
              <w:ind w:firstLine="945" w:firstLineChars="450"/>
              <w:jc w:val="right"/>
              <w:textAlignment w:val="auto"/>
              <w:rPr>
                <w:rFonts w:hint="eastAsia" w:ascii="宋体" w:hAnsi="宋体" w:eastAsia="宋体" w:cs="宋体"/>
                <w:color w:val="auto"/>
                <w:szCs w:val="21"/>
                <w:highlight w:val="none"/>
              </w:rPr>
            </w:pPr>
          </w:p>
          <w:p w14:paraId="6B4319F2">
            <w:pPr>
              <w:pStyle w:val="2"/>
              <w:rPr>
                <w:rFonts w:hint="eastAsia"/>
                <w:color w:val="auto"/>
                <w:highlight w:val="none"/>
              </w:rPr>
            </w:pPr>
          </w:p>
          <w:p w14:paraId="69AD225A">
            <w:pPr>
              <w:keepNext w:val="0"/>
              <w:keepLines w:val="0"/>
              <w:pageBreakBefore w:val="0"/>
              <w:widowControl w:val="0"/>
              <w:kinsoku/>
              <w:wordWrap/>
              <w:overflowPunct/>
              <w:topLinePunct w:val="0"/>
              <w:autoSpaceDE/>
              <w:autoSpaceDN/>
              <w:bidi w:val="0"/>
              <w:adjustRightInd/>
              <w:snapToGrid w:val="0"/>
              <w:spacing w:line="360" w:lineRule="auto"/>
              <w:ind w:firstLine="945" w:firstLineChars="450"/>
              <w:jc w:val="righ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年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 月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  日</w:t>
            </w:r>
          </w:p>
        </w:tc>
        <w:tc>
          <w:tcPr>
            <w:tcW w:w="4583" w:type="dxa"/>
            <w:tcBorders>
              <w:top w:val="single" w:color="auto" w:sz="4" w:space="0"/>
              <w:left w:val="single" w:color="auto" w:sz="4" w:space="0"/>
              <w:bottom w:val="single" w:color="auto" w:sz="4" w:space="0"/>
              <w:right w:val="single" w:color="auto" w:sz="4" w:space="0"/>
            </w:tcBorders>
            <w:vAlign w:val="center"/>
          </w:tcPr>
          <w:p w14:paraId="0E8CE0C8">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w:t>
            </w:r>
            <w:r>
              <w:rPr>
                <w:rFonts w:hint="eastAsia" w:ascii="宋体" w:hAnsi="宋体" w:eastAsia="宋体" w:cs="宋体"/>
                <w:color w:val="auto"/>
                <w:szCs w:val="21"/>
                <w:highlight w:val="none"/>
                <w:lang w:val="en-US" w:eastAsia="zh-CN"/>
              </w:rPr>
              <w:t>公</w:t>
            </w:r>
            <w:r>
              <w:rPr>
                <w:rFonts w:hint="eastAsia" w:ascii="宋体" w:hAnsi="宋体" w:eastAsia="宋体" w:cs="宋体"/>
                <w:color w:val="auto"/>
                <w:szCs w:val="21"/>
                <w:highlight w:val="none"/>
              </w:rPr>
              <w:t xml:space="preserve">章）       </w:t>
            </w:r>
          </w:p>
          <w:p w14:paraId="6CE0DAB1">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Cs w:val="21"/>
                <w:highlight w:val="none"/>
              </w:rPr>
            </w:pPr>
          </w:p>
          <w:p w14:paraId="711FF054">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4D18B11C">
            <w:pPr>
              <w:keepNext w:val="0"/>
              <w:keepLines w:val="0"/>
              <w:pageBreakBefore w:val="0"/>
              <w:widowControl w:val="0"/>
              <w:kinsoku/>
              <w:wordWrap/>
              <w:overflowPunct/>
              <w:topLinePunct w:val="0"/>
              <w:autoSpaceDE/>
              <w:autoSpaceDN/>
              <w:bidi w:val="0"/>
              <w:adjustRightInd/>
              <w:snapToGrid w:val="0"/>
              <w:spacing w:line="360" w:lineRule="auto"/>
              <w:jc w:val="right"/>
              <w:textAlignment w:val="auto"/>
              <w:rPr>
                <w:rFonts w:hint="eastAsia" w:ascii="宋体" w:hAnsi="宋体" w:eastAsia="宋体" w:cs="宋体"/>
                <w:color w:val="auto"/>
                <w:szCs w:val="21"/>
                <w:highlight w:val="none"/>
              </w:rPr>
            </w:pPr>
          </w:p>
          <w:p w14:paraId="5BD4F000">
            <w:pPr>
              <w:pStyle w:val="2"/>
              <w:rPr>
                <w:rFonts w:hint="eastAsia"/>
                <w:color w:val="auto"/>
                <w:highlight w:val="none"/>
              </w:rPr>
            </w:pPr>
          </w:p>
          <w:p w14:paraId="2C844C9F">
            <w:pPr>
              <w:keepNext w:val="0"/>
              <w:keepLines w:val="0"/>
              <w:pageBreakBefore w:val="0"/>
              <w:widowControl w:val="0"/>
              <w:kinsoku/>
              <w:wordWrap/>
              <w:overflowPunct/>
              <w:topLinePunct w:val="0"/>
              <w:autoSpaceDE/>
              <w:autoSpaceDN/>
              <w:bidi w:val="0"/>
              <w:adjustRightInd/>
              <w:snapToGrid w:val="0"/>
              <w:spacing w:line="360" w:lineRule="auto"/>
              <w:jc w:val="righ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年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 月</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   日</w:t>
            </w:r>
          </w:p>
        </w:tc>
      </w:tr>
    </w:tbl>
    <w:p w14:paraId="48049D66">
      <w:pPr>
        <w:spacing w:line="500" w:lineRule="exact"/>
        <w:ind w:left="540"/>
        <w:jc w:val="right"/>
        <w:rPr>
          <w:rFonts w:hint="eastAsia" w:ascii="宋体" w:hAnsi="宋体"/>
          <w:color w:val="auto"/>
          <w:sz w:val="24"/>
          <w:highlight w:val="none"/>
          <w:lang w:eastAsia="zh-CN"/>
        </w:rPr>
      </w:pPr>
    </w:p>
    <w:p w14:paraId="466F5D57">
      <w:pPr>
        <w:spacing w:before="156" w:line="338" w:lineRule="auto"/>
        <w:ind w:left="12" w:firstLine="517"/>
        <w:rPr>
          <w:rFonts w:hint="eastAsia" w:ascii="宋体" w:hAnsi="宋体" w:eastAsia="宋体" w:cs="宋体"/>
          <w:color w:val="auto"/>
          <w:spacing w:val="-1"/>
          <w:sz w:val="24"/>
          <w:szCs w:val="24"/>
          <w:highlight w:val="none"/>
        </w:rPr>
      </w:pPr>
    </w:p>
    <w:p w14:paraId="04F4105B">
      <w:pPr>
        <w:pStyle w:val="2"/>
        <w:rPr>
          <w:rFonts w:hint="eastAsia" w:ascii="宋体" w:hAnsi="宋体" w:eastAsia="宋体" w:cs="宋体"/>
          <w:color w:val="auto"/>
          <w:spacing w:val="-1"/>
          <w:sz w:val="24"/>
          <w:szCs w:val="24"/>
          <w:highlight w:val="none"/>
        </w:rPr>
      </w:pPr>
    </w:p>
    <w:p w14:paraId="75D2B2DB">
      <w:pPr>
        <w:rPr>
          <w:rFonts w:hint="eastAsia" w:ascii="宋体" w:hAnsi="宋体" w:eastAsia="宋体" w:cs="宋体"/>
          <w:color w:val="auto"/>
          <w:spacing w:val="-1"/>
          <w:sz w:val="24"/>
          <w:szCs w:val="24"/>
          <w:highlight w:val="none"/>
        </w:rPr>
      </w:pPr>
    </w:p>
    <w:p w14:paraId="37B8BAB9">
      <w:pPr>
        <w:pStyle w:val="2"/>
        <w:rPr>
          <w:rFonts w:hint="eastAsia" w:ascii="宋体" w:hAnsi="宋体" w:eastAsia="宋体" w:cs="宋体"/>
          <w:color w:val="auto"/>
          <w:spacing w:val="-1"/>
          <w:sz w:val="24"/>
          <w:szCs w:val="24"/>
          <w:highlight w:val="none"/>
        </w:rPr>
      </w:pPr>
    </w:p>
    <w:p w14:paraId="4EE7DFDA">
      <w:pPr>
        <w:rPr>
          <w:rFonts w:hint="eastAsia" w:ascii="宋体" w:hAnsi="宋体" w:eastAsia="宋体" w:cs="宋体"/>
          <w:color w:val="auto"/>
          <w:spacing w:val="-1"/>
          <w:sz w:val="24"/>
          <w:szCs w:val="24"/>
          <w:highlight w:val="none"/>
        </w:rPr>
      </w:pPr>
    </w:p>
    <w:p w14:paraId="33B00273">
      <w:pPr>
        <w:pStyle w:val="2"/>
        <w:rPr>
          <w:rFonts w:hint="eastAsia"/>
          <w:color w:val="auto"/>
          <w:highlight w:val="none"/>
        </w:rPr>
      </w:pPr>
    </w:p>
    <w:p w14:paraId="6A5441AB">
      <w:pPr>
        <w:pStyle w:val="2"/>
        <w:rPr>
          <w:rFonts w:hint="eastAsia" w:ascii="宋体" w:hAnsi="宋体" w:eastAsia="宋体" w:cs="宋体"/>
          <w:color w:val="auto"/>
          <w:spacing w:val="-1"/>
          <w:sz w:val="24"/>
          <w:szCs w:val="24"/>
          <w:highlight w:val="none"/>
        </w:rPr>
      </w:pPr>
    </w:p>
    <w:p w14:paraId="4CF98535">
      <w:pPr>
        <w:rPr>
          <w:rFonts w:hint="eastAsia" w:ascii="宋体" w:hAnsi="宋体" w:eastAsia="宋体" w:cs="宋体"/>
          <w:color w:val="auto"/>
          <w:spacing w:val="-1"/>
          <w:sz w:val="24"/>
          <w:szCs w:val="24"/>
          <w:highlight w:val="none"/>
        </w:rPr>
      </w:pPr>
    </w:p>
    <w:p w14:paraId="02BE0D46">
      <w:pPr>
        <w:pStyle w:val="2"/>
        <w:rPr>
          <w:rFonts w:hint="eastAsia" w:ascii="宋体" w:hAnsi="宋体" w:eastAsia="宋体" w:cs="宋体"/>
          <w:color w:val="auto"/>
          <w:spacing w:val="-1"/>
          <w:sz w:val="24"/>
          <w:szCs w:val="24"/>
          <w:highlight w:val="none"/>
        </w:rPr>
      </w:pPr>
    </w:p>
    <w:p w14:paraId="0BD29F26">
      <w:pPr>
        <w:rPr>
          <w:rFonts w:hint="eastAsia"/>
          <w:color w:val="auto"/>
          <w:highlight w:val="none"/>
        </w:rPr>
      </w:pPr>
    </w:p>
    <w:p w14:paraId="06097EC5">
      <w:pPr>
        <w:spacing w:before="156" w:line="338" w:lineRule="auto"/>
        <w:ind w:left="12" w:firstLine="517"/>
        <w:rPr>
          <w:rFonts w:hint="eastAsia" w:ascii="宋体" w:hAnsi="宋体" w:eastAsia="宋体" w:cs="宋体"/>
          <w:color w:val="auto"/>
          <w:spacing w:val="-1"/>
          <w:sz w:val="24"/>
          <w:szCs w:val="24"/>
          <w:highlight w:val="none"/>
        </w:rPr>
      </w:pPr>
    </w:p>
    <w:p w14:paraId="5DA70415">
      <w:pPr>
        <w:spacing w:before="156" w:line="338" w:lineRule="auto"/>
        <w:jc w:val="center"/>
        <w:rPr>
          <w:rFonts w:hint="eastAsia" w:ascii="宋体" w:hAnsi="宋体"/>
          <w:color w:val="auto"/>
          <w:highlight w:val="none"/>
        </w:rPr>
      </w:pPr>
      <w:r>
        <w:rPr>
          <w:rFonts w:hint="eastAsia" w:ascii="宋体" w:hAnsi="宋体"/>
          <w:b/>
          <w:bCs/>
          <w:color w:val="auto"/>
          <w:sz w:val="40"/>
          <w:szCs w:val="48"/>
          <w:highlight w:val="none"/>
        </w:rPr>
        <w:t>第三章  投标人须知</w:t>
      </w:r>
      <w:bookmarkEnd w:id="49"/>
    </w:p>
    <w:p w14:paraId="2D8474B0">
      <w:pPr>
        <w:jc w:val="center"/>
        <w:rPr>
          <w:rFonts w:hint="eastAsia" w:ascii="宋体" w:hAnsi="宋体"/>
          <w:color w:val="auto"/>
          <w:sz w:val="36"/>
          <w:szCs w:val="36"/>
          <w:highlight w:val="none"/>
        </w:rPr>
      </w:pPr>
      <w:bookmarkStart w:id="57" w:name="_Toc254970526"/>
      <w:bookmarkStart w:id="58" w:name="_Toc254970667"/>
      <w:r>
        <w:rPr>
          <w:rFonts w:hint="eastAsia" w:ascii="宋体" w:hAnsi="宋体"/>
          <w:color w:val="auto"/>
          <w:sz w:val="36"/>
          <w:szCs w:val="36"/>
          <w:highlight w:val="none"/>
        </w:rPr>
        <w:t>投标人须知前附表</w:t>
      </w:r>
      <w:bookmarkEnd w:id="57"/>
      <w:bookmarkEnd w:id="58"/>
    </w:p>
    <w:tbl>
      <w:tblPr>
        <w:tblStyle w:val="48"/>
        <w:tblW w:w="9356" w:type="dxa"/>
        <w:tblInd w:w="-17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5"/>
        <w:gridCol w:w="8461"/>
      </w:tblGrid>
      <w:tr w14:paraId="69536F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895" w:type="dxa"/>
            <w:tcBorders>
              <w:top w:val="single" w:color="auto" w:sz="4" w:space="0"/>
              <w:left w:val="single" w:color="auto" w:sz="4" w:space="0"/>
              <w:bottom w:val="single" w:color="auto" w:sz="4" w:space="0"/>
              <w:right w:val="single" w:color="auto" w:sz="4" w:space="0"/>
            </w:tcBorders>
            <w:vAlign w:val="center"/>
          </w:tcPr>
          <w:p w14:paraId="594D6748">
            <w:pPr>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条款号</w:t>
            </w:r>
          </w:p>
        </w:tc>
        <w:tc>
          <w:tcPr>
            <w:tcW w:w="8461" w:type="dxa"/>
            <w:tcBorders>
              <w:top w:val="single" w:color="auto" w:sz="4" w:space="0"/>
              <w:left w:val="single" w:color="auto" w:sz="4" w:space="0"/>
              <w:bottom w:val="single" w:color="auto" w:sz="4" w:space="0"/>
              <w:right w:val="single" w:color="auto" w:sz="4" w:space="0"/>
            </w:tcBorders>
            <w:vAlign w:val="center"/>
          </w:tcPr>
          <w:p w14:paraId="513EF61A">
            <w:pPr>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编列内容</w:t>
            </w:r>
          </w:p>
        </w:tc>
      </w:tr>
      <w:tr w14:paraId="03780A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65486A48">
            <w:pPr>
              <w:spacing w:line="360" w:lineRule="auto"/>
              <w:jc w:val="center"/>
              <w:rPr>
                <w:rFonts w:hint="eastAsia" w:ascii="宋体" w:hAnsi="宋体"/>
                <w:color w:val="auto"/>
                <w:szCs w:val="21"/>
                <w:highlight w:val="none"/>
              </w:rPr>
            </w:pPr>
            <w:r>
              <w:rPr>
                <w:rFonts w:hint="eastAsia" w:ascii="宋体" w:hAnsi="宋体"/>
                <w:color w:val="auto"/>
                <w:szCs w:val="21"/>
                <w:highlight w:val="none"/>
              </w:rPr>
              <w:t>3</w:t>
            </w:r>
          </w:p>
        </w:tc>
        <w:tc>
          <w:tcPr>
            <w:tcW w:w="8461" w:type="dxa"/>
            <w:tcBorders>
              <w:top w:val="single" w:color="auto" w:sz="4" w:space="0"/>
              <w:left w:val="single" w:color="auto" w:sz="4" w:space="0"/>
              <w:bottom w:val="single" w:color="auto" w:sz="4" w:space="0"/>
              <w:right w:val="single" w:color="auto" w:sz="4" w:space="0"/>
            </w:tcBorders>
            <w:vAlign w:val="center"/>
          </w:tcPr>
          <w:p w14:paraId="0EA05FFB">
            <w:pPr>
              <w:snapToGrid w:val="0"/>
              <w:spacing w:line="360" w:lineRule="auto"/>
              <w:jc w:val="left"/>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投标人的资格要求详见招标公告。</w:t>
            </w:r>
          </w:p>
          <w:p w14:paraId="192B1E4E">
            <w:pPr>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投标人出现下列情形之一的，不得参加政府采购活动：</w:t>
            </w:r>
          </w:p>
          <w:p w14:paraId="292FC5B3">
            <w:pPr>
              <w:snapToGrid w:val="0"/>
              <w:spacing w:line="360" w:lineRule="auto"/>
              <w:jc w:val="left"/>
              <w:rPr>
                <w:rFonts w:hint="eastAsia" w:ascii="宋体" w:hAnsi="宋体"/>
                <w:color w:val="auto"/>
                <w:szCs w:val="21"/>
                <w:highlight w:val="none"/>
              </w:rPr>
            </w:pPr>
            <w:r>
              <w:rPr>
                <w:rFonts w:ascii="宋体" w:hAnsi="宋体"/>
                <w:color w:val="auto"/>
                <w:szCs w:val="21"/>
                <w:highlight w:val="none"/>
              </w:rPr>
              <w:t>2.1</w:t>
            </w:r>
            <w:r>
              <w:rPr>
                <w:rFonts w:hint="eastAsia" w:ascii="宋体" w:hAnsi="宋体"/>
                <w:color w:val="auto"/>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31C1450C">
            <w:pPr>
              <w:snapToGrid w:val="0"/>
              <w:spacing w:line="360" w:lineRule="auto"/>
              <w:jc w:val="left"/>
              <w:rPr>
                <w:rFonts w:hint="eastAsia" w:ascii="宋体" w:hAnsi="宋体"/>
                <w:color w:val="auto"/>
                <w:szCs w:val="21"/>
                <w:highlight w:val="none"/>
              </w:rPr>
            </w:pPr>
            <w:r>
              <w:rPr>
                <w:rFonts w:ascii="宋体" w:hAnsi="宋体"/>
                <w:color w:val="auto"/>
                <w:szCs w:val="21"/>
                <w:highlight w:val="none"/>
              </w:rPr>
              <w:t>2.2</w:t>
            </w:r>
            <w:r>
              <w:rPr>
                <w:rFonts w:hint="eastAsia" w:ascii="宋体" w:hAnsi="宋体"/>
                <w:color w:val="auto"/>
                <w:szCs w:val="21"/>
                <w:highlight w:val="none"/>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tc>
      </w:tr>
      <w:tr w14:paraId="140147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53FA9B3A">
            <w:pPr>
              <w:spacing w:line="360" w:lineRule="auto"/>
              <w:jc w:val="center"/>
              <w:rPr>
                <w:rFonts w:ascii="宋体" w:hAnsi="宋体"/>
                <w:color w:val="auto"/>
                <w:szCs w:val="21"/>
                <w:highlight w:val="none"/>
              </w:rPr>
            </w:pPr>
            <w:bookmarkStart w:id="59" w:name="_9.2"/>
            <w:bookmarkEnd w:id="59"/>
            <w:bookmarkStart w:id="60" w:name="_8.1"/>
            <w:bookmarkEnd w:id="60"/>
            <w:bookmarkStart w:id="61" w:name="_5"/>
            <w:bookmarkEnd w:id="61"/>
            <w:r>
              <w:rPr>
                <w:rFonts w:hint="eastAsia" w:ascii="宋体" w:hAnsi="宋体"/>
                <w:color w:val="auto"/>
                <w:szCs w:val="21"/>
                <w:highlight w:val="none"/>
              </w:rPr>
              <w:t>6.1</w:t>
            </w:r>
          </w:p>
        </w:tc>
        <w:tc>
          <w:tcPr>
            <w:tcW w:w="8461" w:type="dxa"/>
            <w:tcBorders>
              <w:top w:val="single" w:color="auto" w:sz="4" w:space="0"/>
              <w:left w:val="single" w:color="auto" w:sz="4" w:space="0"/>
              <w:bottom w:val="single" w:color="auto" w:sz="4" w:space="0"/>
              <w:right w:val="single" w:color="auto" w:sz="4" w:space="0"/>
            </w:tcBorders>
            <w:vAlign w:val="center"/>
          </w:tcPr>
          <w:p w14:paraId="6B2A2330">
            <w:pPr>
              <w:pStyle w:val="16"/>
              <w:spacing w:line="360" w:lineRule="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本项目是否接受联合体投标：详见招标公告。</w:t>
            </w:r>
          </w:p>
        </w:tc>
      </w:tr>
      <w:tr w14:paraId="2153DD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0F7E6F85">
            <w:pPr>
              <w:spacing w:line="360" w:lineRule="auto"/>
              <w:jc w:val="center"/>
              <w:rPr>
                <w:rFonts w:ascii="宋体" w:hAnsi="宋体"/>
                <w:color w:val="auto"/>
                <w:szCs w:val="21"/>
                <w:highlight w:val="none"/>
              </w:rPr>
            </w:pPr>
            <w:r>
              <w:rPr>
                <w:rFonts w:hint="eastAsia" w:ascii="宋体" w:hAnsi="宋体"/>
                <w:color w:val="auto"/>
                <w:szCs w:val="21"/>
                <w:highlight w:val="none"/>
              </w:rPr>
              <w:t>7.2</w:t>
            </w:r>
          </w:p>
        </w:tc>
        <w:tc>
          <w:tcPr>
            <w:tcW w:w="8461" w:type="dxa"/>
            <w:tcBorders>
              <w:top w:val="single" w:color="auto" w:sz="4" w:space="0"/>
              <w:left w:val="single" w:color="auto" w:sz="4" w:space="0"/>
              <w:bottom w:val="single" w:color="auto" w:sz="4" w:space="0"/>
              <w:right w:val="single" w:color="auto" w:sz="4" w:space="0"/>
            </w:tcBorders>
            <w:vAlign w:val="center"/>
          </w:tcPr>
          <w:p w14:paraId="74EF3199">
            <w:pPr>
              <w:pStyle w:val="16"/>
              <w:spacing w:line="360" w:lineRule="auto"/>
              <w:rPr>
                <w:rFonts w:hint="eastAsia" w:ascii="宋体" w:hAnsi="宋体"/>
                <w:color w:val="auto"/>
                <w:szCs w:val="21"/>
                <w:highlight w:val="none"/>
                <w:u w:val="single"/>
                <w:lang w:val="en-US" w:eastAsia="zh-CN"/>
              </w:rPr>
            </w:pPr>
            <w:r>
              <w:rPr>
                <w:rFonts w:hint="eastAsia" w:ascii="宋体" w:hAnsi="宋体"/>
                <w:color w:val="auto"/>
                <w:szCs w:val="21"/>
                <w:highlight w:val="none"/>
                <w:lang w:val="en-US" w:eastAsia="zh-CN"/>
              </w:rPr>
              <w:t>不允许分包。</w:t>
            </w:r>
          </w:p>
        </w:tc>
      </w:tr>
      <w:tr w14:paraId="7EC5D8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895" w:type="dxa"/>
            <w:vMerge w:val="restart"/>
            <w:tcBorders>
              <w:top w:val="single" w:color="auto" w:sz="4" w:space="0"/>
              <w:left w:val="single" w:color="auto" w:sz="4" w:space="0"/>
              <w:right w:val="single" w:color="auto" w:sz="4" w:space="0"/>
            </w:tcBorders>
            <w:vAlign w:val="center"/>
          </w:tcPr>
          <w:p w14:paraId="62E24797">
            <w:pPr>
              <w:spacing w:line="360" w:lineRule="auto"/>
              <w:jc w:val="center"/>
              <w:rPr>
                <w:rFonts w:hint="eastAsia"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1.2</w:t>
            </w:r>
          </w:p>
        </w:tc>
        <w:tc>
          <w:tcPr>
            <w:tcW w:w="8461" w:type="dxa"/>
            <w:tcBorders>
              <w:top w:val="single" w:color="auto" w:sz="4" w:space="0"/>
              <w:left w:val="single" w:color="auto" w:sz="4" w:space="0"/>
              <w:bottom w:val="single" w:color="auto" w:sz="4" w:space="0"/>
              <w:right w:val="single" w:color="auto" w:sz="4" w:space="0"/>
            </w:tcBorders>
            <w:vAlign w:val="center"/>
          </w:tcPr>
          <w:p w14:paraId="41DFD6A8">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不组织现场考察。</w:t>
            </w:r>
          </w:p>
        </w:tc>
      </w:tr>
      <w:tr w14:paraId="01B489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895" w:type="dxa"/>
            <w:vMerge w:val="continue"/>
            <w:tcBorders>
              <w:left w:val="single" w:color="auto" w:sz="4" w:space="0"/>
              <w:bottom w:val="single" w:color="auto" w:sz="4" w:space="0"/>
              <w:right w:val="single" w:color="auto" w:sz="4" w:space="0"/>
            </w:tcBorders>
            <w:vAlign w:val="center"/>
          </w:tcPr>
          <w:p w14:paraId="4AFAEE0D">
            <w:pPr>
              <w:spacing w:line="360" w:lineRule="auto"/>
              <w:jc w:val="center"/>
              <w:rPr>
                <w:rFonts w:hint="eastAsia" w:ascii="宋体" w:hAnsi="宋体"/>
                <w:color w:val="auto"/>
                <w:szCs w:val="21"/>
                <w:highlight w:val="none"/>
              </w:rPr>
            </w:pPr>
          </w:p>
        </w:tc>
        <w:tc>
          <w:tcPr>
            <w:tcW w:w="8461" w:type="dxa"/>
            <w:tcBorders>
              <w:top w:val="single" w:color="auto" w:sz="4" w:space="0"/>
              <w:left w:val="single" w:color="auto" w:sz="4" w:space="0"/>
              <w:bottom w:val="single" w:color="auto" w:sz="4" w:space="0"/>
              <w:right w:val="single" w:color="auto" w:sz="4" w:space="0"/>
            </w:tcBorders>
            <w:vAlign w:val="center"/>
          </w:tcPr>
          <w:p w14:paraId="7904B894">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不组织召开开标前答疑会。</w:t>
            </w:r>
          </w:p>
        </w:tc>
      </w:tr>
      <w:tr w14:paraId="7ABB14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vMerge w:val="restart"/>
            <w:tcBorders>
              <w:top w:val="single" w:color="auto" w:sz="4" w:space="0"/>
              <w:left w:val="single" w:color="auto" w:sz="4" w:space="0"/>
              <w:right w:val="single" w:color="auto" w:sz="4" w:space="0"/>
            </w:tcBorders>
            <w:vAlign w:val="center"/>
          </w:tcPr>
          <w:p w14:paraId="6ABA9D45">
            <w:pPr>
              <w:spacing w:line="360" w:lineRule="auto"/>
              <w:jc w:val="center"/>
              <w:rPr>
                <w:rFonts w:hint="eastAsia" w:ascii="宋体" w:hAnsi="宋体"/>
                <w:color w:val="auto"/>
                <w:szCs w:val="21"/>
                <w:highlight w:val="none"/>
              </w:rPr>
            </w:pPr>
            <w:bookmarkStart w:id="62" w:name="_13.1"/>
            <w:bookmarkEnd w:id="62"/>
            <w:r>
              <w:rPr>
                <w:rFonts w:hint="eastAsia" w:ascii="宋体" w:hAnsi="宋体"/>
                <w:color w:val="auto"/>
                <w:szCs w:val="21"/>
                <w:highlight w:val="none"/>
              </w:rPr>
              <w:t>13</w:t>
            </w:r>
          </w:p>
        </w:tc>
        <w:tc>
          <w:tcPr>
            <w:tcW w:w="8461" w:type="dxa"/>
            <w:tcBorders>
              <w:top w:val="single" w:color="auto" w:sz="4" w:space="0"/>
              <w:left w:val="single" w:color="auto" w:sz="4" w:space="0"/>
              <w:bottom w:val="single" w:color="auto" w:sz="4" w:space="0"/>
              <w:right w:val="single" w:color="auto" w:sz="4" w:space="0"/>
            </w:tcBorders>
            <w:vAlign w:val="center"/>
          </w:tcPr>
          <w:p w14:paraId="55A627D3">
            <w:pPr>
              <w:snapToGrid w:val="0"/>
              <w:spacing w:line="360" w:lineRule="auto"/>
              <w:jc w:val="left"/>
              <w:rPr>
                <w:rFonts w:hint="eastAsia" w:ascii="宋体" w:hAnsi="宋体" w:cs="Courier New"/>
                <w:b/>
                <w:color w:val="auto"/>
                <w:szCs w:val="21"/>
                <w:highlight w:val="none"/>
              </w:rPr>
            </w:pPr>
            <w:r>
              <w:rPr>
                <w:rFonts w:hint="eastAsia" w:ascii="宋体" w:hAnsi="宋体" w:cs="Courier New"/>
                <w:b/>
                <w:color w:val="auto"/>
                <w:szCs w:val="21"/>
                <w:highlight w:val="none"/>
              </w:rPr>
              <w:t>报价文件：</w:t>
            </w:r>
          </w:p>
          <w:p w14:paraId="38495E91">
            <w:pPr>
              <w:tabs>
                <w:tab w:val="left" w:pos="459"/>
              </w:tabs>
              <w:snapToGrid w:val="0"/>
              <w:spacing w:line="360" w:lineRule="auto"/>
              <w:ind w:left="420"/>
              <w:jc w:val="left"/>
              <w:rPr>
                <w:rFonts w:hint="eastAsia" w:ascii="宋体" w:hAnsi="宋体"/>
                <w:color w:val="auto"/>
                <w:szCs w:val="21"/>
                <w:highlight w:val="none"/>
              </w:rPr>
            </w:pPr>
            <w:r>
              <w:rPr>
                <w:rFonts w:hint="eastAsia" w:ascii="宋体" w:hAnsi="宋体"/>
                <w:color w:val="auto"/>
                <w:szCs w:val="21"/>
                <w:highlight w:val="none"/>
              </w:rPr>
              <w:t>1.投标函（格式后附）；</w:t>
            </w:r>
            <w:r>
              <w:rPr>
                <w:rFonts w:hint="eastAsia" w:ascii="宋体" w:hAnsi="宋体"/>
                <w:b/>
                <w:color w:val="auto"/>
                <w:szCs w:val="21"/>
                <w:highlight w:val="none"/>
              </w:rPr>
              <w:t>（必须提供，否则按无效投标处理）</w:t>
            </w:r>
          </w:p>
          <w:p w14:paraId="7A8805A4">
            <w:pPr>
              <w:tabs>
                <w:tab w:val="left" w:pos="459"/>
              </w:tabs>
              <w:snapToGrid w:val="0"/>
              <w:spacing w:line="360" w:lineRule="auto"/>
              <w:ind w:left="420"/>
              <w:jc w:val="left"/>
              <w:rPr>
                <w:rFonts w:hint="eastAsia" w:ascii="宋体" w:hAnsi="宋体"/>
                <w:color w:val="auto"/>
                <w:szCs w:val="21"/>
                <w:highlight w:val="none"/>
              </w:rPr>
            </w:pPr>
            <w:bookmarkStart w:id="63" w:name="_Hlk71299233"/>
            <w:r>
              <w:rPr>
                <w:rFonts w:hint="eastAsia" w:ascii="宋体" w:hAnsi="宋体"/>
                <w:color w:val="auto"/>
                <w:szCs w:val="21"/>
                <w:highlight w:val="none"/>
              </w:rPr>
              <w:t>2.开标一览表</w:t>
            </w:r>
            <w:bookmarkEnd w:id="63"/>
            <w:r>
              <w:rPr>
                <w:rFonts w:hint="eastAsia" w:ascii="宋体" w:hAnsi="宋体"/>
                <w:color w:val="auto"/>
                <w:szCs w:val="21"/>
                <w:highlight w:val="none"/>
              </w:rPr>
              <w:t>（格式后附）； （</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36745038">
            <w:pPr>
              <w:tabs>
                <w:tab w:val="left" w:pos="459"/>
              </w:tabs>
              <w:snapToGrid w:val="0"/>
              <w:spacing w:line="360" w:lineRule="auto"/>
              <w:ind w:left="42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3.中小企业声明函或残疾人福利性单位声明函或投标人属于监狱企业的证明材料；</w:t>
            </w:r>
            <w:r>
              <w:rPr>
                <w:rFonts w:hint="eastAsia" w:ascii="宋体" w:hAnsi="宋体" w:eastAsia="宋体" w:cs="Times New Roman"/>
                <w:b/>
                <w:bCs/>
                <w:color w:val="auto"/>
                <w:szCs w:val="21"/>
                <w:highlight w:val="none"/>
              </w:rPr>
              <w:t>（如有，请提供）</w:t>
            </w:r>
          </w:p>
          <w:p w14:paraId="62664409">
            <w:pPr>
              <w:tabs>
                <w:tab w:val="left" w:pos="459"/>
              </w:tabs>
              <w:snapToGrid w:val="0"/>
              <w:spacing w:line="360" w:lineRule="auto"/>
              <w:ind w:left="420"/>
              <w:jc w:val="left"/>
              <w:rPr>
                <w:rFonts w:hint="eastAsia"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.投标人针对报价需要说明的其他文件和说明（格式自拟）。</w:t>
            </w:r>
          </w:p>
        </w:tc>
      </w:tr>
      <w:tr w14:paraId="49DA69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vMerge w:val="continue"/>
            <w:tcBorders>
              <w:left w:val="single" w:color="auto" w:sz="4" w:space="0"/>
              <w:right w:val="single" w:color="auto" w:sz="4" w:space="0"/>
            </w:tcBorders>
            <w:vAlign w:val="center"/>
          </w:tcPr>
          <w:p w14:paraId="36FEA209">
            <w:pPr>
              <w:spacing w:line="360" w:lineRule="auto"/>
              <w:rPr>
                <w:rFonts w:hint="eastAsia" w:ascii="宋体" w:hAnsi="宋体"/>
                <w:color w:val="auto"/>
                <w:szCs w:val="21"/>
                <w:highlight w:val="none"/>
              </w:rPr>
            </w:pPr>
            <w:bookmarkStart w:id="64" w:name="_13.2"/>
            <w:bookmarkEnd w:id="64"/>
          </w:p>
        </w:tc>
        <w:tc>
          <w:tcPr>
            <w:tcW w:w="8461" w:type="dxa"/>
            <w:tcBorders>
              <w:top w:val="single" w:color="auto" w:sz="4" w:space="0"/>
              <w:left w:val="single" w:color="auto" w:sz="4" w:space="0"/>
              <w:bottom w:val="single" w:color="auto" w:sz="4" w:space="0"/>
              <w:right w:val="single" w:color="auto" w:sz="4" w:space="0"/>
            </w:tcBorders>
            <w:vAlign w:val="center"/>
          </w:tcPr>
          <w:p w14:paraId="339F9209">
            <w:pPr>
              <w:snapToGrid w:val="0"/>
              <w:spacing w:line="360" w:lineRule="auto"/>
              <w:jc w:val="left"/>
              <w:rPr>
                <w:rFonts w:hint="eastAsia" w:ascii="宋体" w:hAnsi="宋体" w:cs="Courier New"/>
                <w:b/>
                <w:color w:val="auto"/>
                <w:szCs w:val="21"/>
                <w:highlight w:val="none"/>
              </w:rPr>
            </w:pPr>
            <w:r>
              <w:rPr>
                <w:rFonts w:hint="eastAsia" w:ascii="宋体" w:hAnsi="宋体" w:cs="Courier New"/>
                <w:b/>
                <w:color w:val="auto"/>
                <w:szCs w:val="21"/>
                <w:highlight w:val="none"/>
              </w:rPr>
              <w:t>资格证明文件</w:t>
            </w:r>
          </w:p>
          <w:p w14:paraId="3E339C05">
            <w:pPr>
              <w:snapToGrid w:val="0"/>
              <w:spacing w:line="360" w:lineRule="auto"/>
              <w:ind w:firstLine="420" w:firstLineChars="200"/>
              <w:jc w:val="left"/>
              <w:rPr>
                <w:rFonts w:ascii="宋体" w:hAnsi="宋体" w:cs="Courier New"/>
                <w:b/>
                <w:color w:val="auto"/>
                <w:szCs w:val="21"/>
                <w:highlight w:val="none"/>
              </w:rPr>
            </w:pPr>
            <w:r>
              <w:rPr>
                <w:rFonts w:hint="eastAsia" w:ascii="宋体" w:hAnsi="宋体"/>
                <w:color w:val="auto"/>
                <w:szCs w:val="21"/>
                <w:highlight w:val="none"/>
              </w:rPr>
              <w:t>1.投标人为法人或者其他组织的，提供营业执照等证明文件</w:t>
            </w:r>
            <w:r>
              <w:rPr>
                <w:rFonts w:hint="eastAsia" w:ascii="宋体" w:hAnsi="宋体" w:cs="宋体"/>
                <w:color w:val="auto"/>
                <w:szCs w:val="21"/>
                <w:highlight w:val="none"/>
              </w:rPr>
              <w:t>（如营业执照或者事业单位法人证书或者</w:t>
            </w:r>
            <w:r>
              <w:rPr>
                <w:rStyle w:val="114"/>
                <w:color w:val="auto"/>
                <w:sz w:val="21"/>
                <w:szCs w:val="21"/>
                <w:highlight w:val="none"/>
              </w:rPr>
              <w:t>执业许可证</w:t>
            </w:r>
            <w:r>
              <w:rPr>
                <w:rFonts w:hint="eastAsia" w:ascii="宋体" w:hAnsi="宋体" w:cs="宋体"/>
                <w:color w:val="auto"/>
                <w:szCs w:val="21"/>
                <w:highlight w:val="none"/>
              </w:rPr>
              <w:t>或者登记证书等）</w:t>
            </w:r>
            <w:r>
              <w:rPr>
                <w:rFonts w:hint="eastAsia" w:ascii="宋体" w:hAnsi="宋体"/>
                <w:color w:val="auto"/>
                <w:szCs w:val="21"/>
                <w:highlight w:val="none"/>
              </w:rPr>
              <w:t>，投标人为自然人的，提供身份证</w:t>
            </w:r>
            <w:r>
              <w:rPr>
                <w:rFonts w:hint="eastAsia" w:ascii="宋体" w:hAnsi="宋体" w:cs="宋体"/>
                <w:color w:val="auto"/>
                <w:szCs w:val="21"/>
                <w:highlight w:val="none"/>
              </w:rPr>
              <w:t>复印件</w:t>
            </w:r>
            <w:r>
              <w:rPr>
                <w:rFonts w:hint="eastAsia" w:ascii="宋体" w:hAnsi="宋体"/>
                <w:color w:val="auto"/>
                <w:szCs w:val="21"/>
                <w:highlight w:val="none"/>
              </w:rPr>
              <w:t>；（</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591F74DF">
            <w:pPr>
              <w:snapToGrid w:val="0"/>
              <w:spacing w:line="360" w:lineRule="auto"/>
              <w:ind w:firstLine="420" w:firstLineChars="200"/>
              <w:jc w:val="left"/>
              <w:rPr>
                <w:rFonts w:hint="eastAsia" w:ascii="宋体" w:hAnsi="宋体" w:cs="Courier New"/>
                <w:b/>
                <w:color w:val="auto"/>
                <w:szCs w:val="21"/>
                <w:highlight w:val="none"/>
              </w:rPr>
            </w:pPr>
            <w:r>
              <w:rPr>
                <w:rFonts w:hint="eastAsia" w:ascii="宋体" w:hAnsi="宋体" w:cs="宋体"/>
                <w:color w:val="auto"/>
                <w:szCs w:val="21"/>
                <w:highlight w:val="none"/>
              </w:rPr>
              <w:t>2.</w:t>
            </w:r>
            <w:r>
              <w:rPr>
                <w:rFonts w:hint="eastAsia" w:ascii="宋体" w:hAnsi="宋体" w:eastAsia="宋体" w:cs="Times New Roman"/>
                <w:color w:val="auto"/>
                <w:szCs w:val="21"/>
                <w:highlight w:val="none"/>
              </w:rPr>
              <w:t>投标人根据防财监〔2023〕58 号文要求提供的《防城港市政府采购供应商信用承诺函》（格式附后）</w:t>
            </w:r>
            <w:r>
              <w:rPr>
                <w:rFonts w:hint="eastAsia" w:ascii="宋体" w:hAnsi="宋体"/>
                <w:color w:val="auto"/>
                <w:szCs w:val="21"/>
                <w:highlight w:val="none"/>
              </w:rPr>
              <w:t>；（</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647D873B">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.投标人直接控股、管理关系信息表（格式后附）；（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604CBF67">
            <w:pPr>
              <w:snapToGrid w:val="0"/>
              <w:spacing w:line="360" w:lineRule="auto"/>
              <w:ind w:firstLine="420" w:firstLineChars="200"/>
              <w:jc w:val="left"/>
              <w:rPr>
                <w:rFonts w:hint="eastAsia" w:ascii="宋体" w:hAnsi="宋体" w:cs="Courier New"/>
                <w:b/>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.投标声明（格式后附）；（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192CC712">
            <w:pPr>
              <w:snapToGrid w:val="0"/>
              <w:spacing w:line="360" w:lineRule="auto"/>
              <w:ind w:firstLine="420" w:firstLineChars="200"/>
              <w:jc w:val="left"/>
              <w:rPr>
                <w:rFonts w:hint="eastAsia" w:ascii="宋体" w:hAnsi="宋体"/>
                <w:b/>
                <w:bCs/>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.投标人必须具有市政公用工程施工总承包三级以上（含三级）资质或城市及道路照明工程专业承包资质三级以上（含三级），具备有效的安全生产许可证</w:t>
            </w:r>
            <w:r>
              <w:rPr>
                <w:rFonts w:hint="eastAsia" w:ascii="宋体" w:hAnsi="宋体"/>
                <w:color w:val="auto"/>
                <w:szCs w:val="21"/>
                <w:highlight w:val="none"/>
                <w:lang w:eastAsia="zh-CN"/>
              </w:rPr>
              <w:t>，</w:t>
            </w:r>
            <w:r>
              <w:rPr>
                <w:rFonts w:hint="eastAsia" w:ascii="宋体" w:hAnsi="宋体"/>
                <w:color w:val="auto"/>
                <w:szCs w:val="21"/>
                <w:highlight w:val="none"/>
              </w:rPr>
              <w:t>拟投入的项目经理须具有市政公用工程专业二级以上（含二级）注册建造师资格。</w:t>
            </w:r>
            <w:r>
              <w:rPr>
                <w:rFonts w:hint="eastAsia" w:ascii="宋体" w:hAnsi="宋体"/>
                <w:b/>
                <w:bCs/>
                <w:color w:val="auto"/>
                <w:szCs w:val="21"/>
                <w:highlight w:val="none"/>
                <w:lang w:val="en-US" w:eastAsia="zh-CN"/>
              </w:rPr>
              <w:t>（必须提供，否则作无效投标处理）</w:t>
            </w:r>
          </w:p>
          <w:p w14:paraId="2FCE51E2">
            <w:pPr>
              <w:snapToGrid w:val="0"/>
              <w:spacing w:line="360" w:lineRule="auto"/>
              <w:ind w:firstLine="420" w:firstLineChars="200"/>
              <w:jc w:val="left"/>
              <w:rPr>
                <w:rFonts w:hint="eastAsia" w:ascii="宋体" w:hAnsi="宋体" w:cs="Courier New"/>
                <w:b/>
                <w:color w:val="auto"/>
                <w:szCs w:val="21"/>
                <w:highlight w:val="none"/>
              </w:rPr>
            </w:pPr>
            <w:r>
              <w:rPr>
                <w:rFonts w:hint="eastAsia" w:ascii="宋体" w:hAnsi="宋体"/>
                <w:color w:val="auto"/>
                <w:szCs w:val="21"/>
                <w:highlight w:val="none"/>
                <w:lang w:val="en-US" w:eastAsia="zh-CN"/>
              </w:rPr>
              <w:t>6.</w:t>
            </w:r>
            <w:r>
              <w:rPr>
                <w:rFonts w:hint="eastAsia" w:ascii="宋体" w:hAnsi="宋体"/>
                <w:color w:val="auto"/>
                <w:szCs w:val="21"/>
                <w:highlight w:val="none"/>
              </w:rPr>
              <w:t>投标人认为需要提供的其他证明材料。</w:t>
            </w:r>
          </w:p>
          <w:p w14:paraId="6B7AB6C4">
            <w:pPr>
              <w:snapToGrid w:val="0"/>
              <w:spacing w:line="360" w:lineRule="auto"/>
              <w:jc w:val="left"/>
              <w:rPr>
                <w:rFonts w:hint="eastAsia" w:ascii="宋体" w:hAnsi="宋体" w:cs="Courier New"/>
                <w:b/>
                <w:color w:val="auto"/>
                <w:szCs w:val="21"/>
                <w:highlight w:val="none"/>
              </w:rPr>
            </w:pPr>
            <w:r>
              <w:rPr>
                <w:rFonts w:hint="eastAsia" w:ascii="宋体" w:hAnsi="宋体"/>
                <w:b/>
                <w:bCs/>
                <w:color w:val="auto"/>
                <w:szCs w:val="21"/>
                <w:highlight w:val="none"/>
              </w:rPr>
              <w:t>注：1.</w:t>
            </w:r>
            <w:r>
              <w:rPr>
                <w:rFonts w:hint="eastAsia" w:ascii="宋体" w:hAnsi="宋体"/>
                <w:color w:val="auto"/>
                <w:szCs w:val="21"/>
                <w:highlight w:val="none"/>
              </w:rPr>
              <w:t xml:space="preserve"> </w:t>
            </w:r>
            <w:r>
              <w:rPr>
                <w:rFonts w:hint="eastAsia" w:ascii="宋体" w:hAnsi="宋体"/>
                <w:b/>
                <w:bCs/>
                <w:color w:val="auto"/>
                <w:szCs w:val="21"/>
                <w:highlight w:val="none"/>
              </w:rPr>
              <w:t>以上标明“必须提供”的材料属于复印件的，必须加盖投标人</w:t>
            </w:r>
            <w:r>
              <w:rPr>
                <w:rFonts w:hint="eastAsia" w:ascii="宋体" w:hAnsi="宋体"/>
                <w:b/>
                <w:bCs/>
                <w:color w:val="auto"/>
                <w:szCs w:val="21"/>
                <w:highlight w:val="none"/>
                <w:lang w:eastAsia="zh-CN"/>
              </w:rPr>
              <w:t>公章或电子签章</w:t>
            </w:r>
            <w:r>
              <w:rPr>
                <w:rFonts w:hint="eastAsia" w:ascii="宋体" w:hAnsi="宋体"/>
                <w:b/>
                <w:bCs/>
                <w:color w:val="auto"/>
                <w:szCs w:val="21"/>
                <w:highlight w:val="none"/>
              </w:rPr>
              <w:t>，否则按无效投标</w:t>
            </w:r>
            <w:r>
              <w:rPr>
                <w:rFonts w:hint="eastAsia" w:ascii="宋体" w:hAnsi="宋体" w:cs="Courier New"/>
                <w:b/>
                <w:color w:val="auto"/>
                <w:szCs w:val="21"/>
                <w:highlight w:val="none"/>
              </w:rPr>
              <w:t>处理。</w:t>
            </w:r>
          </w:p>
          <w:p w14:paraId="123F8E22">
            <w:pPr>
              <w:snapToGrid w:val="0"/>
              <w:spacing w:line="360" w:lineRule="auto"/>
              <w:ind w:firstLine="422" w:firstLineChars="200"/>
              <w:jc w:val="left"/>
              <w:rPr>
                <w:rFonts w:ascii="宋体" w:hAnsi="宋体"/>
                <w:b/>
                <w:bCs/>
                <w:color w:val="auto"/>
                <w:szCs w:val="21"/>
                <w:highlight w:val="none"/>
              </w:rPr>
            </w:pPr>
            <w:r>
              <w:rPr>
                <w:rFonts w:hint="eastAsia" w:ascii="宋体" w:hAnsi="宋体"/>
                <w:b/>
                <w:bCs/>
                <w:color w:val="auto"/>
                <w:szCs w:val="21"/>
                <w:highlight w:val="none"/>
              </w:rPr>
              <w:t>2.分公司参加投标的，应当取得总公司授权，否则按无效投标</w:t>
            </w:r>
            <w:r>
              <w:rPr>
                <w:rFonts w:hint="eastAsia" w:ascii="宋体" w:hAnsi="宋体" w:cs="Courier New"/>
                <w:b/>
                <w:color w:val="auto"/>
                <w:szCs w:val="21"/>
                <w:highlight w:val="none"/>
              </w:rPr>
              <w:t>处理</w:t>
            </w:r>
            <w:r>
              <w:rPr>
                <w:rFonts w:hint="eastAsia" w:ascii="宋体" w:hAnsi="宋体"/>
                <w:b/>
                <w:bCs/>
                <w:color w:val="auto"/>
                <w:szCs w:val="21"/>
                <w:highlight w:val="none"/>
              </w:rPr>
              <w:t>。</w:t>
            </w:r>
          </w:p>
        </w:tc>
      </w:tr>
      <w:tr w14:paraId="36AA1F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vMerge w:val="continue"/>
            <w:tcBorders>
              <w:left w:val="single" w:color="auto" w:sz="4" w:space="0"/>
              <w:right w:val="single" w:color="auto" w:sz="4" w:space="0"/>
            </w:tcBorders>
            <w:vAlign w:val="center"/>
          </w:tcPr>
          <w:p w14:paraId="7BF0DBC3">
            <w:pPr>
              <w:spacing w:line="360" w:lineRule="auto"/>
              <w:rPr>
                <w:rFonts w:hint="eastAsia" w:ascii="宋体" w:hAnsi="宋体"/>
                <w:color w:val="auto"/>
                <w:szCs w:val="21"/>
                <w:highlight w:val="none"/>
              </w:rPr>
            </w:pPr>
            <w:bookmarkStart w:id="65" w:name="_13.3"/>
            <w:bookmarkEnd w:id="65"/>
          </w:p>
        </w:tc>
        <w:tc>
          <w:tcPr>
            <w:tcW w:w="8461" w:type="dxa"/>
            <w:tcBorders>
              <w:top w:val="single" w:color="auto" w:sz="4" w:space="0"/>
              <w:left w:val="single" w:color="auto" w:sz="4" w:space="0"/>
              <w:bottom w:val="single" w:color="auto" w:sz="4" w:space="0"/>
              <w:right w:val="single" w:color="auto" w:sz="4" w:space="0"/>
            </w:tcBorders>
            <w:vAlign w:val="center"/>
          </w:tcPr>
          <w:p w14:paraId="423FA856">
            <w:pPr>
              <w:snapToGrid w:val="0"/>
              <w:spacing w:line="360" w:lineRule="auto"/>
              <w:jc w:val="left"/>
              <w:rPr>
                <w:rFonts w:hint="eastAsia" w:ascii="宋体" w:hAnsi="宋体" w:cs="Courier New"/>
                <w:b/>
                <w:color w:val="auto"/>
                <w:szCs w:val="21"/>
                <w:highlight w:val="none"/>
              </w:rPr>
            </w:pPr>
            <w:r>
              <w:rPr>
                <w:rFonts w:hint="eastAsia" w:ascii="宋体" w:hAnsi="宋体" w:cs="Courier New"/>
                <w:b/>
                <w:color w:val="auto"/>
                <w:szCs w:val="21"/>
                <w:highlight w:val="none"/>
              </w:rPr>
              <w:t>商务文件：</w:t>
            </w:r>
          </w:p>
          <w:p w14:paraId="36360609">
            <w:pPr>
              <w:snapToGrid w:val="0"/>
              <w:spacing w:line="360" w:lineRule="auto"/>
              <w:ind w:left="413"/>
              <w:jc w:val="left"/>
              <w:rPr>
                <w:rFonts w:hint="eastAsia" w:ascii="宋体" w:hAnsi="宋体"/>
                <w:color w:val="auto"/>
                <w:szCs w:val="21"/>
                <w:highlight w:val="none"/>
              </w:rPr>
            </w:pPr>
            <w:r>
              <w:rPr>
                <w:rFonts w:hint="eastAsia" w:ascii="宋体" w:hAnsi="宋体"/>
                <w:color w:val="auto"/>
                <w:szCs w:val="21"/>
                <w:highlight w:val="none"/>
              </w:rPr>
              <w:t>1.无串通投标行为的承诺函（格式后附）；（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447D1B00">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2.法定代表人身份证明及法定代表人有效身份证正反面复印件（格式后附）；（</w:t>
            </w:r>
            <w:r>
              <w:rPr>
                <w:rFonts w:hint="eastAsia" w:ascii="宋体" w:hAnsi="宋体" w:cs="宋体"/>
                <w:b/>
                <w:bCs/>
                <w:color w:val="auto"/>
                <w:szCs w:val="21"/>
                <w:highlight w:val="none"/>
              </w:rPr>
              <w:t>除自然人投标外</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52A5CD2D">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3.授权委托书及委托代理人有效身份证正反面复印件（格式后附）；（</w:t>
            </w:r>
            <w:r>
              <w:rPr>
                <w:rFonts w:hint="eastAsia" w:ascii="宋体" w:hAnsi="宋体"/>
                <w:b/>
                <w:color w:val="auto"/>
                <w:szCs w:val="21"/>
                <w:highlight w:val="none"/>
              </w:rPr>
              <w:t>委托时必须提供，否则按无效投标处理</w:t>
            </w:r>
            <w:r>
              <w:rPr>
                <w:rFonts w:hint="eastAsia" w:ascii="宋体" w:hAnsi="宋体"/>
                <w:color w:val="auto"/>
                <w:szCs w:val="21"/>
                <w:highlight w:val="none"/>
              </w:rPr>
              <w:t>）</w:t>
            </w:r>
          </w:p>
          <w:p w14:paraId="6F5E84BB">
            <w:pPr>
              <w:snapToGrid w:val="0"/>
              <w:spacing w:line="360" w:lineRule="auto"/>
              <w:ind w:left="413"/>
              <w:jc w:val="left"/>
              <w:rPr>
                <w:rFonts w:hint="eastAsia"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w:t>
            </w:r>
            <w:r>
              <w:rPr>
                <w:rFonts w:hint="eastAsia" w:ascii="宋体" w:hAnsi="宋体"/>
                <w:color w:val="auto"/>
                <w:szCs w:val="21"/>
                <w:highlight w:val="none"/>
              </w:rPr>
              <w:t>商务要求偏离表（格式后附）；（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57D1FE84">
            <w:pPr>
              <w:snapToGrid w:val="0"/>
              <w:spacing w:line="360" w:lineRule="auto"/>
              <w:ind w:left="413"/>
              <w:jc w:val="left"/>
              <w:rPr>
                <w:rFonts w:hint="eastAsia" w:ascii="宋体" w:hAnsi="宋体"/>
                <w:color w:val="auto"/>
                <w:szCs w:val="21"/>
                <w:highlight w:val="none"/>
              </w:rPr>
            </w:pPr>
            <w:r>
              <w:rPr>
                <w:rFonts w:hint="eastAsia" w:ascii="宋体" w:hAnsi="宋体"/>
                <w:color w:val="auto"/>
                <w:szCs w:val="21"/>
                <w:highlight w:val="none"/>
              </w:rPr>
              <w:t>5.投标人情况介绍（格式自拟）；</w:t>
            </w:r>
          </w:p>
          <w:p w14:paraId="0A6310DC">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6.投标人认为需要提供的其他证明材料（格式自拟）（投标人根据“第二章 采购需求”及“第四章 评标方法及评标标准”提供有关证明材料）。</w:t>
            </w:r>
          </w:p>
          <w:p w14:paraId="1271DABF">
            <w:pPr>
              <w:snapToGrid w:val="0"/>
              <w:spacing w:line="360" w:lineRule="auto"/>
              <w:jc w:val="left"/>
              <w:rPr>
                <w:rFonts w:hint="eastAsia" w:ascii="宋体" w:hAnsi="宋体"/>
                <w:color w:val="auto"/>
                <w:szCs w:val="21"/>
                <w:highlight w:val="none"/>
              </w:rPr>
            </w:pPr>
            <w:r>
              <w:rPr>
                <w:rFonts w:hint="eastAsia" w:ascii="宋体" w:hAnsi="宋体"/>
                <w:b/>
                <w:bCs/>
                <w:color w:val="auto"/>
                <w:szCs w:val="21"/>
                <w:highlight w:val="none"/>
              </w:rPr>
              <w:t>注：以上标明“必须提供”的材料属于复印件的，必须加盖投标人</w:t>
            </w:r>
            <w:r>
              <w:rPr>
                <w:rFonts w:hint="eastAsia" w:ascii="宋体" w:hAnsi="宋体"/>
                <w:b/>
                <w:bCs/>
                <w:color w:val="auto"/>
                <w:szCs w:val="21"/>
                <w:highlight w:val="none"/>
                <w:lang w:eastAsia="zh-CN"/>
              </w:rPr>
              <w:t>公章或电子签章</w:t>
            </w:r>
            <w:r>
              <w:rPr>
                <w:rFonts w:hint="eastAsia" w:ascii="宋体" w:hAnsi="宋体"/>
                <w:b/>
                <w:bCs/>
                <w:color w:val="auto"/>
                <w:szCs w:val="21"/>
                <w:highlight w:val="none"/>
              </w:rPr>
              <w:t>，否则按无效投标</w:t>
            </w:r>
            <w:r>
              <w:rPr>
                <w:rFonts w:hint="eastAsia" w:ascii="宋体" w:hAnsi="宋体" w:cs="Courier New"/>
                <w:b/>
                <w:color w:val="auto"/>
                <w:szCs w:val="21"/>
                <w:highlight w:val="none"/>
              </w:rPr>
              <w:t>处理</w:t>
            </w:r>
            <w:r>
              <w:rPr>
                <w:rFonts w:hint="eastAsia" w:ascii="宋体" w:hAnsi="宋体"/>
                <w:b/>
                <w:bCs/>
                <w:color w:val="auto"/>
                <w:szCs w:val="21"/>
                <w:highlight w:val="none"/>
              </w:rPr>
              <w:t>。</w:t>
            </w:r>
          </w:p>
        </w:tc>
      </w:tr>
      <w:tr w14:paraId="0B386A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vMerge w:val="continue"/>
            <w:tcBorders>
              <w:left w:val="single" w:color="auto" w:sz="4" w:space="0"/>
              <w:bottom w:val="single" w:color="auto" w:sz="4" w:space="0"/>
              <w:right w:val="single" w:color="auto" w:sz="4" w:space="0"/>
            </w:tcBorders>
            <w:vAlign w:val="center"/>
          </w:tcPr>
          <w:p w14:paraId="3F788D60">
            <w:pPr>
              <w:spacing w:line="360" w:lineRule="auto"/>
              <w:rPr>
                <w:rFonts w:hint="eastAsia" w:ascii="宋体" w:hAnsi="宋体"/>
                <w:color w:val="auto"/>
                <w:szCs w:val="21"/>
                <w:highlight w:val="none"/>
              </w:rPr>
            </w:pPr>
            <w:bookmarkStart w:id="66" w:name="_13.4"/>
            <w:bookmarkEnd w:id="66"/>
          </w:p>
        </w:tc>
        <w:tc>
          <w:tcPr>
            <w:tcW w:w="8461" w:type="dxa"/>
            <w:tcBorders>
              <w:top w:val="single" w:color="auto" w:sz="4" w:space="0"/>
              <w:left w:val="single" w:color="auto" w:sz="4" w:space="0"/>
              <w:bottom w:val="single" w:color="auto" w:sz="4" w:space="0"/>
              <w:right w:val="single" w:color="auto" w:sz="4" w:space="0"/>
            </w:tcBorders>
            <w:vAlign w:val="center"/>
          </w:tcPr>
          <w:p w14:paraId="143B9F93">
            <w:pPr>
              <w:snapToGrid w:val="0"/>
              <w:spacing w:line="360" w:lineRule="auto"/>
              <w:jc w:val="left"/>
              <w:rPr>
                <w:rFonts w:hint="eastAsia" w:ascii="宋体" w:hAnsi="宋体" w:cs="Courier New"/>
                <w:b/>
                <w:color w:val="auto"/>
                <w:szCs w:val="21"/>
                <w:highlight w:val="none"/>
              </w:rPr>
            </w:pPr>
            <w:r>
              <w:rPr>
                <w:rFonts w:hint="eastAsia" w:ascii="宋体" w:hAnsi="宋体" w:cs="Courier New"/>
                <w:b/>
                <w:color w:val="auto"/>
                <w:szCs w:val="21"/>
                <w:highlight w:val="none"/>
              </w:rPr>
              <w:t>技术文件：</w:t>
            </w:r>
          </w:p>
          <w:p w14:paraId="30ACF2AE">
            <w:pPr>
              <w:snapToGrid w:val="0"/>
              <w:spacing w:line="360" w:lineRule="auto"/>
              <w:ind w:left="42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w:t>
            </w:r>
            <w:r>
              <w:rPr>
                <w:rFonts w:hint="eastAsia" w:ascii="宋体" w:hAnsi="宋体"/>
                <w:color w:val="auto"/>
                <w:szCs w:val="21"/>
                <w:highlight w:val="none"/>
              </w:rPr>
              <w:t>技术需求偏离表；</w:t>
            </w:r>
            <w:r>
              <w:rPr>
                <w:rFonts w:hint="eastAsia" w:ascii="宋体" w:hAnsi="宋体"/>
                <w:b/>
                <w:bCs/>
                <w:color w:val="auto"/>
                <w:szCs w:val="21"/>
                <w:highlight w:val="none"/>
              </w:rPr>
              <w:t>（必须提供，否则作无效投标处理）</w:t>
            </w:r>
          </w:p>
          <w:p w14:paraId="45A3B127">
            <w:pPr>
              <w:snapToGrid w:val="0"/>
              <w:spacing w:line="360" w:lineRule="auto"/>
              <w:ind w:left="420"/>
              <w:jc w:val="left"/>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w:t>
            </w:r>
            <w:r>
              <w:rPr>
                <w:rFonts w:hint="eastAsia" w:ascii="宋体" w:hAnsi="宋体"/>
                <w:color w:val="auto"/>
                <w:szCs w:val="21"/>
                <w:highlight w:val="none"/>
              </w:rPr>
              <w:t>拟投入项目人员情况表；（</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3D4A5946">
            <w:pPr>
              <w:snapToGrid w:val="0"/>
              <w:spacing w:line="360" w:lineRule="auto"/>
              <w:ind w:left="420"/>
              <w:jc w:val="left"/>
              <w:rPr>
                <w:rFonts w:hint="eastAsia" w:ascii="宋体" w:hAnsi="宋体"/>
                <w:color w:val="auto"/>
                <w:szCs w:val="21"/>
                <w:highlight w:val="none"/>
              </w:rPr>
            </w:pPr>
            <w:r>
              <w:rPr>
                <w:rFonts w:hint="eastAsia" w:ascii="宋体" w:hAnsi="宋体"/>
                <w:color w:val="auto"/>
                <w:szCs w:val="21"/>
                <w:highlight w:val="none"/>
              </w:rPr>
              <w:t>3</w:t>
            </w:r>
            <w:r>
              <w:rPr>
                <w:rFonts w:hint="eastAsia" w:ascii="宋体" w:hAnsi="宋体"/>
                <w:color w:val="auto"/>
                <w:szCs w:val="21"/>
                <w:highlight w:val="none"/>
                <w:lang w:val="en-US" w:eastAsia="zh-CN"/>
              </w:rPr>
              <w:t>.</w:t>
            </w:r>
            <w:r>
              <w:rPr>
                <w:rFonts w:hint="eastAsia" w:ascii="宋体" w:hAnsi="宋体"/>
                <w:color w:val="auto"/>
                <w:szCs w:val="21"/>
                <w:highlight w:val="none"/>
              </w:rPr>
              <w:t>拟投入本项目的主要机械设备；（</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6704874D">
            <w:pPr>
              <w:snapToGrid w:val="0"/>
              <w:spacing w:line="360" w:lineRule="auto"/>
              <w:ind w:left="420"/>
              <w:jc w:val="left"/>
              <w:rPr>
                <w:rFonts w:hint="eastAsia" w:ascii="宋体" w:hAnsi="宋体"/>
                <w:color w:val="auto"/>
                <w:szCs w:val="21"/>
                <w:highlight w:val="none"/>
              </w:rPr>
            </w:pPr>
            <w:r>
              <w:rPr>
                <w:rFonts w:hint="eastAsia" w:ascii="宋体" w:hAnsi="宋体"/>
                <w:color w:val="auto"/>
                <w:szCs w:val="21"/>
                <w:highlight w:val="none"/>
              </w:rPr>
              <w:t>4</w:t>
            </w:r>
            <w:r>
              <w:rPr>
                <w:rFonts w:hint="eastAsia" w:ascii="宋体" w:hAnsi="宋体"/>
                <w:color w:val="auto"/>
                <w:szCs w:val="21"/>
                <w:highlight w:val="none"/>
                <w:lang w:val="en-US" w:eastAsia="zh-CN"/>
              </w:rPr>
              <w:t>.</w:t>
            </w:r>
            <w:r>
              <w:rPr>
                <w:rFonts w:hint="eastAsia" w:ascii="宋体" w:hAnsi="宋体"/>
                <w:color w:val="auto"/>
                <w:szCs w:val="21"/>
                <w:highlight w:val="none"/>
              </w:rPr>
              <w:t>投标人针对各类工程的质量、安全、文明施工保证措施方案；（</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742BFDF3">
            <w:pPr>
              <w:snapToGrid w:val="0"/>
              <w:spacing w:line="360" w:lineRule="auto"/>
              <w:ind w:left="420"/>
              <w:jc w:val="left"/>
              <w:rPr>
                <w:rFonts w:hint="eastAsia" w:ascii="宋体" w:hAnsi="宋体"/>
                <w:bCs/>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.除招标文件规定必须提供以外，投标人需要说明的其他文件和说明（格式自拟）。</w:t>
            </w:r>
          </w:p>
          <w:p w14:paraId="647F30E5">
            <w:pPr>
              <w:snapToGrid w:val="0"/>
              <w:spacing w:line="360" w:lineRule="auto"/>
              <w:jc w:val="left"/>
              <w:rPr>
                <w:rFonts w:hint="eastAsia" w:ascii="宋体" w:hAnsi="宋体"/>
                <w:b/>
                <w:bCs/>
                <w:color w:val="auto"/>
                <w:szCs w:val="21"/>
                <w:highlight w:val="none"/>
              </w:rPr>
            </w:pPr>
            <w:r>
              <w:rPr>
                <w:rFonts w:hint="eastAsia" w:ascii="宋体" w:hAnsi="宋体"/>
                <w:b/>
                <w:bCs/>
                <w:color w:val="auto"/>
                <w:szCs w:val="21"/>
                <w:highlight w:val="none"/>
              </w:rPr>
              <w:t>注：以上标明“必须提供”的材料属于复印件的，必须加盖投标人</w:t>
            </w:r>
            <w:r>
              <w:rPr>
                <w:rFonts w:hint="eastAsia" w:ascii="宋体" w:hAnsi="宋体"/>
                <w:b/>
                <w:bCs/>
                <w:color w:val="auto"/>
                <w:szCs w:val="21"/>
                <w:highlight w:val="none"/>
                <w:lang w:eastAsia="zh-CN"/>
              </w:rPr>
              <w:t>公章或电子签章</w:t>
            </w:r>
            <w:r>
              <w:rPr>
                <w:rFonts w:hint="eastAsia" w:ascii="宋体" w:hAnsi="宋体"/>
                <w:b/>
                <w:bCs/>
                <w:color w:val="auto"/>
                <w:szCs w:val="21"/>
                <w:highlight w:val="none"/>
              </w:rPr>
              <w:t>，否则按无效投标</w:t>
            </w:r>
            <w:r>
              <w:rPr>
                <w:rFonts w:hint="eastAsia" w:ascii="宋体" w:hAnsi="宋体" w:cs="Courier New"/>
                <w:b/>
                <w:color w:val="auto"/>
                <w:szCs w:val="21"/>
                <w:highlight w:val="none"/>
              </w:rPr>
              <w:t>处理</w:t>
            </w:r>
            <w:r>
              <w:rPr>
                <w:rFonts w:hint="eastAsia" w:ascii="宋体" w:hAnsi="宋体"/>
                <w:b/>
                <w:bCs/>
                <w:color w:val="auto"/>
                <w:szCs w:val="21"/>
                <w:highlight w:val="none"/>
              </w:rPr>
              <w:t>。</w:t>
            </w:r>
          </w:p>
        </w:tc>
      </w:tr>
      <w:tr w14:paraId="1436CB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0DFF8A68">
            <w:pPr>
              <w:spacing w:line="360" w:lineRule="auto"/>
              <w:jc w:val="center"/>
              <w:rPr>
                <w:rFonts w:hint="eastAsia" w:ascii="宋体" w:hAnsi="宋体"/>
                <w:color w:val="auto"/>
                <w:szCs w:val="21"/>
                <w:highlight w:val="none"/>
              </w:rPr>
            </w:pPr>
            <w:bookmarkStart w:id="67" w:name="_13.5"/>
            <w:bookmarkEnd w:id="67"/>
            <w:bookmarkStart w:id="68" w:name="_16.2"/>
            <w:bookmarkEnd w:id="68"/>
            <w:r>
              <w:rPr>
                <w:rFonts w:hint="eastAsia" w:ascii="宋体" w:hAnsi="宋体"/>
                <w:color w:val="auto"/>
                <w:szCs w:val="21"/>
                <w:highlight w:val="none"/>
              </w:rPr>
              <w:t>16</w:t>
            </w:r>
            <w:bookmarkStart w:id="69" w:name="_Hlt19194067"/>
            <w:bookmarkStart w:id="70" w:name="_Hlt19693758"/>
            <w:bookmarkStart w:id="71" w:name="_Hlt19693759"/>
            <w:bookmarkStart w:id="72" w:name="_Hlt19194066"/>
            <w:r>
              <w:rPr>
                <w:rFonts w:hint="eastAsia" w:ascii="宋体" w:hAnsi="宋体"/>
                <w:color w:val="auto"/>
                <w:szCs w:val="21"/>
                <w:highlight w:val="none"/>
              </w:rPr>
              <w:t>.</w:t>
            </w:r>
            <w:bookmarkEnd w:id="69"/>
            <w:bookmarkEnd w:id="70"/>
            <w:bookmarkEnd w:id="71"/>
            <w:bookmarkEnd w:id="72"/>
            <w:r>
              <w:rPr>
                <w:rFonts w:hint="eastAsia" w:ascii="宋体" w:hAnsi="宋体"/>
                <w:color w:val="auto"/>
                <w:szCs w:val="21"/>
                <w:highlight w:val="none"/>
              </w:rPr>
              <w:t>2</w:t>
            </w:r>
          </w:p>
        </w:tc>
        <w:tc>
          <w:tcPr>
            <w:tcW w:w="8461" w:type="dxa"/>
            <w:tcBorders>
              <w:top w:val="single" w:color="auto" w:sz="4" w:space="0"/>
              <w:left w:val="single" w:color="auto" w:sz="4" w:space="0"/>
              <w:bottom w:val="single" w:color="auto" w:sz="4" w:space="0"/>
              <w:right w:val="single" w:color="auto" w:sz="4" w:space="0"/>
            </w:tcBorders>
            <w:vAlign w:val="center"/>
          </w:tcPr>
          <w:p w14:paraId="404BCCFD">
            <w:pPr>
              <w:snapToGrid w:val="0"/>
              <w:spacing w:line="360" w:lineRule="auto"/>
              <w:jc w:val="left"/>
              <w:rPr>
                <w:rFonts w:hint="eastAsia"/>
                <w:color w:val="auto"/>
                <w:highlight w:val="none"/>
              </w:rPr>
            </w:pPr>
            <w:r>
              <w:rPr>
                <w:rFonts w:hint="eastAsia" w:ascii="宋体" w:hAnsi="宋体"/>
                <w:color w:val="auto"/>
                <w:szCs w:val="21"/>
                <w:highlight w:val="none"/>
              </w:rPr>
              <w:t>投标报价是履行合同的最终价格，包括：本次服务采购项目实施和完成服务所需的劳务费、技术服务费、交通、通讯、办公场地、管理费、人员服装费、所用人员的工资和社保（五险）、利润、税金及其它过程中所有一切成本费用的总和。对于本文件中未列明，而供应商认为必需的费用也需列入总报价。在合同实施时，采购单位将不予支付中标人没有列入的项目费用，并认为此项目的费用已包括在总报价中。</w:t>
            </w:r>
          </w:p>
        </w:tc>
      </w:tr>
      <w:tr w14:paraId="3D3B19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29FE0A75">
            <w:pPr>
              <w:spacing w:line="360" w:lineRule="auto"/>
              <w:jc w:val="center"/>
              <w:rPr>
                <w:rFonts w:hint="eastAsia" w:ascii="宋体" w:hAnsi="宋体"/>
                <w:color w:val="auto"/>
                <w:szCs w:val="21"/>
                <w:highlight w:val="none"/>
              </w:rPr>
            </w:pPr>
            <w:bookmarkStart w:id="73" w:name="_17.1"/>
            <w:bookmarkEnd w:id="73"/>
            <w:r>
              <w:rPr>
                <w:rFonts w:hint="eastAsia" w:ascii="宋体" w:hAnsi="宋体"/>
                <w:color w:val="auto"/>
                <w:szCs w:val="21"/>
                <w:highlight w:val="none"/>
              </w:rPr>
              <w:t>17.</w:t>
            </w:r>
            <w:r>
              <w:rPr>
                <w:rFonts w:ascii="宋体" w:hAnsi="宋体"/>
                <w:color w:val="auto"/>
                <w:szCs w:val="21"/>
                <w:highlight w:val="none"/>
              </w:rPr>
              <w:t>2</w:t>
            </w:r>
          </w:p>
        </w:tc>
        <w:tc>
          <w:tcPr>
            <w:tcW w:w="8461" w:type="dxa"/>
            <w:tcBorders>
              <w:top w:val="single" w:color="auto" w:sz="4" w:space="0"/>
              <w:left w:val="single" w:color="auto" w:sz="4" w:space="0"/>
              <w:bottom w:val="single" w:color="auto" w:sz="4" w:space="0"/>
              <w:right w:val="single" w:color="auto" w:sz="4" w:space="0"/>
            </w:tcBorders>
            <w:vAlign w:val="center"/>
          </w:tcPr>
          <w:p w14:paraId="6B15F9B1">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投标有效期：自投标截止之日起</w:t>
            </w:r>
            <w:r>
              <w:rPr>
                <w:rFonts w:hint="eastAsia" w:ascii="宋体" w:hAnsi="宋体"/>
                <w:color w:val="auto"/>
                <w:szCs w:val="21"/>
                <w:highlight w:val="none"/>
                <w:u w:val="single"/>
              </w:rPr>
              <w:t>60</w:t>
            </w:r>
            <w:r>
              <w:rPr>
                <w:rFonts w:hint="eastAsia" w:ascii="宋体" w:hAnsi="宋体"/>
                <w:color w:val="auto"/>
                <w:szCs w:val="21"/>
                <w:highlight w:val="none"/>
              </w:rPr>
              <w:t>日。</w:t>
            </w:r>
          </w:p>
        </w:tc>
      </w:tr>
      <w:tr w14:paraId="138A59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59CF4EB0">
            <w:pPr>
              <w:spacing w:line="360" w:lineRule="auto"/>
              <w:jc w:val="center"/>
              <w:rPr>
                <w:rFonts w:hint="eastAsia" w:ascii="宋体" w:hAnsi="宋体"/>
                <w:color w:val="auto"/>
                <w:szCs w:val="21"/>
                <w:highlight w:val="none"/>
              </w:rPr>
            </w:pPr>
            <w:bookmarkStart w:id="74" w:name="_18"/>
            <w:bookmarkEnd w:id="74"/>
            <w:r>
              <w:rPr>
                <w:rFonts w:hint="eastAsia" w:ascii="宋体" w:hAnsi="宋体"/>
                <w:color w:val="auto"/>
                <w:szCs w:val="21"/>
                <w:highlight w:val="none"/>
              </w:rPr>
              <w:t>18</w:t>
            </w:r>
            <w:r>
              <w:rPr>
                <w:rFonts w:ascii="宋体" w:hAnsi="宋体"/>
                <w:color w:val="auto"/>
                <w:szCs w:val="21"/>
                <w:highlight w:val="none"/>
              </w:rPr>
              <w:t>.1</w:t>
            </w:r>
          </w:p>
        </w:tc>
        <w:tc>
          <w:tcPr>
            <w:tcW w:w="8461" w:type="dxa"/>
            <w:tcBorders>
              <w:top w:val="single" w:color="auto" w:sz="4" w:space="0"/>
              <w:left w:val="single" w:color="auto" w:sz="4" w:space="0"/>
              <w:bottom w:val="single" w:color="auto" w:sz="4" w:space="0"/>
              <w:right w:val="single" w:color="auto" w:sz="4" w:space="0"/>
            </w:tcBorders>
            <w:vAlign w:val="center"/>
          </w:tcPr>
          <w:p w14:paraId="6CCF2862">
            <w:pPr>
              <w:autoSpaceDE w:val="0"/>
              <w:autoSpaceDN w:val="0"/>
              <w:snapToGrid w:val="0"/>
              <w:spacing w:line="360" w:lineRule="auto"/>
              <w:textAlignment w:val="bottom"/>
              <w:rPr>
                <w:rFonts w:hint="eastAsia" w:ascii="宋体" w:hAnsi="宋体"/>
                <w:color w:val="auto"/>
                <w:highlight w:val="none"/>
              </w:rPr>
            </w:pPr>
            <w:r>
              <w:rPr>
                <w:rFonts w:hint="eastAsia" w:ascii="宋体" w:hAnsi="宋体"/>
                <w:color w:val="auto"/>
                <w:szCs w:val="21"/>
                <w:highlight w:val="none"/>
              </w:rPr>
              <w:t>本项目不收取投标保证金。</w:t>
            </w:r>
          </w:p>
        </w:tc>
      </w:tr>
      <w:tr w14:paraId="083EC9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73F1F22D">
            <w:pPr>
              <w:spacing w:line="360" w:lineRule="auto"/>
              <w:jc w:val="center"/>
              <w:rPr>
                <w:rFonts w:hint="eastAsia" w:ascii="宋体" w:hAnsi="宋体"/>
                <w:color w:val="auto"/>
                <w:szCs w:val="21"/>
                <w:highlight w:val="none"/>
              </w:rPr>
            </w:pPr>
            <w:bookmarkStart w:id="75" w:name="_19.2"/>
            <w:bookmarkEnd w:id="75"/>
            <w:r>
              <w:rPr>
                <w:rFonts w:hint="eastAsia" w:ascii="宋体" w:hAnsi="宋体"/>
                <w:color w:val="auto"/>
                <w:szCs w:val="21"/>
                <w:highlight w:val="none"/>
              </w:rPr>
              <w:t>20</w:t>
            </w:r>
          </w:p>
        </w:tc>
        <w:tc>
          <w:tcPr>
            <w:tcW w:w="8461" w:type="dxa"/>
            <w:tcBorders>
              <w:top w:val="single" w:color="auto" w:sz="4" w:space="0"/>
              <w:left w:val="single" w:color="auto" w:sz="4" w:space="0"/>
              <w:bottom w:val="single" w:color="auto" w:sz="4" w:space="0"/>
              <w:right w:val="single" w:color="auto" w:sz="4" w:space="0"/>
            </w:tcBorders>
            <w:vAlign w:val="center"/>
          </w:tcPr>
          <w:p w14:paraId="4A3F22FA">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本项目不接受</w:t>
            </w:r>
            <w:r>
              <w:rPr>
                <w:rFonts w:hint="eastAsia" w:ascii="宋体" w:hAnsi="宋体"/>
                <w:color w:val="auto"/>
                <w:highlight w:val="none"/>
              </w:rPr>
              <w:t>电子</w:t>
            </w:r>
            <w:r>
              <w:rPr>
                <w:rFonts w:hint="eastAsia" w:ascii="宋体" w:hAnsi="宋体"/>
                <w:color w:val="auto"/>
                <w:szCs w:val="21"/>
                <w:highlight w:val="none"/>
              </w:rPr>
              <w:t>备份投标文件。</w:t>
            </w:r>
          </w:p>
        </w:tc>
      </w:tr>
      <w:tr w14:paraId="567923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895" w:type="dxa"/>
            <w:tcBorders>
              <w:top w:val="single" w:color="auto" w:sz="4" w:space="0"/>
              <w:left w:val="single" w:color="auto" w:sz="4" w:space="0"/>
              <w:bottom w:val="single" w:color="auto" w:sz="4" w:space="0"/>
              <w:right w:val="single" w:color="auto" w:sz="4" w:space="0"/>
            </w:tcBorders>
            <w:vAlign w:val="center"/>
          </w:tcPr>
          <w:p w14:paraId="451CD372">
            <w:pPr>
              <w:spacing w:line="360" w:lineRule="auto"/>
              <w:jc w:val="center"/>
              <w:rPr>
                <w:rFonts w:hint="eastAsia" w:ascii="宋体" w:hAnsi="宋体"/>
                <w:color w:val="auto"/>
                <w:szCs w:val="21"/>
                <w:highlight w:val="none"/>
              </w:rPr>
            </w:pPr>
            <w:bookmarkStart w:id="76" w:name="_21.1"/>
            <w:bookmarkEnd w:id="76"/>
            <w:r>
              <w:rPr>
                <w:rFonts w:hint="eastAsia" w:ascii="宋体" w:hAnsi="宋体"/>
                <w:color w:val="auto"/>
                <w:szCs w:val="21"/>
                <w:highlight w:val="none"/>
              </w:rPr>
              <w:t>21.1</w:t>
            </w:r>
          </w:p>
        </w:tc>
        <w:tc>
          <w:tcPr>
            <w:tcW w:w="8461" w:type="dxa"/>
            <w:tcBorders>
              <w:top w:val="single" w:color="auto" w:sz="4" w:space="0"/>
              <w:left w:val="single" w:color="auto" w:sz="4" w:space="0"/>
              <w:bottom w:val="single" w:color="auto" w:sz="4" w:space="0"/>
              <w:right w:val="single" w:color="auto" w:sz="4" w:space="0"/>
            </w:tcBorders>
            <w:vAlign w:val="center"/>
          </w:tcPr>
          <w:p w14:paraId="2BA85ECD">
            <w:pPr>
              <w:snapToGrid w:val="0"/>
              <w:spacing w:line="360" w:lineRule="auto"/>
              <w:rPr>
                <w:rFonts w:hint="eastAsia" w:ascii="宋体" w:hAnsi="宋体"/>
                <w:color w:val="auto"/>
                <w:szCs w:val="21"/>
                <w:highlight w:val="none"/>
                <w:u w:val="single"/>
              </w:rPr>
            </w:pPr>
            <w:r>
              <w:rPr>
                <w:rFonts w:hint="eastAsia" w:ascii="宋体" w:hAnsi="宋体"/>
                <w:color w:val="auto"/>
                <w:szCs w:val="21"/>
                <w:highlight w:val="none"/>
              </w:rPr>
              <w:t>1.投标文件提交截止时间：详见招标公告。</w:t>
            </w:r>
          </w:p>
          <w:p w14:paraId="6E19C609">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2.投标地点：详见招标公告。</w:t>
            </w:r>
          </w:p>
        </w:tc>
      </w:tr>
      <w:tr w14:paraId="200D2C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580EC32B">
            <w:pPr>
              <w:spacing w:line="360" w:lineRule="auto"/>
              <w:jc w:val="center"/>
              <w:rPr>
                <w:rFonts w:hint="eastAsia" w:ascii="宋体" w:hAnsi="宋体"/>
                <w:color w:val="auto"/>
                <w:szCs w:val="21"/>
                <w:highlight w:val="none"/>
              </w:rPr>
            </w:pPr>
            <w:bookmarkStart w:id="77" w:name="_23"/>
            <w:bookmarkEnd w:id="77"/>
            <w:r>
              <w:rPr>
                <w:rFonts w:hint="eastAsia" w:ascii="宋体" w:hAnsi="宋体"/>
                <w:color w:val="auto"/>
                <w:szCs w:val="21"/>
                <w:highlight w:val="none"/>
              </w:rPr>
              <w:t>23</w:t>
            </w:r>
          </w:p>
        </w:tc>
        <w:tc>
          <w:tcPr>
            <w:tcW w:w="8461" w:type="dxa"/>
            <w:tcBorders>
              <w:top w:val="single" w:color="auto" w:sz="4" w:space="0"/>
              <w:left w:val="single" w:color="auto" w:sz="4" w:space="0"/>
              <w:bottom w:val="single" w:color="auto" w:sz="4" w:space="0"/>
              <w:right w:val="single" w:color="auto" w:sz="4" w:space="0"/>
            </w:tcBorders>
            <w:vAlign w:val="center"/>
          </w:tcPr>
          <w:p w14:paraId="18A55AF7">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1.开标时间：详见招标公告。</w:t>
            </w:r>
          </w:p>
          <w:p w14:paraId="1C906ABD">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2.开标地点：详见招标公告。</w:t>
            </w:r>
          </w:p>
        </w:tc>
      </w:tr>
      <w:tr w14:paraId="4D71DA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2C86405D">
            <w:pPr>
              <w:spacing w:line="360" w:lineRule="auto"/>
              <w:jc w:val="center"/>
              <w:rPr>
                <w:rFonts w:hint="eastAsia" w:ascii="宋体" w:hAnsi="宋体"/>
                <w:color w:val="auto"/>
                <w:szCs w:val="21"/>
                <w:highlight w:val="none"/>
              </w:rPr>
            </w:pPr>
            <w:r>
              <w:rPr>
                <w:rFonts w:hint="eastAsia" w:ascii="宋体" w:hAnsi="宋体"/>
                <w:color w:val="auto"/>
                <w:szCs w:val="21"/>
                <w:highlight w:val="none"/>
              </w:rPr>
              <w:t>24.3</w:t>
            </w:r>
            <w:r>
              <w:rPr>
                <w:rFonts w:hint="eastAsia" w:ascii="宋体" w:hAnsi="宋体"/>
                <w:color w:val="auto"/>
                <w:szCs w:val="21"/>
                <w:highlight w:val="none"/>
                <w:lang w:eastAsia="zh-CN"/>
              </w:rPr>
              <w:t>(</w:t>
            </w:r>
            <w:r>
              <w:rPr>
                <w:rFonts w:hint="eastAsia" w:ascii="宋体" w:hAnsi="宋体"/>
                <w:color w:val="auto"/>
                <w:szCs w:val="21"/>
                <w:highlight w:val="none"/>
              </w:rPr>
              <w:t>1</w:t>
            </w:r>
            <w:r>
              <w:rPr>
                <w:rFonts w:hint="eastAsia" w:ascii="宋体" w:hAnsi="宋体"/>
                <w:color w:val="auto"/>
                <w:szCs w:val="21"/>
                <w:highlight w:val="none"/>
                <w:lang w:eastAsia="zh-CN"/>
              </w:rPr>
              <w:t>)</w:t>
            </w:r>
          </w:p>
        </w:tc>
        <w:tc>
          <w:tcPr>
            <w:tcW w:w="8461" w:type="dxa"/>
            <w:tcBorders>
              <w:top w:val="single" w:color="auto" w:sz="4" w:space="0"/>
              <w:left w:val="single" w:color="auto" w:sz="4" w:space="0"/>
              <w:bottom w:val="single" w:color="auto" w:sz="4" w:space="0"/>
              <w:right w:val="single" w:color="auto" w:sz="4" w:space="0"/>
            </w:tcBorders>
            <w:vAlign w:val="center"/>
          </w:tcPr>
          <w:p w14:paraId="3FEF63F6">
            <w:pPr>
              <w:snapToGrid w:val="0"/>
              <w:spacing w:line="360" w:lineRule="auto"/>
              <w:rPr>
                <w:rFonts w:hint="eastAsia" w:ascii="宋体" w:hAnsi="宋体"/>
                <w:color w:val="auto"/>
                <w:highlight w:val="none"/>
                <w:u w:val="single"/>
              </w:rPr>
            </w:pPr>
            <w:r>
              <w:rPr>
                <w:rFonts w:hint="eastAsia" w:ascii="宋体" w:hAnsi="宋体"/>
                <w:color w:val="auto"/>
                <w:highlight w:val="none"/>
              </w:rPr>
              <w:t>电子投标文件解密时间：30分钟</w:t>
            </w:r>
          </w:p>
        </w:tc>
      </w:tr>
      <w:tr w14:paraId="2C5C3F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41DFE896">
            <w:pPr>
              <w:spacing w:line="360" w:lineRule="auto"/>
              <w:jc w:val="center"/>
              <w:rPr>
                <w:rFonts w:ascii="宋体" w:hAnsi="宋体"/>
                <w:color w:val="auto"/>
                <w:szCs w:val="21"/>
                <w:highlight w:val="none"/>
              </w:rPr>
            </w:pPr>
            <w:r>
              <w:rPr>
                <w:rFonts w:hint="eastAsia" w:ascii="宋体" w:hAnsi="宋体"/>
                <w:color w:val="auto"/>
                <w:szCs w:val="21"/>
                <w:highlight w:val="none"/>
              </w:rPr>
              <w:t>24</w:t>
            </w:r>
            <w:r>
              <w:rPr>
                <w:rFonts w:ascii="宋体" w:hAnsi="宋体"/>
                <w:color w:val="auto"/>
                <w:szCs w:val="21"/>
                <w:highlight w:val="none"/>
              </w:rPr>
              <w:t>.3</w:t>
            </w:r>
            <w:r>
              <w:rPr>
                <w:rFonts w:hint="eastAsia" w:ascii="宋体" w:hAnsi="宋体"/>
                <w:color w:val="auto"/>
                <w:szCs w:val="21"/>
                <w:highlight w:val="none"/>
                <w:lang w:eastAsia="zh-CN"/>
              </w:rPr>
              <w:t>(</w:t>
            </w:r>
            <w:r>
              <w:rPr>
                <w:rFonts w:ascii="宋体" w:hAnsi="宋体"/>
                <w:color w:val="auto"/>
                <w:szCs w:val="21"/>
                <w:highlight w:val="none"/>
              </w:rPr>
              <w:t>2</w:t>
            </w:r>
            <w:r>
              <w:rPr>
                <w:rFonts w:hint="eastAsia" w:ascii="宋体" w:hAnsi="宋体"/>
                <w:color w:val="auto"/>
                <w:szCs w:val="21"/>
                <w:highlight w:val="none"/>
                <w:lang w:eastAsia="zh-CN"/>
              </w:rPr>
              <w:t>)</w:t>
            </w:r>
          </w:p>
        </w:tc>
        <w:tc>
          <w:tcPr>
            <w:tcW w:w="8461" w:type="dxa"/>
            <w:tcBorders>
              <w:top w:val="single" w:color="auto" w:sz="4" w:space="0"/>
              <w:left w:val="single" w:color="auto" w:sz="4" w:space="0"/>
              <w:bottom w:val="single" w:color="auto" w:sz="4" w:space="0"/>
              <w:right w:val="single" w:color="auto" w:sz="4" w:space="0"/>
            </w:tcBorders>
            <w:vAlign w:val="center"/>
          </w:tcPr>
          <w:p w14:paraId="74FDFD50">
            <w:pPr>
              <w:snapToGrid w:val="0"/>
              <w:spacing w:line="360" w:lineRule="auto"/>
              <w:rPr>
                <w:rFonts w:ascii="宋体" w:hAnsi="宋体"/>
                <w:color w:val="auto"/>
                <w:szCs w:val="21"/>
                <w:highlight w:val="none"/>
              </w:rPr>
            </w:pPr>
            <w:r>
              <w:rPr>
                <w:rFonts w:hint="eastAsia" w:ascii="宋体" w:hAnsi="宋体"/>
                <w:color w:val="auto"/>
                <w:highlight w:val="none"/>
              </w:rPr>
              <w:t>宣布的内容：投标人名称、投标价格。</w:t>
            </w:r>
          </w:p>
        </w:tc>
      </w:tr>
      <w:tr w14:paraId="5EE400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5BA68420">
            <w:pPr>
              <w:spacing w:line="360" w:lineRule="auto"/>
              <w:jc w:val="center"/>
              <w:rPr>
                <w:rFonts w:hint="eastAsia" w:ascii="宋体" w:hAnsi="宋体"/>
                <w:color w:val="auto"/>
                <w:szCs w:val="21"/>
                <w:highlight w:val="none"/>
              </w:rPr>
            </w:pPr>
            <w:bookmarkStart w:id="78" w:name="_25.3"/>
            <w:bookmarkEnd w:id="78"/>
            <w:r>
              <w:rPr>
                <w:rFonts w:hint="eastAsia" w:ascii="宋体" w:hAnsi="宋体"/>
                <w:color w:val="auto"/>
                <w:szCs w:val="21"/>
                <w:highlight w:val="none"/>
              </w:rPr>
              <w:t>25.3</w:t>
            </w:r>
            <w:r>
              <w:rPr>
                <w:rFonts w:hint="eastAsia" w:ascii="宋体" w:hAnsi="宋体"/>
                <w:color w:val="auto"/>
                <w:szCs w:val="21"/>
                <w:highlight w:val="none"/>
                <w:lang w:eastAsia="zh-CN"/>
              </w:rPr>
              <w:t>(</w:t>
            </w:r>
            <w:r>
              <w:rPr>
                <w:rFonts w:ascii="宋体" w:hAnsi="宋体"/>
                <w:color w:val="auto"/>
                <w:szCs w:val="21"/>
                <w:highlight w:val="none"/>
              </w:rPr>
              <w:t>2</w:t>
            </w:r>
            <w:r>
              <w:rPr>
                <w:rFonts w:hint="eastAsia" w:ascii="宋体" w:hAnsi="宋体"/>
                <w:color w:val="auto"/>
                <w:szCs w:val="21"/>
                <w:highlight w:val="none"/>
                <w:lang w:eastAsia="zh-CN"/>
              </w:rPr>
              <w:t>)</w:t>
            </w:r>
          </w:p>
        </w:tc>
        <w:tc>
          <w:tcPr>
            <w:tcW w:w="8461" w:type="dxa"/>
            <w:tcBorders>
              <w:top w:val="single" w:color="auto" w:sz="4" w:space="0"/>
              <w:left w:val="single" w:color="auto" w:sz="4" w:space="0"/>
              <w:bottom w:val="single" w:color="auto" w:sz="4" w:space="0"/>
              <w:right w:val="single" w:color="auto" w:sz="4" w:space="0"/>
            </w:tcBorders>
            <w:vAlign w:val="center"/>
          </w:tcPr>
          <w:p w14:paraId="473F19D4">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采购人或者采购代理机构在资格审查结束前，对投标人进行信用查询。</w:t>
            </w:r>
          </w:p>
          <w:p w14:paraId="173E891A">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查询渠道：“信用中国”网站（www.creditchina.gov.cn） 、中国政府采购网（www.ccgp.gov.cn）。</w:t>
            </w:r>
          </w:p>
          <w:p w14:paraId="710E76A3">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信用查询截止时点：资格审查结束前</w:t>
            </w:r>
          </w:p>
          <w:p w14:paraId="331C8B5A">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查询记录和证据留存方式：在查询网站中直接截图查询记录，截图作为在“政采云”平台作为附件上传保存。</w:t>
            </w:r>
          </w:p>
          <w:p w14:paraId="09562740">
            <w:pPr>
              <w:snapToGrid w:val="0"/>
              <w:spacing w:line="360" w:lineRule="auto"/>
              <w:rPr>
                <w:rFonts w:hint="eastAsia" w:ascii="宋体" w:hAnsi="宋体"/>
                <w:b/>
                <w:color w:val="auto"/>
                <w:szCs w:val="21"/>
                <w:highlight w:val="none"/>
              </w:rPr>
            </w:pPr>
            <w:r>
              <w:rPr>
                <w:rFonts w:hint="eastAsia" w:ascii="宋体" w:hAnsi="宋体"/>
                <w:color w:val="auto"/>
                <w:szCs w:val="21"/>
                <w:highlight w:val="none"/>
              </w:rPr>
              <w:t>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采购人或者采购代理机构</w:t>
            </w:r>
            <w:r>
              <w:rPr>
                <w:rFonts w:hint="eastAsia" w:ascii="宋体" w:hAnsi="宋体"/>
                <w:color w:val="auto"/>
                <w:sz w:val="22"/>
                <w:szCs w:val="22"/>
                <w:highlight w:val="none"/>
              </w:rPr>
              <w:t>应当拒绝其参与政府采购活动</w:t>
            </w:r>
            <w:r>
              <w:rPr>
                <w:rFonts w:hint="eastAsia" w:ascii="宋体" w:hAnsi="宋体"/>
                <w:color w:val="auto"/>
                <w:szCs w:val="21"/>
                <w:highlight w:val="none"/>
              </w:rPr>
              <w:t>。两个以上的自然人、法人或者其他组织组成一个联合体，以一个供应商的身份共同参加政府采购活动的，应当对所有联合体成员进行信用记录查询，联合体成员存在不良信用记录（被列入失信被执行人、重大税收违法案件当事人名单、政府采购严重违法失信行为记录名单及其他不符合《中华人民共和国政府采购法》第二十二条规定条件的供应商）的，视同联合体存在不良信用记录。</w:t>
            </w:r>
          </w:p>
        </w:tc>
      </w:tr>
      <w:tr w14:paraId="3C7A6B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49AA2FB9">
            <w:pPr>
              <w:spacing w:line="360" w:lineRule="auto"/>
              <w:jc w:val="center"/>
              <w:rPr>
                <w:rFonts w:hint="eastAsia" w:ascii="宋体" w:hAnsi="宋体"/>
                <w:color w:val="auto"/>
                <w:szCs w:val="21"/>
                <w:highlight w:val="none"/>
              </w:rPr>
            </w:pPr>
            <w:bookmarkStart w:id="79" w:name="_26"/>
            <w:bookmarkEnd w:id="79"/>
            <w:r>
              <w:rPr>
                <w:rFonts w:hint="eastAsia" w:ascii="宋体" w:hAnsi="宋体"/>
                <w:color w:val="auto"/>
                <w:szCs w:val="21"/>
                <w:highlight w:val="none"/>
              </w:rPr>
              <w:t>26</w:t>
            </w:r>
            <w:r>
              <w:rPr>
                <w:rFonts w:ascii="宋体" w:hAnsi="宋体"/>
                <w:color w:val="auto"/>
                <w:szCs w:val="21"/>
                <w:highlight w:val="none"/>
              </w:rPr>
              <w:t>.1</w:t>
            </w:r>
          </w:p>
        </w:tc>
        <w:tc>
          <w:tcPr>
            <w:tcW w:w="8461" w:type="dxa"/>
            <w:tcBorders>
              <w:top w:val="single" w:color="auto" w:sz="4" w:space="0"/>
              <w:left w:val="single" w:color="auto" w:sz="4" w:space="0"/>
              <w:bottom w:val="single" w:color="auto" w:sz="4" w:space="0"/>
              <w:right w:val="single" w:color="auto" w:sz="4" w:space="0"/>
            </w:tcBorders>
            <w:vAlign w:val="center"/>
          </w:tcPr>
          <w:p w14:paraId="5E1B9217">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评标委员会的人数：</w:t>
            </w:r>
            <w:r>
              <w:rPr>
                <w:rFonts w:hint="eastAsia" w:ascii="宋体" w:hAnsi="宋体"/>
                <w:color w:val="auto"/>
                <w:szCs w:val="21"/>
                <w:highlight w:val="none"/>
                <w:u w:val="single"/>
              </w:rPr>
              <w:t>7</w:t>
            </w:r>
            <w:r>
              <w:rPr>
                <w:rFonts w:hint="eastAsia" w:ascii="宋体" w:hAnsi="宋体"/>
                <w:color w:val="auto"/>
                <w:szCs w:val="21"/>
                <w:highlight w:val="none"/>
              </w:rPr>
              <w:t>人</w:t>
            </w:r>
          </w:p>
        </w:tc>
      </w:tr>
      <w:tr w14:paraId="7668E6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738BC91F">
            <w:pPr>
              <w:spacing w:line="360" w:lineRule="auto"/>
              <w:jc w:val="center"/>
              <w:rPr>
                <w:rFonts w:hint="eastAsia" w:ascii="宋体" w:hAnsi="宋体"/>
                <w:color w:val="auto"/>
                <w:szCs w:val="21"/>
                <w:highlight w:val="none"/>
              </w:rPr>
            </w:pPr>
            <w:bookmarkStart w:id="80" w:name="_28.3"/>
            <w:bookmarkEnd w:id="80"/>
            <w:r>
              <w:rPr>
                <w:rFonts w:ascii="宋体" w:hAnsi="宋体"/>
                <w:color w:val="auto"/>
                <w:szCs w:val="21"/>
                <w:highlight w:val="none"/>
              </w:rPr>
              <w:t>29.1</w:t>
            </w:r>
          </w:p>
        </w:tc>
        <w:tc>
          <w:tcPr>
            <w:tcW w:w="8461" w:type="dxa"/>
            <w:tcBorders>
              <w:top w:val="single" w:color="auto" w:sz="4" w:space="0"/>
              <w:left w:val="single" w:color="auto" w:sz="4" w:space="0"/>
              <w:bottom w:val="single" w:color="auto" w:sz="4" w:space="0"/>
              <w:right w:val="single" w:color="auto" w:sz="4" w:space="0"/>
            </w:tcBorders>
            <w:vAlign w:val="center"/>
          </w:tcPr>
          <w:p w14:paraId="65827974">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评标方法：综合评分法。</w:t>
            </w:r>
          </w:p>
        </w:tc>
      </w:tr>
      <w:tr w14:paraId="1D3E70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95" w:type="dxa"/>
            <w:tcBorders>
              <w:top w:val="single" w:color="auto" w:sz="4" w:space="0"/>
              <w:left w:val="single" w:color="auto" w:sz="4" w:space="0"/>
              <w:bottom w:val="single" w:color="auto" w:sz="4" w:space="0"/>
              <w:right w:val="single" w:color="auto" w:sz="4" w:space="0"/>
            </w:tcBorders>
            <w:vAlign w:val="center"/>
          </w:tcPr>
          <w:p w14:paraId="5C8FD7F8">
            <w:pPr>
              <w:spacing w:line="360" w:lineRule="auto"/>
              <w:jc w:val="center"/>
              <w:rPr>
                <w:rFonts w:hint="eastAsia" w:ascii="宋体" w:hAnsi="宋体"/>
                <w:color w:val="auto"/>
                <w:szCs w:val="21"/>
                <w:highlight w:val="none"/>
              </w:rPr>
            </w:pPr>
            <w:bookmarkStart w:id="81" w:name="_29.2.2（2）"/>
            <w:bookmarkEnd w:id="81"/>
            <w:r>
              <w:rPr>
                <w:rFonts w:hint="eastAsia" w:ascii="宋体" w:hAnsi="宋体"/>
                <w:color w:val="auto"/>
                <w:szCs w:val="21"/>
                <w:highlight w:val="none"/>
              </w:rPr>
              <w:t>2</w:t>
            </w:r>
            <w:r>
              <w:rPr>
                <w:rFonts w:ascii="宋体" w:hAnsi="宋体"/>
                <w:color w:val="auto"/>
                <w:szCs w:val="21"/>
                <w:highlight w:val="none"/>
              </w:rPr>
              <w:t>9.2</w:t>
            </w:r>
          </w:p>
        </w:tc>
        <w:tc>
          <w:tcPr>
            <w:tcW w:w="8461" w:type="dxa"/>
            <w:tcBorders>
              <w:top w:val="single" w:color="auto" w:sz="4" w:space="0"/>
              <w:left w:val="single" w:color="auto" w:sz="4" w:space="0"/>
              <w:right w:val="single" w:color="auto" w:sz="4" w:space="0"/>
            </w:tcBorders>
            <w:vAlign w:val="center"/>
          </w:tcPr>
          <w:p w14:paraId="1450C20B">
            <w:pPr>
              <w:snapToGrid w:val="0"/>
              <w:spacing w:line="360" w:lineRule="auto"/>
              <w:rPr>
                <w:rFonts w:ascii="宋体" w:hAnsi="宋体"/>
                <w:color w:val="auto"/>
                <w:szCs w:val="21"/>
                <w:highlight w:val="none"/>
              </w:rPr>
            </w:pPr>
            <w:r>
              <w:rPr>
                <w:rFonts w:hint="eastAsia" w:ascii="宋体" w:hAnsi="宋体" w:cs="宋体"/>
                <w:color w:val="auto"/>
                <w:szCs w:val="21"/>
                <w:highlight w:val="none"/>
              </w:rPr>
              <w:t>商务要求</w:t>
            </w:r>
            <w:r>
              <w:rPr>
                <w:rFonts w:hint="eastAsia" w:ascii="宋体" w:hAnsi="宋体"/>
                <w:color w:val="auto"/>
                <w:szCs w:val="21"/>
                <w:highlight w:val="none"/>
              </w:rPr>
              <w:t>评审中允许负偏离的条款数为0项。</w:t>
            </w:r>
          </w:p>
          <w:p w14:paraId="463C5A57">
            <w:pPr>
              <w:snapToGrid w:val="0"/>
              <w:spacing w:line="360" w:lineRule="auto"/>
              <w:rPr>
                <w:rFonts w:hint="eastAsia" w:ascii="宋体" w:hAnsi="宋体"/>
                <w:color w:val="auto"/>
                <w:szCs w:val="21"/>
                <w:highlight w:val="none"/>
              </w:rPr>
            </w:pPr>
            <w:r>
              <w:rPr>
                <w:rFonts w:hint="eastAsia" w:ascii="宋体" w:hAnsi="宋体" w:cs="宋体"/>
                <w:color w:val="auto"/>
                <w:szCs w:val="21"/>
                <w:highlight w:val="none"/>
              </w:rPr>
              <w:t>技术要求</w:t>
            </w:r>
            <w:r>
              <w:rPr>
                <w:rFonts w:hint="eastAsia" w:ascii="宋体" w:hAnsi="宋体"/>
                <w:color w:val="auto"/>
                <w:szCs w:val="21"/>
                <w:highlight w:val="none"/>
              </w:rPr>
              <w:t>允许负偏离的条款数为0项。</w:t>
            </w:r>
          </w:p>
        </w:tc>
      </w:tr>
      <w:tr w14:paraId="3648F7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95" w:type="dxa"/>
            <w:tcBorders>
              <w:top w:val="single" w:color="auto" w:sz="4" w:space="0"/>
              <w:left w:val="single" w:color="auto" w:sz="4" w:space="0"/>
              <w:bottom w:val="single" w:color="auto" w:sz="4" w:space="0"/>
              <w:right w:val="single" w:color="auto" w:sz="4" w:space="0"/>
            </w:tcBorders>
            <w:vAlign w:val="center"/>
          </w:tcPr>
          <w:p w14:paraId="04ABE00E">
            <w:pPr>
              <w:spacing w:line="360" w:lineRule="auto"/>
              <w:jc w:val="center"/>
              <w:rPr>
                <w:rFonts w:hint="eastAsia"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9.3</w:t>
            </w:r>
          </w:p>
        </w:tc>
        <w:tc>
          <w:tcPr>
            <w:tcW w:w="8461" w:type="dxa"/>
            <w:tcBorders>
              <w:top w:val="single" w:color="auto" w:sz="4" w:space="0"/>
              <w:left w:val="single" w:color="auto" w:sz="4" w:space="0"/>
              <w:right w:val="single" w:color="auto" w:sz="4" w:space="0"/>
            </w:tcBorders>
            <w:vAlign w:val="center"/>
          </w:tcPr>
          <w:p w14:paraId="385FE938">
            <w:pPr>
              <w:snapToGrid w:val="0"/>
              <w:spacing w:line="360" w:lineRule="auto"/>
              <w:rPr>
                <w:rFonts w:hint="eastAsia" w:ascii="宋体" w:hAnsi="宋体" w:cs="宋体"/>
                <w:color w:val="auto"/>
                <w:szCs w:val="21"/>
                <w:highlight w:val="none"/>
              </w:rPr>
            </w:pPr>
            <w:r>
              <w:rPr>
                <w:rFonts w:ascii="宋体" w:hAnsi="宋体"/>
                <w:color w:val="auto"/>
                <w:highlight w:val="none"/>
              </w:rPr>
              <w:t>中标候选人推荐数量</w:t>
            </w:r>
            <w:r>
              <w:rPr>
                <w:rFonts w:hint="eastAsia" w:ascii="宋体" w:hAnsi="宋体"/>
                <w:color w:val="auto"/>
                <w:highlight w:val="none"/>
              </w:rPr>
              <w:t>：3</w:t>
            </w:r>
            <w:r>
              <w:rPr>
                <w:rFonts w:ascii="宋体" w:hAnsi="宋体"/>
                <w:color w:val="auto"/>
                <w:highlight w:val="none"/>
              </w:rPr>
              <w:t>名</w:t>
            </w:r>
            <w:r>
              <w:rPr>
                <w:rFonts w:hint="eastAsia" w:ascii="宋体" w:hAnsi="宋体"/>
                <w:color w:val="auto"/>
                <w:highlight w:val="none"/>
              </w:rPr>
              <w:t>。</w:t>
            </w:r>
          </w:p>
        </w:tc>
      </w:tr>
      <w:tr w14:paraId="5D4862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09EE1389">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30</w:t>
            </w:r>
            <w:r>
              <w:rPr>
                <w:rFonts w:ascii="宋体" w:hAnsi="宋体"/>
                <w:color w:val="auto"/>
                <w:szCs w:val="21"/>
                <w:highlight w:val="none"/>
              </w:rPr>
              <w:t>.1</w:t>
            </w:r>
          </w:p>
        </w:tc>
        <w:tc>
          <w:tcPr>
            <w:tcW w:w="8461" w:type="dxa"/>
            <w:tcBorders>
              <w:top w:val="single" w:color="auto" w:sz="4" w:space="0"/>
              <w:left w:val="single" w:color="auto" w:sz="4" w:space="0"/>
              <w:bottom w:val="single" w:color="auto" w:sz="4" w:space="0"/>
              <w:right w:val="single" w:color="auto" w:sz="4" w:space="0"/>
            </w:tcBorders>
            <w:vAlign w:val="center"/>
          </w:tcPr>
          <w:p w14:paraId="45F219A4">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采用综合评分法的采购项目，采购人确定中标人时，出现中标候选人并列的情形，采购人按</w:t>
            </w:r>
            <w:r>
              <w:rPr>
                <w:rFonts w:hint="eastAsia" w:ascii="宋体" w:hAnsi="宋体"/>
                <w:color w:val="auto"/>
                <w:szCs w:val="21"/>
                <w:highlight w:val="none"/>
                <w:lang w:eastAsia="zh-CN"/>
              </w:rPr>
              <w:t>以下</w:t>
            </w:r>
            <w:r>
              <w:rPr>
                <w:rFonts w:hint="eastAsia" w:ascii="宋体" w:hAnsi="宋体"/>
                <w:color w:val="auto"/>
                <w:szCs w:val="21"/>
                <w:highlight w:val="none"/>
              </w:rPr>
              <w:t>方式确定中标人：依次按投标报价低的优先、技术评分高的优先、商务评分高的优先、故障响应时间短优先的顺序确定。</w:t>
            </w:r>
          </w:p>
        </w:tc>
      </w:tr>
      <w:tr w14:paraId="55BDCB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95" w:type="dxa"/>
            <w:tcBorders>
              <w:top w:val="single" w:color="auto" w:sz="4" w:space="0"/>
              <w:left w:val="single" w:color="auto" w:sz="4" w:space="0"/>
              <w:bottom w:val="single" w:color="auto" w:sz="4" w:space="0"/>
              <w:right w:val="single" w:color="auto" w:sz="4" w:space="0"/>
            </w:tcBorders>
            <w:vAlign w:val="center"/>
          </w:tcPr>
          <w:p w14:paraId="08AA86E5">
            <w:pPr>
              <w:spacing w:line="360" w:lineRule="auto"/>
              <w:jc w:val="center"/>
              <w:rPr>
                <w:rFonts w:hint="eastAsia" w:ascii="宋体" w:hAnsi="宋体"/>
                <w:color w:val="auto"/>
                <w:szCs w:val="21"/>
                <w:highlight w:val="none"/>
              </w:rPr>
            </w:pPr>
            <w:bookmarkStart w:id="82" w:name="_39.1"/>
            <w:bookmarkEnd w:id="82"/>
            <w:r>
              <w:rPr>
                <w:rFonts w:hint="eastAsia" w:ascii="宋体" w:hAnsi="宋体"/>
                <w:color w:val="auto"/>
                <w:szCs w:val="21"/>
                <w:highlight w:val="none"/>
              </w:rPr>
              <w:t>35</w:t>
            </w:r>
            <w:r>
              <w:rPr>
                <w:rFonts w:ascii="宋体" w:hAnsi="宋体"/>
                <w:color w:val="auto"/>
                <w:szCs w:val="21"/>
                <w:highlight w:val="none"/>
              </w:rPr>
              <w:t>.1</w:t>
            </w:r>
          </w:p>
        </w:tc>
        <w:tc>
          <w:tcPr>
            <w:tcW w:w="8461" w:type="dxa"/>
            <w:tcBorders>
              <w:top w:val="single" w:color="auto" w:sz="4" w:space="0"/>
              <w:left w:val="single" w:color="auto" w:sz="4" w:space="0"/>
              <w:bottom w:val="single" w:color="auto" w:sz="4" w:space="0"/>
              <w:right w:val="single" w:color="auto" w:sz="4" w:space="0"/>
            </w:tcBorders>
            <w:vAlign w:val="center"/>
          </w:tcPr>
          <w:p w14:paraId="198D4C33">
            <w:pPr>
              <w:autoSpaceDE w:val="0"/>
              <w:autoSpaceDN w:val="0"/>
              <w:snapToGrid w:val="0"/>
              <w:spacing w:line="360" w:lineRule="auto"/>
              <w:textAlignment w:val="bottom"/>
              <w:rPr>
                <w:rFonts w:hint="eastAsia" w:ascii="宋体" w:hAnsi="宋体" w:cs="宋体"/>
                <w:color w:val="auto"/>
                <w:kern w:val="0"/>
                <w:szCs w:val="21"/>
                <w:highlight w:val="none"/>
              </w:rPr>
            </w:pPr>
            <w:r>
              <w:rPr>
                <w:rFonts w:hint="eastAsia" w:ascii="宋体" w:hAnsi="宋体" w:cs="宋体"/>
                <w:color w:val="auto"/>
                <w:kern w:val="0"/>
                <w:szCs w:val="21"/>
                <w:highlight w:val="none"/>
              </w:rPr>
              <w:t>本项目不收取履约保证金。</w:t>
            </w:r>
          </w:p>
        </w:tc>
      </w:tr>
      <w:tr w14:paraId="41124D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32C0CC36">
            <w:pPr>
              <w:spacing w:line="360" w:lineRule="auto"/>
              <w:jc w:val="center"/>
              <w:rPr>
                <w:rFonts w:hint="eastAsia" w:ascii="宋体" w:hAnsi="宋体"/>
                <w:color w:val="auto"/>
                <w:szCs w:val="21"/>
                <w:highlight w:val="none"/>
              </w:rPr>
            </w:pPr>
            <w:bookmarkStart w:id="83" w:name="_40.1"/>
            <w:bookmarkEnd w:id="83"/>
            <w:r>
              <w:rPr>
                <w:rFonts w:hint="eastAsia" w:ascii="宋体" w:hAnsi="宋体"/>
                <w:color w:val="auto"/>
                <w:szCs w:val="21"/>
                <w:highlight w:val="none"/>
              </w:rPr>
              <w:t>36.1</w:t>
            </w:r>
          </w:p>
        </w:tc>
        <w:tc>
          <w:tcPr>
            <w:tcW w:w="8461" w:type="dxa"/>
            <w:tcBorders>
              <w:top w:val="single" w:color="auto" w:sz="4" w:space="0"/>
              <w:left w:val="single" w:color="auto" w:sz="4" w:space="0"/>
              <w:bottom w:val="single" w:color="auto" w:sz="4" w:space="0"/>
              <w:right w:val="single" w:color="auto" w:sz="4" w:space="0"/>
            </w:tcBorders>
            <w:vAlign w:val="center"/>
          </w:tcPr>
          <w:p w14:paraId="06EB3B32">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 xml:space="preserve">签订合同携带的证明材料： </w:t>
            </w:r>
          </w:p>
          <w:p w14:paraId="70ECCDD5">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委托代理人负责签订合同的，须携带授权委托书及委托代理人身份证原件等其他资格证件。</w:t>
            </w:r>
          </w:p>
          <w:p w14:paraId="110027AC">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法定代表人负责签订合同的，须携带法定代表人</w:t>
            </w:r>
            <w:r>
              <w:rPr>
                <w:rFonts w:ascii="宋体" w:hAnsi="宋体"/>
                <w:color w:val="auto"/>
                <w:szCs w:val="21"/>
                <w:highlight w:val="none"/>
              </w:rPr>
              <w:t>身份证明原件</w:t>
            </w:r>
            <w:r>
              <w:rPr>
                <w:rFonts w:hint="eastAsia" w:ascii="宋体" w:hAnsi="宋体"/>
                <w:color w:val="auto"/>
                <w:szCs w:val="21"/>
                <w:highlight w:val="none"/>
              </w:rPr>
              <w:t>及</w:t>
            </w:r>
            <w:r>
              <w:rPr>
                <w:rFonts w:ascii="宋体" w:hAnsi="宋体"/>
                <w:color w:val="auto"/>
                <w:szCs w:val="21"/>
                <w:highlight w:val="none"/>
              </w:rPr>
              <w:t>身份证原件</w:t>
            </w:r>
            <w:r>
              <w:rPr>
                <w:rFonts w:hint="eastAsia" w:ascii="宋体" w:hAnsi="宋体"/>
                <w:color w:val="auto"/>
                <w:szCs w:val="21"/>
                <w:highlight w:val="none"/>
              </w:rPr>
              <w:t>等其他证明材料。</w:t>
            </w:r>
          </w:p>
        </w:tc>
      </w:tr>
      <w:tr w14:paraId="7A6718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658176C7">
            <w:pPr>
              <w:spacing w:line="360" w:lineRule="auto"/>
              <w:jc w:val="center"/>
              <w:rPr>
                <w:rFonts w:hint="eastAsia"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8.2</w:t>
            </w:r>
          </w:p>
        </w:tc>
        <w:tc>
          <w:tcPr>
            <w:tcW w:w="8461" w:type="dxa"/>
            <w:tcBorders>
              <w:top w:val="single" w:color="auto" w:sz="4" w:space="0"/>
              <w:left w:val="single" w:color="auto" w:sz="4" w:space="0"/>
              <w:bottom w:val="single" w:color="auto" w:sz="4" w:space="0"/>
              <w:right w:val="single" w:color="auto" w:sz="4" w:space="0"/>
            </w:tcBorders>
            <w:vAlign w:val="center"/>
          </w:tcPr>
          <w:p w14:paraId="7F8CB714">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接收质疑函方式：以书面形式</w:t>
            </w:r>
          </w:p>
          <w:p w14:paraId="281FD0BA">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质疑联系部门及联系方式：</w:t>
            </w:r>
            <w:r>
              <w:rPr>
                <w:rFonts w:hint="eastAsia" w:ascii="宋体" w:hAnsi="宋体"/>
                <w:color w:val="auto"/>
                <w:szCs w:val="21"/>
                <w:highlight w:val="none"/>
                <w:lang w:eastAsia="zh-CN"/>
              </w:rPr>
              <w:t>广西达华工程造价咨询有限责任公司</w:t>
            </w:r>
            <w:r>
              <w:rPr>
                <w:rFonts w:hint="eastAsia" w:ascii="宋体" w:hAnsi="宋体"/>
                <w:color w:val="auto"/>
                <w:szCs w:val="21"/>
                <w:highlight w:val="none"/>
              </w:rPr>
              <w:t>，联系电话：</w:t>
            </w:r>
            <w:r>
              <w:rPr>
                <w:rFonts w:hint="eastAsia" w:ascii="宋体" w:hAnsi="宋体"/>
                <w:color w:val="auto"/>
                <w:szCs w:val="21"/>
                <w:highlight w:val="none"/>
                <w:lang w:eastAsia="zh-CN"/>
              </w:rPr>
              <w:t>0770-2882618</w:t>
            </w:r>
            <w:r>
              <w:rPr>
                <w:rFonts w:hint="eastAsia" w:ascii="宋体" w:hAnsi="宋体"/>
                <w:color w:val="auto"/>
                <w:szCs w:val="21"/>
                <w:highlight w:val="none"/>
              </w:rPr>
              <w:t>，通讯地址：</w:t>
            </w:r>
            <w:r>
              <w:rPr>
                <w:rFonts w:hint="eastAsia" w:ascii="宋体" w:hAnsi="宋体"/>
                <w:color w:val="auto"/>
                <w:szCs w:val="21"/>
                <w:highlight w:val="none"/>
                <w:lang w:eastAsia="zh-CN"/>
              </w:rPr>
              <w:t>防城港市港口区渔洲坪街道中段金石国际财富中心1302房</w:t>
            </w:r>
            <w:r>
              <w:rPr>
                <w:rFonts w:hint="eastAsia" w:ascii="宋体" w:hAnsi="宋体"/>
                <w:color w:val="auto"/>
                <w:szCs w:val="21"/>
                <w:highlight w:val="none"/>
              </w:rPr>
              <w:t>。</w:t>
            </w:r>
          </w:p>
          <w:p w14:paraId="60E62AF5">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业务时间：每天上午8时00分到12时00分，下午3时00分到6时 00分，双休日和法定节假日不办理业务。</w:t>
            </w:r>
          </w:p>
        </w:tc>
      </w:tr>
      <w:tr w14:paraId="293A4C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6529ADC7">
            <w:pPr>
              <w:spacing w:line="360" w:lineRule="auto"/>
              <w:jc w:val="center"/>
              <w:rPr>
                <w:rFonts w:hint="eastAsia" w:ascii="宋体" w:hAnsi="宋体"/>
                <w:color w:val="auto"/>
                <w:szCs w:val="21"/>
                <w:highlight w:val="none"/>
              </w:rPr>
            </w:pPr>
            <w:bookmarkStart w:id="84" w:name="_41"/>
            <w:bookmarkEnd w:id="84"/>
            <w:bookmarkStart w:id="85" w:name="_42"/>
            <w:bookmarkEnd w:id="85"/>
            <w:bookmarkStart w:id="86" w:name="_Hlt17709148"/>
            <w:r>
              <w:rPr>
                <w:rFonts w:hint="eastAsia" w:ascii="宋体" w:hAnsi="宋体"/>
                <w:color w:val="auto"/>
                <w:szCs w:val="21"/>
                <w:highlight w:val="none"/>
              </w:rPr>
              <w:t>3</w:t>
            </w:r>
            <w:bookmarkEnd w:id="86"/>
            <w:r>
              <w:rPr>
                <w:rFonts w:ascii="宋体" w:hAnsi="宋体"/>
                <w:color w:val="auto"/>
                <w:szCs w:val="21"/>
                <w:highlight w:val="none"/>
              </w:rPr>
              <w:t>9.1</w:t>
            </w:r>
          </w:p>
        </w:tc>
        <w:tc>
          <w:tcPr>
            <w:tcW w:w="8461" w:type="dxa"/>
            <w:tcBorders>
              <w:top w:val="single" w:color="auto" w:sz="4" w:space="0"/>
              <w:left w:val="single" w:color="auto" w:sz="4" w:space="0"/>
              <w:bottom w:val="single" w:color="auto" w:sz="4" w:space="0"/>
              <w:right w:val="single" w:color="auto" w:sz="4" w:space="0"/>
            </w:tcBorders>
            <w:vAlign w:val="center"/>
          </w:tcPr>
          <w:p w14:paraId="7A91282E">
            <w:pPr>
              <w:pStyle w:val="25"/>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1.采购代理费支付方式：本项目代理服务费由</w:t>
            </w:r>
            <w:r>
              <w:rPr>
                <w:rFonts w:hint="eastAsia" w:hAnsi="宋体" w:cs="宋体"/>
                <w:color w:val="auto"/>
                <w:sz w:val="21"/>
                <w:highlight w:val="none"/>
                <w:u w:val="single"/>
                <w:lang w:val="en-US" w:eastAsia="zh-CN"/>
              </w:rPr>
              <w:t>中标人</w:t>
            </w:r>
            <w:r>
              <w:rPr>
                <w:rFonts w:hint="eastAsia" w:hAnsi="宋体" w:cs="宋体"/>
                <w:color w:val="auto"/>
                <w:sz w:val="21"/>
                <w:highlight w:val="none"/>
                <w:lang w:val="en-US" w:eastAsia="zh-CN"/>
              </w:rPr>
              <w:t>在领取中标通知书前，一次性向采购代理机构支付。</w:t>
            </w:r>
          </w:p>
          <w:p w14:paraId="34351627">
            <w:pPr>
              <w:pStyle w:val="25"/>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 xml:space="preserve">2.采购代理费收取标准：本项目报价参照政府采购服务费按《国家计委关于印发〈招标代理服务费管理暂行办法〉的通知》（计价格〔2002〕1980号）收取，按差额定率累进法计算出收费基准价格，采购代理收费以收费基准价格下浮30%收取。由中标（成交）人在取得中标（成交）通知书前，以银行转账、电汇等方式一次性向采购代理机构支付。 </w:t>
            </w:r>
          </w:p>
        </w:tc>
      </w:tr>
      <w:tr w14:paraId="0FC042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524CFD17">
            <w:pPr>
              <w:snapToGrid w:val="0"/>
              <w:spacing w:line="360" w:lineRule="auto"/>
              <w:jc w:val="center"/>
              <w:rPr>
                <w:rFonts w:hint="eastAsia" w:ascii="宋体" w:hAnsi="宋体"/>
                <w:color w:val="auto"/>
                <w:szCs w:val="21"/>
                <w:highlight w:val="none"/>
              </w:rPr>
            </w:pPr>
            <w:r>
              <w:rPr>
                <w:rFonts w:ascii="宋体" w:hAnsi="宋体"/>
                <w:color w:val="auto"/>
                <w:szCs w:val="21"/>
                <w:highlight w:val="none"/>
              </w:rPr>
              <w:t>40.1</w:t>
            </w:r>
          </w:p>
        </w:tc>
        <w:tc>
          <w:tcPr>
            <w:tcW w:w="8461" w:type="dxa"/>
            <w:tcBorders>
              <w:top w:val="single" w:color="auto" w:sz="4" w:space="0"/>
              <w:left w:val="single" w:color="auto" w:sz="4" w:space="0"/>
              <w:bottom w:val="single" w:color="auto" w:sz="4" w:space="0"/>
              <w:right w:val="single" w:color="auto" w:sz="4" w:space="0"/>
            </w:tcBorders>
            <w:vAlign w:val="center"/>
          </w:tcPr>
          <w:p w14:paraId="19DBD59C">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解释：</w:t>
            </w:r>
            <w:r>
              <w:rPr>
                <w:rFonts w:ascii="宋体" w:hAnsi="宋体"/>
                <w:color w:val="auto"/>
                <w:szCs w:val="21"/>
                <w:highlight w:val="none"/>
              </w:rPr>
              <w:t>构成本招标文件的各个组成文件应互为解释，互为说明；除招标文件中有特别规定外，仅适用于招标投标阶段的规定，按</w:t>
            </w:r>
            <w:r>
              <w:rPr>
                <w:rFonts w:hint="eastAsia" w:ascii="宋体" w:hAnsi="宋体"/>
                <w:color w:val="auto"/>
                <w:szCs w:val="21"/>
                <w:highlight w:val="none"/>
              </w:rPr>
              <w:t>更正公告（澄清公告）</w:t>
            </w:r>
            <w:r>
              <w:rPr>
                <w:rFonts w:ascii="宋体" w:hAnsi="宋体"/>
                <w:color w:val="auto"/>
                <w:szCs w:val="21"/>
                <w:highlight w:val="none"/>
              </w:rPr>
              <w:t>、招标公告、</w:t>
            </w:r>
            <w:r>
              <w:rPr>
                <w:rFonts w:hint="eastAsia" w:ascii="宋体" w:hAnsi="宋体"/>
                <w:color w:val="auto"/>
                <w:szCs w:val="21"/>
                <w:highlight w:val="none"/>
              </w:rPr>
              <w:t>采购需求、</w:t>
            </w:r>
            <w:r>
              <w:rPr>
                <w:rFonts w:ascii="宋体" w:hAnsi="宋体"/>
                <w:color w:val="auto"/>
                <w:szCs w:val="21"/>
                <w:highlight w:val="none"/>
              </w:rPr>
              <w:t>投标人须知、</w:t>
            </w:r>
            <w:r>
              <w:rPr>
                <w:rFonts w:hint="eastAsia" w:ascii="宋体" w:hAnsi="宋体"/>
                <w:color w:val="auto"/>
                <w:szCs w:val="21"/>
                <w:highlight w:val="none"/>
              </w:rPr>
              <w:t>评标方法及评标标准</w:t>
            </w:r>
            <w:r>
              <w:rPr>
                <w:rFonts w:ascii="宋体" w:hAnsi="宋体"/>
                <w:color w:val="auto"/>
                <w:szCs w:val="21"/>
                <w:highlight w:val="none"/>
              </w:rPr>
              <w:t>、</w:t>
            </w:r>
            <w:r>
              <w:rPr>
                <w:rFonts w:hint="eastAsia" w:ascii="宋体" w:hAnsi="宋体"/>
                <w:color w:val="auto"/>
                <w:szCs w:val="21"/>
                <w:highlight w:val="none"/>
              </w:rPr>
              <w:t>拟签订的合同文本、</w:t>
            </w:r>
            <w:r>
              <w:rPr>
                <w:rFonts w:ascii="宋体" w:hAnsi="宋体"/>
                <w:color w:val="auto"/>
                <w:szCs w:val="21"/>
                <w:highlight w:val="none"/>
              </w:rPr>
              <w:t>投标文件格式的先后顺序解释；同一组成文件中就同一事项的规定或者约定不一致的，以编排顺序在后者为准；同一组成文件不同版本之间有不一致的，以形成时间在后者为准；</w:t>
            </w:r>
            <w:r>
              <w:rPr>
                <w:rFonts w:hint="eastAsia" w:ascii="宋体" w:hAnsi="宋体"/>
                <w:color w:val="auto"/>
                <w:szCs w:val="21"/>
                <w:highlight w:val="none"/>
              </w:rPr>
              <w:t>更正公告（澄清公告）</w:t>
            </w:r>
            <w:r>
              <w:rPr>
                <w:rFonts w:ascii="宋体" w:hAnsi="宋体"/>
                <w:color w:val="auto"/>
                <w:szCs w:val="21"/>
                <w:highlight w:val="none"/>
              </w:rPr>
              <w:t>与同步更新的招标文件不一致时以</w:t>
            </w:r>
            <w:r>
              <w:rPr>
                <w:rFonts w:hint="eastAsia" w:ascii="宋体" w:hAnsi="宋体"/>
                <w:color w:val="auto"/>
                <w:szCs w:val="21"/>
                <w:highlight w:val="none"/>
              </w:rPr>
              <w:t>更正公告（澄清公告）</w:t>
            </w:r>
            <w:r>
              <w:rPr>
                <w:rFonts w:ascii="宋体" w:hAnsi="宋体"/>
                <w:color w:val="auto"/>
                <w:szCs w:val="21"/>
                <w:highlight w:val="none"/>
              </w:rPr>
              <w:t>为准。按本款前述规定仍不能形成结论的，由</w:t>
            </w:r>
            <w:r>
              <w:rPr>
                <w:rFonts w:hint="eastAsia" w:ascii="宋体" w:hAnsi="宋体"/>
                <w:color w:val="auto"/>
                <w:szCs w:val="21"/>
                <w:highlight w:val="none"/>
              </w:rPr>
              <w:t>采购</w:t>
            </w:r>
            <w:r>
              <w:rPr>
                <w:rFonts w:ascii="宋体" w:hAnsi="宋体"/>
                <w:color w:val="auto"/>
                <w:szCs w:val="21"/>
                <w:highlight w:val="none"/>
              </w:rPr>
              <w:t>人</w:t>
            </w:r>
            <w:r>
              <w:rPr>
                <w:rFonts w:hint="eastAsia" w:ascii="宋体" w:hAnsi="宋体"/>
                <w:color w:val="auto"/>
                <w:szCs w:val="21"/>
                <w:highlight w:val="none"/>
              </w:rPr>
              <w:t>或者采购代理机构</w:t>
            </w:r>
            <w:r>
              <w:rPr>
                <w:rFonts w:ascii="宋体" w:hAnsi="宋体"/>
                <w:color w:val="auto"/>
                <w:szCs w:val="21"/>
                <w:highlight w:val="none"/>
              </w:rPr>
              <w:t>负责解释。</w:t>
            </w:r>
          </w:p>
        </w:tc>
      </w:tr>
      <w:tr w14:paraId="556423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64D8CFF7">
            <w:pPr>
              <w:snapToGrid w:val="0"/>
              <w:spacing w:line="360" w:lineRule="auto"/>
              <w:jc w:val="center"/>
              <w:rPr>
                <w:rFonts w:hint="eastAsia" w:ascii="宋体" w:hAnsi="宋体"/>
                <w:color w:val="auto"/>
                <w:szCs w:val="21"/>
                <w:highlight w:val="none"/>
              </w:rPr>
            </w:pPr>
            <w:r>
              <w:rPr>
                <w:rFonts w:ascii="宋体" w:hAnsi="宋体"/>
                <w:color w:val="auto"/>
                <w:szCs w:val="21"/>
                <w:highlight w:val="none"/>
              </w:rPr>
              <w:t>40.2</w:t>
            </w:r>
          </w:p>
        </w:tc>
        <w:tc>
          <w:tcPr>
            <w:tcW w:w="8461" w:type="dxa"/>
            <w:tcBorders>
              <w:top w:val="single" w:color="auto" w:sz="4" w:space="0"/>
              <w:left w:val="single" w:color="auto" w:sz="4" w:space="0"/>
              <w:bottom w:val="single" w:color="auto" w:sz="4" w:space="0"/>
              <w:right w:val="single" w:color="auto" w:sz="4" w:space="0"/>
            </w:tcBorders>
            <w:vAlign w:val="center"/>
          </w:tcPr>
          <w:p w14:paraId="70E21C95">
            <w:pPr>
              <w:pStyle w:val="25"/>
              <w:snapToGrid w:val="0"/>
              <w:spacing w:line="360" w:lineRule="auto"/>
              <w:rPr>
                <w:rFonts w:hint="eastAsia" w:hAnsi="宋体" w:cs="宋体"/>
                <w:bCs/>
                <w:color w:val="auto"/>
                <w:sz w:val="21"/>
                <w:highlight w:val="none"/>
                <w:lang w:val="en-US" w:eastAsia="zh-CN"/>
              </w:rPr>
            </w:pPr>
            <w:r>
              <w:rPr>
                <w:rFonts w:hint="eastAsia" w:hAnsi="宋体" w:cs="宋体"/>
                <w:bCs/>
                <w:color w:val="auto"/>
                <w:sz w:val="21"/>
                <w:highlight w:val="none"/>
                <w:lang w:val="en-US" w:eastAsia="zh-CN"/>
              </w:rPr>
              <w:t>1.本招标文件中描述投标人的“公章”是指根据我国对公章的管理规定，使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0F21587B">
            <w:pPr>
              <w:pStyle w:val="25"/>
              <w:snapToGrid w:val="0"/>
              <w:spacing w:line="360" w:lineRule="auto"/>
              <w:rPr>
                <w:rFonts w:hint="eastAsia" w:hAnsi="宋体" w:cs="宋体"/>
                <w:bCs/>
                <w:color w:val="auto"/>
                <w:sz w:val="21"/>
                <w:highlight w:val="none"/>
                <w:lang w:val="en-US" w:eastAsia="zh-CN"/>
              </w:rPr>
            </w:pPr>
            <w:r>
              <w:rPr>
                <w:rFonts w:hint="eastAsia" w:hAnsi="宋体" w:cs="宋体"/>
                <w:bCs/>
                <w:color w:val="auto"/>
                <w:sz w:val="21"/>
                <w:highlight w:val="none"/>
                <w:lang w:val="en-US" w:eastAsia="zh-CN"/>
              </w:rPr>
              <w:t>2.本招标文件所称的“</w:t>
            </w:r>
            <w:r>
              <w:rPr>
                <w:rFonts w:hint="eastAsia" w:hAnsi="宋体"/>
                <w:color w:val="auto"/>
                <w:sz w:val="21"/>
                <w:highlight w:val="none"/>
                <w:lang w:val="en-US" w:eastAsia="zh-CN"/>
              </w:rPr>
              <w:t>电子签章”“</w:t>
            </w:r>
            <w:r>
              <w:rPr>
                <w:rFonts w:hint="eastAsia" w:hAnsi="宋体" w:cs="宋体"/>
                <w:bCs/>
                <w:color w:val="auto"/>
                <w:sz w:val="21"/>
                <w:highlight w:val="none"/>
                <w:lang w:val="en-US" w:eastAsia="zh-CN"/>
              </w:rPr>
              <w:t>电子签名”</w:t>
            </w:r>
            <w:r>
              <w:rPr>
                <w:rFonts w:hint="eastAsia" w:hAnsi="宋体"/>
                <w:color w:val="auto"/>
                <w:sz w:val="21"/>
                <w:highlight w:val="none"/>
                <w:lang w:val="en-US" w:eastAsia="zh-CN"/>
              </w:rPr>
              <w:t>，是指经“政采云”平台认可的CA认证的电子签名数据为表现形式的印章，可用于签署电子投标文件，电子印章与实物印章具有同等法律效力，不因其采用电子化表现形式而否定其法律效力。</w:t>
            </w:r>
          </w:p>
          <w:p w14:paraId="04FF2BCF">
            <w:pPr>
              <w:pStyle w:val="25"/>
              <w:snapToGrid w:val="0"/>
              <w:spacing w:line="360" w:lineRule="auto"/>
              <w:rPr>
                <w:rFonts w:hint="eastAsia" w:hAnsi="宋体" w:cs="宋体"/>
                <w:bCs/>
                <w:color w:val="auto"/>
                <w:sz w:val="21"/>
                <w:highlight w:val="none"/>
                <w:lang w:val="en-US" w:eastAsia="zh-CN"/>
              </w:rPr>
            </w:pPr>
            <w:r>
              <w:rPr>
                <w:rFonts w:hint="eastAsia" w:hAnsi="宋体" w:cs="宋体"/>
                <w:bCs/>
                <w:color w:val="auto"/>
                <w:sz w:val="21"/>
                <w:highlight w:val="none"/>
                <w:lang w:val="en-US" w:eastAsia="zh-CN"/>
              </w:rPr>
              <w:t>3.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45FDF075">
            <w:pPr>
              <w:pStyle w:val="25"/>
              <w:snapToGrid w:val="0"/>
              <w:spacing w:line="360" w:lineRule="auto"/>
              <w:rPr>
                <w:rFonts w:hint="eastAsia" w:hAnsi="宋体" w:cs="宋体"/>
                <w:bCs/>
                <w:color w:val="auto"/>
                <w:sz w:val="21"/>
                <w:highlight w:val="none"/>
                <w:lang w:val="en-US" w:eastAsia="zh-CN"/>
              </w:rPr>
            </w:pPr>
            <w:r>
              <w:rPr>
                <w:rFonts w:hint="eastAsia" w:hAnsi="宋体" w:cs="宋体"/>
                <w:bCs/>
                <w:color w:val="auto"/>
                <w:sz w:val="21"/>
                <w:highlight w:val="none"/>
                <w:lang w:val="en-US" w:eastAsia="zh-CN"/>
              </w:rPr>
              <w:t>4.本招标文件中描述投标人的“签字”是指投标人的法定代表人或者委托代理人亲自在文件规定签字处亲笔写上个人的名字的行为，私章、签字章、印鉴、影印等其他形式均不能代替亲笔签字。</w:t>
            </w:r>
          </w:p>
          <w:p w14:paraId="012CF464">
            <w:pPr>
              <w:pStyle w:val="25"/>
              <w:snapToGrid w:val="0"/>
              <w:spacing w:line="360" w:lineRule="auto"/>
              <w:rPr>
                <w:rFonts w:hint="eastAsia" w:hAnsi="宋体"/>
                <w:color w:val="auto"/>
                <w:highlight w:val="none"/>
                <w:lang w:val="en-US" w:eastAsia="zh-CN"/>
              </w:rPr>
            </w:pPr>
            <w:r>
              <w:rPr>
                <w:rFonts w:hint="eastAsia" w:hAnsi="宋体" w:cs="宋体"/>
                <w:bCs/>
                <w:color w:val="auto"/>
                <w:sz w:val="21"/>
                <w:highlight w:val="none"/>
                <w:lang w:val="en-US" w:eastAsia="zh-CN"/>
              </w:rPr>
              <w:t>5.本招标文件所称的“以上”“以下”“以内”“届满”，包括本数；所称的“不满”“超过”“以外”，不包括本数。</w:t>
            </w:r>
          </w:p>
        </w:tc>
      </w:tr>
    </w:tbl>
    <w:p w14:paraId="7ACFCF4B">
      <w:pPr>
        <w:pStyle w:val="5"/>
        <w:keepNext w:val="0"/>
        <w:keepLines w:val="0"/>
        <w:jc w:val="center"/>
        <w:rPr>
          <w:rFonts w:hint="eastAsia" w:ascii="宋体" w:hAnsi="宋体"/>
          <w:color w:val="auto"/>
          <w:highlight w:val="none"/>
        </w:rPr>
      </w:pPr>
      <w:r>
        <w:rPr>
          <w:rFonts w:ascii="宋体" w:hAnsi="宋体"/>
          <w:color w:val="auto"/>
          <w:highlight w:val="none"/>
        </w:rPr>
        <w:br w:type="page"/>
      </w:r>
      <w:r>
        <w:rPr>
          <w:rFonts w:hint="eastAsia" w:ascii="宋体" w:hAnsi="宋体"/>
          <w:color w:val="auto"/>
          <w:highlight w:val="none"/>
        </w:rPr>
        <w:t>投标人须知正文</w:t>
      </w:r>
    </w:p>
    <w:p w14:paraId="01F4E79C">
      <w:pPr>
        <w:pStyle w:val="5"/>
        <w:keepNext w:val="0"/>
        <w:keepLines w:val="0"/>
        <w:jc w:val="center"/>
        <w:rPr>
          <w:rFonts w:hint="eastAsia" w:ascii="宋体" w:hAnsi="宋体"/>
          <w:color w:val="auto"/>
          <w:highlight w:val="none"/>
        </w:rPr>
      </w:pPr>
      <w:r>
        <w:rPr>
          <w:rFonts w:hint="eastAsia" w:ascii="宋体" w:hAnsi="宋体"/>
          <w:color w:val="auto"/>
          <w:highlight w:val="none"/>
        </w:rPr>
        <w:t>一、总  则</w:t>
      </w:r>
    </w:p>
    <w:p w14:paraId="2D0DEC30">
      <w:pPr>
        <w:pStyle w:val="6"/>
        <w:keepNext w:val="0"/>
        <w:keepLines w:val="0"/>
        <w:spacing w:before="0" w:after="0" w:line="360" w:lineRule="auto"/>
        <w:ind w:left="420" w:leftChars="200"/>
        <w:rPr>
          <w:rFonts w:hint="eastAsia" w:ascii="宋体" w:hAnsi="宋体"/>
          <w:color w:val="auto"/>
          <w:sz w:val="24"/>
          <w:highlight w:val="none"/>
        </w:rPr>
      </w:pPr>
      <w:bookmarkStart w:id="87" w:name="_Toc254970668"/>
      <w:bookmarkStart w:id="88" w:name="_Toc254970527"/>
      <w:r>
        <w:rPr>
          <w:rFonts w:hint="eastAsia" w:ascii="宋体" w:hAnsi="宋体"/>
          <w:color w:val="auto"/>
          <w:sz w:val="24"/>
          <w:highlight w:val="none"/>
        </w:rPr>
        <w:t>1.适用范围</w:t>
      </w:r>
      <w:bookmarkEnd w:id="87"/>
      <w:bookmarkEnd w:id="88"/>
    </w:p>
    <w:p w14:paraId="0262B5C3">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1.1适用法律：本项目采购人、采购代理机构、投标人、评标委员会的相关行为均受《中华人民共和国政府采购法</w:t>
      </w:r>
      <w:r>
        <w:rPr>
          <w:rFonts w:hint="eastAsia" w:ascii="宋体" w:hAnsi="宋体"/>
          <w:color w:val="auto"/>
          <w:szCs w:val="21"/>
          <w:highlight w:val="none"/>
          <w:lang w:eastAsia="zh-CN"/>
        </w:rPr>
        <w:t>》《</w:t>
      </w:r>
      <w:r>
        <w:rPr>
          <w:rFonts w:hint="eastAsia" w:ascii="宋体" w:hAnsi="宋体"/>
          <w:color w:val="auto"/>
          <w:szCs w:val="21"/>
          <w:highlight w:val="none"/>
        </w:rPr>
        <w:t>中华人民共和国政府采购法实施条例</w:t>
      </w:r>
      <w:r>
        <w:rPr>
          <w:rFonts w:hint="eastAsia" w:ascii="宋体" w:hAnsi="宋体"/>
          <w:color w:val="auto"/>
          <w:szCs w:val="21"/>
          <w:highlight w:val="none"/>
          <w:lang w:eastAsia="zh-CN"/>
        </w:rPr>
        <w:t>》《</w:t>
      </w:r>
      <w:r>
        <w:rPr>
          <w:rFonts w:hint="eastAsia" w:ascii="宋体" w:hAnsi="宋体"/>
          <w:color w:val="auto"/>
          <w:szCs w:val="21"/>
          <w:highlight w:val="none"/>
        </w:rPr>
        <w:t>政府采购货物和服务招标投标管理办法》及本项目本级和上级财政部门政府采购有关规定的约束和保护。</w:t>
      </w:r>
    </w:p>
    <w:p w14:paraId="123E1220">
      <w:pPr>
        <w:snapToGrid w:val="0"/>
        <w:spacing w:line="360" w:lineRule="auto"/>
        <w:ind w:firstLine="420" w:firstLineChars="200"/>
        <w:jc w:val="left"/>
        <w:rPr>
          <w:rFonts w:ascii="宋体" w:hAnsi="宋体" w:cs="宋体"/>
          <w:color w:val="auto"/>
          <w:spacing w:val="-6"/>
          <w:szCs w:val="21"/>
          <w:highlight w:val="none"/>
        </w:rPr>
      </w:pPr>
      <w:r>
        <w:rPr>
          <w:rFonts w:hint="eastAsia" w:ascii="宋体" w:hAnsi="宋体"/>
          <w:color w:val="auto"/>
          <w:szCs w:val="21"/>
          <w:highlight w:val="none"/>
        </w:rPr>
        <w:t>1.2本招标文件</w:t>
      </w:r>
      <w:r>
        <w:rPr>
          <w:rFonts w:hint="eastAsia" w:ascii="宋体" w:hAnsi="宋体" w:cs="宋体"/>
          <w:color w:val="auto"/>
          <w:spacing w:val="-6"/>
          <w:szCs w:val="21"/>
          <w:highlight w:val="none"/>
        </w:rPr>
        <w:t>适用于本项目的所有采购程序和环节（</w:t>
      </w:r>
      <w:r>
        <w:rPr>
          <w:rFonts w:hint="eastAsia" w:ascii="宋体" w:hAnsi="宋体" w:cs="宋体"/>
          <w:color w:val="auto"/>
          <w:spacing w:val="-6"/>
          <w:szCs w:val="21"/>
          <w:highlight w:val="none"/>
          <w:lang w:eastAsia="zh-CN"/>
        </w:rPr>
        <w:t>法律法规</w:t>
      </w:r>
      <w:r>
        <w:rPr>
          <w:rFonts w:hint="eastAsia" w:ascii="宋体" w:hAnsi="宋体" w:cs="宋体"/>
          <w:color w:val="auto"/>
          <w:spacing w:val="-6"/>
          <w:szCs w:val="21"/>
          <w:highlight w:val="none"/>
        </w:rPr>
        <w:t>另有规定的，从其规定）。</w:t>
      </w:r>
    </w:p>
    <w:p w14:paraId="0B4098B9">
      <w:pPr>
        <w:pStyle w:val="6"/>
        <w:keepNext w:val="0"/>
        <w:keepLines w:val="0"/>
        <w:spacing w:before="0" w:after="0" w:line="360" w:lineRule="auto"/>
        <w:ind w:left="420" w:leftChars="200"/>
        <w:rPr>
          <w:rFonts w:hint="eastAsia" w:ascii="宋体" w:hAnsi="宋体"/>
          <w:color w:val="auto"/>
          <w:sz w:val="24"/>
          <w:highlight w:val="none"/>
        </w:rPr>
      </w:pPr>
      <w:bookmarkStart w:id="89" w:name="_Toc254970528"/>
      <w:bookmarkStart w:id="90" w:name="_Toc254970669"/>
      <w:r>
        <w:rPr>
          <w:rFonts w:hint="eastAsia" w:ascii="宋体" w:hAnsi="宋体"/>
          <w:color w:val="auto"/>
          <w:sz w:val="24"/>
          <w:highlight w:val="none"/>
        </w:rPr>
        <w:t>2.定义</w:t>
      </w:r>
      <w:bookmarkEnd w:id="89"/>
      <w:bookmarkEnd w:id="90"/>
    </w:p>
    <w:p w14:paraId="72541861">
      <w:pPr>
        <w:pStyle w:val="6"/>
        <w:keepNext w:val="0"/>
        <w:keepLines w:val="0"/>
        <w:spacing w:before="0" w:after="0" w:line="360" w:lineRule="auto"/>
        <w:ind w:left="420" w:leftChars="200"/>
        <w:rPr>
          <w:rFonts w:hint="eastAsia" w:ascii="宋体" w:hAnsi="宋体"/>
          <w:b w:val="0"/>
          <w:color w:val="auto"/>
          <w:sz w:val="21"/>
          <w:szCs w:val="21"/>
          <w:highlight w:val="none"/>
        </w:rPr>
      </w:pPr>
      <w:bookmarkStart w:id="91" w:name="_Toc254970529"/>
      <w:bookmarkStart w:id="92" w:name="_Toc254970670"/>
      <w:r>
        <w:rPr>
          <w:rFonts w:hint="eastAsia" w:ascii="宋体" w:hAnsi="宋体"/>
          <w:b w:val="0"/>
          <w:color w:val="auto"/>
          <w:sz w:val="21"/>
          <w:szCs w:val="21"/>
          <w:highlight w:val="none"/>
        </w:rPr>
        <w:t>2.1“采购人”是指依法进行政府采购的国家机关、事业单位、团体组织。</w:t>
      </w:r>
    </w:p>
    <w:p w14:paraId="675B53D8">
      <w:pPr>
        <w:pStyle w:val="6"/>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2.2“采购代理机构”是指政府采购集中采购机构和集中采购机构以外的采购代理机构。</w:t>
      </w:r>
    </w:p>
    <w:p w14:paraId="5C9A49DA">
      <w:pPr>
        <w:pStyle w:val="6"/>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2.3“供应商”是指向采购人提供货物、工程或者服务的法人、其他组织或者自然人。</w:t>
      </w:r>
    </w:p>
    <w:p w14:paraId="56D5B317">
      <w:pPr>
        <w:pStyle w:val="7"/>
        <w:spacing w:line="360" w:lineRule="auto"/>
        <w:rPr>
          <w:rFonts w:hint="eastAsia" w:ascii="宋体" w:hAnsi="宋体"/>
          <w:color w:val="auto"/>
          <w:szCs w:val="21"/>
          <w:highlight w:val="none"/>
        </w:rPr>
      </w:pPr>
      <w:r>
        <w:rPr>
          <w:rFonts w:hint="eastAsia" w:ascii="宋体" w:hAnsi="宋体"/>
          <w:color w:val="auto"/>
          <w:szCs w:val="21"/>
          <w:highlight w:val="none"/>
        </w:rPr>
        <w:t>2.4“投标人”是指响应招标、参加投标竞争的法人、其他组织或者自然人。</w:t>
      </w:r>
    </w:p>
    <w:p w14:paraId="1384C522">
      <w:pPr>
        <w:pStyle w:val="6"/>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2.5“服务”是指除货物和工程以外的其他政府采购对象。</w:t>
      </w:r>
    </w:p>
    <w:p w14:paraId="128B9E85">
      <w:pPr>
        <w:pStyle w:val="6"/>
        <w:keepNext w:val="0"/>
        <w:keepLines w:val="0"/>
        <w:spacing w:before="0" w:after="0" w:line="360" w:lineRule="auto"/>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2.</w:t>
      </w:r>
      <w:r>
        <w:rPr>
          <w:rFonts w:ascii="宋体" w:hAnsi="宋体"/>
          <w:b w:val="0"/>
          <w:color w:val="auto"/>
          <w:sz w:val="21"/>
          <w:szCs w:val="21"/>
          <w:highlight w:val="none"/>
        </w:rPr>
        <w:t>6</w:t>
      </w:r>
      <w:r>
        <w:rPr>
          <w:rFonts w:hint="eastAsia" w:ascii="宋体" w:hAnsi="宋体"/>
          <w:b w:val="0"/>
          <w:color w:val="auto"/>
          <w:sz w:val="21"/>
          <w:szCs w:val="21"/>
          <w:highlight w:val="none"/>
        </w:rPr>
        <w:t>“书面形式”是指合同书、信件和数据电文（包括电报、电传、传真、电子数据交换和电子邮件）等可以有形地表现所载内容的形式。</w:t>
      </w:r>
    </w:p>
    <w:p w14:paraId="13BD63DC">
      <w:pPr>
        <w:pStyle w:val="6"/>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2.</w:t>
      </w:r>
      <w:r>
        <w:rPr>
          <w:rFonts w:ascii="宋体" w:hAnsi="宋体"/>
          <w:b w:val="0"/>
          <w:color w:val="auto"/>
          <w:sz w:val="21"/>
          <w:szCs w:val="21"/>
          <w:highlight w:val="none"/>
        </w:rPr>
        <w:t>7</w:t>
      </w:r>
      <w:r>
        <w:rPr>
          <w:rFonts w:hint="eastAsia" w:ascii="宋体" w:hAnsi="宋体"/>
          <w:b w:val="0"/>
          <w:color w:val="auto"/>
          <w:sz w:val="21"/>
          <w:szCs w:val="21"/>
          <w:highlight w:val="none"/>
        </w:rPr>
        <w:t>“实质性要求”是指招标文件中已经指明不满足则投标无效的条款，或者不能负偏离的条款，或者采购需求中带“▲”的条款。</w:t>
      </w:r>
    </w:p>
    <w:p w14:paraId="68EF974A">
      <w:pPr>
        <w:snapToGrid w:val="0"/>
        <w:spacing w:line="360" w:lineRule="auto"/>
        <w:ind w:firstLine="420" w:firstLineChars="200"/>
        <w:jc w:val="left"/>
        <w:rPr>
          <w:rFonts w:ascii="宋体" w:hAnsi="宋体" w:cs="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8</w:t>
      </w:r>
      <w:r>
        <w:rPr>
          <w:rFonts w:hint="eastAsia" w:ascii="宋体" w:hAnsi="宋体" w:cs="宋体"/>
          <w:color w:val="auto"/>
          <w:szCs w:val="21"/>
          <w:highlight w:val="none"/>
        </w:rPr>
        <w:t>“正偏离”，是指投标文件对招标文件“采购需求”中有关条款作出的响应优于条款要求并有利于采购人的情形。</w:t>
      </w:r>
    </w:p>
    <w:p w14:paraId="70735ED4">
      <w:pPr>
        <w:snapToGrid w:val="0"/>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2.9</w:t>
      </w:r>
      <w:r>
        <w:rPr>
          <w:rFonts w:hint="eastAsia" w:ascii="宋体" w:hAnsi="宋体" w:cs="宋体"/>
          <w:color w:val="auto"/>
          <w:szCs w:val="21"/>
          <w:highlight w:val="none"/>
        </w:rPr>
        <w:t>“负偏离”，是指投标文件对招标文件“采购需求”中有关条款作出的响应不满足条款要求，导致采购人要求不能得到满足的情形。</w:t>
      </w:r>
    </w:p>
    <w:p w14:paraId="4C21E29F">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2.1</w:t>
      </w:r>
      <w:r>
        <w:rPr>
          <w:rFonts w:ascii="宋体" w:hAnsi="宋体"/>
          <w:color w:val="auto"/>
          <w:szCs w:val="21"/>
          <w:highlight w:val="none"/>
        </w:rPr>
        <w:t>0</w:t>
      </w:r>
      <w:r>
        <w:rPr>
          <w:rFonts w:hint="eastAsia" w:ascii="宋体" w:hAnsi="宋体" w:cs="宋体"/>
          <w:color w:val="auto"/>
          <w:szCs w:val="21"/>
          <w:highlight w:val="none"/>
        </w:rPr>
        <w:t>“允许负偏离的条款”是指采购需求中的不属于“实质性要求”的条款。</w:t>
      </w:r>
    </w:p>
    <w:p w14:paraId="675F868D">
      <w:pPr>
        <w:pStyle w:val="6"/>
        <w:keepNext w:val="0"/>
        <w:keepLines w:val="0"/>
        <w:spacing w:before="0" w:after="0" w:line="360" w:lineRule="auto"/>
        <w:ind w:left="420" w:leftChars="200"/>
        <w:rPr>
          <w:rFonts w:hint="eastAsia" w:ascii="宋体" w:hAnsi="宋体"/>
          <w:color w:val="auto"/>
          <w:sz w:val="24"/>
          <w:highlight w:val="none"/>
        </w:rPr>
      </w:pPr>
      <w:r>
        <w:rPr>
          <w:rFonts w:hint="eastAsia" w:ascii="宋体" w:hAnsi="宋体"/>
          <w:color w:val="auto"/>
          <w:sz w:val="24"/>
          <w:highlight w:val="none"/>
        </w:rPr>
        <w:t>3.</w:t>
      </w:r>
      <w:bookmarkEnd w:id="91"/>
      <w:bookmarkEnd w:id="92"/>
      <w:r>
        <w:rPr>
          <w:rFonts w:hint="eastAsia" w:ascii="宋体" w:hAnsi="宋体"/>
          <w:color w:val="auto"/>
          <w:sz w:val="24"/>
          <w:highlight w:val="none"/>
        </w:rPr>
        <w:t>投标人的资格要求</w:t>
      </w:r>
    </w:p>
    <w:p w14:paraId="71F254A2">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投标人的资格要求详见“投标人须知前附表”。</w:t>
      </w:r>
    </w:p>
    <w:p w14:paraId="200F62AA">
      <w:pPr>
        <w:pStyle w:val="6"/>
        <w:keepNext w:val="0"/>
        <w:keepLines w:val="0"/>
        <w:spacing w:before="0" w:after="0" w:line="360" w:lineRule="auto"/>
        <w:ind w:left="420" w:leftChars="200"/>
        <w:rPr>
          <w:rFonts w:hint="eastAsia" w:ascii="宋体" w:hAnsi="宋体"/>
          <w:color w:val="auto"/>
          <w:sz w:val="24"/>
          <w:highlight w:val="none"/>
        </w:rPr>
      </w:pPr>
      <w:bookmarkStart w:id="93" w:name="_Toc254970530"/>
      <w:bookmarkStart w:id="94" w:name="_Toc254970671"/>
      <w:r>
        <w:rPr>
          <w:rFonts w:hint="eastAsia" w:ascii="宋体" w:hAnsi="宋体"/>
          <w:color w:val="auto"/>
          <w:sz w:val="24"/>
          <w:highlight w:val="none"/>
        </w:rPr>
        <w:t>4.投标委托</w:t>
      </w:r>
      <w:bookmarkEnd w:id="93"/>
      <w:bookmarkEnd w:id="94"/>
    </w:p>
    <w:p w14:paraId="2944FBC8">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投标人代表参加投标活动过程中必须携带个人有效身份证件。如投标人代表不是法定代表人，须持有授权委托书（按第六章要求格式填写）。</w:t>
      </w:r>
    </w:p>
    <w:p w14:paraId="27B536E9">
      <w:pPr>
        <w:pStyle w:val="6"/>
        <w:keepNext w:val="0"/>
        <w:keepLines w:val="0"/>
        <w:spacing w:before="0" w:after="0" w:line="360" w:lineRule="auto"/>
        <w:ind w:left="420" w:leftChars="200"/>
        <w:rPr>
          <w:rFonts w:hint="eastAsia" w:ascii="宋体" w:hAnsi="宋体"/>
          <w:color w:val="auto"/>
          <w:sz w:val="24"/>
          <w:highlight w:val="none"/>
        </w:rPr>
      </w:pPr>
      <w:bookmarkStart w:id="95" w:name="_5.投标费用"/>
      <w:bookmarkEnd w:id="95"/>
      <w:bookmarkStart w:id="96" w:name="_Toc254970531"/>
      <w:bookmarkStart w:id="97" w:name="_Toc254970672"/>
      <w:r>
        <w:rPr>
          <w:rFonts w:hint="eastAsia" w:ascii="宋体" w:hAnsi="宋体"/>
          <w:color w:val="auto"/>
          <w:sz w:val="24"/>
          <w:highlight w:val="none"/>
        </w:rPr>
        <w:t>5.投标费用</w:t>
      </w:r>
      <w:bookmarkEnd w:id="96"/>
      <w:bookmarkEnd w:id="97"/>
    </w:p>
    <w:p w14:paraId="6AC0EA9A">
      <w:pPr>
        <w:snapToGrid w:val="0"/>
        <w:spacing w:line="360" w:lineRule="auto"/>
        <w:ind w:firstLine="420" w:firstLineChars="200"/>
        <w:jc w:val="left"/>
        <w:rPr>
          <w:rFonts w:hint="eastAsia" w:ascii="宋体" w:hAnsi="宋体"/>
          <w:color w:val="auto"/>
          <w:szCs w:val="21"/>
          <w:highlight w:val="none"/>
        </w:rPr>
      </w:pPr>
      <w:r>
        <w:rPr>
          <w:rFonts w:hint="eastAsia" w:ascii="宋体" w:hAnsi="宋体" w:cs="宋体"/>
          <w:color w:val="auto"/>
          <w:szCs w:val="21"/>
          <w:highlight w:val="none"/>
        </w:rPr>
        <w:t>投标费用：投标人应承担参与本次采购活动有关的所有费用，包括但不限于获取招标文件、勘查现场、编制和提交投标文件、参加澄清说明、签订合同等，不论投标结果如何，均应自行承担。</w:t>
      </w:r>
    </w:p>
    <w:p w14:paraId="79C88F6C">
      <w:pPr>
        <w:pStyle w:val="6"/>
        <w:keepNext w:val="0"/>
        <w:keepLines w:val="0"/>
        <w:spacing w:before="0" w:after="0" w:line="360" w:lineRule="auto"/>
        <w:ind w:left="420" w:leftChars="200"/>
        <w:rPr>
          <w:rFonts w:hint="eastAsia" w:ascii="宋体" w:hAnsi="宋体"/>
          <w:color w:val="auto"/>
          <w:sz w:val="24"/>
          <w:highlight w:val="none"/>
        </w:rPr>
      </w:pPr>
      <w:r>
        <w:rPr>
          <w:rFonts w:hint="eastAsia" w:ascii="宋体" w:hAnsi="宋体"/>
          <w:color w:val="auto"/>
          <w:sz w:val="24"/>
          <w:highlight w:val="none"/>
        </w:rPr>
        <w:t>6.联合体投标</w:t>
      </w:r>
    </w:p>
    <w:p w14:paraId="4C760719">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6.1本项目不接受联合体投标。</w:t>
      </w:r>
    </w:p>
    <w:p w14:paraId="6FC94830">
      <w:pPr>
        <w:pStyle w:val="6"/>
        <w:keepNext w:val="0"/>
        <w:keepLines w:val="0"/>
        <w:spacing w:before="0" w:after="0" w:line="360" w:lineRule="auto"/>
        <w:ind w:left="420" w:leftChars="200"/>
        <w:rPr>
          <w:rFonts w:hint="eastAsia" w:ascii="宋体" w:hAnsi="宋体"/>
          <w:color w:val="auto"/>
          <w:sz w:val="24"/>
          <w:highlight w:val="none"/>
        </w:rPr>
      </w:pPr>
      <w:r>
        <w:rPr>
          <w:rFonts w:hint="eastAsia" w:ascii="宋体" w:hAnsi="宋体"/>
          <w:color w:val="auto"/>
          <w:sz w:val="24"/>
          <w:highlight w:val="none"/>
        </w:rPr>
        <w:t xml:space="preserve">7.转包与分包             </w:t>
      </w:r>
    </w:p>
    <w:p w14:paraId="55BAC47A">
      <w:pPr>
        <w:pStyle w:val="6"/>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7.1本项目不允许转包。</w:t>
      </w:r>
    </w:p>
    <w:p w14:paraId="547C8EAC">
      <w:pPr>
        <w:pStyle w:val="6"/>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7.2本项目不允许分包。</w:t>
      </w:r>
    </w:p>
    <w:p w14:paraId="37D1F99C">
      <w:pPr>
        <w:pStyle w:val="6"/>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lang w:val="en-US" w:eastAsia="zh-CN"/>
        </w:rPr>
        <w:t xml:space="preserve"> </w:t>
      </w:r>
      <w:r>
        <w:rPr>
          <w:rFonts w:hint="eastAsia" w:ascii="宋体" w:hAnsi="宋体"/>
          <w:b w:val="0"/>
          <w:color w:val="auto"/>
          <w:sz w:val="21"/>
          <w:szCs w:val="21"/>
          <w:highlight w:val="none"/>
        </w:rPr>
        <w:t>7.</w:t>
      </w:r>
      <w:r>
        <w:rPr>
          <w:rFonts w:hint="eastAsia" w:ascii="宋体" w:hAnsi="宋体"/>
          <w:b w:val="0"/>
          <w:color w:val="auto"/>
          <w:sz w:val="21"/>
          <w:szCs w:val="21"/>
          <w:highlight w:val="none"/>
          <w:lang w:val="en-US" w:eastAsia="zh-CN"/>
        </w:rPr>
        <w:t>3</w:t>
      </w:r>
      <w:r>
        <w:rPr>
          <w:rFonts w:hint="eastAsia" w:ascii="宋体" w:hAnsi="宋体"/>
          <w:b w:val="0"/>
          <w:color w:val="auto"/>
          <w:sz w:val="21"/>
          <w:szCs w:val="21"/>
          <w:highlight w:val="none"/>
        </w:rPr>
        <w:t>本项目不允许</w:t>
      </w:r>
      <w:r>
        <w:rPr>
          <w:rFonts w:hint="eastAsia" w:ascii="宋体" w:hAnsi="宋体"/>
          <w:b w:val="0"/>
          <w:color w:val="auto"/>
          <w:sz w:val="21"/>
          <w:szCs w:val="21"/>
          <w:highlight w:val="none"/>
          <w:lang w:eastAsia="zh-CN"/>
        </w:rPr>
        <w:t>挂靠</w:t>
      </w:r>
      <w:r>
        <w:rPr>
          <w:rFonts w:hint="eastAsia" w:ascii="宋体" w:hAnsi="宋体"/>
          <w:b w:val="0"/>
          <w:color w:val="auto"/>
          <w:sz w:val="21"/>
          <w:szCs w:val="21"/>
          <w:highlight w:val="none"/>
        </w:rPr>
        <w:t>。</w:t>
      </w:r>
    </w:p>
    <w:p w14:paraId="3B76A4B0">
      <w:pPr>
        <w:pStyle w:val="6"/>
        <w:keepNext w:val="0"/>
        <w:keepLines w:val="0"/>
        <w:spacing w:before="0" w:after="0" w:line="360" w:lineRule="auto"/>
        <w:ind w:left="420" w:leftChars="200"/>
        <w:rPr>
          <w:rFonts w:hint="eastAsia" w:ascii="宋体" w:hAnsi="宋体"/>
          <w:color w:val="auto"/>
          <w:sz w:val="24"/>
          <w:highlight w:val="none"/>
        </w:rPr>
      </w:pPr>
      <w:bookmarkStart w:id="98" w:name="_Toc254970673"/>
      <w:bookmarkStart w:id="99" w:name="_Toc254970532"/>
      <w:r>
        <w:rPr>
          <w:rFonts w:hint="eastAsia" w:ascii="宋体" w:hAnsi="宋体"/>
          <w:color w:val="auto"/>
          <w:sz w:val="24"/>
          <w:highlight w:val="none"/>
        </w:rPr>
        <w:t>8.特别说明</w:t>
      </w:r>
      <w:bookmarkEnd w:id="98"/>
      <w:bookmarkEnd w:id="99"/>
    </w:p>
    <w:p w14:paraId="053A61DA">
      <w:pPr>
        <w:numPr>
          <w:ilvl w:val="4"/>
          <w:numId w:val="1"/>
        </w:numPr>
        <w:spacing w:line="360" w:lineRule="auto"/>
        <w:ind w:firstLine="367" w:firstLineChars="175"/>
        <w:outlineLvl w:val="4"/>
        <w:rPr>
          <w:rFonts w:ascii="宋体" w:hAnsi="宋体"/>
          <w:color w:val="auto"/>
          <w:szCs w:val="21"/>
          <w:highlight w:val="none"/>
        </w:rPr>
      </w:pPr>
      <w:bookmarkStart w:id="100" w:name="_8.1提供相同品牌产品且通过资格审查、符合性审查的不同投标人参加同一合"/>
      <w:bookmarkEnd w:id="100"/>
      <w:r>
        <w:rPr>
          <w:rFonts w:hint="eastAsia" w:ascii="宋体" w:hAnsi="宋体"/>
          <w:color w:val="auto"/>
          <w:szCs w:val="21"/>
          <w:highlight w:val="none"/>
        </w:rPr>
        <w:t>8.1如果本招标文件要求提供投标人或制造商的资格、信誉、荣誉、业绩与企业认证等材料的，资格、信誉、荣誉、业绩与企业认证等必须为投标人或者制造商所拥有或自身获得 。</w:t>
      </w:r>
    </w:p>
    <w:p w14:paraId="0893ADA2">
      <w:pPr>
        <w:numPr>
          <w:ilvl w:val="4"/>
          <w:numId w:val="1"/>
        </w:numPr>
        <w:spacing w:line="360" w:lineRule="auto"/>
        <w:ind w:firstLine="367" w:firstLineChars="175"/>
        <w:outlineLvl w:val="4"/>
        <w:rPr>
          <w:rFonts w:hint="eastAsia" w:ascii="宋体" w:hAnsi="宋体"/>
          <w:color w:val="auto"/>
          <w:szCs w:val="21"/>
          <w:highlight w:val="none"/>
        </w:rPr>
      </w:pPr>
      <w:r>
        <w:rPr>
          <w:rFonts w:hint="eastAsia" w:ascii="宋体" w:hAnsi="宋体"/>
          <w:color w:val="auto"/>
          <w:szCs w:val="21"/>
          <w:highlight w:val="none"/>
        </w:rPr>
        <w:t>8.2投标人应仔细阅读招标文件的所有内容，按照招标文件的要求提交投标文件，并对所提供的全部资料的真实性承担法律责任。</w:t>
      </w:r>
    </w:p>
    <w:p w14:paraId="4B64C83F">
      <w:pPr>
        <w:numPr>
          <w:ilvl w:val="4"/>
          <w:numId w:val="1"/>
        </w:numPr>
        <w:spacing w:line="360" w:lineRule="auto"/>
        <w:ind w:firstLine="367" w:firstLineChars="175"/>
        <w:outlineLvl w:val="4"/>
        <w:rPr>
          <w:rFonts w:hint="eastAsia" w:ascii="宋体" w:hAnsi="宋体"/>
          <w:color w:val="auto"/>
          <w:szCs w:val="21"/>
          <w:highlight w:val="none"/>
        </w:rPr>
      </w:pPr>
      <w:r>
        <w:rPr>
          <w:rFonts w:hint="eastAsia" w:ascii="宋体" w:hAnsi="宋体"/>
          <w:color w:val="auto"/>
          <w:szCs w:val="21"/>
          <w:highlight w:val="none"/>
        </w:rPr>
        <w:t>8.3投标人在投标活动中提供任何虚假材料，将报监管部门查处；中标后发现的，中标人须依照《中华人民共和国消费者权益保护法》规定赔偿采购人，且民事赔偿并不免除违法投标人的行政与刑事责任。</w:t>
      </w:r>
    </w:p>
    <w:p w14:paraId="60EA7A22">
      <w:pPr>
        <w:pStyle w:val="6"/>
        <w:keepNext w:val="0"/>
        <w:keepLines w:val="0"/>
        <w:spacing w:before="0" w:after="0" w:line="360" w:lineRule="auto"/>
        <w:ind w:left="420" w:leftChars="200"/>
        <w:rPr>
          <w:rFonts w:ascii="宋体" w:hAnsi="宋体"/>
          <w:color w:val="auto"/>
          <w:sz w:val="24"/>
          <w:highlight w:val="none"/>
        </w:rPr>
      </w:pPr>
      <w:r>
        <w:rPr>
          <w:rFonts w:ascii="宋体" w:hAnsi="宋体"/>
          <w:color w:val="auto"/>
          <w:sz w:val="24"/>
          <w:highlight w:val="none"/>
        </w:rPr>
        <w:t>9.</w:t>
      </w:r>
      <w:r>
        <w:rPr>
          <w:rFonts w:hint="eastAsia" w:ascii="宋体" w:hAnsi="宋体"/>
          <w:color w:val="auto"/>
          <w:sz w:val="24"/>
          <w:highlight w:val="none"/>
        </w:rPr>
        <w:t>回避与串通投标</w:t>
      </w:r>
    </w:p>
    <w:p w14:paraId="4C564E91">
      <w:pPr>
        <w:pStyle w:val="6"/>
        <w:keepNext w:val="0"/>
        <w:keepLines w:val="0"/>
        <w:spacing w:before="0" w:after="0" w:line="360" w:lineRule="auto"/>
        <w:ind w:firstLine="367" w:firstLineChars="175"/>
        <w:rPr>
          <w:rFonts w:ascii="宋体" w:hAnsi="宋体"/>
          <w:b w:val="0"/>
          <w:color w:val="auto"/>
          <w:sz w:val="21"/>
          <w:szCs w:val="21"/>
          <w:highlight w:val="none"/>
        </w:rPr>
      </w:pPr>
      <w:r>
        <w:rPr>
          <w:rFonts w:hint="eastAsia" w:ascii="宋体" w:hAnsi="宋体"/>
          <w:b w:val="0"/>
          <w:color w:val="auto"/>
          <w:sz w:val="21"/>
          <w:szCs w:val="21"/>
          <w:highlight w:val="none"/>
        </w:rPr>
        <w:t>9</w:t>
      </w:r>
      <w:r>
        <w:rPr>
          <w:rFonts w:ascii="宋体" w:hAnsi="宋体"/>
          <w:b w:val="0"/>
          <w:color w:val="auto"/>
          <w:sz w:val="21"/>
          <w:szCs w:val="21"/>
          <w:highlight w:val="none"/>
        </w:rPr>
        <w:t>.1在政府采购活动中，采购人员及相关人员与</w:t>
      </w:r>
      <w:r>
        <w:rPr>
          <w:rFonts w:hint="eastAsia" w:ascii="宋体" w:hAnsi="宋体"/>
          <w:b w:val="0"/>
          <w:color w:val="auto"/>
          <w:sz w:val="21"/>
          <w:szCs w:val="21"/>
          <w:highlight w:val="none"/>
        </w:rPr>
        <w:t>供应商</w:t>
      </w:r>
      <w:r>
        <w:rPr>
          <w:rFonts w:ascii="宋体" w:hAnsi="宋体"/>
          <w:b w:val="0"/>
          <w:color w:val="auto"/>
          <w:sz w:val="21"/>
          <w:szCs w:val="21"/>
          <w:highlight w:val="none"/>
        </w:rPr>
        <w:t>有下列利害关系之一的，应当回避：</w:t>
      </w:r>
    </w:p>
    <w:p w14:paraId="011348C5">
      <w:pPr>
        <w:pStyle w:val="25"/>
        <w:snapToGrid w:val="0"/>
        <w:spacing w:line="360" w:lineRule="auto"/>
        <w:ind w:left="2" w:leftChars="1" w:firstLine="420" w:firstLineChars="200"/>
        <w:rPr>
          <w:rFonts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1</w:t>
      </w:r>
      <w:r>
        <w:rPr>
          <w:rFonts w:hAnsi="宋体"/>
          <w:color w:val="auto"/>
          <w:kern w:val="2"/>
          <w:sz w:val="21"/>
          <w:highlight w:val="none"/>
        </w:rPr>
        <w:t>）参加采购活动前3年内与</w:t>
      </w:r>
      <w:r>
        <w:rPr>
          <w:rFonts w:hint="eastAsia" w:hAnsi="宋体"/>
          <w:color w:val="auto"/>
          <w:kern w:val="2"/>
          <w:sz w:val="21"/>
          <w:highlight w:val="none"/>
        </w:rPr>
        <w:t>供应商</w:t>
      </w:r>
      <w:r>
        <w:rPr>
          <w:rFonts w:hAnsi="宋体"/>
          <w:color w:val="auto"/>
          <w:kern w:val="2"/>
          <w:sz w:val="21"/>
          <w:highlight w:val="none"/>
        </w:rPr>
        <w:t>存在劳动关系；</w:t>
      </w:r>
    </w:p>
    <w:p w14:paraId="61AE31C9">
      <w:pPr>
        <w:pStyle w:val="25"/>
        <w:snapToGrid w:val="0"/>
        <w:spacing w:line="360" w:lineRule="auto"/>
        <w:ind w:left="2" w:leftChars="1" w:firstLine="420" w:firstLineChars="200"/>
        <w:rPr>
          <w:rFonts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2</w:t>
      </w:r>
      <w:r>
        <w:rPr>
          <w:rFonts w:hAnsi="宋体"/>
          <w:color w:val="auto"/>
          <w:kern w:val="2"/>
          <w:sz w:val="21"/>
          <w:highlight w:val="none"/>
        </w:rPr>
        <w:t>）参加采购活动前3年内担任</w:t>
      </w:r>
      <w:r>
        <w:rPr>
          <w:rFonts w:hint="eastAsia" w:hAnsi="宋体"/>
          <w:color w:val="auto"/>
          <w:kern w:val="2"/>
          <w:sz w:val="21"/>
          <w:highlight w:val="none"/>
        </w:rPr>
        <w:t>供应商</w:t>
      </w:r>
      <w:r>
        <w:rPr>
          <w:rFonts w:hAnsi="宋体"/>
          <w:color w:val="auto"/>
          <w:kern w:val="2"/>
          <w:sz w:val="21"/>
          <w:highlight w:val="none"/>
        </w:rPr>
        <w:t>的董事、监事；</w:t>
      </w:r>
    </w:p>
    <w:p w14:paraId="5B7BE242">
      <w:pPr>
        <w:pStyle w:val="25"/>
        <w:snapToGrid w:val="0"/>
        <w:spacing w:line="360" w:lineRule="auto"/>
        <w:ind w:left="2" w:leftChars="1" w:firstLine="420" w:firstLineChars="200"/>
        <w:rPr>
          <w:rFonts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3</w:t>
      </w:r>
      <w:r>
        <w:rPr>
          <w:rFonts w:hAnsi="宋体"/>
          <w:color w:val="auto"/>
          <w:kern w:val="2"/>
          <w:sz w:val="21"/>
          <w:highlight w:val="none"/>
        </w:rPr>
        <w:t>）参加采购活动前3年内是</w:t>
      </w:r>
      <w:r>
        <w:rPr>
          <w:rFonts w:hint="eastAsia" w:hAnsi="宋体"/>
          <w:color w:val="auto"/>
          <w:kern w:val="2"/>
          <w:sz w:val="21"/>
          <w:highlight w:val="none"/>
        </w:rPr>
        <w:t>供应商</w:t>
      </w:r>
      <w:r>
        <w:rPr>
          <w:rFonts w:hAnsi="宋体"/>
          <w:color w:val="auto"/>
          <w:kern w:val="2"/>
          <w:sz w:val="21"/>
          <w:highlight w:val="none"/>
        </w:rPr>
        <w:t>的控股股东或者实际控制人；</w:t>
      </w:r>
    </w:p>
    <w:p w14:paraId="5D0853A3">
      <w:pPr>
        <w:pStyle w:val="25"/>
        <w:snapToGrid w:val="0"/>
        <w:spacing w:line="360" w:lineRule="auto"/>
        <w:ind w:left="2" w:leftChars="1" w:firstLine="420" w:firstLineChars="200"/>
        <w:rPr>
          <w:rFonts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4</w:t>
      </w:r>
      <w:r>
        <w:rPr>
          <w:rFonts w:hAnsi="宋体"/>
          <w:color w:val="auto"/>
          <w:kern w:val="2"/>
          <w:sz w:val="21"/>
          <w:highlight w:val="none"/>
        </w:rPr>
        <w:t>）与</w:t>
      </w:r>
      <w:r>
        <w:rPr>
          <w:rFonts w:hint="eastAsia" w:hAnsi="宋体"/>
          <w:color w:val="auto"/>
          <w:kern w:val="2"/>
          <w:sz w:val="21"/>
          <w:highlight w:val="none"/>
        </w:rPr>
        <w:t>供应商</w:t>
      </w:r>
      <w:r>
        <w:rPr>
          <w:rFonts w:hAnsi="宋体"/>
          <w:color w:val="auto"/>
          <w:kern w:val="2"/>
          <w:sz w:val="21"/>
          <w:highlight w:val="none"/>
        </w:rPr>
        <w:t>的法定代表人或者负责人有夫妻、直系血亲、三代以内旁系血亲或者近姻亲关系；</w:t>
      </w:r>
    </w:p>
    <w:p w14:paraId="66A06742">
      <w:pPr>
        <w:pStyle w:val="25"/>
        <w:snapToGrid w:val="0"/>
        <w:spacing w:line="360" w:lineRule="auto"/>
        <w:ind w:left="2" w:leftChars="1" w:firstLine="420" w:firstLineChars="200"/>
        <w:rPr>
          <w:rFonts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5</w:t>
      </w:r>
      <w:r>
        <w:rPr>
          <w:rFonts w:hAnsi="宋体"/>
          <w:color w:val="auto"/>
          <w:kern w:val="2"/>
          <w:sz w:val="21"/>
          <w:highlight w:val="none"/>
        </w:rPr>
        <w:t>）与</w:t>
      </w:r>
      <w:r>
        <w:rPr>
          <w:rFonts w:hint="eastAsia" w:hAnsi="宋体"/>
          <w:color w:val="auto"/>
          <w:kern w:val="2"/>
          <w:sz w:val="21"/>
          <w:highlight w:val="none"/>
        </w:rPr>
        <w:t>供应商</w:t>
      </w:r>
      <w:r>
        <w:rPr>
          <w:rFonts w:hAnsi="宋体"/>
          <w:color w:val="auto"/>
          <w:kern w:val="2"/>
          <w:sz w:val="21"/>
          <w:highlight w:val="none"/>
        </w:rPr>
        <w:t>有其他可能影响政府采购活动公平、公正进行的关系。</w:t>
      </w:r>
    </w:p>
    <w:p w14:paraId="27F749E7">
      <w:pPr>
        <w:pStyle w:val="25"/>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供应商</w:t>
      </w:r>
      <w:r>
        <w:rPr>
          <w:rFonts w:hAnsi="宋体"/>
          <w:color w:val="auto"/>
          <w:kern w:val="2"/>
          <w:sz w:val="21"/>
          <w:highlight w:val="none"/>
        </w:rPr>
        <w:t>认为采购人员及相关人员与其他</w:t>
      </w:r>
      <w:r>
        <w:rPr>
          <w:rFonts w:hint="eastAsia" w:hAnsi="宋体"/>
          <w:color w:val="auto"/>
          <w:kern w:val="2"/>
          <w:sz w:val="21"/>
          <w:highlight w:val="none"/>
        </w:rPr>
        <w:t>供应商</w:t>
      </w:r>
      <w:r>
        <w:rPr>
          <w:rFonts w:hAnsi="宋体"/>
          <w:color w:val="auto"/>
          <w:kern w:val="2"/>
          <w:sz w:val="21"/>
          <w:highlight w:val="none"/>
        </w:rPr>
        <w:t>有利害关系的，可以向采购人或者采购代理机构书面提出回避申请，并说明理由。采购人或者采购代理机构应当及时询问被申请回避人员，有利害关系的被申请回避人员应当回避。</w:t>
      </w:r>
    </w:p>
    <w:p w14:paraId="19AB15DE">
      <w:pPr>
        <w:pStyle w:val="6"/>
        <w:keepNext w:val="0"/>
        <w:keepLines w:val="0"/>
        <w:spacing w:before="0" w:after="0" w:line="360" w:lineRule="auto"/>
        <w:ind w:left="420" w:leftChars="200"/>
        <w:rPr>
          <w:rFonts w:hint="eastAsia" w:ascii="宋体" w:hAnsi="宋体"/>
          <w:color w:val="auto"/>
          <w:sz w:val="21"/>
          <w:szCs w:val="21"/>
          <w:highlight w:val="none"/>
        </w:rPr>
      </w:pPr>
      <w:r>
        <w:rPr>
          <w:rFonts w:ascii="宋体" w:hAnsi="宋体"/>
          <w:color w:val="auto"/>
          <w:sz w:val="21"/>
          <w:szCs w:val="21"/>
          <w:highlight w:val="none"/>
        </w:rPr>
        <w:t>9.2</w:t>
      </w:r>
      <w:r>
        <w:rPr>
          <w:rFonts w:hint="eastAsia" w:ascii="宋体" w:hAnsi="宋体"/>
          <w:color w:val="auto"/>
          <w:sz w:val="21"/>
          <w:szCs w:val="21"/>
          <w:highlight w:val="none"/>
        </w:rPr>
        <w:t>有下列情形之一的视为投标人相互串通投标，投标文件将被视为无效：</w:t>
      </w:r>
    </w:p>
    <w:p w14:paraId="0091C401">
      <w:pPr>
        <w:pStyle w:val="25"/>
        <w:snapToGrid w:val="0"/>
        <w:spacing w:line="360" w:lineRule="auto"/>
        <w:ind w:left="2" w:leftChars="1" w:firstLine="422" w:firstLineChars="200"/>
        <w:rPr>
          <w:rFonts w:hint="eastAsia" w:hAnsi="宋体"/>
          <w:b/>
          <w:color w:val="auto"/>
          <w:kern w:val="2"/>
          <w:sz w:val="21"/>
          <w:highlight w:val="none"/>
        </w:rPr>
      </w:pPr>
      <w:r>
        <w:rPr>
          <w:rFonts w:hint="eastAsia" w:hAnsi="宋体"/>
          <w:b/>
          <w:color w:val="auto"/>
          <w:kern w:val="2"/>
          <w:sz w:val="21"/>
          <w:highlight w:val="none"/>
        </w:rPr>
        <w:t xml:space="preserve">（1）不同投标人的投标文件由同一单位或者个人编制； </w:t>
      </w:r>
    </w:p>
    <w:p w14:paraId="60CE9E9B">
      <w:pPr>
        <w:pStyle w:val="25"/>
        <w:snapToGrid w:val="0"/>
        <w:spacing w:line="360" w:lineRule="auto"/>
        <w:ind w:left="2" w:leftChars="1" w:firstLine="422" w:firstLineChars="200"/>
        <w:rPr>
          <w:rFonts w:hint="eastAsia" w:hAnsi="宋体"/>
          <w:b/>
          <w:color w:val="auto"/>
          <w:kern w:val="2"/>
          <w:sz w:val="21"/>
          <w:highlight w:val="none"/>
        </w:rPr>
      </w:pPr>
      <w:r>
        <w:rPr>
          <w:rFonts w:hint="eastAsia" w:hAnsi="宋体"/>
          <w:b/>
          <w:color w:val="auto"/>
          <w:kern w:val="2"/>
          <w:sz w:val="21"/>
          <w:highlight w:val="none"/>
        </w:rPr>
        <w:t>（2）不同投标人委托同一单位或者个人办理投标事宜；</w:t>
      </w:r>
    </w:p>
    <w:p w14:paraId="59415494">
      <w:pPr>
        <w:pStyle w:val="25"/>
        <w:snapToGrid w:val="0"/>
        <w:spacing w:line="360" w:lineRule="auto"/>
        <w:ind w:left="2" w:leftChars="1" w:firstLine="422" w:firstLineChars="200"/>
        <w:rPr>
          <w:rFonts w:hint="eastAsia" w:hAnsi="宋体"/>
          <w:b/>
          <w:color w:val="auto"/>
          <w:kern w:val="2"/>
          <w:sz w:val="21"/>
          <w:highlight w:val="none"/>
        </w:rPr>
      </w:pPr>
      <w:r>
        <w:rPr>
          <w:rFonts w:hint="eastAsia" w:hAnsi="宋体"/>
          <w:b/>
          <w:color w:val="auto"/>
          <w:kern w:val="2"/>
          <w:sz w:val="21"/>
          <w:highlight w:val="none"/>
        </w:rPr>
        <w:t>（3）不同的投标人的投标文件载明的项目管理员为同一个人；</w:t>
      </w:r>
    </w:p>
    <w:p w14:paraId="1CA287E2">
      <w:pPr>
        <w:pStyle w:val="25"/>
        <w:snapToGrid w:val="0"/>
        <w:spacing w:line="360" w:lineRule="auto"/>
        <w:ind w:left="2" w:leftChars="1" w:firstLine="422" w:firstLineChars="200"/>
        <w:rPr>
          <w:rFonts w:hint="eastAsia" w:hAnsi="宋体"/>
          <w:b/>
          <w:color w:val="auto"/>
          <w:kern w:val="2"/>
          <w:sz w:val="21"/>
          <w:highlight w:val="none"/>
        </w:rPr>
      </w:pPr>
      <w:r>
        <w:rPr>
          <w:rFonts w:hint="eastAsia" w:hAnsi="宋体"/>
          <w:b/>
          <w:color w:val="auto"/>
          <w:kern w:val="2"/>
          <w:sz w:val="21"/>
          <w:highlight w:val="none"/>
        </w:rPr>
        <w:t>（4）不同投标人的投标文件异常一致或者投标报价呈规律性差异；</w:t>
      </w:r>
    </w:p>
    <w:p w14:paraId="3F7EBB9A">
      <w:pPr>
        <w:pStyle w:val="25"/>
        <w:snapToGrid w:val="0"/>
        <w:spacing w:line="360" w:lineRule="auto"/>
        <w:ind w:left="2" w:leftChars="1" w:firstLine="422" w:firstLineChars="200"/>
        <w:rPr>
          <w:rFonts w:hint="eastAsia" w:hAnsi="宋体"/>
          <w:b/>
          <w:color w:val="auto"/>
          <w:kern w:val="2"/>
          <w:sz w:val="21"/>
          <w:highlight w:val="none"/>
        </w:rPr>
      </w:pPr>
      <w:r>
        <w:rPr>
          <w:rFonts w:hint="eastAsia" w:hAnsi="宋体"/>
          <w:b/>
          <w:color w:val="auto"/>
          <w:kern w:val="2"/>
          <w:sz w:val="21"/>
          <w:highlight w:val="none"/>
        </w:rPr>
        <w:t>（5）不同投标人的投标文件相互混装。</w:t>
      </w:r>
    </w:p>
    <w:p w14:paraId="1C5DAF87">
      <w:pPr>
        <w:pStyle w:val="6"/>
        <w:keepNext w:val="0"/>
        <w:keepLines w:val="0"/>
        <w:spacing w:before="0" w:after="0" w:line="360" w:lineRule="auto"/>
        <w:ind w:left="420" w:leftChars="200"/>
        <w:rPr>
          <w:rFonts w:hint="eastAsia" w:ascii="宋体" w:hAnsi="宋体"/>
          <w:b w:val="0"/>
          <w:color w:val="auto"/>
          <w:sz w:val="21"/>
          <w:szCs w:val="21"/>
          <w:highlight w:val="none"/>
        </w:rPr>
      </w:pPr>
      <w:r>
        <w:rPr>
          <w:rFonts w:ascii="宋体" w:hAnsi="宋体"/>
          <w:b w:val="0"/>
          <w:color w:val="auto"/>
          <w:sz w:val="21"/>
          <w:szCs w:val="21"/>
          <w:highlight w:val="none"/>
        </w:rPr>
        <w:t>9.3</w:t>
      </w:r>
      <w:r>
        <w:rPr>
          <w:rFonts w:hint="eastAsia" w:ascii="宋体" w:hAnsi="宋体"/>
          <w:b w:val="0"/>
          <w:color w:val="auto"/>
          <w:sz w:val="21"/>
          <w:szCs w:val="21"/>
          <w:highlight w:val="none"/>
        </w:rPr>
        <w:t>供应商有下列情形之一的，属于恶意串通行为，将报同级监督管理部门：</w:t>
      </w:r>
    </w:p>
    <w:p w14:paraId="46EC2152">
      <w:pPr>
        <w:pStyle w:val="25"/>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（1）供应商直接或者间接从采购人或者采购代理机构处获得其他供应商的相关信息并修改其投标文件或者响应文件；</w:t>
      </w:r>
    </w:p>
    <w:p w14:paraId="31D30C89">
      <w:pPr>
        <w:pStyle w:val="25"/>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（2）供应商按照采购人或者采购代理机构的授意撤换、修改投标文件或者响应文件；</w:t>
      </w:r>
    </w:p>
    <w:p w14:paraId="70DA51BF">
      <w:pPr>
        <w:pStyle w:val="25"/>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（3）供应商之间协商报价、技术方案等投标文件或者响应文件的实质性内容；</w:t>
      </w:r>
    </w:p>
    <w:p w14:paraId="5C6C70C5">
      <w:pPr>
        <w:pStyle w:val="25"/>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（4）属于同一集团、协会、商会等组织成员的供应商按照该组织要求协同参加政府采购活动；</w:t>
      </w:r>
    </w:p>
    <w:p w14:paraId="5C9926D6">
      <w:pPr>
        <w:pStyle w:val="25"/>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（5）供应商之间事先约定一致抬高或者压低投标报价，或者在招标项目中事先约定轮流以高价位或者低价位中标，或者事先约定由某一特定供应商中标，然后再参加投标；</w:t>
      </w:r>
    </w:p>
    <w:p w14:paraId="7E7C62E1">
      <w:pPr>
        <w:pStyle w:val="25"/>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（6）供应商之间商定部分供应商放弃参加政府采购活动或者放弃中标；</w:t>
      </w:r>
    </w:p>
    <w:p w14:paraId="01AEC5D2">
      <w:pPr>
        <w:pStyle w:val="25"/>
        <w:snapToGrid w:val="0"/>
        <w:spacing w:line="360" w:lineRule="auto"/>
        <w:ind w:left="2" w:leftChars="1" w:firstLine="420" w:firstLineChars="200"/>
        <w:rPr>
          <w:rFonts w:hAnsi="宋体"/>
          <w:color w:val="auto"/>
          <w:kern w:val="2"/>
          <w:sz w:val="21"/>
          <w:highlight w:val="none"/>
        </w:rPr>
      </w:pPr>
      <w:r>
        <w:rPr>
          <w:rFonts w:hint="eastAsia" w:hAnsi="宋体"/>
          <w:color w:val="auto"/>
          <w:kern w:val="2"/>
          <w:sz w:val="21"/>
          <w:highlight w:val="none"/>
        </w:rPr>
        <w:t>（7）供应商与采购人或者采购代理机构之间、供应商相互之间，为谋求特定供应商中标或者排斥其他供应商的其他串通行为。</w:t>
      </w:r>
    </w:p>
    <w:p w14:paraId="2E951982">
      <w:pPr>
        <w:pStyle w:val="25"/>
        <w:snapToGrid w:val="0"/>
        <w:spacing w:line="360" w:lineRule="auto"/>
        <w:ind w:left="2" w:leftChars="1" w:firstLine="422" w:firstLineChars="200"/>
        <w:rPr>
          <w:rFonts w:hint="eastAsia" w:hAnsi="宋体"/>
          <w:b/>
          <w:color w:val="auto"/>
          <w:kern w:val="2"/>
          <w:sz w:val="21"/>
          <w:highlight w:val="none"/>
        </w:rPr>
      </w:pPr>
    </w:p>
    <w:p w14:paraId="7A9BEF25">
      <w:pPr>
        <w:pStyle w:val="5"/>
        <w:keepNext w:val="0"/>
        <w:keepLines w:val="0"/>
        <w:jc w:val="center"/>
        <w:rPr>
          <w:rFonts w:hint="eastAsia" w:ascii="宋体" w:hAnsi="宋体"/>
          <w:color w:val="auto"/>
          <w:highlight w:val="none"/>
        </w:rPr>
      </w:pPr>
      <w:bookmarkStart w:id="101" w:name="_Toc254970675"/>
      <w:bookmarkStart w:id="102" w:name="_Toc254970534"/>
      <w:r>
        <w:rPr>
          <w:rFonts w:hint="eastAsia" w:ascii="宋体" w:hAnsi="宋体"/>
          <w:color w:val="auto"/>
          <w:highlight w:val="none"/>
        </w:rPr>
        <w:t>二、招标文件</w:t>
      </w:r>
      <w:bookmarkEnd w:id="101"/>
      <w:bookmarkEnd w:id="102"/>
    </w:p>
    <w:p w14:paraId="039184ED">
      <w:pPr>
        <w:pStyle w:val="6"/>
        <w:keepNext w:val="0"/>
        <w:keepLines w:val="0"/>
        <w:spacing w:before="0" w:after="0" w:line="360" w:lineRule="auto"/>
        <w:ind w:left="420" w:leftChars="200"/>
        <w:rPr>
          <w:rFonts w:hint="eastAsia" w:ascii="宋体" w:hAnsi="宋体"/>
          <w:color w:val="auto"/>
          <w:sz w:val="24"/>
          <w:highlight w:val="none"/>
        </w:rPr>
      </w:pPr>
      <w:r>
        <w:rPr>
          <w:rFonts w:hint="eastAsia" w:ascii="宋体" w:hAnsi="宋体"/>
          <w:color w:val="auto"/>
          <w:sz w:val="24"/>
          <w:highlight w:val="none"/>
        </w:rPr>
        <w:t>10.招标文件的组成</w:t>
      </w:r>
    </w:p>
    <w:p w14:paraId="58BDFD01">
      <w:pPr>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（1）招标公告；</w:t>
      </w:r>
    </w:p>
    <w:p w14:paraId="3C27DE5F">
      <w:pPr>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 xml:space="preserve">（2）采购需求； </w:t>
      </w:r>
    </w:p>
    <w:p w14:paraId="6189A59D">
      <w:pPr>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（3）投标人须知；</w:t>
      </w:r>
    </w:p>
    <w:p w14:paraId="5FEC876F">
      <w:pPr>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（4）评标方法及评标标准；</w:t>
      </w:r>
    </w:p>
    <w:p w14:paraId="339F7482">
      <w:pPr>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（5）拟签订的合同文本；</w:t>
      </w:r>
    </w:p>
    <w:p w14:paraId="49993AA0">
      <w:pPr>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（6）投标文件格式。</w:t>
      </w:r>
    </w:p>
    <w:p w14:paraId="5945367E">
      <w:pPr>
        <w:pStyle w:val="6"/>
        <w:keepNext w:val="0"/>
        <w:keepLines w:val="0"/>
        <w:spacing w:before="0" w:after="0" w:line="360" w:lineRule="auto"/>
        <w:ind w:left="420" w:leftChars="200"/>
        <w:rPr>
          <w:rFonts w:hint="eastAsia" w:ascii="宋体" w:hAnsi="宋体"/>
          <w:color w:val="auto"/>
          <w:sz w:val="24"/>
          <w:highlight w:val="none"/>
        </w:rPr>
      </w:pPr>
      <w:r>
        <w:rPr>
          <w:rFonts w:hint="eastAsia" w:ascii="宋体" w:hAnsi="宋体"/>
          <w:color w:val="auto"/>
          <w:sz w:val="24"/>
          <w:highlight w:val="none"/>
        </w:rPr>
        <w:t>11.招标文件的澄清、修改 、现场考察和答疑会</w:t>
      </w:r>
    </w:p>
    <w:p w14:paraId="49ED3E2A">
      <w:pPr>
        <w:pStyle w:val="6"/>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6D61B1C6">
      <w:pPr>
        <w:pStyle w:val="25"/>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313B9546">
      <w:pPr>
        <w:pStyle w:val="25"/>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1</w:t>
      </w:r>
      <w:r>
        <w:rPr>
          <w:rFonts w:hAnsi="宋体"/>
          <w:color w:val="auto"/>
          <w:sz w:val="21"/>
          <w:highlight w:val="none"/>
        </w:rPr>
        <w:t>1.2</w:t>
      </w:r>
      <w:bookmarkStart w:id="103" w:name="_Hlk53134511"/>
      <w:r>
        <w:rPr>
          <w:rFonts w:hint="eastAsia" w:hAnsi="宋体"/>
          <w:color w:val="auto"/>
          <w:sz w:val="21"/>
          <w:highlight w:val="none"/>
        </w:rPr>
        <w:t>采购人或者采购代理机构可以在招标文件提供期限截止后，组织已获取招标文件的潜在投标人现场考察或者召开开标前答疑会，具体详见“投标人须知前附表”。</w:t>
      </w:r>
    </w:p>
    <w:bookmarkEnd w:id="103"/>
    <w:p w14:paraId="3C58CAD7">
      <w:pPr>
        <w:pStyle w:val="5"/>
        <w:keepNext w:val="0"/>
        <w:keepLines w:val="0"/>
        <w:jc w:val="center"/>
        <w:rPr>
          <w:rFonts w:hint="eastAsia" w:ascii="宋体" w:hAnsi="宋体"/>
          <w:color w:val="auto"/>
          <w:highlight w:val="none"/>
        </w:rPr>
      </w:pPr>
      <w:bookmarkStart w:id="104" w:name="_Toc254970535"/>
      <w:bookmarkStart w:id="105" w:name="_Toc254970676"/>
      <w:r>
        <w:rPr>
          <w:rFonts w:hint="eastAsia" w:ascii="宋体" w:hAnsi="宋体"/>
          <w:color w:val="auto"/>
          <w:highlight w:val="none"/>
        </w:rPr>
        <w:t>三、投标文件的编制</w:t>
      </w:r>
      <w:bookmarkEnd w:id="104"/>
      <w:bookmarkEnd w:id="105"/>
    </w:p>
    <w:p w14:paraId="7DBCEEF4">
      <w:pPr>
        <w:pStyle w:val="6"/>
        <w:keepNext w:val="0"/>
        <w:keepLines w:val="0"/>
        <w:spacing w:before="0" w:after="0" w:line="360" w:lineRule="auto"/>
        <w:ind w:left="420" w:leftChars="200"/>
        <w:rPr>
          <w:rFonts w:hint="eastAsia" w:ascii="宋体" w:hAnsi="宋体"/>
          <w:color w:val="auto"/>
          <w:sz w:val="24"/>
          <w:highlight w:val="none"/>
        </w:rPr>
      </w:pPr>
      <w:bookmarkStart w:id="106" w:name="_Toc254970536"/>
      <w:bookmarkStart w:id="107" w:name="_Toc254970677"/>
      <w:r>
        <w:rPr>
          <w:rFonts w:hint="eastAsia" w:ascii="宋体" w:hAnsi="宋体"/>
          <w:color w:val="auto"/>
          <w:sz w:val="24"/>
          <w:highlight w:val="none"/>
        </w:rPr>
        <w:t>12.投标文件的编制原则</w:t>
      </w:r>
    </w:p>
    <w:p w14:paraId="125CA81F">
      <w:pPr>
        <w:snapToGrid w:val="0"/>
        <w:spacing w:line="360" w:lineRule="auto"/>
        <w:ind w:firstLine="420"/>
        <w:jc w:val="left"/>
        <w:rPr>
          <w:rFonts w:hint="eastAsia" w:ascii="宋体" w:hAnsi="宋体" w:cs="Courier New"/>
          <w:color w:val="auto"/>
          <w:szCs w:val="21"/>
          <w:highlight w:val="none"/>
        </w:rPr>
      </w:pPr>
      <w:r>
        <w:rPr>
          <w:rFonts w:ascii="宋体" w:hAnsi="宋体"/>
          <w:color w:val="auto"/>
          <w:szCs w:val="21"/>
          <w:highlight w:val="none"/>
        </w:rPr>
        <w:t>投标人必须按照招标文件的要求编制投标文件。投标文件必须对招标文件提出的要求和条件作出明确响应。</w:t>
      </w:r>
    </w:p>
    <w:p w14:paraId="7C14C262">
      <w:pPr>
        <w:pStyle w:val="6"/>
        <w:keepNext w:val="0"/>
        <w:keepLines w:val="0"/>
        <w:spacing w:before="0" w:after="0" w:line="360" w:lineRule="auto"/>
        <w:ind w:left="420" w:leftChars="200"/>
        <w:rPr>
          <w:rFonts w:hint="eastAsia" w:ascii="宋体" w:hAnsi="宋体"/>
          <w:color w:val="auto"/>
          <w:sz w:val="24"/>
          <w:highlight w:val="none"/>
        </w:rPr>
      </w:pPr>
      <w:r>
        <w:rPr>
          <w:rFonts w:hint="eastAsia" w:ascii="宋体" w:hAnsi="宋体"/>
          <w:color w:val="auto"/>
          <w:sz w:val="24"/>
          <w:highlight w:val="none"/>
        </w:rPr>
        <w:t>13.投标文件的组成</w:t>
      </w:r>
      <w:bookmarkEnd w:id="106"/>
      <w:bookmarkEnd w:id="107"/>
    </w:p>
    <w:p w14:paraId="6FA9AA2D">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投标文件由报价文件、资格证明文件、商务文件、技术文件四部分组成。</w:t>
      </w:r>
    </w:p>
    <w:p w14:paraId="32DBB711">
      <w:pPr>
        <w:pStyle w:val="6"/>
        <w:keepNext w:val="0"/>
        <w:keepLines w:val="0"/>
        <w:spacing w:before="0" w:after="0" w:line="360" w:lineRule="auto"/>
        <w:ind w:left="420" w:leftChars="200"/>
        <w:rPr>
          <w:rFonts w:hint="eastAsia" w:ascii="宋体" w:hAnsi="宋体"/>
          <w:b w:val="0"/>
          <w:color w:val="auto"/>
          <w:sz w:val="21"/>
          <w:szCs w:val="21"/>
          <w:highlight w:val="none"/>
        </w:rPr>
      </w:pPr>
      <w:bookmarkStart w:id="108" w:name="_13.1报价文件:_具体材料见“投标人须知前附表”。"/>
      <w:bookmarkEnd w:id="108"/>
      <w:r>
        <w:rPr>
          <w:rFonts w:hint="eastAsia" w:ascii="宋体" w:hAnsi="宋体"/>
          <w:b w:val="0"/>
          <w:color w:val="auto"/>
          <w:sz w:val="21"/>
          <w:szCs w:val="21"/>
          <w:highlight w:val="none"/>
        </w:rPr>
        <w:t>（1）报价文件：</w:t>
      </w:r>
      <w:r>
        <w:rPr>
          <w:rFonts w:ascii="宋体" w:hAnsi="宋体"/>
          <w:b w:val="0"/>
          <w:color w:val="auto"/>
          <w:sz w:val="21"/>
          <w:szCs w:val="21"/>
          <w:highlight w:val="none"/>
        </w:rPr>
        <w:t>具体材料见“投标人须知前附表”</w:t>
      </w:r>
      <w:r>
        <w:rPr>
          <w:rFonts w:hint="eastAsia" w:ascii="宋体" w:hAnsi="宋体"/>
          <w:b w:val="0"/>
          <w:color w:val="auto"/>
          <w:sz w:val="21"/>
          <w:szCs w:val="21"/>
          <w:highlight w:val="none"/>
        </w:rPr>
        <w:t>。</w:t>
      </w:r>
    </w:p>
    <w:p w14:paraId="6D01E7D0">
      <w:pPr>
        <w:pStyle w:val="6"/>
        <w:keepNext w:val="0"/>
        <w:keepLines w:val="0"/>
        <w:spacing w:before="0" w:after="0" w:line="360" w:lineRule="auto"/>
        <w:ind w:left="420" w:leftChars="200"/>
        <w:rPr>
          <w:rFonts w:hint="eastAsia" w:ascii="宋体" w:hAnsi="宋体"/>
          <w:b w:val="0"/>
          <w:color w:val="auto"/>
          <w:sz w:val="21"/>
          <w:szCs w:val="21"/>
          <w:highlight w:val="none"/>
        </w:rPr>
      </w:pPr>
      <w:bookmarkStart w:id="109" w:name="_13.2资格证明文件：具体材料见“投标人须知前附表”。"/>
      <w:bookmarkEnd w:id="109"/>
      <w:r>
        <w:rPr>
          <w:rFonts w:hint="eastAsia" w:ascii="宋体" w:hAnsi="宋体"/>
          <w:b w:val="0"/>
          <w:color w:val="auto"/>
          <w:sz w:val="21"/>
          <w:szCs w:val="21"/>
          <w:highlight w:val="none"/>
        </w:rPr>
        <w:t>（</w:t>
      </w:r>
      <w:r>
        <w:rPr>
          <w:rFonts w:ascii="宋体" w:hAnsi="宋体"/>
          <w:b w:val="0"/>
          <w:color w:val="auto"/>
          <w:sz w:val="21"/>
          <w:szCs w:val="21"/>
          <w:highlight w:val="none"/>
        </w:rPr>
        <w:t>2</w:t>
      </w:r>
      <w:r>
        <w:rPr>
          <w:rFonts w:hint="eastAsia" w:ascii="宋体" w:hAnsi="宋体"/>
          <w:b w:val="0"/>
          <w:color w:val="auto"/>
          <w:sz w:val="21"/>
          <w:szCs w:val="21"/>
          <w:highlight w:val="none"/>
        </w:rPr>
        <w:t>）资格证明文件：</w:t>
      </w:r>
      <w:r>
        <w:rPr>
          <w:rFonts w:ascii="宋体" w:hAnsi="宋体"/>
          <w:b w:val="0"/>
          <w:color w:val="auto"/>
          <w:sz w:val="21"/>
          <w:szCs w:val="21"/>
          <w:highlight w:val="none"/>
        </w:rPr>
        <w:t>具体材料见“投标人须知前附表”</w:t>
      </w:r>
      <w:r>
        <w:rPr>
          <w:rFonts w:hint="eastAsia" w:ascii="宋体" w:hAnsi="宋体"/>
          <w:b w:val="0"/>
          <w:color w:val="auto"/>
          <w:sz w:val="21"/>
          <w:szCs w:val="21"/>
          <w:highlight w:val="none"/>
        </w:rPr>
        <w:t>。</w:t>
      </w:r>
    </w:p>
    <w:p w14:paraId="34177391">
      <w:pPr>
        <w:pStyle w:val="6"/>
        <w:keepNext w:val="0"/>
        <w:keepLines w:val="0"/>
        <w:spacing w:before="0" w:after="0" w:line="360" w:lineRule="auto"/>
        <w:ind w:left="420" w:leftChars="200"/>
        <w:rPr>
          <w:rFonts w:hint="eastAsia" w:ascii="宋体" w:hAnsi="宋体"/>
          <w:b w:val="0"/>
          <w:color w:val="auto"/>
          <w:sz w:val="21"/>
          <w:szCs w:val="21"/>
          <w:highlight w:val="none"/>
        </w:rPr>
      </w:pPr>
      <w:bookmarkStart w:id="110" w:name="_13.3商务文件:_具体材料见“投标人须知前附表”。"/>
      <w:bookmarkEnd w:id="110"/>
      <w:r>
        <w:rPr>
          <w:rFonts w:hint="eastAsia" w:ascii="宋体" w:hAnsi="宋体"/>
          <w:b w:val="0"/>
          <w:color w:val="auto"/>
          <w:sz w:val="21"/>
          <w:szCs w:val="21"/>
          <w:highlight w:val="none"/>
        </w:rPr>
        <w:t>（</w:t>
      </w:r>
      <w:r>
        <w:rPr>
          <w:rFonts w:ascii="宋体" w:hAnsi="宋体"/>
          <w:b w:val="0"/>
          <w:color w:val="auto"/>
          <w:sz w:val="21"/>
          <w:szCs w:val="21"/>
          <w:highlight w:val="none"/>
        </w:rPr>
        <w:t>3</w:t>
      </w:r>
      <w:r>
        <w:rPr>
          <w:rFonts w:hint="eastAsia" w:ascii="宋体" w:hAnsi="宋体"/>
          <w:b w:val="0"/>
          <w:color w:val="auto"/>
          <w:sz w:val="21"/>
          <w:szCs w:val="21"/>
          <w:highlight w:val="none"/>
        </w:rPr>
        <w:t>）商务文件：</w:t>
      </w:r>
      <w:r>
        <w:rPr>
          <w:rFonts w:ascii="宋体" w:hAnsi="宋体"/>
          <w:b w:val="0"/>
          <w:color w:val="auto"/>
          <w:sz w:val="21"/>
          <w:szCs w:val="21"/>
          <w:highlight w:val="none"/>
        </w:rPr>
        <w:t>具体材料见“投标人须知前附表”</w:t>
      </w:r>
      <w:r>
        <w:rPr>
          <w:rFonts w:hint="eastAsia" w:ascii="宋体" w:hAnsi="宋体"/>
          <w:b w:val="0"/>
          <w:color w:val="auto"/>
          <w:sz w:val="21"/>
          <w:szCs w:val="21"/>
          <w:highlight w:val="none"/>
        </w:rPr>
        <w:t>。</w:t>
      </w:r>
    </w:p>
    <w:p w14:paraId="002963D3">
      <w:pPr>
        <w:pStyle w:val="6"/>
        <w:keepNext w:val="0"/>
        <w:keepLines w:val="0"/>
        <w:spacing w:before="0" w:after="0" w:line="360" w:lineRule="auto"/>
        <w:ind w:left="420" w:leftChars="200"/>
        <w:rPr>
          <w:rFonts w:hint="eastAsia" w:ascii="宋体" w:hAnsi="宋体"/>
          <w:b w:val="0"/>
          <w:color w:val="auto"/>
          <w:sz w:val="21"/>
          <w:szCs w:val="21"/>
          <w:highlight w:val="none"/>
        </w:rPr>
      </w:pPr>
      <w:bookmarkStart w:id="111" w:name="_13.4技术文件：具体材料见“投标人须知前附表”。"/>
      <w:bookmarkEnd w:id="111"/>
      <w:r>
        <w:rPr>
          <w:rFonts w:hint="eastAsia" w:ascii="宋体" w:hAnsi="宋体"/>
          <w:b w:val="0"/>
          <w:color w:val="auto"/>
          <w:sz w:val="21"/>
          <w:szCs w:val="21"/>
          <w:highlight w:val="none"/>
        </w:rPr>
        <w:t>（</w:t>
      </w:r>
      <w:r>
        <w:rPr>
          <w:rFonts w:ascii="宋体" w:hAnsi="宋体"/>
          <w:b w:val="0"/>
          <w:color w:val="auto"/>
          <w:sz w:val="21"/>
          <w:szCs w:val="21"/>
          <w:highlight w:val="none"/>
        </w:rPr>
        <w:t>4</w:t>
      </w:r>
      <w:r>
        <w:rPr>
          <w:rFonts w:hint="eastAsia" w:ascii="宋体" w:hAnsi="宋体"/>
          <w:b w:val="0"/>
          <w:color w:val="auto"/>
          <w:sz w:val="21"/>
          <w:szCs w:val="21"/>
          <w:highlight w:val="none"/>
        </w:rPr>
        <w:t>）技术文件：</w:t>
      </w:r>
      <w:r>
        <w:rPr>
          <w:rFonts w:ascii="宋体" w:hAnsi="宋体"/>
          <w:b w:val="0"/>
          <w:color w:val="auto"/>
          <w:sz w:val="21"/>
          <w:szCs w:val="21"/>
          <w:highlight w:val="none"/>
        </w:rPr>
        <w:t>具体材料见“投标人须知前附表”</w:t>
      </w:r>
      <w:r>
        <w:rPr>
          <w:rFonts w:hint="eastAsia" w:ascii="宋体" w:hAnsi="宋体"/>
          <w:b w:val="0"/>
          <w:color w:val="auto"/>
          <w:sz w:val="21"/>
          <w:szCs w:val="21"/>
          <w:highlight w:val="none"/>
        </w:rPr>
        <w:t>。</w:t>
      </w:r>
    </w:p>
    <w:p w14:paraId="4BACFD96">
      <w:pPr>
        <w:pStyle w:val="6"/>
        <w:keepNext w:val="0"/>
        <w:keepLines w:val="0"/>
        <w:spacing w:before="0" w:after="0" w:line="360" w:lineRule="auto"/>
        <w:ind w:left="420" w:leftChars="200"/>
        <w:rPr>
          <w:rFonts w:hint="eastAsia" w:ascii="宋体" w:hAnsi="宋体"/>
          <w:color w:val="auto"/>
          <w:sz w:val="24"/>
          <w:highlight w:val="none"/>
        </w:rPr>
      </w:pPr>
      <w:bookmarkStart w:id="112" w:name="_13.5投标文件电子版：具体材料见“投标人须知前附表”。"/>
      <w:bookmarkEnd w:id="112"/>
      <w:bookmarkStart w:id="113" w:name="_Toc254970678"/>
      <w:bookmarkStart w:id="114" w:name="_Toc254970537"/>
      <w:r>
        <w:rPr>
          <w:rFonts w:hint="eastAsia" w:ascii="宋体" w:hAnsi="宋体"/>
          <w:color w:val="auto"/>
          <w:sz w:val="24"/>
          <w:highlight w:val="none"/>
        </w:rPr>
        <w:t>14.投标文件的语言及计量</w:t>
      </w:r>
      <w:bookmarkEnd w:id="113"/>
      <w:bookmarkEnd w:id="114"/>
    </w:p>
    <w:p w14:paraId="4C194726">
      <w:pPr>
        <w:pStyle w:val="6"/>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14.1语言文字</w:t>
      </w:r>
    </w:p>
    <w:p w14:paraId="602229F8">
      <w:pPr>
        <w:pStyle w:val="6"/>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6EDE5979">
      <w:pPr>
        <w:pStyle w:val="6"/>
        <w:keepNext w:val="0"/>
        <w:keepLines w:val="0"/>
        <w:spacing w:before="0" w:after="0" w:line="360" w:lineRule="auto"/>
        <w:ind w:firstLine="420" w:firstLineChars="200"/>
        <w:rPr>
          <w:rFonts w:ascii="宋体" w:hAnsi="宋体"/>
          <w:b w:val="0"/>
          <w:color w:val="auto"/>
          <w:sz w:val="21"/>
          <w:szCs w:val="21"/>
          <w:highlight w:val="none"/>
        </w:rPr>
      </w:pPr>
      <w:r>
        <w:rPr>
          <w:rFonts w:hint="eastAsia" w:ascii="宋体" w:hAnsi="宋体"/>
          <w:b w:val="0"/>
          <w:color w:val="auto"/>
          <w:sz w:val="21"/>
          <w:szCs w:val="21"/>
          <w:highlight w:val="none"/>
        </w:rPr>
        <w:t>14.2投标计量单位</w:t>
      </w:r>
    </w:p>
    <w:p w14:paraId="792E5B1C">
      <w:pPr>
        <w:pStyle w:val="6"/>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招标文件已有明确规定的，使用招标文件规定的计量单位；招标文件没有规定的，应采用中华人民共和国法定计量单位，货币种类为人民币，</w:t>
      </w:r>
      <w:r>
        <w:rPr>
          <w:rFonts w:hint="eastAsia" w:ascii="宋体" w:hAnsi="宋体"/>
          <w:color w:val="auto"/>
          <w:sz w:val="21"/>
          <w:szCs w:val="21"/>
          <w:highlight w:val="none"/>
        </w:rPr>
        <w:t>否则视同未响应。</w:t>
      </w:r>
    </w:p>
    <w:p w14:paraId="1B5B8EC4">
      <w:pPr>
        <w:pStyle w:val="6"/>
        <w:keepNext w:val="0"/>
        <w:keepLines w:val="0"/>
        <w:spacing w:before="0" w:after="0" w:line="360" w:lineRule="auto"/>
        <w:ind w:left="420" w:leftChars="200"/>
        <w:rPr>
          <w:rFonts w:hint="eastAsia" w:ascii="宋体" w:hAnsi="宋体"/>
          <w:color w:val="auto"/>
          <w:sz w:val="24"/>
          <w:highlight w:val="none"/>
        </w:rPr>
      </w:pPr>
      <w:r>
        <w:rPr>
          <w:rFonts w:hint="eastAsia" w:ascii="宋体" w:hAnsi="宋体"/>
          <w:color w:val="auto"/>
          <w:sz w:val="24"/>
          <w:highlight w:val="none"/>
        </w:rPr>
        <w:t>15.投标的风险</w:t>
      </w:r>
    </w:p>
    <w:p w14:paraId="1213DBAA">
      <w:pPr>
        <w:pStyle w:val="25"/>
        <w:snapToGrid w:val="0"/>
        <w:spacing w:line="360" w:lineRule="auto"/>
        <w:ind w:firstLine="420" w:firstLineChars="200"/>
        <w:jc w:val="left"/>
        <w:rPr>
          <w:rFonts w:hint="eastAsia" w:hAnsi="宋体"/>
          <w:color w:val="auto"/>
          <w:sz w:val="21"/>
          <w:highlight w:val="none"/>
        </w:rPr>
      </w:pPr>
      <w:r>
        <w:rPr>
          <w:rFonts w:hint="eastAsia" w:hAnsi="宋体"/>
          <w:color w:val="auto"/>
          <w:sz w:val="21"/>
          <w:highlight w:val="none"/>
        </w:rPr>
        <w:t>投标人没有按照招标文件要求提供全部资料，或者投标人没有对招标文件作出实质性响应是投标人的风险，并可能导致其投标被拒绝。</w:t>
      </w:r>
    </w:p>
    <w:p w14:paraId="229540F5">
      <w:pPr>
        <w:pStyle w:val="6"/>
        <w:keepNext w:val="0"/>
        <w:keepLines w:val="0"/>
        <w:spacing w:before="0" w:after="0" w:line="360" w:lineRule="auto"/>
        <w:ind w:left="420" w:leftChars="200"/>
        <w:rPr>
          <w:rFonts w:hint="eastAsia" w:ascii="宋体" w:hAnsi="宋体"/>
          <w:color w:val="auto"/>
          <w:sz w:val="24"/>
          <w:highlight w:val="none"/>
        </w:rPr>
      </w:pPr>
      <w:bookmarkStart w:id="115" w:name="_Toc254970538"/>
      <w:bookmarkStart w:id="116" w:name="_Toc254970679"/>
      <w:r>
        <w:rPr>
          <w:rFonts w:hint="eastAsia" w:ascii="宋体" w:hAnsi="宋体"/>
          <w:color w:val="auto"/>
          <w:sz w:val="24"/>
          <w:highlight w:val="none"/>
        </w:rPr>
        <w:t>16.投标报价</w:t>
      </w:r>
      <w:bookmarkEnd w:id="115"/>
      <w:bookmarkEnd w:id="116"/>
    </w:p>
    <w:p w14:paraId="5D2C1467">
      <w:pPr>
        <w:pStyle w:val="6"/>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16.1投标报价应按“第六章　投标文件格式”中“开标一览表”格式填写。</w:t>
      </w:r>
    </w:p>
    <w:p w14:paraId="0E820F61">
      <w:pPr>
        <w:pStyle w:val="6"/>
        <w:keepNext w:val="0"/>
        <w:keepLines w:val="0"/>
        <w:spacing w:before="0" w:after="0" w:line="360" w:lineRule="auto"/>
        <w:ind w:left="420" w:leftChars="200"/>
        <w:rPr>
          <w:rFonts w:hint="eastAsia" w:ascii="宋体" w:hAnsi="宋体"/>
          <w:b w:val="0"/>
          <w:color w:val="auto"/>
          <w:sz w:val="21"/>
          <w:szCs w:val="21"/>
          <w:highlight w:val="none"/>
        </w:rPr>
      </w:pPr>
      <w:bookmarkStart w:id="117" w:name="_16.2投标报价具体定义见投标人须知前附表。"/>
      <w:bookmarkEnd w:id="117"/>
      <w:r>
        <w:rPr>
          <w:rFonts w:hint="eastAsia" w:ascii="宋体" w:hAnsi="宋体"/>
          <w:b w:val="0"/>
          <w:color w:val="auto"/>
          <w:sz w:val="21"/>
          <w:szCs w:val="21"/>
          <w:highlight w:val="none"/>
        </w:rPr>
        <w:t>16.2投标报价具体包括内容详见“投标人须知前附表”。</w:t>
      </w:r>
    </w:p>
    <w:p w14:paraId="0B8B4411">
      <w:pPr>
        <w:pStyle w:val="6"/>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16.3投标人必须就所投每个分标的全部内容分别作完整唯一总价报价，不得存在漏项报价；投标人必须就所投分标的单项内容作唯一报价。</w:t>
      </w:r>
    </w:p>
    <w:p w14:paraId="13620E85">
      <w:pPr>
        <w:pStyle w:val="6"/>
        <w:keepNext w:val="0"/>
        <w:keepLines w:val="0"/>
        <w:spacing w:before="0" w:after="0" w:line="360" w:lineRule="auto"/>
        <w:ind w:left="420" w:leftChars="200"/>
        <w:rPr>
          <w:rFonts w:hint="eastAsia" w:ascii="宋体" w:hAnsi="宋体"/>
          <w:color w:val="auto"/>
          <w:sz w:val="24"/>
          <w:highlight w:val="none"/>
        </w:rPr>
      </w:pPr>
      <w:r>
        <w:rPr>
          <w:rFonts w:hint="eastAsia" w:ascii="宋体" w:hAnsi="宋体"/>
          <w:color w:val="auto"/>
          <w:sz w:val="24"/>
          <w:highlight w:val="none"/>
        </w:rPr>
        <w:t>17.投标有效期</w:t>
      </w:r>
    </w:p>
    <w:p w14:paraId="3335D69D">
      <w:pPr>
        <w:pStyle w:val="6"/>
        <w:keepNext w:val="0"/>
        <w:keepLines w:val="0"/>
        <w:spacing w:before="0" w:after="0" w:line="360" w:lineRule="auto"/>
        <w:ind w:firstLine="420" w:firstLineChars="200"/>
        <w:rPr>
          <w:rFonts w:hint="eastAsia" w:ascii="宋体" w:hAnsi="宋体"/>
          <w:b w:val="0"/>
          <w:color w:val="auto"/>
          <w:sz w:val="21"/>
          <w:szCs w:val="21"/>
          <w:highlight w:val="none"/>
        </w:rPr>
      </w:pPr>
      <w:bookmarkStart w:id="118" w:name="_17.1投标有效期应按“投标人须知中的前附表”规定的期限。"/>
      <w:bookmarkEnd w:id="118"/>
      <w:r>
        <w:rPr>
          <w:rFonts w:hint="eastAsia" w:ascii="宋体" w:hAnsi="宋体"/>
          <w:b w:val="0"/>
          <w:color w:val="auto"/>
          <w:sz w:val="21"/>
          <w:szCs w:val="21"/>
          <w:highlight w:val="none"/>
        </w:rPr>
        <w:t>17.1投标有效期是指为保证采购人有足够的时间在开标后完成评标、定标、合同签订等工作而要求投标人提交的投标文件在一定时间内保持有效的期限。</w:t>
      </w:r>
    </w:p>
    <w:p w14:paraId="035A0760">
      <w:pPr>
        <w:pStyle w:val="6"/>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17.2</w:t>
      </w:r>
      <w:bookmarkStart w:id="119" w:name="_Toc254970681"/>
      <w:bookmarkStart w:id="120" w:name="_Toc254970540"/>
      <w:r>
        <w:rPr>
          <w:rFonts w:hint="eastAsia" w:ascii="宋体" w:hAnsi="宋体"/>
          <w:b w:val="0"/>
          <w:color w:val="auto"/>
          <w:sz w:val="21"/>
          <w:szCs w:val="21"/>
          <w:highlight w:val="none"/>
        </w:rPr>
        <w:t xml:space="preserve"> 投标有效期应按规定的期限作出承诺，具体详见“投标人须知前附表”。</w:t>
      </w:r>
    </w:p>
    <w:p w14:paraId="2BBD4A1D">
      <w:pPr>
        <w:pStyle w:val="6"/>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17.3投标人的投标文件在投标有效期内均保持有效。</w:t>
      </w:r>
      <w:bookmarkEnd w:id="119"/>
      <w:bookmarkEnd w:id="120"/>
    </w:p>
    <w:p w14:paraId="50C5DA86">
      <w:pPr>
        <w:pStyle w:val="6"/>
        <w:keepNext w:val="0"/>
        <w:keepLines w:val="0"/>
        <w:spacing w:before="0" w:after="0" w:line="360" w:lineRule="auto"/>
        <w:ind w:left="420" w:leftChars="200"/>
        <w:rPr>
          <w:rFonts w:ascii="宋体" w:hAnsi="宋体"/>
          <w:b w:val="0"/>
          <w:color w:val="auto"/>
          <w:sz w:val="21"/>
          <w:szCs w:val="21"/>
          <w:highlight w:val="none"/>
        </w:rPr>
      </w:pPr>
      <w:bookmarkStart w:id="121" w:name="_18.投标保证金"/>
      <w:bookmarkEnd w:id="121"/>
      <w:bookmarkStart w:id="122" w:name="_Toc254970541"/>
      <w:bookmarkStart w:id="123" w:name="_Toc254970682"/>
      <w:r>
        <w:rPr>
          <w:rFonts w:hint="eastAsia" w:ascii="宋体" w:hAnsi="宋体"/>
          <w:color w:val="auto"/>
          <w:sz w:val="24"/>
          <w:highlight w:val="none"/>
        </w:rPr>
        <w:t>18.投标保证金</w:t>
      </w:r>
      <w:bookmarkEnd w:id="122"/>
      <w:bookmarkEnd w:id="123"/>
      <w:r>
        <w:rPr>
          <w:rFonts w:hint="eastAsia" w:ascii="宋体" w:hAnsi="宋体"/>
          <w:color w:val="auto"/>
          <w:sz w:val="24"/>
          <w:highlight w:val="none"/>
        </w:rPr>
        <w:t>：</w:t>
      </w:r>
      <w:r>
        <w:rPr>
          <w:rFonts w:hint="eastAsia" w:ascii="宋体" w:hAnsi="宋体"/>
          <w:b w:val="0"/>
          <w:color w:val="auto"/>
          <w:sz w:val="21"/>
          <w:szCs w:val="21"/>
          <w:highlight w:val="none"/>
        </w:rPr>
        <w:t>本项目不收取投标保证金。</w:t>
      </w:r>
    </w:p>
    <w:p w14:paraId="3C7995F6">
      <w:pPr>
        <w:pStyle w:val="6"/>
        <w:keepNext w:val="0"/>
        <w:keepLines w:val="0"/>
        <w:spacing w:before="0" w:after="0" w:line="360" w:lineRule="auto"/>
        <w:ind w:left="420" w:leftChars="200"/>
        <w:rPr>
          <w:rFonts w:hint="eastAsia" w:ascii="宋体" w:hAnsi="宋体"/>
          <w:color w:val="auto"/>
          <w:sz w:val="24"/>
          <w:highlight w:val="none"/>
        </w:rPr>
      </w:pPr>
      <w:bookmarkStart w:id="124" w:name="_Toc254970542"/>
      <w:bookmarkStart w:id="125" w:name="_Toc254970683"/>
      <w:r>
        <w:rPr>
          <w:rFonts w:hint="eastAsia" w:ascii="宋体" w:hAnsi="宋体"/>
          <w:color w:val="auto"/>
          <w:sz w:val="24"/>
          <w:highlight w:val="none"/>
        </w:rPr>
        <w:t>19.投标文件的</w:t>
      </w:r>
      <w:bookmarkEnd w:id="124"/>
      <w:bookmarkEnd w:id="125"/>
      <w:r>
        <w:rPr>
          <w:rFonts w:hint="eastAsia" w:ascii="宋体" w:hAnsi="宋体"/>
          <w:color w:val="auto"/>
          <w:sz w:val="24"/>
          <w:highlight w:val="none"/>
        </w:rPr>
        <w:t>编制</w:t>
      </w:r>
    </w:p>
    <w:p w14:paraId="2160A972">
      <w:pPr>
        <w:pStyle w:val="6"/>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19.1投标人应先安装“政采云电子投标客户端”（请自行前往“政采云”平台进行下载），并按照本项目招标文件规定的格式和顺序和“政采云”平台的要求编制并加密。投标文件内容不完整、编排混乱导致投标文件被误读、漏读或者查找不到相关内容的，由此引发的后果由投标人承担。</w:t>
      </w:r>
    </w:p>
    <w:p w14:paraId="12E8E910">
      <w:pPr>
        <w:pStyle w:val="6"/>
        <w:keepNext w:val="0"/>
        <w:keepLines w:val="0"/>
        <w:spacing w:before="0" w:after="0" w:line="360" w:lineRule="auto"/>
        <w:ind w:firstLine="315" w:firstLineChars="150"/>
        <w:rPr>
          <w:rFonts w:hint="eastAsia" w:ascii="宋体" w:hAnsi="宋体"/>
          <w:b w:val="0"/>
          <w:color w:val="auto"/>
          <w:sz w:val="21"/>
          <w:szCs w:val="21"/>
          <w:highlight w:val="none"/>
        </w:rPr>
      </w:pPr>
      <w:bookmarkStart w:id="126" w:name="_19.2投标文件应按报价文件、资格证明文件、商务文件、技术文件分别编制"/>
      <w:bookmarkEnd w:id="126"/>
      <w:r>
        <w:rPr>
          <w:rFonts w:ascii="宋体" w:hAnsi="宋体"/>
          <w:b w:val="0"/>
          <w:color w:val="auto"/>
          <w:sz w:val="21"/>
          <w:szCs w:val="21"/>
          <w:highlight w:val="none"/>
        </w:rPr>
        <w:t xml:space="preserve"> </w:t>
      </w:r>
      <w:r>
        <w:rPr>
          <w:rFonts w:hint="eastAsia" w:ascii="宋体" w:hAnsi="宋体"/>
          <w:b w:val="0"/>
          <w:color w:val="auto"/>
          <w:sz w:val="21"/>
          <w:szCs w:val="21"/>
          <w:highlight w:val="none"/>
        </w:rPr>
        <w:t>19.2为确保网上操作合法、有效和安全，投标人应当在投标截止时间前完成在“政采云”平台的身份认证，确保在电子投标过程中能够对相关数据电文进行加密和使用电子签章。</w:t>
      </w:r>
    </w:p>
    <w:p w14:paraId="30C2B88C">
      <w:pPr>
        <w:pStyle w:val="6"/>
        <w:keepNext w:val="0"/>
        <w:keepLines w:val="0"/>
        <w:spacing w:before="0" w:after="0" w:line="360" w:lineRule="auto"/>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w:t>
      </w:r>
      <w:r>
        <w:rPr>
          <w:rFonts w:ascii="宋体" w:hAnsi="宋体"/>
          <w:b w:val="0"/>
          <w:color w:val="auto"/>
          <w:sz w:val="21"/>
          <w:szCs w:val="21"/>
          <w:highlight w:val="none"/>
        </w:rPr>
        <w:t xml:space="preserve">   </w:t>
      </w:r>
      <w:r>
        <w:rPr>
          <w:rFonts w:hint="eastAsia" w:ascii="宋体" w:hAnsi="宋体"/>
          <w:b w:val="0"/>
          <w:color w:val="auto"/>
          <w:sz w:val="21"/>
          <w:szCs w:val="21"/>
          <w:highlight w:val="none"/>
        </w:rPr>
        <w:t>19.3投标文件须由投标人在规定位置签字（或者电子签名）、盖章（具体以投标人须知前附表或投标文件格式规定为准），</w:t>
      </w:r>
      <w:r>
        <w:rPr>
          <w:rFonts w:hint="eastAsia" w:ascii="宋体" w:hAnsi="宋体"/>
          <w:bCs/>
          <w:color w:val="auto"/>
          <w:sz w:val="21"/>
          <w:szCs w:val="21"/>
          <w:highlight w:val="none"/>
        </w:rPr>
        <w:t>否则按无效投标处理</w:t>
      </w:r>
      <w:r>
        <w:rPr>
          <w:rFonts w:hint="eastAsia" w:ascii="宋体" w:hAnsi="宋体"/>
          <w:b w:val="0"/>
          <w:color w:val="auto"/>
          <w:sz w:val="21"/>
          <w:szCs w:val="21"/>
          <w:highlight w:val="none"/>
        </w:rPr>
        <w:t>。</w:t>
      </w:r>
    </w:p>
    <w:p w14:paraId="56A01B65">
      <w:pPr>
        <w:pStyle w:val="6"/>
        <w:keepNext w:val="0"/>
        <w:keepLines w:val="0"/>
        <w:spacing w:before="0" w:after="0" w:line="360" w:lineRule="auto"/>
        <w:ind w:firstLine="315" w:firstLineChars="150"/>
        <w:rPr>
          <w:rFonts w:hint="eastAsia" w:ascii="宋体" w:hAnsi="宋体"/>
          <w:b w:val="0"/>
          <w:color w:val="auto"/>
          <w:sz w:val="21"/>
          <w:szCs w:val="21"/>
          <w:highlight w:val="none"/>
        </w:rPr>
      </w:pPr>
      <w:r>
        <w:rPr>
          <w:rFonts w:ascii="宋体" w:hAnsi="宋体"/>
          <w:b w:val="0"/>
          <w:color w:val="auto"/>
          <w:sz w:val="21"/>
          <w:szCs w:val="21"/>
          <w:highlight w:val="none"/>
        </w:rPr>
        <w:t xml:space="preserve"> </w:t>
      </w:r>
      <w:r>
        <w:rPr>
          <w:rFonts w:hint="eastAsia" w:ascii="宋体" w:hAnsi="宋体"/>
          <w:b w:val="0"/>
          <w:color w:val="auto"/>
          <w:sz w:val="21"/>
          <w:szCs w:val="21"/>
          <w:highlight w:val="none"/>
        </w:rPr>
        <w:t>19.4投标文件中标注的投标人名称应与主体资格证明（如营业执照或者事业单位法人证书或者执业许可证或者登记证书等）及公章一致，并与“政采云”中获取招标文件的投标人名称一致，投标人为自然人的，标注的投标人名称应与身份证姓名及签名一致，</w:t>
      </w:r>
      <w:r>
        <w:rPr>
          <w:rFonts w:hint="eastAsia" w:ascii="宋体" w:hAnsi="宋体"/>
          <w:color w:val="auto"/>
          <w:sz w:val="21"/>
          <w:szCs w:val="21"/>
          <w:highlight w:val="none"/>
        </w:rPr>
        <w:t>否则按无效投标处理</w:t>
      </w:r>
      <w:r>
        <w:rPr>
          <w:rFonts w:hint="eastAsia" w:ascii="宋体" w:hAnsi="宋体"/>
          <w:b w:val="0"/>
          <w:color w:val="auto"/>
          <w:sz w:val="21"/>
          <w:szCs w:val="21"/>
          <w:highlight w:val="none"/>
        </w:rPr>
        <w:t>。</w:t>
      </w:r>
    </w:p>
    <w:p w14:paraId="41924505">
      <w:pPr>
        <w:pStyle w:val="6"/>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19.5投标文件应尽量避免涂改、行间插字或者删除。如果出现上述情况，改动之处应由投标人的法定代表人或者其委托代理人签字（或者电子签名）或者加盖公章或者加盖电子签章。投标文件因字迹潦草或者表达不清所引起的后果由投标人承担。</w:t>
      </w:r>
    </w:p>
    <w:p w14:paraId="71BDA945">
      <w:pPr>
        <w:spacing w:line="360" w:lineRule="auto"/>
        <w:ind w:firstLine="482" w:firstLineChars="200"/>
        <w:rPr>
          <w:rFonts w:hint="eastAsia" w:ascii="宋体" w:hAnsi="宋体" w:eastAsia="宋体" w:cs="Times New Roman"/>
          <w:b/>
          <w:color w:val="auto"/>
          <w:kern w:val="2"/>
          <w:sz w:val="24"/>
          <w:szCs w:val="24"/>
          <w:highlight w:val="none"/>
          <w:lang w:val="en-US" w:eastAsia="zh-CN" w:bidi="ar-SA"/>
        </w:rPr>
      </w:pPr>
      <w:r>
        <w:rPr>
          <w:rFonts w:hint="eastAsia" w:ascii="宋体" w:hAnsi="宋体" w:eastAsia="宋体" w:cs="Times New Roman"/>
          <w:b/>
          <w:color w:val="auto"/>
          <w:kern w:val="2"/>
          <w:sz w:val="24"/>
          <w:szCs w:val="24"/>
          <w:highlight w:val="none"/>
          <w:lang w:val="en-US" w:eastAsia="zh-CN" w:bidi="ar-SA"/>
        </w:rPr>
        <w:t>20.电子备份投标文件</w:t>
      </w:r>
    </w:p>
    <w:p w14:paraId="5FC37D99">
      <w:pPr>
        <w:spacing w:line="360" w:lineRule="auto"/>
        <w:ind w:firstLine="420" w:firstLineChars="200"/>
        <w:rPr>
          <w:rFonts w:hint="eastAsia" w:ascii="宋体" w:hAnsi="宋体"/>
          <w:color w:val="auto"/>
          <w:sz w:val="24"/>
          <w:highlight w:val="none"/>
        </w:rPr>
      </w:pPr>
      <w:r>
        <w:rPr>
          <w:rFonts w:hint="eastAsia" w:ascii="宋体" w:hAnsi="宋体"/>
          <w:color w:val="auto"/>
          <w:highlight w:val="none"/>
        </w:rPr>
        <w:t>电子备份投标文件是指通过“政采云电子投标客户端”在线编制生成且后缀名为“</w:t>
      </w:r>
      <w:r>
        <w:rPr>
          <w:rFonts w:ascii="宋体" w:hAnsi="宋体"/>
          <w:color w:val="auto"/>
          <w:highlight w:val="none"/>
        </w:rPr>
        <w:t>bfbs</w:t>
      </w:r>
      <w:r>
        <w:rPr>
          <w:rFonts w:hint="eastAsia" w:ascii="宋体" w:hAnsi="宋体"/>
          <w:color w:val="auto"/>
          <w:highlight w:val="none"/>
        </w:rPr>
        <w:t>”的文件，是否接受电子备份投标文件</w:t>
      </w:r>
      <w:r>
        <w:rPr>
          <w:rFonts w:hint="eastAsia" w:ascii="宋体" w:hAnsi="宋体"/>
          <w:color w:val="auto"/>
          <w:highlight w:val="none"/>
          <w:lang w:eastAsia="zh-CN"/>
        </w:rPr>
        <w:t>详见</w:t>
      </w:r>
      <w:r>
        <w:rPr>
          <w:rFonts w:hint="eastAsia" w:ascii="宋体" w:hAnsi="宋体"/>
          <w:bCs/>
          <w:color w:val="auto"/>
          <w:szCs w:val="21"/>
          <w:highlight w:val="none"/>
        </w:rPr>
        <w:t>“投标人须知前附表”。</w:t>
      </w:r>
    </w:p>
    <w:p w14:paraId="5EDF5913">
      <w:pPr>
        <w:pStyle w:val="6"/>
        <w:keepNext w:val="0"/>
        <w:keepLines w:val="0"/>
        <w:spacing w:before="0" w:after="0" w:line="360" w:lineRule="auto"/>
        <w:ind w:left="420" w:leftChars="200"/>
        <w:rPr>
          <w:rFonts w:hint="eastAsia" w:ascii="宋体" w:hAnsi="宋体"/>
          <w:color w:val="auto"/>
          <w:sz w:val="24"/>
          <w:highlight w:val="none"/>
        </w:rPr>
      </w:pPr>
      <w:r>
        <w:rPr>
          <w:rFonts w:hint="eastAsia" w:ascii="宋体" w:hAnsi="宋体"/>
          <w:color w:val="auto"/>
          <w:sz w:val="24"/>
          <w:highlight w:val="none"/>
        </w:rPr>
        <w:t>21.投标文件的提交</w:t>
      </w:r>
    </w:p>
    <w:p w14:paraId="4488EEA3">
      <w:pPr>
        <w:spacing w:line="360" w:lineRule="auto"/>
        <w:ind w:firstLine="420" w:firstLineChars="200"/>
        <w:rPr>
          <w:rFonts w:hint="eastAsia" w:ascii="宋体" w:hAnsi="宋体"/>
          <w:b/>
          <w:color w:val="auto"/>
          <w:highlight w:val="none"/>
        </w:rPr>
      </w:pPr>
      <w:bookmarkStart w:id="127" w:name="_21.1投标人必须在“投标人须知中的前附表”规定的投标文件接收时间和投"/>
      <w:bookmarkEnd w:id="127"/>
      <w:r>
        <w:rPr>
          <w:rFonts w:hint="eastAsia" w:ascii="宋体" w:hAnsi="宋体"/>
          <w:bCs/>
          <w:color w:val="auto"/>
          <w:szCs w:val="21"/>
          <w:highlight w:val="none"/>
        </w:rPr>
        <w:t>21.1投标人必须在“投标人须知前附表”规定的</w:t>
      </w:r>
      <w:r>
        <w:rPr>
          <w:rFonts w:hint="eastAsia" w:ascii="宋体" w:hAnsi="宋体"/>
          <w:color w:val="auto"/>
          <w:szCs w:val="21"/>
          <w:highlight w:val="none"/>
        </w:rPr>
        <w:t>投标文件提交截止时间前将</w:t>
      </w:r>
      <w:r>
        <w:rPr>
          <w:rFonts w:hint="eastAsia" w:ascii="宋体" w:hAnsi="宋体"/>
          <w:bCs/>
          <w:color w:val="auto"/>
          <w:szCs w:val="21"/>
          <w:highlight w:val="none"/>
        </w:rPr>
        <w:t>电子投标文件提交至投标地点。电子投标文件应在制作完成后，</w:t>
      </w:r>
      <w:r>
        <w:rPr>
          <w:rFonts w:ascii="宋体" w:hAnsi="宋体"/>
          <w:bCs/>
          <w:color w:val="auto"/>
          <w:szCs w:val="21"/>
          <w:highlight w:val="none"/>
        </w:rPr>
        <w:t>在投标截止时间前</w:t>
      </w:r>
      <w:r>
        <w:rPr>
          <w:rFonts w:hint="eastAsia" w:ascii="宋体" w:hAnsi="宋体"/>
          <w:bCs/>
          <w:color w:val="auto"/>
          <w:szCs w:val="21"/>
          <w:highlight w:val="none"/>
        </w:rPr>
        <w:t>通过有效数字证书（CA认证锁）进行电子签章、加密，然后通过网络将加密的电子投标文件递交至</w:t>
      </w:r>
      <w:r>
        <w:rPr>
          <w:rFonts w:hint="eastAsia" w:ascii="宋体" w:hAnsi="宋体"/>
          <w:color w:val="auto"/>
          <w:szCs w:val="21"/>
          <w:highlight w:val="none"/>
        </w:rPr>
        <w:t>“政采云”平台</w:t>
      </w:r>
      <w:r>
        <w:rPr>
          <w:rFonts w:hint="eastAsia" w:ascii="宋体" w:hAnsi="宋体"/>
          <w:bCs/>
          <w:color w:val="auto"/>
          <w:szCs w:val="21"/>
          <w:highlight w:val="none"/>
        </w:rPr>
        <w:t xml:space="preserve">。 </w:t>
      </w:r>
      <w:r>
        <w:rPr>
          <w:rFonts w:hint="eastAsia" w:ascii="宋体" w:hAnsi="宋体"/>
          <w:b/>
          <w:color w:val="auto"/>
          <w:highlight w:val="none"/>
        </w:rPr>
        <w:t xml:space="preserve"> </w:t>
      </w:r>
    </w:p>
    <w:p w14:paraId="46A8E0C2">
      <w:pPr>
        <w:spacing w:line="360" w:lineRule="auto"/>
        <w:ind w:firstLine="420" w:firstLineChars="200"/>
        <w:rPr>
          <w:rFonts w:hint="eastAsia" w:ascii="宋体" w:hAnsi="宋体"/>
          <w:b/>
          <w:color w:val="auto"/>
          <w:szCs w:val="20"/>
          <w:highlight w:val="none"/>
        </w:rPr>
      </w:pPr>
      <w:r>
        <w:rPr>
          <w:rFonts w:hint="eastAsia" w:ascii="宋体" w:hAnsi="宋体"/>
          <w:bCs/>
          <w:color w:val="auto"/>
          <w:szCs w:val="21"/>
          <w:highlight w:val="none"/>
        </w:rPr>
        <w:t>21.</w:t>
      </w:r>
      <w:r>
        <w:rPr>
          <w:rFonts w:ascii="宋体" w:hAnsi="宋体"/>
          <w:bCs/>
          <w:color w:val="auto"/>
          <w:szCs w:val="21"/>
          <w:highlight w:val="none"/>
        </w:rPr>
        <w:t>2</w:t>
      </w:r>
      <w:r>
        <w:rPr>
          <w:rFonts w:hint="eastAsia" w:ascii="宋体" w:hAnsi="宋体"/>
          <w:bCs/>
          <w:color w:val="auto"/>
          <w:szCs w:val="21"/>
          <w:highlight w:val="none"/>
        </w:rPr>
        <w:t>未在规定时间内提交或者未按照招标文件要求加密的电子投标文件，“政采云”平台将拒收。</w:t>
      </w:r>
    </w:p>
    <w:p w14:paraId="7FA2E5DE">
      <w:pPr>
        <w:pStyle w:val="6"/>
        <w:keepNext w:val="0"/>
        <w:keepLines w:val="0"/>
        <w:spacing w:before="0" w:after="0" w:line="360" w:lineRule="auto"/>
        <w:ind w:left="420" w:leftChars="200"/>
        <w:rPr>
          <w:rFonts w:hint="eastAsia" w:ascii="宋体" w:hAnsi="宋体"/>
          <w:color w:val="auto"/>
          <w:sz w:val="24"/>
          <w:highlight w:val="none"/>
        </w:rPr>
      </w:pPr>
      <w:r>
        <w:rPr>
          <w:rFonts w:hint="eastAsia" w:ascii="宋体" w:hAnsi="宋体"/>
          <w:color w:val="auto"/>
          <w:sz w:val="24"/>
          <w:highlight w:val="none"/>
        </w:rPr>
        <w:t>22. 投标文件的补充、修改、撤回与退回</w:t>
      </w:r>
    </w:p>
    <w:p w14:paraId="5F3602D5">
      <w:pPr>
        <w:snapToGrid w:val="0"/>
        <w:spacing w:line="360" w:lineRule="auto"/>
        <w:ind w:firstLine="420"/>
        <w:jc w:val="left"/>
        <w:rPr>
          <w:rFonts w:hint="eastAsia" w:ascii="宋体" w:hAnsi="宋体"/>
          <w:color w:val="auto"/>
          <w:szCs w:val="21"/>
          <w:highlight w:val="none"/>
        </w:rPr>
      </w:pPr>
      <w:bookmarkStart w:id="128" w:name="_Toc254970543"/>
      <w:bookmarkStart w:id="129" w:name="_Toc254970684"/>
      <w:r>
        <w:rPr>
          <w:rFonts w:ascii="宋体" w:hAnsi="宋体" w:cs="宋体"/>
          <w:color w:val="auto"/>
          <w:szCs w:val="21"/>
          <w:highlight w:val="none"/>
        </w:rPr>
        <w:t>22</w:t>
      </w:r>
      <w:r>
        <w:rPr>
          <w:rFonts w:hint="eastAsia" w:ascii="宋体" w:hAnsi="宋体" w:cs="宋体"/>
          <w:color w:val="auto"/>
          <w:szCs w:val="21"/>
          <w:highlight w:val="none"/>
        </w:rPr>
        <w:t>.1</w:t>
      </w:r>
      <w:r>
        <w:rPr>
          <w:rFonts w:hint="eastAsia" w:ascii="宋体" w:hAnsi="宋体"/>
          <w:bCs/>
          <w:color w:val="auto"/>
          <w:szCs w:val="21"/>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政采云”平台将予以拒收。</w:t>
      </w:r>
      <w:r>
        <w:rPr>
          <w:rFonts w:hint="eastAsia" w:ascii="宋体" w:hAnsi="宋体" w:cs="宋体"/>
          <w:color w:val="auto"/>
          <w:szCs w:val="21"/>
          <w:highlight w:val="none"/>
        </w:rPr>
        <w:t>（补充、修改或者撤回方式可</w:t>
      </w:r>
      <w:r>
        <w:rPr>
          <w:rFonts w:hint="eastAsia" w:ascii="宋体" w:hAnsi="宋体" w:cs="宋体"/>
          <w:color w:val="auto"/>
          <w:szCs w:val="21"/>
          <w:highlight w:val="none"/>
          <w:lang w:eastAsia="zh-CN"/>
        </w:rPr>
        <w:t>登录</w:t>
      </w:r>
      <w:r>
        <w:rPr>
          <w:rFonts w:hint="eastAsia" w:ascii="宋体" w:hAnsi="宋体" w:cs="宋体"/>
          <w:color w:val="auto"/>
          <w:kern w:val="0"/>
          <w:szCs w:val="21"/>
          <w:highlight w:val="none"/>
        </w:rPr>
        <w:t>“政采云”平台，</w:t>
      </w:r>
      <w:r>
        <w:rPr>
          <w:rFonts w:hint="eastAsia" w:ascii="宋体" w:hAnsi="宋体"/>
          <w:color w:val="auto"/>
          <w:szCs w:val="21"/>
          <w:highlight w:val="none"/>
        </w:rPr>
        <w:t>进入“服务中心”中查看</w:t>
      </w:r>
      <w:r>
        <w:rPr>
          <w:rFonts w:hint="eastAsia" w:ascii="宋体" w:hAnsi="宋体" w:cs="宋体"/>
          <w:color w:val="auto"/>
          <w:szCs w:val="21"/>
          <w:highlight w:val="none"/>
        </w:rPr>
        <w:t xml:space="preserve"> “电子投标文件制作与投送教程”）</w:t>
      </w:r>
    </w:p>
    <w:bookmarkEnd w:id="128"/>
    <w:bookmarkEnd w:id="129"/>
    <w:p w14:paraId="767003A1">
      <w:pPr>
        <w:pStyle w:val="93"/>
        <w:spacing w:before="0"/>
        <w:ind w:firstLine="420"/>
        <w:rPr>
          <w:rFonts w:hint="eastAsia" w:ascii="宋体" w:hAnsi="宋体" w:cs="宋体"/>
          <w:color w:val="auto"/>
          <w:sz w:val="21"/>
          <w:szCs w:val="21"/>
          <w:highlight w:val="none"/>
        </w:rPr>
      </w:pPr>
      <w:r>
        <w:rPr>
          <w:rFonts w:ascii="宋体" w:hAnsi="宋体" w:cs="宋体"/>
          <w:color w:val="auto"/>
          <w:sz w:val="21"/>
          <w:szCs w:val="21"/>
          <w:highlight w:val="none"/>
        </w:rPr>
        <w:t>22.</w:t>
      </w:r>
      <w:r>
        <w:rPr>
          <w:rFonts w:hint="eastAsia" w:ascii="宋体" w:hAnsi="宋体" w:cs="宋体"/>
          <w:color w:val="auto"/>
          <w:sz w:val="21"/>
          <w:szCs w:val="21"/>
          <w:highlight w:val="none"/>
        </w:rPr>
        <w:t>2“政采云”平台收到投标文件后向供应商发出确认回执通知。在投标截止时</w:t>
      </w:r>
      <w:r>
        <w:rPr>
          <w:rFonts w:hint="eastAsia" w:ascii="宋体" w:hAnsi="宋体" w:cs="宋体"/>
          <w:color w:val="auto"/>
          <w:sz w:val="21"/>
          <w:szCs w:val="21"/>
          <w:highlight w:val="none"/>
          <w:lang w:eastAsia="zh-CN"/>
        </w:rPr>
        <w:t>间之</w:t>
      </w:r>
      <w:r>
        <w:rPr>
          <w:rFonts w:hint="eastAsia" w:ascii="宋体" w:hAnsi="宋体" w:cs="宋体"/>
          <w:color w:val="auto"/>
          <w:sz w:val="21"/>
          <w:szCs w:val="21"/>
          <w:highlight w:val="none"/>
        </w:rPr>
        <w:t>前，除供应商补充、修改或者撤回投标文件外，任何单位和个人不得解密或提取投标文件。</w:t>
      </w:r>
    </w:p>
    <w:p w14:paraId="15C7DB6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w:t>
      </w:r>
      <w:r>
        <w:rPr>
          <w:rFonts w:ascii="宋体" w:hAnsi="宋体" w:cs="宋体"/>
          <w:color w:val="auto"/>
          <w:szCs w:val="21"/>
          <w:highlight w:val="none"/>
        </w:rPr>
        <w:t>3</w:t>
      </w:r>
      <w:r>
        <w:rPr>
          <w:rFonts w:hint="eastAsia" w:ascii="宋体" w:hAnsi="宋体" w:cs="宋体"/>
          <w:color w:val="auto"/>
          <w:szCs w:val="21"/>
          <w:highlight w:val="none"/>
        </w:rPr>
        <w:t>在投标截止时间后，采购人和采购代理机构对已提交的投标文件概不退回。</w:t>
      </w:r>
    </w:p>
    <w:p w14:paraId="476BA5FD">
      <w:pPr>
        <w:pStyle w:val="5"/>
        <w:keepNext w:val="0"/>
        <w:keepLines w:val="0"/>
        <w:jc w:val="center"/>
        <w:rPr>
          <w:rFonts w:hint="eastAsia" w:ascii="宋体" w:hAnsi="宋体"/>
          <w:color w:val="auto"/>
          <w:highlight w:val="none"/>
        </w:rPr>
      </w:pPr>
      <w:bookmarkStart w:id="130" w:name="_Toc254970544"/>
      <w:bookmarkStart w:id="131" w:name="_Toc254970685"/>
      <w:r>
        <w:rPr>
          <w:rFonts w:hint="eastAsia" w:ascii="宋体" w:hAnsi="宋体"/>
          <w:color w:val="auto"/>
          <w:highlight w:val="none"/>
        </w:rPr>
        <w:t>四、开    标</w:t>
      </w:r>
      <w:bookmarkEnd w:id="130"/>
      <w:bookmarkEnd w:id="131"/>
    </w:p>
    <w:p w14:paraId="1F52D901">
      <w:pPr>
        <w:pStyle w:val="6"/>
        <w:keepNext w:val="0"/>
        <w:keepLines w:val="0"/>
        <w:spacing w:before="0" w:after="0" w:line="360" w:lineRule="auto"/>
        <w:ind w:left="420" w:leftChars="200"/>
        <w:rPr>
          <w:rFonts w:hint="eastAsia" w:ascii="宋体" w:hAnsi="宋体"/>
          <w:color w:val="auto"/>
          <w:sz w:val="24"/>
          <w:highlight w:val="none"/>
        </w:rPr>
      </w:pPr>
      <w:bookmarkStart w:id="132" w:name="_23.开标时间和地点"/>
      <w:bookmarkEnd w:id="132"/>
      <w:r>
        <w:rPr>
          <w:rFonts w:hint="eastAsia" w:ascii="宋体" w:hAnsi="宋体"/>
          <w:color w:val="auto"/>
          <w:sz w:val="24"/>
          <w:highlight w:val="none"/>
        </w:rPr>
        <w:t>23.开标时间和地点</w:t>
      </w:r>
    </w:p>
    <w:p w14:paraId="17A6F2EC">
      <w:pPr>
        <w:spacing w:line="360" w:lineRule="auto"/>
        <w:ind w:firstLine="420" w:firstLineChars="200"/>
        <w:rPr>
          <w:rFonts w:hint="eastAsia" w:ascii="宋体" w:hAnsi="宋体"/>
          <w:bCs/>
          <w:color w:val="auto"/>
          <w:highlight w:val="none"/>
        </w:rPr>
      </w:pPr>
      <w:r>
        <w:rPr>
          <w:rFonts w:hint="eastAsia" w:ascii="宋体" w:hAnsi="宋体"/>
          <w:bCs/>
          <w:color w:val="auto"/>
          <w:highlight w:val="none"/>
        </w:rPr>
        <w:t>开标时间及地点详见“投标人须知前附表”</w:t>
      </w:r>
    </w:p>
    <w:p w14:paraId="06541A2B">
      <w:pPr>
        <w:pStyle w:val="6"/>
        <w:keepNext w:val="0"/>
        <w:keepLines w:val="0"/>
        <w:spacing w:before="0" w:after="0" w:line="360" w:lineRule="auto"/>
        <w:ind w:left="420" w:leftChars="200"/>
        <w:rPr>
          <w:rFonts w:ascii="宋体" w:hAnsi="宋体"/>
          <w:color w:val="auto"/>
          <w:sz w:val="24"/>
          <w:highlight w:val="none"/>
        </w:rPr>
      </w:pPr>
      <w:r>
        <w:rPr>
          <w:rFonts w:hint="eastAsia" w:ascii="宋体" w:hAnsi="宋体"/>
          <w:color w:val="auto"/>
          <w:sz w:val="24"/>
          <w:highlight w:val="none"/>
        </w:rPr>
        <w:t>24.开标程序</w:t>
      </w:r>
    </w:p>
    <w:p w14:paraId="074B4956">
      <w:pPr>
        <w:pStyle w:val="7"/>
        <w:spacing w:line="360" w:lineRule="auto"/>
        <w:rPr>
          <w:rFonts w:ascii="宋体" w:hAnsi="宋体"/>
          <w:color w:val="auto"/>
          <w:highlight w:val="none"/>
        </w:rPr>
      </w:pPr>
      <w:r>
        <w:rPr>
          <w:rFonts w:hint="eastAsia" w:ascii="宋体" w:hAnsi="宋体"/>
          <w:color w:val="auto"/>
          <w:highlight w:val="none"/>
        </w:rPr>
        <w:t>2</w:t>
      </w:r>
      <w:r>
        <w:rPr>
          <w:rFonts w:ascii="宋体" w:hAnsi="宋体"/>
          <w:color w:val="auto"/>
          <w:highlight w:val="none"/>
        </w:rPr>
        <w:t>4.1</w:t>
      </w:r>
      <w:r>
        <w:rPr>
          <w:rFonts w:hint="eastAsia" w:ascii="宋体" w:hAnsi="宋体"/>
          <w:color w:val="auto"/>
          <w:highlight w:val="none"/>
        </w:rPr>
        <w:t>提交投标文件截止时间止，投标人不足3家的，不得开标。</w:t>
      </w:r>
    </w:p>
    <w:p w14:paraId="4B955774">
      <w:pPr>
        <w:pStyle w:val="7"/>
        <w:spacing w:line="360" w:lineRule="auto"/>
        <w:rPr>
          <w:rFonts w:ascii="宋体" w:hAnsi="宋体"/>
          <w:color w:val="auto"/>
          <w:highlight w:val="none"/>
        </w:rPr>
      </w:pPr>
      <w:r>
        <w:rPr>
          <w:rFonts w:hint="eastAsia" w:ascii="宋体" w:hAnsi="宋体"/>
          <w:color w:val="auto"/>
          <w:highlight w:val="none"/>
        </w:rPr>
        <w:t>24.</w:t>
      </w:r>
      <w:r>
        <w:rPr>
          <w:rFonts w:ascii="宋体" w:hAnsi="宋体"/>
          <w:color w:val="auto"/>
          <w:highlight w:val="none"/>
        </w:rPr>
        <w:t>2</w:t>
      </w:r>
      <w:r>
        <w:rPr>
          <w:rFonts w:hint="eastAsia" w:ascii="宋体" w:hAnsi="宋体"/>
          <w:color w:val="auto"/>
          <w:highlight w:val="none"/>
        </w:rPr>
        <w:t>采购代理机构将按照招标文件规定的时间通过“政采云”平台组织线上开标活动，所有供应商均应当准时在线参加，投标人因未在线参加开标而导致投标文件无法按时解密等一切后果由投标人自己承担。</w:t>
      </w:r>
    </w:p>
    <w:p w14:paraId="164A05F3">
      <w:pPr>
        <w:pStyle w:val="7"/>
        <w:spacing w:line="360" w:lineRule="auto"/>
        <w:rPr>
          <w:rFonts w:hint="eastAsia" w:ascii="宋体" w:hAnsi="宋体"/>
          <w:color w:val="auto"/>
          <w:highlight w:val="none"/>
        </w:rPr>
      </w:pPr>
      <w:r>
        <w:rPr>
          <w:rFonts w:hint="eastAsia" w:ascii="宋体" w:hAnsi="宋体"/>
          <w:color w:val="auto"/>
          <w:highlight w:val="none"/>
        </w:rPr>
        <w:t>24.</w:t>
      </w:r>
      <w:r>
        <w:rPr>
          <w:rFonts w:ascii="宋体" w:hAnsi="宋体"/>
          <w:color w:val="auto"/>
          <w:highlight w:val="none"/>
        </w:rPr>
        <w:t>3</w:t>
      </w:r>
      <w:r>
        <w:rPr>
          <w:rFonts w:hint="eastAsia" w:ascii="宋体" w:hAnsi="宋体"/>
          <w:color w:val="auto"/>
          <w:highlight w:val="none"/>
        </w:rPr>
        <w:t>开标程序</w:t>
      </w:r>
    </w:p>
    <w:p w14:paraId="3DF1ED07">
      <w:pPr>
        <w:pStyle w:val="7"/>
        <w:spacing w:line="360" w:lineRule="auto"/>
        <w:rPr>
          <w:rFonts w:hint="eastAsia" w:ascii="宋体" w:hAnsi="宋体"/>
          <w:color w:val="auto"/>
          <w:highlight w:val="none"/>
        </w:rPr>
      </w:pPr>
      <w:r>
        <w:rPr>
          <w:rFonts w:hint="eastAsia" w:ascii="宋体" w:hAnsi="宋体"/>
          <w:color w:val="auto"/>
          <w:highlight w:val="none"/>
        </w:rPr>
        <w:t>（1）解密电子投标文件。“政采云”平台按开标时间自动提取所有投标文件。采购代理机构依托“政采云”平台向各投标人发出电子加密投标文件【开始解密】通知，由投标人按</w:t>
      </w:r>
      <w:r>
        <w:rPr>
          <w:rFonts w:hint="eastAsia" w:ascii="宋体" w:hAnsi="宋体"/>
          <w:bCs/>
          <w:color w:val="auto"/>
          <w:szCs w:val="21"/>
          <w:highlight w:val="none"/>
        </w:rPr>
        <w:t>“投标人须知前附表”</w:t>
      </w:r>
      <w:r>
        <w:rPr>
          <w:rFonts w:hint="eastAsia" w:ascii="宋体" w:hAnsi="宋体"/>
          <w:color w:val="auto"/>
          <w:highlight w:val="none"/>
        </w:rPr>
        <w:t>规定的时间内自行进行投标文件解密。投标人的法定代表人或其委托代理人须凭加密时所用的CA锁准时登录到“政采云”平台电子开标大厅签到并对电子投标文件解密。</w:t>
      </w:r>
      <w:r>
        <w:rPr>
          <w:rFonts w:ascii="宋体" w:hAnsi="宋体"/>
          <w:b/>
          <w:color w:val="auto"/>
          <w:highlight w:val="none"/>
        </w:rPr>
        <w:t>投标人</w:t>
      </w:r>
      <w:r>
        <w:rPr>
          <w:rFonts w:hint="eastAsia" w:ascii="宋体" w:hAnsi="宋体"/>
          <w:b/>
          <w:color w:val="auto"/>
          <w:highlight w:val="none"/>
        </w:rPr>
        <w:t>未在</w:t>
      </w:r>
      <w:r>
        <w:rPr>
          <w:rFonts w:ascii="宋体" w:hAnsi="宋体"/>
          <w:b/>
          <w:color w:val="auto"/>
          <w:highlight w:val="none"/>
        </w:rPr>
        <w:t>规定的时间内解密</w:t>
      </w:r>
      <w:r>
        <w:rPr>
          <w:rFonts w:hint="eastAsia" w:ascii="宋体" w:hAnsi="宋体"/>
          <w:b/>
          <w:color w:val="auto"/>
          <w:highlight w:val="none"/>
        </w:rPr>
        <w:t>投标文件</w:t>
      </w:r>
      <w:r>
        <w:rPr>
          <w:rFonts w:ascii="宋体" w:hAnsi="宋体"/>
          <w:b/>
          <w:color w:val="auto"/>
          <w:highlight w:val="none"/>
        </w:rPr>
        <w:t>或</w:t>
      </w:r>
      <w:r>
        <w:rPr>
          <w:rFonts w:hint="eastAsia" w:ascii="宋体" w:hAnsi="宋体"/>
          <w:b/>
          <w:color w:val="auto"/>
          <w:highlight w:val="none"/>
        </w:rPr>
        <w:t>者</w:t>
      </w:r>
      <w:r>
        <w:rPr>
          <w:rFonts w:ascii="宋体" w:hAnsi="宋体"/>
          <w:b/>
          <w:color w:val="auto"/>
          <w:highlight w:val="none"/>
        </w:rPr>
        <w:t>解密失败的</w:t>
      </w:r>
      <w:r>
        <w:rPr>
          <w:rFonts w:hint="eastAsia" w:ascii="宋体" w:hAnsi="宋体"/>
          <w:b/>
          <w:color w:val="auto"/>
          <w:highlight w:val="none"/>
        </w:rPr>
        <w:t>，</w:t>
      </w:r>
      <w:r>
        <w:rPr>
          <w:rFonts w:hint="eastAsia" w:ascii="宋体" w:hAnsi="宋体"/>
          <w:b/>
          <w:color w:val="auto"/>
          <w:szCs w:val="21"/>
          <w:highlight w:val="none"/>
        </w:rPr>
        <w:t>投标人的投标文件作无效处理。</w:t>
      </w:r>
    </w:p>
    <w:p w14:paraId="12D7C83E">
      <w:pPr>
        <w:pStyle w:val="7"/>
        <w:spacing w:line="360" w:lineRule="auto"/>
        <w:rPr>
          <w:rFonts w:hint="eastAsia" w:ascii="宋体" w:hAnsi="宋体"/>
          <w:color w:val="auto"/>
          <w:highlight w:val="none"/>
        </w:rPr>
      </w:pPr>
      <w:r>
        <w:rPr>
          <w:rFonts w:hint="eastAsia" w:ascii="宋体" w:hAnsi="宋体"/>
          <w:color w:val="auto"/>
          <w:highlight w:val="none"/>
        </w:rPr>
        <w:t>（2）电子唱标。投标文件解密结束，宣布的内容均在“政采云”平台远程开标大厅展示，具体详见</w:t>
      </w:r>
      <w:r>
        <w:rPr>
          <w:rFonts w:hint="eastAsia" w:ascii="宋体" w:hAnsi="宋体"/>
          <w:bCs/>
          <w:color w:val="auto"/>
          <w:highlight w:val="none"/>
        </w:rPr>
        <w:t>“投标人须知前附表”</w:t>
      </w:r>
      <w:r>
        <w:rPr>
          <w:rFonts w:hint="eastAsia" w:ascii="宋体" w:hAnsi="宋体"/>
          <w:color w:val="auto"/>
          <w:highlight w:val="none"/>
        </w:rPr>
        <w:t>；</w:t>
      </w:r>
    </w:p>
    <w:p w14:paraId="0E238935">
      <w:pPr>
        <w:pStyle w:val="7"/>
        <w:spacing w:line="360" w:lineRule="auto"/>
        <w:rPr>
          <w:rFonts w:hint="eastAsia" w:ascii="宋体" w:hAnsi="宋体"/>
          <w:color w:val="auto"/>
          <w:szCs w:val="21"/>
          <w:highlight w:val="none"/>
        </w:rPr>
      </w:pPr>
      <w:r>
        <w:rPr>
          <w:rFonts w:hint="eastAsia" w:ascii="宋体" w:hAnsi="宋体"/>
          <w:color w:val="auto"/>
          <w:highlight w:val="none"/>
        </w:rPr>
        <w:t>（3）开标过程由采购代理机构如实记录，并电子留痕，由参加电子开标的各投标人代表对电子开标记录在开标记录公布后15分钟内进行当</w:t>
      </w:r>
      <w:r>
        <w:rPr>
          <w:rFonts w:hint="eastAsia" w:ascii="宋体" w:hAnsi="宋体"/>
          <w:color w:val="auto"/>
          <w:szCs w:val="21"/>
          <w:highlight w:val="none"/>
        </w:rPr>
        <w:t>场校核及勘误，并线上确认是否有异议，未确认的视同认可开标结果。</w:t>
      </w:r>
    </w:p>
    <w:p w14:paraId="2A55A2A6">
      <w:pPr>
        <w:pStyle w:val="7"/>
        <w:spacing w:line="360" w:lineRule="auto"/>
        <w:rPr>
          <w:rFonts w:hint="eastAsia" w:ascii="宋体" w:hAnsi="宋体"/>
          <w:color w:val="auto"/>
          <w:szCs w:val="21"/>
          <w:highlight w:val="none"/>
        </w:rPr>
      </w:pPr>
      <w:r>
        <w:rPr>
          <w:rFonts w:hint="eastAsia" w:ascii="宋体" w:hAnsi="宋体"/>
          <w:color w:val="auto"/>
          <w:szCs w:val="21"/>
          <w:highlight w:val="none"/>
        </w:rPr>
        <w:t>（4）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2AC5E646">
      <w:pPr>
        <w:pStyle w:val="7"/>
        <w:spacing w:line="360" w:lineRule="auto"/>
        <w:rPr>
          <w:rFonts w:hint="eastAsia" w:ascii="宋体" w:hAnsi="宋体"/>
          <w:color w:val="auto"/>
          <w:szCs w:val="21"/>
          <w:highlight w:val="none"/>
        </w:rPr>
      </w:pPr>
      <w:r>
        <w:rPr>
          <w:rFonts w:hint="eastAsia" w:ascii="宋体" w:hAnsi="宋体"/>
          <w:color w:val="auto"/>
          <w:szCs w:val="21"/>
          <w:highlight w:val="none"/>
        </w:rPr>
        <w:t>（5）开标结束。</w:t>
      </w:r>
    </w:p>
    <w:p w14:paraId="1B60A3FA">
      <w:pPr>
        <w:pStyle w:val="25"/>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特别说明：如遇“政采云”平台电子化开标或评审程序调整的，按调整后执行。</w:t>
      </w:r>
    </w:p>
    <w:p w14:paraId="28A0F0FC">
      <w:pPr>
        <w:pStyle w:val="25"/>
        <w:snapToGrid w:val="0"/>
        <w:spacing w:line="360" w:lineRule="auto"/>
        <w:ind w:left="689" w:leftChars="228" w:hanging="210" w:hangingChars="100"/>
        <w:rPr>
          <w:rFonts w:hint="eastAsia" w:hAnsi="宋体"/>
          <w:color w:val="auto"/>
          <w:sz w:val="21"/>
          <w:highlight w:val="none"/>
        </w:rPr>
      </w:pPr>
    </w:p>
    <w:p w14:paraId="5611CB05">
      <w:pPr>
        <w:pStyle w:val="5"/>
        <w:keepNext w:val="0"/>
        <w:keepLines w:val="0"/>
        <w:jc w:val="center"/>
        <w:rPr>
          <w:rFonts w:hint="eastAsia" w:ascii="宋体" w:hAnsi="宋体"/>
          <w:color w:val="auto"/>
          <w:highlight w:val="none"/>
        </w:rPr>
      </w:pPr>
      <w:r>
        <w:rPr>
          <w:rFonts w:hint="eastAsia" w:ascii="宋体" w:hAnsi="宋体"/>
          <w:color w:val="auto"/>
          <w:highlight w:val="none"/>
        </w:rPr>
        <w:t>五、资格审查</w:t>
      </w:r>
    </w:p>
    <w:p w14:paraId="39103BEB">
      <w:pPr>
        <w:pStyle w:val="6"/>
        <w:keepNext w:val="0"/>
        <w:keepLines w:val="0"/>
        <w:spacing w:before="0" w:after="0" w:line="360" w:lineRule="auto"/>
        <w:ind w:left="420" w:leftChars="200"/>
        <w:rPr>
          <w:rFonts w:hint="eastAsia" w:ascii="宋体" w:hAnsi="宋体"/>
          <w:color w:val="auto"/>
          <w:sz w:val="24"/>
          <w:highlight w:val="none"/>
        </w:rPr>
      </w:pPr>
      <w:r>
        <w:rPr>
          <w:rFonts w:hint="eastAsia" w:ascii="宋体" w:hAnsi="宋体"/>
          <w:color w:val="auto"/>
          <w:sz w:val="24"/>
          <w:highlight w:val="none"/>
        </w:rPr>
        <w:t>25.资格审查</w:t>
      </w:r>
    </w:p>
    <w:p w14:paraId="6808DEF9">
      <w:pPr>
        <w:pStyle w:val="6"/>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25.1</w:t>
      </w:r>
      <w:r>
        <w:rPr>
          <w:rFonts w:ascii="宋体" w:hAnsi="宋体"/>
          <w:b w:val="0"/>
          <w:color w:val="auto"/>
          <w:sz w:val="21"/>
          <w:szCs w:val="21"/>
          <w:highlight w:val="none"/>
        </w:rPr>
        <w:t>开标结束后，</w:t>
      </w:r>
      <w:r>
        <w:rPr>
          <w:rFonts w:hint="eastAsia" w:ascii="宋体" w:hAnsi="宋体"/>
          <w:b w:val="0"/>
          <w:color w:val="auto"/>
          <w:sz w:val="21"/>
          <w:szCs w:val="21"/>
          <w:highlight w:val="none"/>
        </w:rPr>
        <w:t>采购人或者采购代理机构通过电子开评标系统依据招标文件对电子投标文件进行线上资格审查</w:t>
      </w:r>
      <w:r>
        <w:rPr>
          <w:rFonts w:ascii="宋体" w:hAnsi="宋体"/>
          <w:b w:val="0"/>
          <w:color w:val="auto"/>
          <w:sz w:val="21"/>
          <w:szCs w:val="21"/>
          <w:highlight w:val="none"/>
        </w:rPr>
        <w:t>。</w:t>
      </w:r>
    </w:p>
    <w:p w14:paraId="202914B2">
      <w:pPr>
        <w:pStyle w:val="6"/>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25.2资格审查标准为本招标文件中载明对投标人资格要求的条件。本项目资格审查采用合格制，凡符合招标文件规定的投标人资格要求的投标人均通过资格审查。</w:t>
      </w:r>
    </w:p>
    <w:p w14:paraId="3B142D81">
      <w:pPr>
        <w:pStyle w:val="6"/>
        <w:keepNext w:val="0"/>
        <w:keepLines w:val="0"/>
        <w:numPr>
          <w:ilvl w:val="0"/>
          <w:numId w:val="0"/>
        </w:numPr>
        <w:spacing w:before="0" w:after="0" w:line="360" w:lineRule="auto"/>
        <w:ind w:firstLine="422" w:firstLineChars="200"/>
        <w:rPr>
          <w:rFonts w:hint="eastAsia" w:ascii="宋体" w:hAnsi="宋体"/>
          <w:color w:val="auto"/>
          <w:sz w:val="21"/>
          <w:szCs w:val="21"/>
          <w:highlight w:val="none"/>
        </w:rPr>
      </w:pPr>
      <w:bookmarkStart w:id="133" w:name="_25.3_投标人有下列情形之一的，资格审查不通过而导致其投标无效："/>
      <w:bookmarkEnd w:id="133"/>
      <w:r>
        <w:rPr>
          <w:rFonts w:hint="eastAsia" w:ascii="宋体" w:hAnsi="宋体"/>
          <w:color w:val="auto"/>
          <w:sz w:val="21"/>
          <w:szCs w:val="21"/>
          <w:highlight w:val="none"/>
        </w:rPr>
        <w:t>25.3 投标人有下列情形之一的，资格审查不通过，作无效投标处理：</w:t>
      </w:r>
    </w:p>
    <w:p w14:paraId="0FDDFB7D">
      <w:pPr>
        <w:pStyle w:val="25"/>
        <w:snapToGrid w:val="0"/>
        <w:spacing w:line="360" w:lineRule="auto"/>
        <w:ind w:firstLine="422" w:firstLineChars="200"/>
        <w:rPr>
          <w:rFonts w:hAnsi="宋体"/>
          <w:b/>
          <w:color w:val="auto"/>
          <w:sz w:val="21"/>
          <w:highlight w:val="none"/>
        </w:rPr>
      </w:pPr>
      <w:r>
        <w:rPr>
          <w:rFonts w:hint="eastAsia" w:hAnsi="宋体"/>
          <w:b/>
          <w:color w:val="auto"/>
          <w:sz w:val="21"/>
          <w:highlight w:val="none"/>
        </w:rPr>
        <w:t>（1）不具备招标文件中规定的资格要求的；</w:t>
      </w:r>
    </w:p>
    <w:p w14:paraId="3C07B8E7">
      <w:pPr>
        <w:pStyle w:val="25"/>
        <w:snapToGrid w:val="0"/>
        <w:spacing w:line="360" w:lineRule="auto"/>
        <w:ind w:firstLine="422" w:firstLineChars="200"/>
        <w:rPr>
          <w:rFonts w:hAnsi="宋体"/>
          <w:b/>
          <w:color w:val="auto"/>
          <w:sz w:val="21"/>
          <w:highlight w:val="none"/>
        </w:rPr>
      </w:pPr>
      <w:r>
        <w:rPr>
          <w:rFonts w:hint="eastAsia" w:hAnsi="宋体"/>
          <w:b/>
          <w:color w:val="auto"/>
          <w:sz w:val="21"/>
          <w:highlight w:val="none"/>
        </w:rPr>
        <w:t>（2）在“信用中国”网站（www.creditchina.gov.cn）、中国政府采购网（www.ccgp.gov.cn）被列入失信被执行人、重大税收违法案件当事人名单、政府采购严重违法失信行为记录名单及其他不符合《中华人民共和国政府采购法》第二十二条规定条件的；（注：其中信用查询规则见“投标人须知前附表”，“政采云”平台已与“信用中国”网站、中国政府采购网实现数据对接，可直接在线查询）</w:t>
      </w:r>
    </w:p>
    <w:p w14:paraId="3485E7C4">
      <w:pPr>
        <w:pStyle w:val="25"/>
        <w:snapToGrid w:val="0"/>
        <w:spacing w:line="360" w:lineRule="auto"/>
        <w:ind w:firstLine="422" w:firstLineChars="200"/>
        <w:rPr>
          <w:rFonts w:hint="eastAsia" w:hAnsi="宋体"/>
          <w:b/>
          <w:color w:val="auto"/>
          <w:sz w:val="21"/>
          <w:highlight w:val="none"/>
        </w:rPr>
      </w:pPr>
      <w:r>
        <w:rPr>
          <w:rFonts w:hint="eastAsia" w:hAnsi="宋体"/>
          <w:b/>
          <w:color w:val="auto"/>
          <w:sz w:val="21"/>
          <w:highlight w:val="none"/>
        </w:rPr>
        <w:t>（3）同一合同项下的不同投标人，单位负责人为同一人或者存在直接控股、管理关系的；为本项目提供过整体设计、规范编制或者项目管理、监理、检测等服务的供应商，再参加该采购项目的其他采购活动的；</w:t>
      </w:r>
    </w:p>
    <w:p w14:paraId="3A10B0CF">
      <w:pPr>
        <w:pStyle w:val="25"/>
        <w:snapToGrid w:val="0"/>
        <w:spacing w:line="360" w:lineRule="auto"/>
        <w:ind w:firstLine="422" w:firstLineChars="200"/>
        <w:rPr>
          <w:rFonts w:hint="eastAsia" w:hAnsi="宋体"/>
          <w:b/>
          <w:color w:val="auto"/>
          <w:sz w:val="21"/>
          <w:highlight w:val="none"/>
        </w:rPr>
      </w:pPr>
      <w:r>
        <w:rPr>
          <w:rFonts w:hint="eastAsia" w:hAnsi="宋体"/>
          <w:b/>
          <w:color w:val="auto"/>
          <w:sz w:val="21"/>
          <w:highlight w:val="none"/>
        </w:rPr>
        <w:t>（4）投标文件中的资格证明文件缺少任一项“投标人须知前附表”资格证明文件规定“必须提供”的文件资料的；</w:t>
      </w:r>
    </w:p>
    <w:p w14:paraId="2B5E5791">
      <w:pPr>
        <w:pStyle w:val="25"/>
        <w:snapToGrid w:val="0"/>
        <w:spacing w:line="360" w:lineRule="auto"/>
        <w:ind w:firstLine="422" w:firstLineChars="200"/>
        <w:rPr>
          <w:rFonts w:hint="eastAsia" w:hAnsi="宋体"/>
          <w:b/>
          <w:color w:val="auto"/>
          <w:sz w:val="21"/>
          <w:highlight w:val="none"/>
        </w:rPr>
      </w:pPr>
      <w:r>
        <w:rPr>
          <w:rFonts w:hint="eastAsia" w:hAnsi="宋体"/>
          <w:b/>
          <w:color w:val="auto"/>
          <w:sz w:val="21"/>
          <w:highlight w:val="none"/>
        </w:rPr>
        <w:t>（5）投标文件中的资格证明文件出现任一项不符合“投标人须知前附表”资格证明文件规定“必须提供”的文件资料要求或者无效的。</w:t>
      </w:r>
    </w:p>
    <w:p w14:paraId="69BDCB73">
      <w:pPr>
        <w:pStyle w:val="6"/>
        <w:keepNext w:val="0"/>
        <w:keepLines w:val="0"/>
        <w:numPr>
          <w:ilvl w:val="4"/>
          <w:numId w:val="0"/>
        </w:numPr>
        <w:spacing w:before="0" w:after="0" w:line="360" w:lineRule="auto"/>
        <w:ind w:firstLine="422" w:firstLineChars="200"/>
        <w:rPr>
          <w:rFonts w:hint="eastAsia" w:ascii="宋体" w:hAnsi="宋体"/>
          <w:b w:val="0"/>
          <w:color w:val="auto"/>
          <w:sz w:val="21"/>
          <w:szCs w:val="21"/>
          <w:highlight w:val="none"/>
        </w:rPr>
      </w:pPr>
      <w:r>
        <w:rPr>
          <w:rFonts w:hint="eastAsia" w:ascii="宋体" w:hAnsi="宋体"/>
          <w:color w:val="auto"/>
          <w:sz w:val="21"/>
          <w:szCs w:val="21"/>
          <w:highlight w:val="none"/>
        </w:rPr>
        <w:t>25.4</w:t>
      </w:r>
      <w:r>
        <w:rPr>
          <w:rFonts w:ascii="宋体" w:hAnsi="宋体"/>
          <w:color w:val="auto"/>
          <w:sz w:val="21"/>
          <w:szCs w:val="21"/>
          <w:highlight w:val="none"/>
        </w:rPr>
        <w:t>合格投标人不足3家的，不得评标。</w:t>
      </w:r>
    </w:p>
    <w:p w14:paraId="5891201C">
      <w:pPr>
        <w:pStyle w:val="25"/>
        <w:snapToGrid w:val="0"/>
        <w:spacing w:line="360" w:lineRule="auto"/>
        <w:ind w:left="689" w:leftChars="228" w:hanging="210" w:hangingChars="100"/>
        <w:rPr>
          <w:rFonts w:hint="eastAsia" w:hAnsi="宋体"/>
          <w:color w:val="auto"/>
          <w:sz w:val="21"/>
          <w:highlight w:val="none"/>
        </w:rPr>
      </w:pPr>
    </w:p>
    <w:p w14:paraId="459AFD2E">
      <w:pPr>
        <w:pStyle w:val="5"/>
        <w:keepNext w:val="0"/>
        <w:keepLines w:val="0"/>
        <w:jc w:val="center"/>
        <w:rPr>
          <w:rFonts w:hint="eastAsia" w:ascii="宋体" w:hAnsi="宋体"/>
          <w:color w:val="auto"/>
          <w:highlight w:val="none"/>
        </w:rPr>
      </w:pPr>
      <w:r>
        <w:rPr>
          <w:rFonts w:hint="eastAsia" w:ascii="宋体" w:hAnsi="宋体"/>
          <w:color w:val="auto"/>
          <w:highlight w:val="none"/>
        </w:rPr>
        <w:t>六、评   标</w:t>
      </w:r>
    </w:p>
    <w:p w14:paraId="56C6483C">
      <w:pPr>
        <w:pStyle w:val="6"/>
        <w:keepNext w:val="0"/>
        <w:keepLines w:val="0"/>
        <w:spacing w:before="0" w:after="0" w:line="360" w:lineRule="auto"/>
        <w:ind w:left="420" w:leftChars="200"/>
        <w:rPr>
          <w:rFonts w:hint="eastAsia" w:ascii="宋体" w:hAnsi="宋体"/>
          <w:color w:val="auto"/>
          <w:sz w:val="24"/>
          <w:highlight w:val="none"/>
        </w:rPr>
      </w:pPr>
      <w:bookmarkStart w:id="134" w:name="_26.组建评标委员会"/>
      <w:bookmarkEnd w:id="134"/>
      <w:r>
        <w:rPr>
          <w:rFonts w:hint="eastAsia" w:ascii="宋体" w:hAnsi="宋体"/>
          <w:color w:val="auto"/>
          <w:sz w:val="24"/>
          <w:highlight w:val="none"/>
        </w:rPr>
        <w:t>26.组建评标委员会</w:t>
      </w:r>
    </w:p>
    <w:p w14:paraId="12759BFC">
      <w:pPr>
        <w:pStyle w:val="25"/>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26.1评标委员会由采购人代表和评审专家组成，具体人数详见“投标人须知前附表”，其中评审专家不得少于成员总数的三分之二。</w:t>
      </w:r>
    </w:p>
    <w:p w14:paraId="5FFC46A7">
      <w:pPr>
        <w:pStyle w:val="25"/>
        <w:snapToGrid w:val="0"/>
        <w:spacing w:line="360" w:lineRule="auto"/>
        <w:ind w:left="2" w:leftChars="1" w:firstLine="420" w:firstLineChars="200"/>
        <w:rPr>
          <w:rFonts w:hint="eastAsia" w:hAnsi="宋体"/>
          <w:color w:val="auto"/>
          <w:sz w:val="21"/>
          <w:highlight w:val="none"/>
        </w:rPr>
      </w:pPr>
      <w:r>
        <w:rPr>
          <w:rFonts w:hint="eastAsia" w:hAnsi="宋体"/>
          <w:color w:val="auto"/>
          <w:sz w:val="21"/>
          <w:highlight w:val="none"/>
        </w:rPr>
        <w:t>26.2参加过采购项目前期咨询论证的专家，不得参加该采购项目的评审活动。</w:t>
      </w:r>
    </w:p>
    <w:p w14:paraId="50492EA7">
      <w:pPr>
        <w:pStyle w:val="25"/>
        <w:snapToGrid w:val="0"/>
        <w:spacing w:line="360" w:lineRule="auto"/>
        <w:ind w:left="2" w:leftChars="1" w:firstLine="420" w:firstLineChars="200"/>
        <w:rPr>
          <w:rFonts w:hint="eastAsia" w:hAnsi="宋体"/>
          <w:color w:val="auto"/>
          <w:sz w:val="21"/>
          <w:highlight w:val="none"/>
        </w:rPr>
      </w:pPr>
      <w:r>
        <w:rPr>
          <w:rFonts w:hint="eastAsia" w:hAnsi="宋体"/>
          <w:color w:val="auto"/>
          <w:sz w:val="21"/>
          <w:highlight w:val="none"/>
        </w:rPr>
        <w:t>26.3</w:t>
      </w:r>
      <w:r>
        <w:rPr>
          <w:rFonts w:hint="eastAsia" w:hAnsi="宋体"/>
          <w:bCs/>
          <w:color w:val="auto"/>
          <w:sz w:val="21"/>
          <w:highlight w:val="none"/>
        </w:rPr>
        <w:t>采购代理机构应当基于“政采云”平台抽（选）取评审专家。</w:t>
      </w:r>
    </w:p>
    <w:p w14:paraId="331B1582">
      <w:pPr>
        <w:pStyle w:val="6"/>
        <w:keepNext w:val="0"/>
        <w:keepLines w:val="0"/>
        <w:spacing w:before="0" w:after="0" w:line="360" w:lineRule="auto"/>
        <w:ind w:left="420" w:leftChars="200"/>
        <w:rPr>
          <w:rFonts w:hint="eastAsia" w:ascii="宋体" w:hAnsi="宋体"/>
          <w:color w:val="auto"/>
          <w:sz w:val="24"/>
          <w:highlight w:val="none"/>
        </w:rPr>
      </w:pPr>
      <w:r>
        <w:rPr>
          <w:rFonts w:hint="eastAsia" w:ascii="宋体" w:hAnsi="宋体"/>
          <w:color w:val="auto"/>
          <w:sz w:val="24"/>
          <w:highlight w:val="none"/>
        </w:rPr>
        <w:t>27.评标的依据</w:t>
      </w:r>
    </w:p>
    <w:p w14:paraId="5933E8DE">
      <w:pPr>
        <w:pStyle w:val="25"/>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评标委员会以</w:t>
      </w:r>
      <w:r>
        <w:rPr>
          <w:rFonts w:hint="eastAsia" w:hAnsi="宋体" w:cs="宋体"/>
          <w:color w:val="auto"/>
          <w:sz w:val="21"/>
          <w:highlight w:val="none"/>
        </w:rPr>
        <w:t>“第四章 评标方法和评标标准”</w:t>
      </w:r>
      <w:r>
        <w:rPr>
          <w:rFonts w:hint="eastAsia" w:hAnsi="宋体"/>
          <w:color w:val="auto"/>
          <w:sz w:val="21"/>
          <w:highlight w:val="none"/>
        </w:rPr>
        <w:t>为依据对投标文件进行评审，</w:t>
      </w:r>
      <w:r>
        <w:rPr>
          <w:rFonts w:hAnsi="宋体"/>
          <w:color w:val="auto"/>
          <w:sz w:val="21"/>
          <w:highlight w:val="none"/>
        </w:rPr>
        <w:t>没有规定的方法、评审因素和标准，不作为评标依据。</w:t>
      </w:r>
    </w:p>
    <w:p w14:paraId="7499D3C3">
      <w:pPr>
        <w:pStyle w:val="6"/>
        <w:keepNext w:val="0"/>
        <w:keepLines w:val="0"/>
        <w:spacing w:before="0" w:after="0" w:line="360" w:lineRule="auto"/>
        <w:ind w:left="420" w:leftChars="200"/>
        <w:rPr>
          <w:rFonts w:hint="eastAsia" w:ascii="宋体" w:hAnsi="宋体"/>
          <w:color w:val="auto"/>
          <w:sz w:val="24"/>
          <w:highlight w:val="none"/>
        </w:rPr>
      </w:pPr>
      <w:r>
        <w:rPr>
          <w:rFonts w:hint="eastAsia" w:ascii="宋体" w:hAnsi="宋体"/>
          <w:color w:val="auto"/>
          <w:sz w:val="24"/>
          <w:highlight w:val="none"/>
        </w:rPr>
        <w:t>28.评标原则</w:t>
      </w:r>
    </w:p>
    <w:p w14:paraId="2D47E448">
      <w:pPr>
        <w:pStyle w:val="25"/>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28.1评标原则。评标委员</w:t>
      </w:r>
      <w:r>
        <w:rPr>
          <w:rFonts w:hint="eastAsia" w:hAnsi="宋体"/>
          <w:color w:val="auto"/>
          <w:sz w:val="21"/>
          <w:highlight w:val="none"/>
          <w:lang w:eastAsia="zh-CN"/>
        </w:rPr>
        <w:t>会在</w:t>
      </w:r>
      <w:r>
        <w:rPr>
          <w:rFonts w:hint="eastAsia" w:hAnsi="宋体"/>
          <w:color w:val="auto"/>
          <w:sz w:val="21"/>
          <w:highlight w:val="none"/>
        </w:rPr>
        <w:t>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3E1017D4">
      <w:pPr>
        <w:pStyle w:val="25"/>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28.2</w:t>
      </w:r>
      <w:bookmarkStart w:id="135" w:name="_28.3评标方法。本项目将按须知前附表规定的评标办法进行评标，具体评标"/>
      <w:bookmarkEnd w:id="135"/>
      <w:r>
        <w:rPr>
          <w:rFonts w:hint="eastAsia" w:hAnsi="宋体"/>
          <w:color w:val="auto"/>
          <w:sz w:val="21"/>
          <w:highlight w:val="none"/>
        </w:rPr>
        <w:t>评委表决。评标委员会成员对需要共同认定的事项存在争议的，应当按照少数服从多数的原则作出结论。</w:t>
      </w:r>
    </w:p>
    <w:p w14:paraId="50258DF0">
      <w:pPr>
        <w:pStyle w:val="25"/>
        <w:snapToGrid w:val="0"/>
        <w:spacing w:line="360" w:lineRule="auto"/>
        <w:ind w:firstLine="420" w:firstLineChars="200"/>
        <w:rPr>
          <w:rFonts w:hAnsi="宋体"/>
          <w:color w:val="auto"/>
          <w:sz w:val="21"/>
          <w:highlight w:val="none"/>
        </w:rPr>
      </w:pPr>
      <w:r>
        <w:rPr>
          <w:rFonts w:hint="eastAsia" w:hAnsi="宋体"/>
          <w:color w:val="auto"/>
          <w:sz w:val="21"/>
          <w:highlight w:val="none"/>
        </w:rPr>
        <w:t>28.</w:t>
      </w:r>
      <w:r>
        <w:rPr>
          <w:rFonts w:hAnsi="宋体"/>
          <w:color w:val="auto"/>
          <w:sz w:val="21"/>
          <w:highlight w:val="none"/>
        </w:rPr>
        <w:t>3</w:t>
      </w:r>
      <w:r>
        <w:rPr>
          <w:rFonts w:hint="eastAsia" w:hAnsi="宋体"/>
          <w:color w:val="auto"/>
          <w:sz w:val="21"/>
          <w:highlight w:val="none"/>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42B82376">
      <w:pPr>
        <w:pStyle w:val="25"/>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w:t>
      </w:r>
      <w:r>
        <w:rPr>
          <w:rFonts w:hAnsi="宋体"/>
          <w:color w:val="auto"/>
          <w:sz w:val="21"/>
          <w:highlight w:val="none"/>
        </w:rPr>
        <w:t>8.4</w:t>
      </w:r>
      <w:r>
        <w:rPr>
          <w:rFonts w:hint="eastAsia" w:hAnsi="宋体"/>
          <w:color w:val="auto"/>
          <w:sz w:val="21"/>
          <w:highlight w:val="none"/>
        </w:rPr>
        <w:t>评标过程的监控。本项目电子评标过程实行网上留痕、全程录音、录像监控，投标人在评标过程中所进行的试图影响评标结果的不公正活动，可能导致其投标按无效处理。</w:t>
      </w:r>
    </w:p>
    <w:p w14:paraId="21036070">
      <w:pPr>
        <w:pStyle w:val="6"/>
        <w:keepNext w:val="0"/>
        <w:keepLines w:val="0"/>
        <w:spacing w:before="0" w:after="0" w:line="360" w:lineRule="auto"/>
        <w:ind w:left="420" w:leftChars="200"/>
        <w:rPr>
          <w:rFonts w:hint="eastAsia" w:ascii="宋体" w:hAnsi="宋体"/>
          <w:color w:val="auto"/>
          <w:sz w:val="24"/>
          <w:highlight w:val="none"/>
        </w:rPr>
      </w:pPr>
      <w:r>
        <w:rPr>
          <w:rFonts w:hint="eastAsia" w:ascii="宋体" w:hAnsi="宋体"/>
          <w:color w:val="auto"/>
          <w:sz w:val="24"/>
          <w:highlight w:val="none"/>
        </w:rPr>
        <w:t>29.评标方法及中标候选人推荐</w:t>
      </w:r>
    </w:p>
    <w:p w14:paraId="149EF7D4">
      <w:pPr>
        <w:pStyle w:val="25"/>
        <w:snapToGrid w:val="0"/>
        <w:spacing w:line="360" w:lineRule="auto"/>
        <w:ind w:firstLine="420" w:firstLineChars="200"/>
        <w:rPr>
          <w:rFonts w:hAnsi="宋体"/>
          <w:color w:val="auto"/>
          <w:sz w:val="21"/>
          <w:highlight w:val="none"/>
        </w:rPr>
      </w:pPr>
      <w:r>
        <w:rPr>
          <w:rFonts w:hint="eastAsia" w:hAnsi="宋体"/>
          <w:color w:val="auto"/>
          <w:sz w:val="21"/>
          <w:highlight w:val="none"/>
        </w:rPr>
        <w:t>2</w:t>
      </w:r>
      <w:r>
        <w:rPr>
          <w:rFonts w:hAnsi="宋体"/>
          <w:color w:val="auto"/>
          <w:sz w:val="21"/>
          <w:highlight w:val="none"/>
        </w:rPr>
        <w:t>9.1</w:t>
      </w:r>
      <w:r>
        <w:rPr>
          <w:rFonts w:hint="eastAsia" w:hAnsi="宋体"/>
          <w:color w:val="auto"/>
          <w:sz w:val="21"/>
          <w:highlight w:val="none"/>
        </w:rPr>
        <w:t>本项目的评标方法详见“投标人须知前附表”。</w:t>
      </w:r>
    </w:p>
    <w:p w14:paraId="2AD8423E">
      <w:pPr>
        <w:pStyle w:val="25"/>
        <w:snapToGrid w:val="0"/>
        <w:spacing w:line="360" w:lineRule="auto"/>
        <w:ind w:firstLine="420" w:firstLineChars="200"/>
        <w:rPr>
          <w:rFonts w:hAnsi="宋体"/>
          <w:color w:val="auto"/>
          <w:sz w:val="21"/>
          <w:highlight w:val="none"/>
        </w:rPr>
      </w:pPr>
      <w:r>
        <w:rPr>
          <w:rFonts w:hint="eastAsia" w:hAnsi="宋体"/>
          <w:color w:val="auto"/>
          <w:sz w:val="21"/>
          <w:highlight w:val="none"/>
        </w:rPr>
        <w:t>2</w:t>
      </w:r>
      <w:r>
        <w:rPr>
          <w:rFonts w:hAnsi="宋体"/>
          <w:color w:val="auto"/>
          <w:sz w:val="21"/>
          <w:highlight w:val="none"/>
        </w:rPr>
        <w:t>9.2</w:t>
      </w:r>
      <w:r>
        <w:rPr>
          <w:rFonts w:hAnsi="宋体" w:cs="宋体"/>
          <w:color w:val="auto"/>
          <w:sz w:val="21"/>
          <w:highlight w:val="none"/>
        </w:rPr>
        <w:t xml:space="preserve"> </w:t>
      </w:r>
      <w:r>
        <w:rPr>
          <w:rFonts w:hint="eastAsia" w:hAnsi="宋体" w:cs="宋体"/>
          <w:color w:val="auto"/>
          <w:sz w:val="21"/>
          <w:highlight w:val="none"/>
        </w:rPr>
        <w:t>商务/技术要求</w:t>
      </w:r>
      <w:r>
        <w:rPr>
          <w:rFonts w:hint="eastAsia" w:hAnsi="宋体"/>
          <w:color w:val="auto"/>
          <w:sz w:val="21"/>
          <w:highlight w:val="none"/>
        </w:rPr>
        <w:t>允许负偏离的条款数</w:t>
      </w:r>
      <w:r>
        <w:rPr>
          <w:rFonts w:hAnsi="宋体"/>
          <w:color w:val="auto"/>
          <w:sz w:val="21"/>
          <w:highlight w:val="none"/>
        </w:rPr>
        <w:t>详见</w:t>
      </w:r>
      <w:r>
        <w:rPr>
          <w:rFonts w:hint="eastAsia" w:hAnsi="宋体"/>
          <w:color w:val="auto"/>
          <w:sz w:val="21"/>
          <w:highlight w:val="none"/>
        </w:rPr>
        <w:t>“投标人须知前附表”。</w:t>
      </w:r>
    </w:p>
    <w:p w14:paraId="0ECB3D4F">
      <w:pPr>
        <w:pStyle w:val="25"/>
        <w:snapToGrid w:val="0"/>
        <w:spacing w:line="360" w:lineRule="auto"/>
        <w:ind w:firstLine="420" w:firstLineChars="200"/>
        <w:rPr>
          <w:rFonts w:hint="eastAsia" w:hAnsi="宋体" w:cs="宋体"/>
          <w:color w:val="auto"/>
          <w:sz w:val="21"/>
          <w:highlight w:val="none"/>
        </w:rPr>
      </w:pPr>
      <w:r>
        <w:rPr>
          <w:rFonts w:hint="eastAsia" w:hAnsi="宋体"/>
          <w:color w:val="auto"/>
          <w:sz w:val="21"/>
          <w:highlight w:val="none"/>
        </w:rPr>
        <w:t>2</w:t>
      </w:r>
      <w:r>
        <w:rPr>
          <w:rFonts w:hAnsi="宋体"/>
          <w:color w:val="auto"/>
          <w:sz w:val="21"/>
          <w:highlight w:val="none"/>
        </w:rPr>
        <w:t>9.3</w:t>
      </w:r>
      <w:r>
        <w:rPr>
          <w:rFonts w:hAnsi="宋体" w:cs="宋体"/>
          <w:color w:val="auto"/>
          <w:sz w:val="21"/>
          <w:highlight w:val="none"/>
        </w:rPr>
        <w:t xml:space="preserve"> </w:t>
      </w:r>
      <w:r>
        <w:rPr>
          <w:rFonts w:hAnsi="宋体"/>
          <w:color w:val="auto"/>
          <w:sz w:val="21"/>
          <w:highlight w:val="none"/>
        </w:rPr>
        <w:t>中标候选人推荐数量详见</w:t>
      </w:r>
      <w:r>
        <w:rPr>
          <w:rFonts w:hint="eastAsia" w:hAnsi="宋体"/>
          <w:color w:val="auto"/>
          <w:sz w:val="21"/>
          <w:highlight w:val="none"/>
        </w:rPr>
        <w:t>“投标人须知前附表”。</w:t>
      </w:r>
    </w:p>
    <w:p w14:paraId="37C367E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29.</w:t>
      </w:r>
      <w:r>
        <w:rPr>
          <w:rFonts w:ascii="宋体" w:hAnsi="宋体"/>
          <w:color w:val="auto"/>
          <w:szCs w:val="21"/>
          <w:highlight w:val="none"/>
        </w:rPr>
        <w:t>4</w:t>
      </w:r>
      <w:r>
        <w:rPr>
          <w:rFonts w:hint="eastAsia" w:ascii="宋体" w:hAnsi="宋体"/>
          <w:color w:val="auto"/>
          <w:szCs w:val="21"/>
          <w:highlight w:val="none"/>
        </w:rPr>
        <w:t xml:space="preserve"> 电子交易活动的中止。采购过程中出现以下情形，导致电子交易平台无法正常运行，或者无法保证电子交易的公平、公正和安全时，采购代理机构可以中止电子交易活动：</w:t>
      </w:r>
    </w:p>
    <w:p w14:paraId="002A9979">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（1）电子交易平台发生故障而无法登录访问的； </w:t>
      </w:r>
    </w:p>
    <w:p w14:paraId="07F57EE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（2）电子交易平台应用或数据库出现错误，不能进行正常操作的；</w:t>
      </w:r>
    </w:p>
    <w:p w14:paraId="0539ED4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（3）电子交易平台发现严重安全漏洞，有潜在泄密危险的；</w:t>
      </w:r>
    </w:p>
    <w:p w14:paraId="46D05F2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（4）病毒发作导致不能进行正常操作的； </w:t>
      </w:r>
    </w:p>
    <w:p w14:paraId="55FDAB0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（5）其他无法保证电子交易的公平、公正和安全的情况。</w:t>
      </w:r>
    </w:p>
    <w:p w14:paraId="5E6C803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出现以上情形，不影响采购公平、公正性的，采购代理机构可以待上述情形消除后继续组织电子交易活动；影响或可能影响采购公平、公正性的，经采购代理机构确认、报采购人同意后，终止电子采购活动，应当重新采购。采购代理机构必须对原有的资料及信息作出妥善保密处理，并报财政部门备案。</w:t>
      </w:r>
    </w:p>
    <w:p w14:paraId="328564A7">
      <w:pPr>
        <w:pStyle w:val="25"/>
        <w:snapToGrid w:val="0"/>
        <w:spacing w:line="360" w:lineRule="auto"/>
        <w:rPr>
          <w:rFonts w:hint="eastAsia" w:hAnsi="宋体"/>
          <w:color w:val="auto"/>
          <w:sz w:val="21"/>
          <w:highlight w:val="none"/>
        </w:rPr>
      </w:pPr>
    </w:p>
    <w:p w14:paraId="55BE5F43">
      <w:pPr>
        <w:pStyle w:val="5"/>
        <w:keepNext w:val="0"/>
        <w:keepLines w:val="0"/>
        <w:jc w:val="center"/>
        <w:rPr>
          <w:rFonts w:hint="eastAsia" w:ascii="宋体" w:hAnsi="宋体"/>
          <w:color w:val="auto"/>
          <w:highlight w:val="none"/>
        </w:rPr>
      </w:pPr>
      <w:bookmarkStart w:id="136" w:name="_Toc254970546"/>
      <w:bookmarkStart w:id="137" w:name="_Toc254970687"/>
      <w:r>
        <w:rPr>
          <w:rFonts w:hint="eastAsia" w:ascii="宋体" w:hAnsi="宋体"/>
          <w:color w:val="auto"/>
          <w:highlight w:val="none"/>
        </w:rPr>
        <w:t>七、</w:t>
      </w:r>
      <w:bookmarkEnd w:id="136"/>
      <w:bookmarkEnd w:id="137"/>
      <w:r>
        <w:rPr>
          <w:rFonts w:hint="eastAsia" w:ascii="宋体" w:hAnsi="宋体"/>
          <w:color w:val="auto"/>
          <w:highlight w:val="none"/>
        </w:rPr>
        <w:t>中标和合同</w:t>
      </w:r>
    </w:p>
    <w:p w14:paraId="51F8A3EE">
      <w:pPr>
        <w:pStyle w:val="6"/>
        <w:keepNext w:val="0"/>
        <w:keepLines w:val="0"/>
        <w:spacing w:before="0" w:after="0" w:line="360" w:lineRule="auto"/>
        <w:ind w:left="420" w:leftChars="200"/>
        <w:rPr>
          <w:rFonts w:ascii="宋体" w:hAnsi="宋体"/>
          <w:color w:val="auto"/>
          <w:sz w:val="24"/>
          <w:highlight w:val="none"/>
        </w:rPr>
      </w:pPr>
      <w:r>
        <w:rPr>
          <w:rFonts w:hint="eastAsia" w:ascii="宋体" w:hAnsi="宋体"/>
          <w:color w:val="auto"/>
          <w:sz w:val="24"/>
          <w:highlight w:val="none"/>
        </w:rPr>
        <w:t>30</w:t>
      </w:r>
      <w:r>
        <w:rPr>
          <w:rFonts w:ascii="宋体" w:hAnsi="宋体"/>
          <w:color w:val="auto"/>
          <w:sz w:val="24"/>
          <w:highlight w:val="none"/>
        </w:rPr>
        <w:t xml:space="preserve"> </w:t>
      </w:r>
      <w:r>
        <w:rPr>
          <w:rFonts w:hint="eastAsia" w:ascii="宋体" w:hAnsi="宋体"/>
          <w:color w:val="auto"/>
          <w:sz w:val="24"/>
          <w:highlight w:val="none"/>
        </w:rPr>
        <w:t>确定中标人</w:t>
      </w:r>
    </w:p>
    <w:p w14:paraId="25940242">
      <w:pPr>
        <w:pStyle w:val="6"/>
        <w:keepNext w:val="0"/>
        <w:keepLines w:val="0"/>
        <w:spacing w:before="0" w:after="0" w:line="360" w:lineRule="auto"/>
        <w:ind w:firstLine="420" w:firstLineChars="200"/>
        <w:rPr>
          <w:rFonts w:hint="eastAsia" w:ascii="宋体" w:hAnsi="宋体"/>
          <w:b w:val="0"/>
          <w:color w:val="auto"/>
          <w:sz w:val="21"/>
          <w:szCs w:val="21"/>
          <w:highlight w:val="none"/>
        </w:rPr>
      </w:pPr>
      <w:r>
        <w:rPr>
          <w:rFonts w:ascii="宋体" w:hAnsi="宋体"/>
          <w:b w:val="0"/>
          <w:color w:val="auto"/>
          <w:sz w:val="21"/>
          <w:szCs w:val="21"/>
          <w:highlight w:val="none"/>
        </w:rPr>
        <w:t>30.1</w:t>
      </w:r>
      <w:r>
        <w:rPr>
          <w:rFonts w:hint="eastAsia" w:ascii="宋体" w:hAnsi="宋体"/>
          <w:b w:val="0"/>
          <w:color w:val="auto"/>
          <w:sz w:val="21"/>
          <w:szCs w:val="21"/>
          <w:highlight w:val="none"/>
        </w:rPr>
        <w:t>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6609D53E">
      <w:pPr>
        <w:snapToGrid w:val="0"/>
        <w:spacing w:line="360" w:lineRule="auto"/>
        <w:ind w:firstLine="420" w:firstLineChars="200"/>
        <w:rPr>
          <w:rFonts w:hint="eastAsia" w:ascii="宋体" w:hAnsi="宋体" w:cs="Courier New"/>
          <w:color w:val="auto"/>
          <w:szCs w:val="21"/>
          <w:highlight w:val="none"/>
        </w:rPr>
      </w:pPr>
      <w:r>
        <w:rPr>
          <w:rFonts w:ascii="宋体" w:hAnsi="宋体" w:cs="Courier New"/>
          <w:color w:val="auto"/>
          <w:szCs w:val="21"/>
          <w:highlight w:val="none"/>
        </w:rPr>
        <w:t>30.2</w:t>
      </w:r>
      <w:r>
        <w:rPr>
          <w:rFonts w:hint="eastAsia" w:ascii="宋体" w:hAnsi="宋体" w:cs="Courier New"/>
          <w:color w:val="auto"/>
          <w:szCs w:val="21"/>
          <w:highlight w:val="none"/>
        </w:rPr>
        <w:t>采购人在收到评标报告5个工作日内未按评标报告推荐的中标候选人顺序确定中标人，又不能说明合法理由的，视同按评标报告推荐的顺序确定排名第一的中标候选人为中标人。</w:t>
      </w:r>
    </w:p>
    <w:p w14:paraId="4937A0E9">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30.3出现下列情形之一的，应予废标：</w:t>
      </w:r>
    </w:p>
    <w:p w14:paraId="0F4AD85D">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（1）符合专业条件的供应商或者对招标文件作实质响应的供应商不足三家的；</w:t>
      </w:r>
    </w:p>
    <w:p w14:paraId="700E2D1B">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（2）出现影响采购公正的违法、违规行为的；</w:t>
      </w:r>
    </w:p>
    <w:p w14:paraId="36225243">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（3）投标人的报价均超过了采购预算，采购人不能支付的；</w:t>
      </w:r>
    </w:p>
    <w:p w14:paraId="756F9DDE">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（4）因重大变故，采购任务取消的。</w:t>
      </w:r>
    </w:p>
    <w:p w14:paraId="058A30EC">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废标后，采购人应当将废标理由通知所有投标人。</w:t>
      </w:r>
    </w:p>
    <w:p w14:paraId="2348B5C0">
      <w:pPr>
        <w:pStyle w:val="6"/>
        <w:keepNext w:val="0"/>
        <w:keepLines w:val="0"/>
        <w:spacing w:before="0" w:after="0" w:line="360" w:lineRule="auto"/>
        <w:ind w:left="420" w:leftChars="200"/>
        <w:rPr>
          <w:rFonts w:ascii="宋体" w:hAnsi="宋体"/>
          <w:color w:val="auto"/>
          <w:sz w:val="24"/>
          <w:highlight w:val="none"/>
        </w:rPr>
      </w:pPr>
      <w:r>
        <w:rPr>
          <w:rFonts w:hint="eastAsia" w:ascii="宋体" w:hAnsi="宋体"/>
          <w:color w:val="auto"/>
          <w:sz w:val="24"/>
          <w:highlight w:val="none"/>
        </w:rPr>
        <w:t>31. 结果公告</w:t>
      </w:r>
    </w:p>
    <w:p w14:paraId="22866429">
      <w:pPr>
        <w:pStyle w:val="6"/>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3</w:t>
      </w:r>
      <w:r>
        <w:rPr>
          <w:rFonts w:ascii="宋体" w:hAnsi="宋体"/>
          <w:b w:val="0"/>
          <w:color w:val="auto"/>
          <w:sz w:val="21"/>
          <w:szCs w:val="21"/>
          <w:highlight w:val="none"/>
        </w:rPr>
        <w:t>1.1</w:t>
      </w:r>
      <w:r>
        <w:rPr>
          <w:rFonts w:hint="eastAsia" w:ascii="宋体" w:hAnsi="宋体"/>
          <w:b w:val="0"/>
          <w:color w:val="auto"/>
          <w:sz w:val="21"/>
          <w:szCs w:val="21"/>
          <w:highlight w:val="none"/>
        </w:rPr>
        <w:t>采购人或者采购代理机构应当自中标人确定之日起2个工作日内，在省级以上财政部门指定的媒体上公告中标结果，招标文件应当随中标结果同时公告。采购人或者采购代理发出中标通知书前，应当对中标人信用进行查询，对列入失信被执行人、重大税收违法案件当事人名单、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w:t>
      </w:r>
    </w:p>
    <w:p w14:paraId="598D09C6">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以上信息查询记录及相关证据与采购文件一并保存。</w:t>
      </w:r>
    </w:p>
    <w:p w14:paraId="44C3692F">
      <w:pPr>
        <w:pStyle w:val="6"/>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31.2中标供应商享受《政府采购促进中小企业发展管理办法》（财库〔2020〕46号）规定的中小企业扶持政策的，采购人、采购代理机构应当随中标结果公开中标供应商的《中小企业声明函》。</w:t>
      </w:r>
    </w:p>
    <w:p w14:paraId="47A54299">
      <w:pPr>
        <w:pStyle w:val="6"/>
        <w:keepNext w:val="0"/>
        <w:keepLines w:val="0"/>
        <w:spacing w:before="0" w:after="0" w:line="360" w:lineRule="auto"/>
        <w:ind w:left="420" w:leftChars="200"/>
        <w:rPr>
          <w:rFonts w:ascii="宋体" w:hAnsi="宋体"/>
          <w:color w:val="auto"/>
          <w:sz w:val="24"/>
          <w:highlight w:val="none"/>
        </w:rPr>
      </w:pPr>
      <w:r>
        <w:rPr>
          <w:rFonts w:hint="eastAsia" w:ascii="宋体" w:hAnsi="宋体"/>
          <w:color w:val="auto"/>
          <w:sz w:val="24"/>
          <w:highlight w:val="none"/>
        </w:rPr>
        <w:t>32.发出中标通知书</w:t>
      </w:r>
    </w:p>
    <w:p w14:paraId="4F94B9B7">
      <w:pPr>
        <w:pStyle w:val="6"/>
        <w:keepNext w:val="0"/>
        <w:keepLines w:val="0"/>
        <w:spacing w:before="0" w:after="0" w:line="360" w:lineRule="auto"/>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w:t>
      </w:r>
      <w:r>
        <w:rPr>
          <w:rFonts w:ascii="宋体" w:hAnsi="宋体"/>
          <w:b w:val="0"/>
          <w:color w:val="auto"/>
          <w:sz w:val="21"/>
          <w:szCs w:val="21"/>
          <w:highlight w:val="none"/>
        </w:rPr>
        <w:t xml:space="preserve">   </w:t>
      </w:r>
      <w:r>
        <w:rPr>
          <w:rFonts w:hint="eastAsia" w:ascii="宋体" w:hAnsi="宋体"/>
          <w:b w:val="0"/>
          <w:color w:val="auto"/>
          <w:sz w:val="21"/>
          <w:szCs w:val="21"/>
          <w:highlight w:val="none"/>
        </w:rPr>
        <w:t>在发布中标公告的同时，采购代理机构向中标人通过“政采云”平台发出电子中标通知书。对未通过资格审查的投标人，应当告知其未通过的原因；采用综合评分办法评审的，还应当告知未中标人本人的评审得分与排序。</w:t>
      </w:r>
    </w:p>
    <w:p w14:paraId="5F89674C">
      <w:pPr>
        <w:pStyle w:val="6"/>
        <w:keepNext w:val="0"/>
        <w:keepLines w:val="0"/>
        <w:spacing w:before="0" w:after="0" w:line="360" w:lineRule="auto"/>
        <w:ind w:left="420" w:leftChars="200"/>
        <w:rPr>
          <w:rFonts w:ascii="宋体" w:hAnsi="宋体"/>
          <w:color w:val="auto"/>
          <w:sz w:val="24"/>
          <w:highlight w:val="none"/>
        </w:rPr>
      </w:pPr>
      <w:r>
        <w:rPr>
          <w:rFonts w:hint="eastAsia" w:ascii="宋体" w:hAnsi="宋体"/>
          <w:color w:val="auto"/>
          <w:sz w:val="24"/>
          <w:highlight w:val="none"/>
        </w:rPr>
        <w:t>33. 无义务解释未中标原因</w:t>
      </w:r>
    </w:p>
    <w:p w14:paraId="5A711B6C">
      <w:pPr>
        <w:pStyle w:val="6"/>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采购代理机构无义务向未中标的投标人解释未中标原因。</w:t>
      </w:r>
    </w:p>
    <w:p w14:paraId="160C125D">
      <w:pPr>
        <w:pStyle w:val="6"/>
        <w:keepNext w:val="0"/>
        <w:keepLines w:val="0"/>
        <w:spacing w:before="0" w:after="0" w:line="360" w:lineRule="auto"/>
        <w:ind w:left="420" w:leftChars="200"/>
        <w:rPr>
          <w:rFonts w:hint="eastAsia" w:ascii="宋体" w:hAnsi="宋体"/>
          <w:color w:val="auto"/>
          <w:sz w:val="24"/>
          <w:highlight w:val="none"/>
        </w:rPr>
      </w:pPr>
      <w:r>
        <w:rPr>
          <w:rFonts w:hint="eastAsia" w:ascii="宋体" w:hAnsi="宋体"/>
          <w:color w:val="auto"/>
          <w:sz w:val="24"/>
          <w:highlight w:val="none"/>
        </w:rPr>
        <w:t>34.合同授予标准</w:t>
      </w:r>
    </w:p>
    <w:p w14:paraId="4549388F">
      <w:pPr>
        <w:snapToGrid w:val="0"/>
        <w:spacing w:line="360" w:lineRule="auto"/>
        <w:ind w:firstLine="420" w:firstLineChars="200"/>
        <w:rPr>
          <w:rFonts w:hint="eastAsia" w:ascii="宋体" w:hAnsi="宋体"/>
          <w:color w:val="auto"/>
          <w:szCs w:val="21"/>
          <w:highlight w:val="none"/>
        </w:rPr>
      </w:pPr>
      <w:r>
        <w:rPr>
          <w:rFonts w:hint="eastAsia" w:ascii="宋体" w:hAnsi="宋体" w:cs="Courier New"/>
          <w:color w:val="auto"/>
          <w:szCs w:val="21"/>
          <w:highlight w:val="none"/>
        </w:rPr>
        <w:t>合同将授予被确定实质上响应招标文件要求，具备履行合同能力的中标人。</w:t>
      </w:r>
    </w:p>
    <w:p w14:paraId="7AC1A23F">
      <w:pPr>
        <w:pStyle w:val="6"/>
        <w:keepNext w:val="0"/>
        <w:keepLines w:val="0"/>
        <w:spacing w:before="0" w:after="0" w:line="360" w:lineRule="auto"/>
        <w:ind w:left="420" w:leftChars="200"/>
        <w:rPr>
          <w:rFonts w:hint="eastAsia" w:ascii="宋体" w:hAnsi="宋体"/>
          <w:color w:val="auto"/>
          <w:sz w:val="24"/>
          <w:highlight w:val="none"/>
        </w:rPr>
      </w:pPr>
      <w:r>
        <w:rPr>
          <w:rFonts w:hint="eastAsia" w:ascii="宋体" w:hAnsi="宋体"/>
          <w:color w:val="auto"/>
          <w:sz w:val="24"/>
          <w:highlight w:val="none"/>
        </w:rPr>
        <w:t>35.履约保证金</w:t>
      </w:r>
    </w:p>
    <w:p w14:paraId="71FE2FD6">
      <w:pPr>
        <w:pStyle w:val="6"/>
        <w:keepNext w:val="0"/>
        <w:keepLines w:val="0"/>
        <w:spacing w:before="0" w:after="0" w:line="360" w:lineRule="auto"/>
        <w:ind w:firstLine="315" w:firstLineChars="150"/>
        <w:rPr>
          <w:rFonts w:hint="eastAsia" w:ascii="宋体" w:hAnsi="宋体"/>
          <w:b w:val="0"/>
          <w:color w:val="auto"/>
          <w:sz w:val="21"/>
          <w:szCs w:val="21"/>
          <w:highlight w:val="none"/>
        </w:rPr>
      </w:pPr>
      <w:bookmarkStart w:id="138" w:name="_39.1中标人须于签订合同前按本须知前附表规定的金额转账或电汇到指定账"/>
      <w:bookmarkEnd w:id="138"/>
      <w:r>
        <w:rPr>
          <w:rFonts w:ascii="宋体" w:hAnsi="宋体"/>
          <w:b w:val="0"/>
          <w:color w:val="auto"/>
          <w:sz w:val="21"/>
          <w:szCs w:val="21"/>
          <w:highlight w:val="none"/>
        </w:rPr>
        <w:t xml:space="preserve"> </w:t>
      </w:r>
      <w:r>
        <w:rPr>
          <w:rFonts w:hint="eastAsia" w:ascii="宋体" w:hAnsi="宋体"/>
          <w:b w:val="0"/>
          <w:color w:val="auto"/>
          <w:sz w:val="21"/>
          <w:szCs w:val="21"/>
          <w:highlight w:val="none"/>
        </w:rPr>
        <w:t>3</w:t>
      </w:r>
      <w:r>
        <w:rPr>
          <w:rFonts w:ascii="宋体" w:hAnsi="宋体"/>
          <w:b w:val="0"/>
          <w:color w:val="auto"/>
          <w:sz w:val="21"/>
          <w:szCs w:val="21"/>
          <w:highlight w:val="none"/>
        </w:rPr>
        <w:t>5</w:t>
      </w:r>
      <w:r>
        <w:rPr>
          <w:rFonts w:hint="eastAsia" w:ascii="宋体" w:hAnsi="宋体"/>
          <w:b w:val="0"/>
          <w:color w:val="auto"/>
          <w:sz w:val="21"/>
          <w:szCs w:val="21"/>
          <w:highlight w:val="none"/>
        </w:rPr>
        <w:t>.1 履约保证金的金额、提交方式、退付的时间和条件详见 “投标人须知前附表”。中标人未按规定提交履约保证金的，视为拒绝与采购人签订合同。</w:t>
      </w:r>
    </w:p>
    <w:p w14:paraId="1B746C6B">
      <w:pPr>
        <w:pStyle w:val="6"/>
        <w:keepNext w:val="0"/>
        <w:keepLines w:val="0"/>
        <w:spacing w:before="0" w:after="0" w:line="360" w:lineRule="auto"/>
        <w:ind w:firstLine="316" w:firstLineChars="150"/>
        <w:rPr>
          <w:rFonts w:hint="eastAsia" w:ascii="宋体" w:hAnsi="宋体"/>
          <w:color w:val="auto"/>
          <w:sz w:val="21"/>
          <w:szCs w:val="21"/>
          <w:highlight w:val="none"/>
        </w:rPr>
      </w:pPr>
      <w:r>
        <w:rPr>
          <w:rFonts w:hint="eastAsia" w:ascii="宋体" w:hAnsi="宋体"/>
          <w:color w:val="auto"/>
          <w:sz w:val="21"/>
          <w:szCs w:val="21"/>
          <w:highlight w:val="none"/>
        </w:rPr>
        <w:t xml:space="preserve"> </w:t>
      </w:r>
      <w:r>
        <w:rPr>
          <w:rFonts w:hint="eastAsia" w:ascii="宋体" w:hAnsi="宋体"/>
          <w:b w:val="0"/>
          <w:bCs/>
          <w:color w:val="auto"/>
          <w:sz w:val="21"/>
          <w:szCs w:val="21"/>
          <w:highlight w:val="none"/>
        </w:rPr>
        <w:t>35.2在履约保证金退还日期前，若中标人的开户名称、开户银行、</w:t>
      </w:r>
      <w:r>
        <w:rPr>
          <w:rFonts w:hint="eastAsia" w:ascii="宋体" w:hAnsi="宋体"/>
          <w:b w:val="0"/>
          <w:bCs/>
          <w:color w:val="auto"/>
          <w:sz w:val="21"/>
          <w:szCs w:val="21"/>
          <w:highlight w:val="none"/>
          <w:lang w:eastAsia="zh-CN"/>
        </w:rPr>
        <w:t>账号</w:t>
      </w:r>
      <w:r>
        <w:rPr>
          <w:rFonts w:hint="eastAsia" w:ascii="宋体" w:hAnsi="宋体"/>
          <w:b w:val="0"/>
          <w:bCs/>
          <w:color w:val="auto"/>
          <w:sz w:val="21"/>
          <w:szCs w:val="21"/>
          <w:highlight w:val="none"/>
        </w:rPr>
        <w:t>有变动的，请以书面形式通知履约保证金收取单位，否则由此产生的后果由中标人自行承担。</w:t>
      </w:r>
    </w:p>
    <w:p w14:paraId="6505F3A7">
      <w:pPr>
        <w:pStyle w:val="6"/>
        <w:keepNext w:val="0"/>
        <w:keepLines w:val="0"/>
        <w:spacing w:before="0" w:after="0" w:line="360" w:lineRule="auto"/>
        <w:ind w:left="420" w:leftChars="200"/>
        <w:rPr>
          <w:rFonts w:hint="eastAsia" w:ascii="宋体" w:hAnsi="宋体"/>
          <w:color w:val="auto"/>
          <w:sz w:val="24"/>
          <w:highlight w:val="none"/>
        </w:rPr>
      </w:pPr>
      <w:r>
        <w:rPr>
          <w:rFonts w:hint="eastAsia" w:ascii="宋体" w:hAnsi="宋体"/>
          <w:color w:val="auto"/>
          <w:sz w:val="24"/>
          <w:highlight w:val="none"/>
        </w:rPr>
        <w:t>36.签订合同</w:t>
      </w:r>
    </w:p>
    <w:p w14:paraId="675DC011">
      <w:pPr>
        <w:pStyle w:val="6"/>
        <w:keepNext w:val="0"/>
        <w:keepLines w:val="0"/>
        <w:spacing w:before="0" w:after="0" w:line="360" w:lineRule="auto"/>
        <w:ind w:firstLine="315" w:firstLineChars="150"/>
        <w:rPr>
          <w:rFonts w:hint="eastAsia" w:ascii="宋体" w:hAnsi="宋体"/>
          <w:b w:val="0"/>
          <w:color w:val="auto"/>
          <w:sz w:val="21"/>
          <w:szCs w:val="21"/>
          <w:highlight w:val="none"/>
        </w:rPr>
      </w:pPr>
      <w:bookmarkStart w:id="139" w:name="_40.1投标人接到中标通知书后，按须知前附表规定向采购人出示相关资格证"/>
      <w:bookmarkEnd w:id="139"/>
      <w:r>
        <w:rPr>
          <w:rFonts w:hint="eastAsia" w:ascii="宋体" w:hAnsi="宋体"/>
          <w:b w:val="0"/>
          <w:color w:val="auto"/>
          <w:sz w:val="21"/>
          <w:szCs w:val="21"/>
          <w:highlight w:val="none"/>
        </w:rPr>
        <w:t xml:space="preserve"> </w:t>
      </w:r>
      <w:r>
        <w:rPr>
          <w:rFonts w:hint="eastAsia" w:ascii="宋体" w:hAnsi="宋体"/>
          <w:color w:val="auto"/>
          <w:sz w:val="21"/>
          <w:szCs w:val="21"/>
          <w:highlight w:val="none"/>
        </w:rPr>
        <w:t>36.1签订电子采购合同：中标人领取电子中标通知书后，</w:t>
      </w:r>
      <w:r>
        <w:rPr>
          <w:rFonts w:hint="eastAsia" w:ascii="宋体" w:hAnsi="宋体"/>
          <w:color w:val="auto"/>
          <w:kern w:val="0"/>
          <w:sz w:val="21"/>
          <w:szCs w:val="21"/>
          <w:highlight w:val="none"/>
        </w:rPr>
        <w:t>在</w:t>
      </w:r>
      <w:r>
        <w:rPr>
          <w:rFonts w:hint="eastAsia" w:ascii="宋体" w:hAnsi="宋体"/>
          <w:color w:val="auto"/>
          <w:kern w:val="0"/>
          <w:sz w:val="21"/>
          <w:szCs w:val="21"/>
          <w:highlight w:val="none"/>
          <w:lang w:val="zh-CN"/>
        </w:rPr>
        <w:t>规定的日期、时间、地点，由法定代表人或其授权代表与采购人代表签订电子采购合同。</w:t>
      </w:r>
    </w:p>
    <w:p w14:paraId="0705EB9B">
      <w:pPr>
        <w:pStyle w:val="6"/>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线下签订纸质合同：投标人领取中标通知书后，按“投标人须知前附表”规定向采购人出示相关证明材料，经采购人核验合格后方可签订合同。</w:t>
      </w:r>
    </w:p>
    <w:p w14:paraId="75795C1D">
      <w:pPr>
        <w:pStyle w:val="6"/>
        <w:keepNext w:val="0"/>
        <w:keepLines w:val="0"/>
        <w:numPr>
          <w:ilvl w:val="0"/>
          <w:numId w:val="0"/>
        </w:numPr>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36.2签订合同时间：按中标通知书规定的时间与采购人签订合同。</w:t>
      </w:r>
    </w:p>
    <w:p w14:paraId="212FC09F">
      <w:pPr>
        <w:pStyle w:val="6"/>
        <w:keepNext w:val="0"/>
        <w:keepLines w:val="0"/>
        <w:spacing w:before="0" w:after="0" w:line="360" w:lineRule="auto"/>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36.</w:t>
      </w:r>
      <w:r>
        <w:rPr>
          <w:rFonts w:ascii="宋体" w:hAnsi="宋体"/>
          <w:b w:val="0"/>
          <w:color w:val="auto"/>
          <w:sz w:val="21"/>
          <w:szCs w:val="21"/>
          <w:highlight w:val="none"/>
        </w:rPr>
        <w:t>3</w:t>
      </w:r>
      <w:r>
        <w:rPr>
          <w:rFonts w:hint="eastAsia" w:ascii="宋体" w:hAnsi="宋体"/>
          <w:b w:val="0"/>
          <w:color w:val="auto"/>
          <w:sz w:val="21"/>
          <w:szCs w:val="21"/>
          <w:highlight w:val="none"/>
        </w:rPr>
        <w:t>中标人拒绝签订政府采购合同（包括但不限于放弃中标、因不可抗力不能履行合同而放弃签订合同），采购人可以按照评审报告推荐的中标候选人名单排序，确定下一候选人为中标供应商，也可以重新开展政府采购活动。如采购人无正当理由拒签合同的，给中标供应商造成损失的，中标供应商可追究采购人承担相应的法律责任。</w:t>
      </w:r>
    </w:p>
    <w:p w14:paraId="70D4177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36.4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5C7E399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36.5采购人或中标供应商不得单方面向合同另一方提出任何招标文件没有约定的条件或不合理的要求，作为签订合同的条件；也不得协商另行订立背离招标文件和合同实质性内容的协议。</w:t>
      </w:r>
    </w:p>
    <w:p w14:paraId="093A773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36.6</w:t>
      </w:r>
      <w:r>
        <w:rPr>
          <w:rFonts w:hint="eastAsia" w:ascii="宋体" w:hAnsi="宋体" w:cs="仿宋_GB2312"/>
          <w:color w:val="auto"/>
          <w:szCs w:val="21"/>
          <w:highlight w:val="none"/>
        </w:rPr>
        <w:t>如签订合同并生效后，供应商无故拒绝或延期，除按照合同条款处理外，将承担相应的法律责任。</w:t>
      </w:r>
    </w:p>
    <w:p w14:paraId="675BF0B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36.7</w:t>
      </w:r>
      <w:r>
        <w:rPr>
          <w:rFonts w:hint="eastAsia" w:ascii="宋体" w:hAnsi="宋体" w:cs="宋体"/>
          <w:color w:val="auto"/>
          <w:szCs w:val="21"/>
          <w:highlight w:val="none"/>
        </w:rPr>
        <w:t>政府采购合同履行中，采购人需追加与合同标的相同的货物、工程或者服务的，在不改变合同其他条款的前提下，可以与供应商协商签订补充合同，但所有补充合同的采购金额不得超过原合同采购金额的10</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p>
    <w:p w14:paraId="0DBF02BC">
      <w:pPr>
        <w:pStyle w:val="6"/>
        <w:keepNext w:val="0"/>
        <w:keepLines w:val="0"/>
        <w:spacing w:before="0" w:after="0" w:line="360" w:lineRule="auto"/>
        <w:ind w:left="420" w:leftChars="200"/>
        <w:rPr>
          <w:rFonts w:hint="eastAsia" w:ascii="宋体" w:hAnsi="宋体"/>
          <w:color w:val="auto"/>
          <w:sz w:val="24"/>
          <w:highlight w:val="none"/>
        </w:rPr>
      </w:pPr>
      <w:bookmarkStart w:id="140" w:name="_41.政府采购合同公告"/>
      <w:bookmarkEnd w:id="140"/>
      <w:r>
        <w:rPr>
          <w:rFonts w:hint="eastAsia" w:ascii="宋体" w:hAnsi="宋体"/>
          <w:color w:val="auto"/>
          <w:sz w:val="24"/>
          <w:highlight w:val="none"/>
        </w:rPr>
        <w:t>37.政府采购合同公告</w:t>
      </w:r>
    </w:p>
    <w:p w14:paraId="6CD30A4F">
      <w:pPr>
        <w:pStyle w:val="25"/>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采购人或者受托采购代理机构应当自政府采购合同签订之日起2个工作日内，将政府采购合同在省级以上人民政府财政部门指定的媒体上公告，</w:t>
      </w:r>
      <w:r>
        <w:rPr>
          <w:rFonts w:hAnsi="宋体"/>
          <w:color w:val="auto"/>
          <w:sz w:val="21"/>
          <w:highlight w:val="none"/>
        </w:rPr>
        <w:t>但政府采购合同中涉及国家秘密、商业秘密的内容除外。</w:t>
      </w:r>
    </w:p>
    <w:p w14:paraId="233ECF02">
      <w:pPr>
        <w:pStyle w:val="6"/>
        <w:keepNext w:val="0"/>
        <w:keepLines w:val="0"/>
        <w:spacing w:before="0" w:after="0" w:line="360" w:lineRule="auto"/>
        <w:ind w:left="420" w:leftChars="200"/>
        <w:rPr>
          <w:rFonts w:ascii="宋体" w:hAnsi="宋体"/>
          <w:color w:val="auto"/>
          <w:sz w:val="24"/>
          <w:highlight w:val="none"/>
        </w:rPr>
      </w:pPr>
      <w:r>
        <w:rPr>
          <w:rFonts w:hint="eastAsia" w:ascii="宋体" w:hAnsi="宋体"/>
          <w:color w:val="auto"/>
          <w:sz w:val="24"/>
          <w:highlight w:val="none"/>
        </w:rPr>
        <w:t>3</w:t>
      </w:r>
      <w:r>
        <w:rPr>
          <w:rFonts w:ascii="宋体" w:hAnsi="宋体"/>
          <w:color w:val="auto"/>
          <w:sz w:val="24"/>
          <w:highlight w:val="none"/>
        </w:rPr>
        <w:t>8.</w:t>
      </w:r>
      <w:r>
        <w:rPr>
          <w:rFonts w:hint="eastAsia" w:ascii="宋体" w:hAnsi="宋体"/>
          <w:color w:val="auto"/>
          <w:sz w:val="24"/>
          <w:highlight w:val="none"/>
        </w:rPr>
        <w:t xml:space="preserve"> 询问、质疑和投诉</w:t>
      </w:r>
    </w:p>
    <w:p w14:paraId="4C86C263">
      <w:pPr>
        <w:pStyle w:val="7"/>
        <w:spacing w:line="360" w:lineRule="auto"/>
        <w:rPr>
          <w:rFonts w:hint="eastAsia" w:ascii="宋体" w:hAnsi="宋体"/>
          <w:color w:val="auto"/>
          <w:szCs w:val="21"/>
          <w:highlight w:val="none"/>
        </w:rPr>
      </w:pPr>
      <w:r>
        <w:rPr>
          <w:rFonts w:ascii="宋体" w:hAnsi="宋体"/>
          <w:color w:val="auto"/>
          <w:szCs w:val="21"/>
          <w:highlight w:val="none"/>
        </w:rPr>
        <w:t>38.1</w:t>
      </w:r>
      <w:r>
        <w:rPr>
          <w:rFonts w:hint="eastAsia" w:ascii="宋体" w:hAnsi="宋体"/>
          <w:color w:val="auto"/>
          <w:szCs w:val="21"/>
          <w:highlight w:val="none"/>
        </w:rPr>
        <w:t>供应商对政府采购活动事项有疑问的，可以向采购人提出询问，采购人或者采购代理机构应当在3个工作日内对供应商依法提出的询问作出答复，但答复的内容不得涉及商业秘密。</w:t>
      </w:r>
    </w:p>
    <w:p w14:paraId="66F1279C">
      <w:pPr>
        <w:pStyle w:val="6"/>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w:t>
      </w:r>
      <w:r>
        <w:rPr>
          <w:rFonts w:ascii="宋体" w:hAnsi="宋体"/>
          <w:b w:val="0"/>
          <w:color w:val="auto"/>
          <w:sz w:val="21"/>
          <w:szCs w:val="21"/>
          <w:highlight w:val="none"/>
        </w:rPr>
        <w:t>38</w:t>
      </w:r>
      <w:r>
        <w:rPr>
          <w:rFonts w:hint="eastAsia" w:ascii="宋体" w:hAnsi="宋体"/>
          <w:b w:val="0"/>
          <w:color w:val="auto"/>
          <w:sz w:val="21"/>
          <w:szCs w:val="21"/>
          <w:highlight w:val="none"/>
        </w:rPr>
        <w:t>.</w:t>
      </w:r>
      <w:r>
        <w:rPr>
          <w:rFonts w:ascii="宋体" w:hAnsi="宋体"/>
          <w:b w:val="0"/>
          <w:color w:val="auto"/>
          <w:sz w:val="21"/>
          <w:szCs w:val="21"/>
          <w:highlight w:val="none"/>
        </w:rPr>
        <w:t>2</w:t>
      </w:r>
      <w:r>
        <w:rPr>
          <w:rFonts w:hint="eastAsia" w:ascii="宋体" w:hAnsi="宋体"/>
          <w:b w:val="0"/>
          <w:color w:val="auto"/>
          <w:sz w:val="21"/>
          <w:szCs w:val="21"/>
          <w:highlight w:val="none"/>
        </w:rPr>
        <w:t xml:space="preserve">供应商认为招标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投标人须知前附表”。具体质疑起算时间如下： </w:t>
      </w:r>
    </w:p>
    <w:p w14:paraId="72A273BA">
      <w:pPr>
        <w:pStyle w:val="25"/>
        <w:snapToGrid w:val="0"/>
        <w:spacing w:line="360" w:lineRule="auto"/>
        <w:ind w:firstLine="420" w:firstLineChars="200"/>
        <w:rPr>
          <w:rFonts w:hAnsi="宋体"/>
          <w:color w:val="auto"/>
          <w:sz w:val="21"/>
          <w:highlight w:val="none"/>
        </w:rPr>
      </w:pPr>
      <w:r>
        <w:rPr>
          <w:rFonts w:hAnsi="宋体"/>
          <w:color w:val="auto"/>
          <w:sz w:val="21"/>
          <w:highlight w:val="none"/>
        </w:rPr>
        <w:t>（</w:t>
      </w:r>
      <w:r>
        <w:rPr>
          <w:rFonts w:hint="eastAsia" w:hAnsi="宋体"/>
          <w:color w:val="auto"/>
          <w:sz w:val="21"/>
          <w:highlight w:val="none"/>
        </w:rPr>
        <w:t>1</w:t>
      </w:r>
      <w:r>
        <w:rPr>
          <w:rFonts w:hAnsi="宋体"/>
          <w:color w:val="auto"/>
          <w:sz w:val="21"/>
          <w:highlight w:val="none"/>
        </w:rPr>
        <w:t>）对可以质疑的</w:t>
      </w:r>
      <w:r>
        <w:rPr>
          <w:rFonts w:hint="eastAsia" w:hAnsi="宋体"/>
          <w:color w:val="auto"/>
          <w:sz w:val="21"/>
          <w:highlight w:val="none"/>
        </w:rPr>
        <w:t>招标</w:t>
      </w:r>
      <w:r>
        <w:rPr>
          <w:rFonts w:hAnsi="宋体"/>
          <w:color w:val="auto"/>
          <w:sz w:val="21"/>
          <w:highlight w:val="none"/>
        </w:rPr>
        <w:t>文件提出质疑的，为收到</w:t>
      </w:r>
      <w:r>
        <w:rPr>
          <w:rFonts w:hint="eastAsia" w:hAnsi="宋体"/>
          <w:color w:val="auto"/>
          <w:sz w:val="21"/>
          <w:highlight w:val="none"/>
        </w:rPr>
        <w:t>招标</w:t>
      </w:r>
      <w:r>
        <w:rPr>
          <w:rFonts w:hAnsi="宋体"/>
          <w:color w:val="auto"/>
          <w:sz w:val="21"/>
          <w:highlight w:val="none"/>
        </w:rPr>
        <w:t>文件之日</w:t>
      </w:r>
      <w:r>
        <w:rPr>
          <w:rFonts w:hint="eastAsia" w:hAnsi="宋体"/>
          <w:color w:val="auto"/>
          <w:sz w:val="21"/>
          <w:highlight w:val="none"/>
        </w:rPr>
        <w:t>或者招标文件公告期限届满之日</w:t>
      </w:r>
      <w:r>
        <w:rPr>
          <w:rFonts w:hAnsi="宋体"/>
          <w:color w:val="auto"/>
          <w:sz w:val="21"/>
          <w:highlight w:val="none"/>
        </w:rPr>
        <w:t>；</w:t>
      </w:r>
    </w:p>
    <w:p w14:paraId="69931B4F">
      <w:pPr>
        <w:pStyle w:val="25"/>
        <w:snapToGrid w:val="0"/>
        <w:spacing w:line="360" w:lineRule="auto"/>
        <w:ind w:firstLine="420" w:firstLineChars="200"/>
        <w:rPr>
          <w:rFonts w:hint="eastAsia" w:hAnsi="宋体"/>
          <w:color w:val="auto"/>
          <w:sz w:val="21"/>
          <w:highlight w:val="none"/>
        </w:rPr>
      </w:pPr>
      <w:r>
        <w:rPr>
          <w:rFonts w:hAnsi="宋体"/>
          <w:color w:val="auto"/>
          <w:sz w:val="21"/>
          <w:highlight w:val="none"/>
        </w:rPr>
        <w:t>（</w:t>
      </w:r>
      <w:r>
        <w:rPr>
          <w:rFonts w:hint="eastAsia" w:hAnsi="宋体"/>
          <w:color w:val="auto"/>
          <w:sz w:val="21"/>
          <w:highlight w:val="none"/>
        </w:rPr>
        <w:t>2</w:t>
      </w:r>
      <w:r>
        <w:rPr>
          <w:rFonts w:hAnsi="宋体"/>
          <w:color w:val="auto"/>
          <w:sz w:val="21"/>
          <w:highlight w:val="none"/>
        </w:rPr>
        <w:t>）对</w:t>
      </w:r>
      <w:r>
        <w:rPr>
          <w:rFonts w:hint="eastAsia" w:hAnsi="宋体"/>
          <w:color w:val="auto"/>
          <w:sz w:val="21"/>
          <w:highlight w:val="none"/>
        </w:rPr>
        <w:t>采购</w:t>
      </w:r>
      <w:r>
        <w:rPr>
          <w:rFonts w:hAnsi="宋体"/>
          <w:color w:val="auto"/>
          <w:sz w:val="21"/>
          <w:highlight w:val="none"/>
        </w:rPr>
        <w:t>过程提出质疑的，为各采购程序环节结束之日；</w:t>
      </w:r>
    </w:p>
    <w:p w14:paraId="304C1FF8">
      <w:pPr>
        <w:pStyle w:val="25"/>
        <w:snapToGrid w:val="0"/>
        <w:spacing w:line="360" w:lineRule="auto"/>
        <w:ind w:firstLine="420" w:firstLineChars="200"/>
        <w:rPr>
          <w:rFonts w:hint="eastAsia" w:hAnsi="宋体"/>
          <w:bCs/>
          <w:color w:val="auto"/>
          <w:sz w:val="21"/>
          <w:highlight w:val="none"/>
        </w:rPr>
      </w:pPr>
      <w:r>
        <w:rPr>
          <w:rFonts w:hAnsi="宋体"/>
          <w:color w:val="auto"/>
          <w:sz w:val="21"/>
          <w:highlight w:val="none"/>
        </w:rPr>
        <w:t>（</w:t>
      </w:r>
      <w:r>
        <w:rPr>
          <w:rFonts w:hint="eastAsia" w:hAnsi="宋体"/>
          <w:color w:val="auto"/>
          <w:sz w:val="21"/>
          <w:highlight w:val="none"/>
        </w:rPr>
        <w:t>3</w:t>
      </w:r>
      <w:r>
        <w:rPr>
          <w:rFonts w:hAnsi="宋体"/>
          <w:color w:val="auto"/>
          <w:sz w:val="21"/>
          <w:highlight w:val="none"/>
        </w:rPr>
        <w:t>）对中标结果提出质疑的，为中标结果公告期限届满之日。</w:t>
      </w:r>
    </w:p>
    <w:p w14:paraId="05916D85">
      <w:pPr>
        <w:pStyle w:val="6"/>
        <w:keepNext w:val="0"/>
        <w:keepLines w:val="0"/>
        <w:spacing w:before="0" w:after="0" w:line="360" w:lineRule="auto"/>
        <w:ind w:firstLine="315" w:firstLineChars="150"/>
        <w:rPr>
          <w:rFonts w:ascii="宋体" w:hAnsi="宋体"/>
          <w:b w:val="0"/>
          <w:color w:val="auto"/>
          <w:sz w:val="21"/>
          <w:szCs w:val="21"/>
          <w:highlight w:val="none"/>
        </w:rPr>
      </w:pPr>
      <w:r>
        <w:rPr>
          <w:rFonts w:ascii="宋体" w:hAnsi="宋体"/>
          <w:b w:val="0"/>
          <w:color w:val="auto"/>
          <w:sz w:val="21"/>
          <w:szCs w:val="21"/>
          <w:highlight w:val="none"/>
        </w:rPr>
        <w:t>38</w:t>
      </w:r>
      <w:r>
        <w:rPr>
          <w:rFonts w:hint="eastAsia" w:ascii="宋体" w:hAnsi="宋体"/>
          <w:b w:val="0"/>
          <w:color w:val="auto"/>
          <w:sz w:val="21"/>
          <w:szCs w:val="21"/>
          <w:highlight w:val="none"/>
        </w:rPr>
        <w:t>.</w:t>
      </w:r>
      <w:r>
        <w:rPr>
          <w:rFonts w:ascii="宋体" w:hAnsi="宋体"/>
          <w:b w:val="0"/>
          <w:color w:val="auto"/>
          <w:sz w:val="21"/>
          <w:szCs w:val="21"/>
          <w:highlight w:val="none"/>
        </w:rPr>
        <w:t>3</w:t>
      </w:r>
      <w:r>
        <w:rPr>
          <w:rFonts w:hint="eastAsia" w:ascii="宋体" w:hAnsi="宋体"/>
          <w:b w:val="0"/>
          <w:color w:val="auto"/>
          <w:sz w:val="21"/>
          <w:szCs w:val="21"/>
          <w:highlight w:val="none"/>
        </w:rPr>
        <w:t xml:space="preserve"> </w:t>
      </w:r>
      <w:r>
        <w:rPr>
          <w:rFonts w:ascii="宋体" w:hAnsi="宋体"/>
          <w:b w:val="0"/>
          <w:bCs/>
          <w:color w:val="auto"/>
          <w:sz w:val="21"/>
          <w:highlight w:val="none"/>
        </w:rPr>
        <w:t>供应商提出质疑应当提交质疑函和必要的证明材料</w:t>
      </w:r>
      <w:r>
        <w:rPr>
          <w:rFonts w:hint="eastAsia" w:ascii="宋体" w:hAnsi="宋体"/>
          <w:b w:val="0"/>
          <w:bCs/>
          <w:color w:val="auto"/>
          <w:sz w:val="21"/>
          <w:highlight w:val="none"/>
        </w:rPr>
        <w:t>，</w:t>
      </w:r>
      <w:r>
        <w:rPr>
          <w:rFonts w:ascii="宋体" w:hAnsi="宋体"/>
          <w:b w:val="0"/>
          <w:bCs/>
          <w:color w:val="auto"/>
          <w:sz w:val="21"/>
          <w:highlight w:val="none"/>
        </w:rPr>
        <w:t>针对同一采购程序环节的质疑</w:t>
      </w:r>
      <w:r>
        <w:rPr>
          <w:rFonts w:hint="eastAsia" w:ascii="宋体" w:hAnsi="宋体"/>
          <w:b w:val="0"/>
          <w:bCs/>
          <w:color w:val="auto"/>
          <w:sz w:val="21"/>
          <w:highlight w:val="none"/>
        </w:rPr>
        <w:t>必须</w:t>
      </w:r>
      <w:r>
        <w:rPr>
          <w:rFonts w:ascii="宋体" w:hAnsi="宋体"/>
          <w:b w:val="0"/>
          <w:bCs/>
          <w:color w:val="auto"/>
          <w:sz w:val="21"/>
          <w:highlight w:val="none"/>
        </w:rPr>
        <w:t>在法定质疑期内一次性提出。质疑函应当包括下列内容</w:t>
      </w:r>
      <w:r>
        <w:rPr>
          <w:rFonts w:hint="eastAsia" w:ascii="宋体" w:hAnsi="宋体"/>
          <w:b w:val="0"/>
          <w:bCs/>
          <w:color w:val="auto"/>
          <w:sz w:val="21"/>
          <w:highlight w:val="none"/>
        </w:rPr>
        <w:t>（质疑函格式后附）</w:t>
      </w:r>
      <w:r>
        <w:rPr>
          <w:rFonts w:ascii="宋体" w:hAnsi="宋体"/>
          <w:b w:val="0"/>
          <w:bCs/>
          <w:color w:val="auto"/>
          <w:sz w:val="21"/>
          <w:highlight w:val="none"/>
        </w:rPr>
        <w:t>：</w:t>
      </w:r>
    </w:p>
    <w:p w14:paraId="271CE0A7">
      <w:pPr>
        <w:pStyle w:val="25"/>
        <w:snapToGrid w:val="0"/>
        <w:spacing w:line="360" w:lineRule="auto"/>
        <w:ind w:firstLine="420"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1</w:t>
      </w:r>
      <w:r>
        <w:rPr>
          <w:rFonts w:hAnsi="宋体"/>
          <w:bCs/>
          <w:color w:val="auto"/>
          <w:sz w:val="21"/>
          <w:highlight w:val="none"/>
        </w:rPr>
        <w:t>）供应商的姓名或者名称、地址、邮编、联系人及联系电话；</w:t>
      </w:r>
    </w:p>
    <w:p w14:paraId="682A51E1">
      <w:pPr>
        <w:pStyle w:val="25"/>
        <w:snapToGrid w:val="0"/>
        <w:spacing w:line="360" w:lineRule="auto"/>
        <w:ind w:firstLine="420"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2</w:t>
      </w:r>
      <w:r>
        <w:rPr>
          <w:rFonts w:hAnsi="宋体"/>
          <w:bCs/>
          <w:color w:val="auto"/>
          <w:sz w:val="21"/>
          <w:highlight w:val="none"/>
        </w:rPr>
        <w:t>）质疑项目的名称、编号；</w:t>
      </w:r>
    </w:p>
    <w:p w14:paraId="7A894632">
      <w:pPr>
        <w:pStyle w:val="25"/>
        <w:snapToGrid w:val="0"/>
        <w:spacing w:line="360" w:lineRule="auto"/>
        <w:ind w:firstLine="420"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3</w:t>
      </w:r>
      <w:r>
        <w:rPr>
          <w:rFonts w:hAnsi="宋体"/>
          <w:bCs/>
          <w:color w:val="auto"/>
          <w:sz w:val="21"/>
          <w:highlight w:val="none"/>
        </w:rPr>
        <w:t>）具体、明确的质疑事项和与质疑事项相关的请求；</w:t>
      </w:r>
    </w:p>
    <w:p w14:paraId="24B8A105">
      <w:pPr>
        <w:pStyle w:val="25"/>
        <w:snapToGrid w:val="0"/>
        <w:spacing w:line="360" w:lineRule="auto"/>
        <w:ind w:firstLine="420"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4</w:t>
      </w:r>
      <w:r>
        <w:rPr>
          <w:rFonts w:hAnsi="宋体"/>
          <w:bCs/>
          <w:color w:val="auto"/>
          <w:sz w:val="21"/>
          <w:highlight w:val="none"/>
        </w:rPr>
        <w:t>）事实依据；</w:t>
      </w:r>
    </w:p>
    <w:p w14:paraId="4B48414A">
      <w:pPr>
        <w:pStyle w:val="25"/>
        <w:snapToGrid w:val="0"/>
        <w:spacing w:line="360" w:lineRule="auto"/>
        <w:ind w:firstLine="420"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5</w:t>
      </w:r>
      <w:r>
        <w:rPr>
          <w:rFonts w:hAnsi="宋体"/>
          <w:bCs/>
          <w:color w:val="auto"/>
          <w:sz w:val="21"/>
          <w:highlight w:val="none"/>
        </w:rPr>
        <w:t>）必要的法律依据；</w:t>
      </w:r>
    </w:p>
    <w:p w14:paraId="11C39676">
      <w:pPr>
        <w:pStyle w:val="25"/>
        <w:snapToGrid w:val="0"/>
        <w:spacing w:line="360" w:lineRule="auto"/>
        <w:ind w:firstLine="420"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6</w:t>
      </w:r>
      <w:r>
        <w:rPr>
          <w:rFonts w:hAnsi="宋体"/>
          <w:bCs/>
          <w:color w:val="auto"/>
          <w:sz w:val="21"/>
          <w:highlight w:val="none"/>
        </w:rPr>
        <w:t>）提出质疑的日期。</w:t>
      </w:r>
    </w:p>
    <w:p w14:paraId="304529A4">
      <w:pPr>
        <w:pStyle w:val="25"/>
        <w:snapToGrid w:val="0"/>
        <w:spacing w:line="360" w:lineRule="auto"/>
        <w:ind w:firstLine="420" w:firstLineChars="200"/>
        <w:rPr>
          <w:rFonts w:hint="eastAsia" w:hAnsi="宋体"/>
          <w:bCs/>
          <w:color w:val="auto"/>
          <w:sz w:val="21"/>
          <w:highlight w:val="none"/>
        </w:rPr>
      </w:pPr>
      <w:r>
        <w:rPr>
          <w:rFonts w:hAnsi="宋体"/>
          <w:bCs/>
          <w:color w:val="auto"/>
          <w:sz w:val="21"/>
          <w:highlight w:val="none"/>
        </w:rPr>
        <w:t>供应商为自然人的，应当由本人签字；供应商为法人或者其他组织的，应当由法定代表人、主要负责人，或者其委托代理人签字或者盖章，并加盖公章</w:t>
      </w:r>
      <w:r>
        <w:rPr>
          <w:rFonts w:hint="eastAsia" w:hAnsi="宋体"/>
          <w:bCs/>
          <w:color w:val="auto"/>
          <w:sz w:val="21"/>
          <w:highlight w:val="none"/>
        </w:rPr>
        <w:t>。</w:t>
      </w:r>
    </w:p>
    <w:p w14:paraId="50FC3E6B">
      <w:pPr>
        <w:pStyle w:val="6"/>
        <w:keepNext w:val="0"/>
        <w:keepLines w:val="0"/>
        <w:snapToGrid w:val="0"/>
        <w:spacing w:before="0" w:after="0" w:line="360" w:lineRule="auto"/>
        <w:ind w:firstLine="420" w:firstLineChars="200"/>
        <w:rPr>
          <w:rFonts w:hint="eastAsia" w:ascii="宋体" w:hAnsi="宋体"/>
          <w:b w:val="0"/>
          <w:bCs/>
          <w:color w:val="auto"/>
          <w:sz w:val="21"/>
          <w:szCs w:val="21"/>
          <w:highlight w:val="none"/>
        </w:rPr>
      </w:pPr>
      <w:r>
        <w:rPr>
          <w:rFonts w:ascii="宋体" w:hAnsi="宋体"/>
          <w:b w:val="0"/>
          <w:color w:val="auto"/>
          <w:sz w:val="21"/>
          <w:szCs w:val="21"/>
          <w:highlight w:val="none"/>
        </w:rPr>
        <w:t>3</w:t>
      </w:r>
      <w:r>
        <w:rPr>
          <w:rFonts w:ascii="宋体" w:hAnsi="宋体"/>
          <w:b w:val="0"/>
          <w:bCs/>
          <w:color w:val="auto"/>
          <w:sz w:val="21"/>
          <w:szCs w:val="21"/>
          <w:highlight w:val="none"/>
        </w:rPr>
        <w:t>8.4</w:t>
      </w:r>
      <w:r>
        <w:rPr>
          <w:rFonts w:hint="eastAsia" w:ascii="宋体" w:hAnsi="宋体"/>
          <w:b w:val="0"/>
          <w:bCs/>
          <w:color w:val="auto"/>
          <w:sz w:val="21"/>
          <w:szCs w:val="21"/>
          <w:highlight w:val="none"/>
        </w:rPr>
        <w:t>采购人、采购代理机构认为供应商质疑不成立，或者成立但未对中标结果构成影响的，继续开展采购活动；认为供应商质疑成立且影响或者可能影响中标结果的，按照下列情况处理：</w:t>
      </w:r>
    </w:p>
    <w:p w14:paraId="1D6F46B6">
      <w:pPr>
        <w:pStyle w:val="25"/>
        <w:snapToGrid w:val="0"/>
        <w:spacing w:line="360" w:lineRule="auto"/>
        <w:rPr>
          <w:rFonts w:hint="eastAsia" w:hAnsi="宋体"/>
          <w:bCs/>
          <w:color w:val="auto"/>
          <w:sz w:val="21"/>
          <w:highlight w:val="none"/>
        </w:rPr>
      </w:pPr>
      <w:r>
        <w:rPr>
          <w:rFonts w:hint="eastAsia" w:hAnsi="宋体"/>
          <w:bCs/>
          <w:color w:val="auto"/>
          <w:sz w:val="21"/>
          <w:highlight w:val="none"/>
        </w:rPr>
        <w:t>　　（一）对招标文件提出的质疑，依法通过澄清或者修改可以继续开展采购活动的，澄清或者修改招标文件后继续开展采购活动；否则应当修改招标文件后重新开展采购活动。</w:t>
      </w:r>
    </w:p>
    <w:p w14:paraId="111A17C5">
      <w:pPr>
        <w:pStyle w:val="25"/>
        <w:snapToGrid w:val="0"/>
        <w:spacing w:line="360" w:lineRule="auto"/>
        <w:rPr>
          <w:rFonts w:hint="eastAsia" w:hAnsi="宋体"/>
          <w:bCs/>
          <w:color w:val="auto"/>
          <w:sz w:val="21"/>
          <w:highlight w:val="none"/>
        </w:rPr>
      </w:pPr>
      <w:r>
        <w:rPr>
          <w:rFonts w:hint="eastAsia" w:hAnsi="宋体"/>
          <w:bCs/>
          <w:color w:val="auto"/>
          <w:sz w:val="21"/>
          <w:highlight w:val="none"/>
        </w:rPr>
        <w:t>　　（二）对采购过程、中标结果提出的质疑，合格供应商符合法定数量时，可以从合格的中标候选人中另行确定中标供应商的，应当依法另行确定中标供应商；否则应当重新开展采购活动。</w:t>
      </w:r>
    </w:p>
    <w:p w14:paraId="56AC87AB">
      <w:pPr>
        <w:pStyle w:val="25"/>
        <w:snapToGrid w:val="0"/>
        <w:spacing w:line="360" w:lineRule="auto"/>
        <w:ind w:firstLine="420"/>
        <w:rPr>
          <w:rFonts w:hAnsi="宋体"/>
          <w:bCs/>
          <w:color w:val="auto"/>
          <w:sz w:val="21"/>
          <w:highlight w:val="none"/>
        </w:rPr>
      </w:pPr>
      <w:r>
        <w:rPr>
          <w:rFonts w:hint="eastAsia" w:hAnsi="宋体"/>
          <w:bCs/>
          <w:color w:val="auto"/>
          <w:sz w:val="21"/>
          <w:highlight w:val="none"/>
        </w:rPr>
        <w:t>质疑答复导致中标结果改变的，采购人或者采购代理机构应当将有关情况书面报告本级财政部门。</w:t>
      </w:r>
    </w:p>
    <w:p w14:paraId="3E39A218">
      <w:pPr>
        <w:pStyle w:val="25"/>
        <w:snapToGrid w:val="0"/>
        <w:spacing w:line="360" w:lineRule="auto"/>
        <w:ind w:firstLine="420" w:firstLineChars="200"/>
        <w:rPr>
          <w:rFonts w:hint="eastAsia" w:hAnsi="宋体"/>
          <w:color w:val="auto"/>
          <w:sz w:val="21"/>
          <w:highlight w:val="none"/>
        </w:rPr>
      </w:pPr>
      <w:r>
        <w:rPr>
          <w:rFonts w:hAnsi="宋体"/>
          <w:color w:val="auto"/>
          <w:sz w:val="21"/>
          <w:highlight w:val="none"/>
        </w:rPr>
        <w:t>38</w:t>
      </w:r>
      <w:r>
        <w:rPr>
          <w:rFonts w:hint="eastAsia" w:hAnsi="宋体"/>
          <w:color w:val="auto"/>
          <w:sz w:val="21"/>
          <w:highlight w:val="none"/>
        </w:rPr>
        <w:t>.</w:t>
      </w:r>
      <w:r>
        <w:rPr>
          <w:rFonts w:hAnsi="宋体"/>
          <w:color w:val="auto"/>
          <w:sz w:val="21"/>
          <w:highlight w:val="none"/>
        </w:rPr>
        <w:t>5</w:t>
      </w:r>
      <w:r>
        <w:rPr>
          <w:rFonts w:hint="eastAsia" w:hAnsi="宋体"/>
          <w:color w:val="auto"/>
          <w:sz w:val="21"/>
          <w:highlight w:val="none"/>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31160D8A">
      <w:pPr>
        <w:pStyle w:val="5"/>
        <w:keepNext w:val="0"/>
        <w:keepLines w:val="0"/>
        <w:jc w:val="center"/>
        <w:rPr>
          <w:rFonts w:hint="eastAsia" w:ascii="宋体" w:hAnsi="宋体"/>
          <w:color w:val="auto"/>
          <w:highlight w:val="none"/>
        </w:rPr>
      </w:pPr>
      <w:r>
        <w:rPr>
          <w:rFonts w:hint="eastAsia" w:ascii="宋体" w:hAnsi="宋体"/>
          <w:color w:val="auto"/>
          <w:highlight w:val="none"/>
        </w:rPr>
        <w:t>八、其他事项</w:t>
      </w:r>
    </w:p>
    <w:p w14:paraId="50CE8AB5">
      <w:pPr>
        <w:pStyle w:val="6"/>
        <w:keepNext w:val="0"/>
        <w:keepLines w:val="0"/>
        <w:spacing w:before="0" w:after="0" w:line="360" w:lineRule="auto"/>
        <w:ind w:left="420" w:leftChars="200"/>
        <w:rPr>
          <w:rFonts w:hint="eastAsia" w:ascii="宋体" w:hAnsi="宋体"/>
          <w:color w:val="auto"/>
          <w:sz w:val="24"/>
          <w:highlight w:val="none"/>
        </w:rPr>
      </w:pPr>
      <w:bookmarkStart w:id="141" w:name="_42.代理服务费"/>
      <w:bookmarkEnd w:id="141"/>
      <w:r>
        <w:rPr>
          <w:rFonts w:hint="eastAsia" w:ascii="宋体" w:hAnsi="宋体"/>
          <w:color w:val="auto"/>
          <w:sz w:val="24"/>
          <w:highlight w:val="none"/>
        </w:rPr>
        <w:t>3</w:t>
      </w:r>
      <w:r>
        <w:rPr>
          <w:rFonts w:ascii="宋体" w:hAnsi="宋体"/>
          <w:color w:val="auto"/>
          <w:sz w:val="24"/>
          <w:highlight w:val="none"/>
        </w:rPr>
        <w:t>9</w:t>
      </w:r>
      <w:r>
        <w:rPr>
          <w:rFonts w:hint="eastAsia" w:ascii="宋体" w:hAnsi="宋体"/>
          <w:color w:val="auto"/>
          <w:sz w:val="24"/>
          <w:highlight w:val="none"/>
        </w:rPr>
        <w:t>.代理服务费</w:t>
      </w:r>
    </w:p>
    <w:p w14:paraId="48179EF1">
      <w:pPr>
        <w:pStyle w:val="6"/>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3</w:t>
      </w:r>
      <w:r>
        <w:rPr>
          <w:rFonts w:ascii="宋体" w:hAnsi="宋体"/>
          <w:b w:val="0"/>
          <w:color w:val="auto"/>
          <w:sz w:val="21"/>
          <w:szCs w:val="21"/>
          <w:highlight w:val="none"/>
        </w:rPr>
        <w:t>9</w:t>
      </w:r>
      <w:r>
        <w:rPr>
          <w:rFonts w:hint="eastAsia" w:ascii="宋体" w:hAnsi="宋体"/>
          <w:b w:val="0"/>
          <w:color w:val="auto"/>
          <w:sz w:val="21"/>
          <w:szCs w:val="21"/>
          <w:highlight w:val="none"/>
        </w:rPr>
        <w:t>.1代理服务收取标准及缴费账户详见“投标人须知前附表”。</w:t>
      </w:r>
    </w:p>
    <w:p w14:paraId="586E6311">
      <w:pPr>
        <w:pStyle w:val="6"/>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3</w:t>
      </w:r>
      <w:r>
        <w:rPr>
          <w:rFonts w:ascii="宋体" w:hAnsi="宋体"/>
          <w:b w:val="0"/>
          <w:color w:val="auto"/>
          <w:sz w:val="21"/>
          <w:szCs w:val="21"/>
          <w:highlight w:val="none"/>
        </w:rPr>
        <w:t>9</w:t>
      </w:r>
      <w:r>
        <w:rPr>
          <w:rFonts w:hint="eastAsia" w:ascii="宋体" w:hAnsi="宋体"/>
          <w:b w:val="0"/>
          <w:color w:val="auto"/>
          <w:sz w:val="21"/>
          <w:szCs w:val="21"/>
          <w:highlight w:val="none"/>
        </w:rPr>
        <w:t>.2代理服务收费标准：</w:t>
      </w:r>
    </w:p>
    <w:tbl>
      <w:tblPr>
        <w:tblStyle w:val="48"/>
        <w:tblW w:w="88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7"/>
        <w:gridCol w:w="1659"/>
        <w:gridCol w:w="1687"/>
        <w:gridCol w:w="1659"/>
      </w:tblGrid>
      <w:tr w14:paraId="4E13F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tcBorders>
              <w:tl2br w:val="single" w:color="auto" w:sz="4" w:space="0"/>
            </w:tcBorders>
          </w:tcPr>
          <w:p w14:paraId="4DD8FFDB">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费率</w:t>
            </w:r>
          </w:p>
          <w:p w14:paraId="02CF4C52">
            <w:pPr>
              <w:spacing w:line="360" w:lineRule="auto"/>
              <w:rPr>
                <w:rFonts w:hint="eastAsia" w:ascii="宋体" w:hAnsi="宋体"/>
                <w:color w:val="auto"/>
                <w:szCs w:val="21"/>
                <w:highlight w:val="none"/>
              </w:rPr>
            </w:pPr>
            <w:r>
              <w:rPr>
                <w:rFonts w:hint="eastAsia" w:ascii="宋体" w:hAnsi="宋体"/>
                <w:color w:val="auto"/>
                <w:szCs w:val="21"/>
                <w:highlight w:val="none"/>
              </w:rPr>
              <w:t>中标金额</w:t>
            </w:r>
          </w:p>
        </w:tc>
        <w:tc>
          <w:tcPr>
            <w:tcW w:w="1659" w:type="dxa"/>
            <w:vAlign w:val="center"/>
          </w:tcPr>
          <w:p w14:paraId="4627B2BF">
            <w:pPr>
              <w:spacing w:line="360" w:lineRule="auto"/>
              <w:ind w:firstLine="105" w:firstLineChars="50"/>
              <w:jc w:val="center"/>
              <w:rPr>
                <w:rFonts w:hint="eastAsia" w:ascii="宋体" w:hAnsi="宋体"/>
                <w:color w:val="auto"/>
                <w:szCs w:val="21"/>
                <w:highlight w:val="none"/>
              </w:rPr>
            </w:pPr>
            <w:r>
              <w:rPr>
                <w:rFonts w:hint="eastAsia" w:ascii="宋体" w:hAnsi="宋体"/>
                <w:color w:val="auto"/>
                <w:szCs w:val="21"/>
                <w:highlight w:val="none"/>
              </w:rPr>
              <w:t>货物招标</w:t>
            </w:r>
          </w:p>
        </w:tc>
        <w:tc>
          <w:tcPr>
            <w:tcW w:w="1687" w:type="dxa"/>
            <w:vAlign w:val="center"/>
          </w:tcPr>
          <w:p w14:paraId="6F2FC6BC">
            <w:pPr>
              <w:spacing w:line="360" w:lineRule="auto"/>
              <w:jc w:val="center"/>
              <w:rPr>
                <w:rFonts w:hint="eastAsia" w:ascii="宋体" w:hAnsi="宋体"/>
                <w:color w:val="auto"/>
                <w:szCs w:val="21"/>
                <w:highlight w:val="none"/>
              </w:rPr>
            </w:pPr>
            <w:r>
              <w:rPr>
                <w:rFonts w:hint="eastAsia" w:ascii="宋体" w:hAnsi="宋体"/>
                <w:color w:val="auto"/>
                <w:szCs w:val="21"/>
                <w:highlight w:val="none"/>
              </w:rPr>
              <w:t>服务招标</w:t>
            </w:r>
          </w:p>
        </w:tc>
        <w:tc>
          <w:tcPr>
            <w:tcW w:w="1659" w:type="dxa"/>
            <w:vAlign w:val="center"/>
          </w:tcPr>
          <w:p w14:paraId="53B0318C">
            <w:pPr>
              <w:spacing w:line="360" w:lineRule="auto"/>
              <w:jc w:val="center"/>
              <w:rPr>
                <w:rFonts w:hint="eastAsia" w:ascii="宋体" w:hAnsi="宋体"/>
                <w:color w:val="auto"/>
                <w:szCs w:val="21"/>
                <w:highlight w:val="none"/>
              </w:rPr>
            </w:pPr>
            <w:r>
              <w:rPr>
                <w:rFonts w:hint="eastAsia" w:ascii="宋体" w:hAnsi="宋体"/>
                <w:color w:val="auto"/>
                <w:szCs w:val="21"/>
                <w:highlight w:val="none"/>
              </w:rPr>
              <w:t>工程招标</w:t>
            </w:r>
          </w:p>
        </w:tc>
      </w:tr>
      <w:tr w14:paraId="4884E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tcPr>
          <w:p w14:paraId="1DC5000C">
            <w:pPr>
              <w:spacing w:line="360" w:lineRule="auto"/>
              <w:rPr>
                <w:rFonts w:hint="eastAsia" w:ascii="宋体" w:hAnsi="宋体"/>
                <w:color w:val="auto"/>
                <w:szCs w:val="21"/>
                <w:highlight w:val="none"/>
              </w:rPr>
            </w:pPr>
            <w:r>
              <w:rPr>
                <w:rFonts w:hint="eastAsia" w:ascii="宋体" w:hAnsi="宋体"/>
                <w:color w:val="auto"/>
                <w:szCs w:val="21"/>
                <w:highlight w:val="none"/>
              </w:rPr>
              <w:t>100万元以下</w:t>
            </w:r>
          </w:p>
        </w:tc>
        <w:tc>
          <w:tcPr>
            <w:tcW w:w="1659" w:type="dxa"/>
          </w:tcPr>
          <w:p w14:paraId="43BAE270">
            <w:pPr>
              <w:spacing w:line="360" w:lineRule="auto"/>
              <w:rPr>
                <w:rFonts w:ascii="宋体" w:hAnsi="宋体"/>
                <w:color w:val="auto"/>
                <w:szCs w:val="21"/>
                <w:highlight w:val="none"/>
              </w:rPr>
            </w:pP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1.5</w:t>
            </w:r>
            <w:r>
              <w:rPr>
                <w:rFonts w:hint="eastAsia" w:ascii="宋体" w:hAnsi="宋体" w:cs="宋体"/>
                <w:color w:val="auto"/>
                <w:kern w:val="0"/>
                <w:szCs w:val="21"/>
                <w:highlight w:val="none"/>
                <w:lang w:eastAsia="zh-CN"/>
              </w:rPr>
              <w:t>%</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 xml:space="preserve">    </w:t>
            </w:r>
          </w:p>
        </w:tc>
        <w:tc>
          <w:tcPr>
            <w:tcW w:w="1687" w:type="dxa"/>
          </w:tcPr>
          <w:p w14:paraId="75088710">
            <w:pPr>
              <w:spacing w:line="360" w:lineRule="auto"/>
              <w:ind w:firstLine="210" w:firstLineChars="100"/>
              <w:rPr>
                <w:rFonts w:hint="eastAsia" w:ascii="宋体" w:hAnsi="宋体" w:eastAsia="宋体"/>
                <w:color w:val="auto"/>
                <w:szCs w:val="21"/>
                <w:highlight w:val="none"/>
                <w:lang w:eastAsia="zh-CN"/>
              </w:rPr>
            </w:pPr>
            <w:r>
              <w:rPr>
                <w:rFonts w:ascii="宋体" w:hAnsi="宋体" w:cs="宋体"/>
                <w:color w:val="auto"/>
                <w:kern w:val="0"/>
                <w:szCs w:val="21"/>
                <w:highlight w:val="none"/>
              </w:rPr>
              <w:t>1.5</w:t>
            </w:r>
            <w:r>
              <w:rPr>
                <w:rFonts w:hint="eastAsia" w:ascii="宋体" w:hAnsi="宋体" w:cs="宋体"/>
                <w:color w:val="auto"/>
                <w:kern w:val="0"/>
                <w:szCs w:val="21"/>
                <w:highlight w:val="none"/>
                <w:lang w:eastAsia="zh-CN"/>
              </w:rPr>
              <w:t>%</w:t>
            </w:r>
          </w:p>
        </w:tc>
        <w:tc>
          <w:tcPr>
            <w:tcW w:w="1659" w:type="dxa"/>
          </w:tcPr>
          <w:p w14:paraId="708FD2BF">
            <w:pPr>
              <w:spacing w:line="360" w:lineRule="auto"/>
              <w:ind w:firstLine="210" w:firstLineChars="100"/>
              <w:rPr>
                <w:rFonts w:hint="eastAsia" w:ascii="宋体" w:hAnsi="宋体"/>
                <w:color w:val="auto"/>
                <w:szCs w:val="21"/>
                <w:highlight w:val="none"/>
              </w:rPr>
            </w:pPr>
            <w:r>
              <w:rPr>
                <w:rFonts w:ascii="宋体" w:hAnsi="宋体" w:cs="宋体"/>
                <w:color w:val="auto"/>
                <w:kern w:val="0"/>
                <w:szCs w:val="21"/>
                <w:highlight w:val="none"/>
              </w:rPr>
              <w:t>1.0</w:t>
            </w:r>
            <w:r>
              <w:rPr>
                <w:rFonts w:hint="eastAsia" w:ascii="宋体" w:hAnsi="宋体" w:cs="宋体"/>
                <w:color w:val="auto"/>
                <w:kern w:val="0"/>
                <w:szCs w:val="21"/>
                <w:highlight w:val="none"/>
                <w:lang w:eastAsia="zh-CN"/>
              </w:rPr>
              <w:t>%</w:t>
            </w:r>
            <w:r>
              <w:rPr>
                <w:rFonts w:ascii="宋体" w:hAnsi="宋体" w:cs="宋体"/>
                <w:color w:val="auto"/>
                <w:kern w:val="0"/>
                <w:szCs w:val="21"/>
                <w:highlight w:val="none"/>
              </w:rPr>
              <w:t xml:space="preserve"> </w:t>
            </w:r>
          </w:p>
        </w:tc>
      </w:tr>
      <w:tr w14:paraId="69336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tcPr>
          <w:p w14:paraId="42E79587">
            <w:pPr>
              <w:spacing w:line="360" w:lineRule="auto"/>
              <w:rPr>
                <w:rFonts w:hint="eastAsia" w:ascii="宋体" w:hAnsi="宋体"/>
                <w:color w:val="auto"/>
                <w:szCs w:val="21"/>
                <w:highlight w:val="none"/>
              </w:rPr>
            </w:pPr>
            <w:r>
              <w:rPr>
                <w:rFonts w:hint="eastAsia" w:ascii="宋体" w:hAnsi="宋体"/>
                <w:color w:val="auto"/>
                <w:szCs w:val="21"/>
                <w:highlight w:val="none"/>
                <w:lang w:eastAsia="zh-CN"/>
              </w:rPr>
              <w:t>100万～500万</w:t>
            </w:r>
            <w:r>
              <w:rPr>
                <w:rFonts w:hint="eastAsia" w:ascii="宋体" w:hAnsi="宋体"/>
                <w:color w:val="auto"/>
                <w:szCs w:val="21"/>
                <w:highlight w:val="none"/>
              </w:rPr>
              <w:t>元</w:t>
            </w:r>
          </w:p>
        </w:tc>
        <w:tc>
          <w:tcPr>
            <w:tcW w:w="1659" w:type="dxa"/>
          </w:tcPr>
          <w:p w14:paraId="50BA6558">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1.1</w:t>
            </w:r>
            <w:r>
              <w:rPr>
                <w:rFonts w:hint="eastAsia" w:ascii="宋体" w:hAnsi="宋体" w:cs="宋体"/>
                <w:color w:val="auto"/>
                <w:kern w:val="0"/>
                <w:szCs w:val="21"/>
                <w:highlight w:val="none"/>
                <w:lang w:eastAsia="zh-CN"/>
              </w:rPr>
              <w:t>%</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 xml:space="preserve">                </w:t>
            </w:r>
          </w:p>
        </w:tc>
        <w:tc>
          <w:tcPr>
            <w:tcW w:w="1687" w:type="dxa"/>
          </w:tcPr>
          <w:p w14:paraId="6E7786AA">
            <w:pPr>
              <w:spacing w:line="360" w:lineRule="auto"/>
              <w:ind w:firstLine="210" w:firstLineChars="100"/>
              <w:rPr>
                <w:rFonts w:hint="eastAsia" w:ascii="宋体" w:hAnsi="宋体" w:eastAsia="宋体"/>
                <w:color w:val="auto"/>
                <w:szCs w:val="21"/>
                <w:highlight w:val="none"/>
                <w:lang w:eastAsia="zh-CN"/>
              </w:rPr>
            </w:pPr>
            <w:r>
              <w:rPr>
                <w:rFonts w:ascii="宋体" w:hAnsi="宋体" w:cs="宋体"/>
                <w:color w:val="auto"/>
                <w:kern w:val="0"/>
                <w:szCs w:val="21"/>
                <w:highlight w:val="none"/>
              </w:rPr>
              <w:t>0.8</w:t>
            </w:r>
            <w:r>
              <w:rPr>
                <w:rFonts w:hint="eastAsia" w:ascii="宋体" w:hAnsi="宋体" w:cs="宋体"/>
                <w:color w:val="auto"/>
                <w:kern w:val="0"/>
                <w:szCs w:val="21"/>
                <w:highlight w:val="none"/>
                <w:lang w:eastAsia="zh-CN"/>
              </w:rPr>
              <w:t>%</w:t>
            </w:r>
          </w:p>
        </w:tc>
        <w:tc>
          <w:tcPr>
            <w:tcW w:w="1659" w:type="dxa"/>
          </w:tcPr>
          <w:p w14:paraId="34A6BA69">
            <w:pPr>
              <w:spacing w:line="360" w:lineRule="auto"/>
              <w:ind w:firstLine="210" w:firstLineChars="100"/>
              <w:rPr>
                <w:rFonts w:hint="eastAsia" w:ascii="宋体" w:hAnsi="宋体"/>
                <w:color w:val="auto"/>
                <w:szCs w:val="21"/>
                <w:highlight w:val="none"/>
              </w:rPr>
            </w:pPr>
            <w:r>
              <w:rPr>
                <w:rFonts w:ascii="宋体" w:hAnsi="宋体" w:cs="宋体"/>
                <w:color w:val="auto"/>
                <w:kern w:val="0"/>
                <w:szCs w:val="21"/>
                <w:highlight w:val="none"/>
              </w:rPr>
              <w:t>0.7</w:t>
            </w:r>
            <w:r>
              <w:rPr>
                <w:rFonts w:hint="eastAsia" w:ascii="宋体" w:hAnsi="宋体" w:cs="宋体"/>
                <w:color w:val="auto"/>
                <w:kern w:val="0"/>
                <w:szCs w:val="21"/>
                <w:highlight w:val="none"/>
                <w:lang w:eastAsia="zh-CN"/>
              </w:rPr>
              <w:t>%</w:t>
            </w:r>
            <w:r>
              <w:rPr>
                <w:rFonts w:ascii="宋体" w:hAnsi="宋体" w:cs="宋体"/>
                <w:color w:val="auto"/>
                <w:kern w:val="0"/>
                <w:szCs w:val="21"/>
                <w:highlight w:val="none"/>
              </w:rPr>
              <w:t xml:space="preserve"> </w:t>
            </w:r>
          </w:p>
        </w:tc>
      </w:tr>
      <w:tr w14:paraId="48C83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tcPr>
          <w:p w14:paraId="3BFCE457">
            <w:pPr>
              <w:spacing w:line="360" w:lineRule="auto"/>
              <w:rPr>
                <w:rFonts w:hint="eastAsia" w:ascii="宋体" w:hAnsi="宋体"/>
                <w:color w:val="auto"/>
                <w:szCs w:val="21"/>
                <w:highlight w:val="none"/>
              </w:rPr>
            </w:pPr>
            <w:r>
              <w:rPr>
                <w:rFonts w:hint="eastAsia" w:ascii="宋体" w:hAnsi="宋体"/>
                <w:color w:val="auto"/>
                <w:szCs w:val="21"/>
                <w:highlight w:val="none"/>
                <w:lang w:eastAsia="zh-CN"/>
              </w:rPr>
              <w:t>500万～1000万</w:t>
            </w:r>
            <w:r>
              <w:rPr>
                <w:rFonts w:hint="eastAsia" w:ascii="宋体" w:hAnsi="宋体"/>
                <w:color w:val="auto"/>
                <w:szCs w:val="21"/>
                <w:highlight w:val="none"/>
              </w:rPr>
              <w:t>元</w:t>
            </w:r>
          </w:p>
        </w:tc>
        <w:tc>
          <w:tcPr>
            <w:tcW w:w="1659" w:type="dxa"/>
          </w:tcPr>
          <w:p w14:paraId="6655E31E">
            <w:pPr>
              <w:spacing w:line="360" w:lineRule="auto"/>
              <w:rPr>
                <w:rFonts w:ascii="宋体" w:hAnsi="宋体"/>
                <w:color w:val="auto"/>
                <w:szCs w:val="21"/>
                <w:highlight w:val="none"/>
              </w:rPr>
            </w:pP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0.8</w:t>
            </w:r>
            <w:r>
              <w:rPr>
                <w:rFonts w:hint="eastAsia" w:ascii="宋体" w:hAnsi="宋体" w:cs="宋体"/>
                <w:color w:val="auto"/>
                <w:kern w:val="0"/>
                <w:szCs w:val="21"/>
                <w:highlight w:val="none"/>
                <w:lang w:eastAsia="zh-CN"/>
              </w:rPr>
              <w:t>%</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 xml:space="preserve">               </w:t>
            </w:r>
          </w:p>
        </w:tc>
        <w:tc>
          <w:tcPr>
            <w:tcW w:w="1687" w:type="dxa"/>
          </w:tcPr>
          <w:p w14:paraId="36C75181">
            <w:pPr>
              <w:spacing w:line="360" w:lineRule="auto"/>
              <w:ind w:firstLine="210" w:firstLineChars="100"/>
              <w:rPr>
                <w:rFonts w:hint="eastAsia" w:ascii="宋体" w:hAnsi="宋体" w:eastAsia="宋体"/>
                <w:color w:val="auto"/>
                <w:szCs w:val="21"/>
                <w:highlight w:val="none"/>
                <w:lang w:eastAsia="zh-CN"/>
              </w:rPr>
            </w:pPr>
            <w:r>
              <w:rPr>
                <w:rFonts w:ascii="宋体" w:hAnsi="宋体" w:cs="宋体"/>
                <w:color w:val="auto"/>
                <w:kern w:val="0"/>
                <w:szCs w:val="21"/>
                <w:highlight w:val="none"/>
              </w:rPr>
              <w:t>0.45</w:t>
            </w:r>
            <w:r>
              <w:rPr>
                <w:rFonts w:hint="eastAsia" w:ascii="宋体" w:hAnsi="宋体" w:cs="宋体"/>
                <w:color w:val="auto"/>
                <w:kern w:val="0"/>
                <w:szCs w:val="21"/>
                <w:highlight w:val="none"/>
                <w:lang w:eastAsia="zh-CN"/>
              </w:rPr>
              <w:t>%</w:t>
            </w:r>
          </w:p>
        </w:tc>
        <w:tc>
          <w:tcPr>
            <w:tcW w:w="1659" w:type="dxa"/>
          </w:tcPr>
          <w:p w14:paraId="7700BB79">
            <w:pPr>
              <w:spacing w:line="360" w:lineRule="auto"/>
              <w:ind w:firstLine="210" w:firstLineChars="100"/>
              <w:rPr>
                <w:rFonts w:hint="eastAsia" w:ascii="宋体" w:hAnsi="宋体" w:eastAsia="宋体"/>
                <w:color w:val="auto"/>
                <w:szCs w:val="21"/>
                <w:highlight w:val="none"/>
                <w:lang w:eastAsia="zh-CN"/>
              </w:rPr>
            </w:pPr>
            <w:r>
              <w:rPr>
                <w:rFonts w:ascii="宋体" w:hAnsi="宋体" w:cs="宋体"/>
                <w:color w:val="auto"/>
                <w:kern w:val="0"/>
                <w:szCs w:val="21"/>
                <w:highlight w:val="none"/>
              </w:rPr>
              <w:t>0.55</w:t>
            </w:r>
            <w:r>
              <w:rPr>
                <w:rFonts w:hint="eastAsia" w:ascii="宋体" w:hAnsi="宋体" w:cs="宋体"/>
                <w:color w:val="auto"/>
                <w:kern w:val="0"/>
                <w:szCs w:val="21"/>
                <w:highlight w:val="none"/>
                <w:lang w:eastAsia="zh-CN"/>
              </w:rPr>
              <w:t>%</w:t>
            </w:r>
          </w:p>
        </w:tc>
      </w:tr>
      <w:tr w14:paraId="5651C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tcPr>
          <w:p w14:paraId="1092E803">
            <w:pPr>
              <w:spacing w:line="360" w:lineRule="auto"/>
              <w:rPr>
                <w:rFonts w:hint="eastAsia" w:ascii="宋体" w:hAnsi="宋体"/>
                <w:color w:val="auto"/>
                <w:szCs w:val="21"/>
                <w:highlight w:val="none"/>
              </w:rPr>
            </w:pPr>
            <w:r>
              <w:rPr>
                <w:rFonts w:hint="eastAsia" w:ascii="宋体" w:hAnsi="宋体"/>
                <w:color w:val="auto"/>
                <w:szCs w:val="21"/>
                <w:highlight w:val="none"/>
                <w:lang w:eastAsia="zh-CN"/>
              </w:rPr>
              <w:t>1000万～5000万</w:t>
            </w:r>
            <w:r>
              <w:rPr>
                <w:rFonts w:hint="eastAsia" w:ascii="宋体" w:hAnsi="宋体"/>
                <w:color w:val="auto"/>
                <w:szCs w:val="21"/>
                <w:highlight w:val="none"/>
              </w:rPr>
              <w:t>元</w:t>
            </w:r>
          </w:p>
        </w:tc>
        <w:tc>
          <w:tcPr>
            <w:tcW w:w="1659" w:type="dxa"/>
          </w:tcPr>
          <w:p w14:paraId="44012F65">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0.5</w:t>
            </w:r>
            <w:r>
              <w:rPr>
                <w:rFonts w:hint="eastAsia" w:ascii="宋体" w:hAnsi="宋体" w:cs="宋体"/>
                <w:color w:val="auto"/>
                <w:kern w:val="0"/>
                <w:szCs w:val="21"/>
                <w:highlight w:val="none"/>
                <w:lang w:eastAsia="zh-CN"/>
              </w:rPr>
              <w:t>%</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 xml:space="preserve">               </w:t>
            </w:r>
          </w:p>
        </w:tc>
        <w:tc>
          <w:tcPr>
            <w:tcW w:w="1687" w:type="dxa"/>
          </w:tcPr>
          <w:p w14:paraId="67934208">
            <w:pPr>
              <w:spacing w:line="360" w:lineRule="auto"/>
              <w:ind w:firstLine="210" w:firstLineChars="100"/>
              <w:rPr>
                <w:rFonts w:hint="eastAsia" w:ascii="宋体" w:hAnsi="宋体" w:eastAsia="宋体"/>
                <w:color w:val="auto"/>
                <w:szCs w:val="21"/>
                <w:highlight w:val="none"/>
                <w:lang w:eastAsia="zh-CN"/>
              </w:rPr>
            </w:pPr>
            <w:r>
              <w:rPr>
                <w:rFonts w:ascii="宋体" w:hAnsi="宋体" w:cs="宋体"/>
                <w:color w:val="auto"/>
                <w:kern w:val="0"/>
                <w:szCs w:val="21"/>
                <w:highlight w:val="none"/>
              </w:rPr>
              <w:t>0.25</w:t>
            </w:r>
            <w:r>
              <w:rPr>
                <w:rFonts w:hint="eastAsia" w:ascii="宋体" w:hAnsi="宋体" w:cs="宋体"/>
                <w:color w:val="auto"/>
                <w:kern w:val="0"/>
                <w:szCs w:val="21"/>
                <w:highlight w:val="none"/>
                <w:lang w:eastAsia="zh-CN"/>
              </w:rPr>
              <w:t>%</w:t>
            </w:r>
          </w:p>
        </w:tc>
        <w:tc>
          <w:tcPr>
            <w:tcW w:w="1659" w:type="dxa"/>
          </w:tcPr>
          <w:p w14:paraId="7958548F">
            <w:pPr>
              <w:spacing w:line="360" w:lineRule="auto"/>
              <w:ind w:firstLine="210" w:firstLineChars="100"/>
              <w:rPr>
                <w:rFonts w:hint="eastAsia" w:ascii="宋体" w:hAnsi="宋体"/>
                <w:color w:val="auto"/>
                <w:szCs w:val="21"/>
                <w:highlight w:val="none"/>
              </w:rPr>
            </w:pPr>
            <w:r>
              <w:rPr>
                <w:rFonts w:ascii="宋体" w:hAnsi="宋体" w:cs="宋体"/>
                <w:color w:val="auto"/>
                <w:kern w:val="0"/>
                <w:szCs w:val="21"/>
                <w:highlight w:val="none"/>
              </w:rPr>
              <w:t>0.35</w:t>
            </w:r>
            <w:r>
              <w:rPr>
                <w:rFonts w:hint="eastAsia" w:ascii="宋体" w:hAnsi="宋体" w:cs="宋体"/>
                <w:color w:val="auto"/>
                <w:kern w:val="0"/>
                <w:szCs w:val="21"/>
                <w:highlight w:val="none"/>
                <w:lang w:eastAsia="zh-CN"/>
              </w:rPr>
              <w:t>%</w:t>
            </w:r>
            <w:r>
              <w:rPr>
                <w:rFonts w:ascii="宋体" w:hAnsi="宋体" w:cs="宋体"/>
                <w:color w:val="auto"/>
                <w:kern w:val="0"/>
                <w:szCs w:val="21"/>
                <w:highlight w:val="none"/>
              </w:rPr>
              <w:t xml:space="preserve"> </w:t>
            </w:r>
          </w:p>
        </w:tc>
      </w:tr>
      <w:tr w14:paraId="583EB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tcPr>
          <w:p w14:paraId="2D3441A4">
            <w:pPr>
              <w:spacing w:line="360" w:lineRule="auto"/>
              <w:rPr>
                <w:rFonts w:hint="eastAsia" w:ascii="宋体" w:hAnsi="宋体"/>
                <w:color w:val="auto"/>
                <w:szCs w:val="21"/>
                <w:highlight w:val="none"/>
              </w:rPr>
            </w:pPr>
            <w:r>
              <w:rPr>
                <w:rFonts w:hint="eastAsia" w:ascii="宋体" w:hAnsi="宋体"/>
                <w:color w:val="auto"/>
                <w:szCs w:val="21"/>
                <w:highlight w:val="none"/>
              </w:rPr>
              <w:t>5000万元～1亿元</w:t>
            </w:r>
          </w:p>
        </w:tc>
        <w:tc>
          <w:tcPr>
            <w:tcW w:w="1659" w:type="dxa"/>
          </w:tcPr>
          <w:p w14:paraId="70B0C0EC">
            <w:pPr>
              <w:spacing w:line="360" w:lineRule="auto"/>
              <w:ind w:firstLine="210" w:firstLineChars="100"/>
              <w:rPr>
                <w:rFonts w:hint="eastAsia" w:ascii="宋体" w:hAnsi="宋体"/>
                <w:color w:val="auto"/>
                <w:szCs w:val="21"/>
                <w:highlight w:val="none"/>
              </w:rPr>
            </w:pPr>
            <w:r>
              <w:rPr>
                <w:rFonts w:ascii="宋体" w:hAnsi="宋体" w:cs="宋体"/>
                <w:color w:val="auto"/>
                <w:kern w:val="0"/>
                <w:szCs w:val="21"/>
                <w:highlight w:val="none"/>
              </w:rPr>
              <w:t>0.25</w:t>
            </w:r>
            <w:r>
              <w:rPr>
                <w:rFonts w:hint="eastAsia" w:ascii="宋体" w:hAnsi="宋体" w:cs="宋体"/>
                <w:color w:val="auto"/>
                <w:kern w:val="0"/>
                <w:szCs w:val="21"/>
                <w:highlight w:val="none"/>
                <w:lang w:eastAsia="zh-CN"/>
              </w:rPr>
              <w:t>%</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 xml:space="preserve">         </w:t>
            </w:r>
          </w:p>
        </w:tc>
        <w:tc>
          <w:tcPr>
            <w:tcW w:w="1687" w:type="dxa"/>
          </w:tcPr>
          <w:p w14:paraId="1442963E">
            <w:pPr>
              <w:spacing w:line="360" w:lineRule="auto"/>
              <w:ind w:firstLine="210" w:firstLineChars="100"/>
              <w:rPr>
                <w:rFonts w:hint="eastAsia" w:ascii="宋体" w:hAnsi="宋体" w:eastAsia="宋体"/>
                <w:color w:val="auto"/>
                <w:szCs w:val="21"/>
                <w:highlight w:val="none"/>
                <w:lang w:eastAsia="zh-CN"/>
              </w:rPr>
            </w:pPr>
            <w:r>
              <w:rPr>
                <w:rFonts w:ascii="宋体" w:hAnsi="宋体" w:cs="宋体"/>
                <w:color w:val="auto"/>
                <w:kern w:val="0"/>
                <w:szCs w:val="21"/>
                <w:highlight w:val="none"/>
              </w:rPr>
              <w:t>0.1</w:t>
            </w:r>
            <w:r>
              <w:rPr>
                <w:rFonts w:hint="eastAsia" w:ascii="宋体" w:hAnsi="宋体" w:cs="宋体"/>
                <w:color w:val="auto"/>
                <w:kern w:val="0"/>
                <w:szCs w:val="21"/>
                <w:highlight w:val="none"/>
                <w:lang w:eastAsia="zh-CN"/>
              </w:rPr>
              <w:t>%</w:t>
            </w:r>
          </w:p>
        </w:tc>
        <w:tc>
          <w:tcPr>
            <w:tcW w:w="1659" w:type="dxa"/>
          </w:tcPr>
          <w:p w14:paraId="4C6EA9A9">
            <w:pPr>
              <w:spacing w:line="360" w:lineRule="auto"/>
              <w:ind w:firstLine="210" w:firstLineChars="100"/>
              <w:rPr>
                <w:rFonts w:hint="eastAsia" w:ascii="宋体" w:hAnsi="宋体" w:eastAsia="宋体"/>
                <w:color w:val="auto"/>
                <w:szCs w:val="21"/>
                <w:highlight w:val="none"/>
                <w:lang w:eastAsia="zh-CN"/>
              </w:rPr>
            </w:pPr>
            <w:r>
              <w:rPr>
                <w:rFonts w:ascii="宋体" w:hAnsi="宋体" w:cs="宋体"/>
                <w:color w:val="auto"/>
                <w:kern w:val="0"/>
                <w:szCs w:val="21"/>
                <w:highlight w:val="none"/>
              </w:rPr>
              <w:t>0.2</w:t>
            </w:r>
            <w:r>
              <w:rPr>
                <w:rFonts w:hint="eastAsia" w:ascii="宋体" w:hAnsi="宋体" w:cs="宋体"/>
                <w:color w:val="auto"/>
                <w:kern w:val="0"/>
                <w:szCs w:val="21"/>
                <w:highlight w:val="none"/>
                <w:lang w:eastAsia="zh-CN"/>
              </w:rPr>
              <w:t>%</w:t>
            </w:r>
          </w:p>
        </w:tc>
      </w:tr>
      <w:tr w14:paraId="7D34F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tcPr>
          <w:p w14:paraId="6D3278BC">
            <w:pPr>
              <w:spacing w:line="360" w:lineRule="auto"/>
              <w:rPr>
                <w:rFonts w:hint="eastAsia" w:ascii="宋体" w:hAnsi="宋体"/>
                <w:color w:val="auto"/>
                <w:szCs w:val="21"/>
                <w:highlight w:val="none"/>
              </w:rPr>
            </w:pPr>
            <w:r>
              <w:rPr>
                <w:rFonts w:hint="eastAsia" w:ascii="宋体" w:hAnsi="宋体"/>
                <w:color w:val="auto"/>
                <w:szCs w:val="21"/>
                <w:highlight w:val="none"/>
                <w:lang w:eastAsia="zh-CN"/>
              </w:rPr>
              <w:t>1亿～5亿</w:t>
            </w:r>
            <w:r>
              <w:rPr>
                <w:rFonts w:hint="eastAsia" w:ascii="宋体" w:hAnsi="宋体"/>
                <w:color w:val="auto"/>
                <w:szCs w:val="21"/>
                <w:highlight w:val="none"/>
              </w:rPr>
              <w:t>元</w:t>
            </w:r>
          </w:p>
        </w:tc>
        <w:tc>
          <w:tcPr>
            <w:tcW w:w="1659" w:type="dxa"/>
          </w:tcPr>
          <w:p w14:paraId="1AEB29D8">
            <w:pPr>
              <w:spacing w:line="360" w:lineRule="auto"/>
              <w:ind w:firstLine="210" w:firstLineChars="100"/>
              <w:rPr>
                <w:rFonts w:hint="eastAsia" w:ascii="宋体" w:hAnsi="宋体" w:eastAsia="宋体"/>
                <w:color w:val="auto"/>
                <w:szCs w:val="21"/>
                <w:highlight w:val="none"/>
                <w:lang w:eastAsia="zh-CN"/>
              </w:rPr>
            </w:pPr>
            <w:r>
              <w:rPr>
                <w:rFonts w:hint="eastAsia" w:ascii="宋体" w:hAnsi="宋体"/>
                <w:color w:val="auto"/>
                <w:szCs w:val="21"/>
                <w:highlight w:val="none"/>
              </w:rPr>
              <w:t>0.05</w:t>
            </w:r>
            <w:r>
              <w:rPr>
                <w:rFonts w:hint="eastAsia" w:ascii="宋体" w:hAnsi="宋体"/>
                <w:color w:val="auto"/>
                <w:szCs w:val="21"/>
                <w:highlight w:val="none"/>
                <w:lang w:eastAsia="zh-CN"/>
              </w:rPr>
              <w:t>%</w:t>
            </w:r>
          </w:p>
        </w:tc>
        <w:tc>
          <w:tcPr>
            <w:tcW w:w="1687" w:type="dxa"/>
          </w:tcPr>
          <w:p w14:paraId="101103AB">
            <w:pPr>
              <w:spacing w:line="360" w:lineRule="auto"/>
              <w:rPr>
                <w:rFonts w:hint="eastAsia" w:ascii="宋体" w:hAnsi="宋体" w:eastAsia="宋体"/>
                <w:color w:val="auto"/>
                <w:szCs w:val="21"/>
                <w:highlight w:val="none"/>
                <w:lang w:eastAsia="zh-CN"/>
              </w:rPr>
            </w:pPr>
            <w:r>
              <w:rPr>
                <w:rFonts w:hint="eastAsia" w:ascii="宋体" w:hAnsi="宋体"/>
                <w:color w:val="auto"/>
                <w:szCs w:val="21"/>
                <w:highlight w:val="none"/>
              </w:rPr>
              <w:t xml:space="preserve">  0.05</w:t>
            </w:r>
            <w:r>
              <w:rPr>
                <w:rFonts w:hint="eastAsia" w:ascii="宋体" w:hAnsi="宋体"/>
                <w:color w:val="auto"/>
                <w:szCs w:val="21"/>
                <w:highlight w:val="none"/>
                <w:lang w:eastAsia="zh-CN"/>
              </w:rPr>
              <w:t>%</w:t>
            </w:r>
          </w:p>
        </w:tc>
        <w:tc>
          <w:tcPr>
            <w:tcW w:w="1659" w:type="dxa"/>
          </w:tcPr>
          <w:p w14:paraId="42EE4680">
            <w:pPr>
              <w:spacing w:line="360" w:lineRule="auto"/>
              <w:rPr>
                <w:rFonts w:hint="eastAsia" w:ascii="宋体" w:hAnsi="宋体" w:eastAsia="宋体"/>
                <w:color w:val="auto"/>
                <w:szCs w:val="21"/>
                <w:highlight w:val="none"/>
                <w:lang w:eastAsia="zh-CN"/>
              </w:rPr>
            </w:pPr>
            <w:r>
              <w:rPr>
                <w:rFonts w:hint="eastAsia" w:ascii="宋体" w:hAnsi="宋体"/>
                <w:color w:val="auto"/>
                <w:szCs w:val="21"/>
                <w:highlight w:val="none"/>
              </w:rPr>
              <w:t xml:space="preserve">  0.05</w:t>
            </w:r>
            <w:r>
              <w:rPr>
                <w:rFonts w:hint="eastAsia" w:ascii="宋体" w:hAnsi="宋体"/>
                <w:color w:val="auto"/>
                <w:szCs w:val="21"/>
                <w:highlight w:val="none"/>
                <w:lang w:eastAsia="zh-CN"/>
              </w:rPr>
              <w:t>%</w:t>
            </w:r>
          </w:p>
        </w:tc>
      </w:tr>
      <w:tr w14:paraId="372DD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tcPr>
          <w:p w14:paraId="0E89A870">
            <w:pPr>
              <w:spacing w:line="360" w:lineRule="auto"/>
              <w:rPr>
                <w:rFonts w:hint="eastAsia" w:ascii="宋体" w:hAnsi="宋体"/>
                <w:color w:val="auto"/>
                <w:szCs w:val="21"/>
                <w:highlight w:val="none"/>
              </w:rPr>
            </w:pPr>
            <w:r>
              <w:rPr>
                <w:rFonts w:hint="eastAsia" w:ascii="宋体" w:hAnsi="宋体"/>
                <w:color w:val="auto"/>
                <w:szCs w:val="21"/>
                <w:highlight w:val="none"/>
                <w:lang w:eastAsia="zh-CN"/>
              </w:rPr>
              <w:t>5亿～10亿</w:t>
            </w:r>
            <w:r>
              <w:rPr>
                <w:rFonts w:hint="eastAsia" w:ascii="宋体" w:hAnsi="宋体"/>
                <w:color w:val="auto"/>
                <w:szCs w:val="21"/>
                <w:highlight w:val="none"/>
              </w:rPr>
              <w:t>元</w:t>
            </w:r>
          </w:p>
        </w:tc>
        <w:tc>
          <w:tcPr>
            <w:tcW w:w="1659" w:type="dxa"/>
          </w:tcPr>
          <w:p w14:paraId="150677DA">
            <w:pPr>
              <w:spacing w:line="360" w:lineRule="auto"/>
              <w:ind w:firstLine="105" w:firstLineChars="50"/>
              <w:rPr>
                <w:rFonts w:hint="eastAsia" w:ascii="宋体" w:hAnsi="宋体" w:eastAsia="宋体"/>
                <w:color w:val="auto"/>
                <w:szCs w:val="21"/>
                <w:highlight w:val="none"/>
                <w:lang w:eastAsia="zh-CN"/>
              </w:rPr>
            </w:pPr>
            <w:r>
              <w:rPr>
                <w:rFonts w:hint="eastAsia" w:ascii="宋体" w:hAnsi="宋体"/>
                <w:color w:val="auto"/>
                <w:szCs w:val="21"/>
                <w:highlight w:val="none"/>
              </w:rPr>
              <w:t>0.035</w:t>
            </w:r>
            <w:r>
              <w:rPr>
                <w:rFonts w:hint="eastAsia" w:ascii="宋体" w:hAnsi="宋体"/>
                <w:color w:val="auto"/>
                <w:szCs w:val="21"/>
                <w:highlight w:val="none"/>
                <w:lang w:eastAsia="zh-CN"/>
              </w:rPr>
              <w:t>%</w:t>
            </w:r>
          </w:p>
        </w:tc>
        <w:tc>
          <w:tcPr>
            <w:tcW w:w="1687" w:type="dxa"/>
          </w:tcPr>
          <w:p w14:paraId="4A4D6CF3">
            <w:pPr>
              <w:spacing w:line="360" w:lineRule="auto"/>
              <w:rPr>
                <w:rFonts w:hint="eastAsia" w:ascii="宋体" w:hAnsi="宋体" w:eastAsia="宋体"/>
                <w:color w:val="auto"/>
                <w:szCs w:val="21"/>
                <w:highlight w:val="none"/>
                <w:lang w:eastAsia="zh-CN"/>
              </w:rPr>
            </w:pPr>
            <w:r>
              <w:rPr>
                <w:rFonts w:hint="eastAsia" w:ascii="宋体" w:hAnsi="宋体"/>
                <w:color w:val="auto"/>
                <w:szCs w:val="21"/>
                <w:highlight w:val="none"/>
              </w:rPr>
              <w:t xml:space="preserve">  0.035</w:t>
            </w:r>
            <w:r>
              <w:rPr>
                <w:rFonts w:hint="eastAsia" w:ascii="宋体" w:hAnsi="宋体"/>
                <w:color w:val="auto"/>
                <w:szCs w:val="21"/>
                <w:highlight w:val="none"/>
                <w:lang w:eastAsia="zh-CN"/>
              </w:rPr>
              <w:t>%</w:t>
            </w:r>
          </w:p>
        </w:tc>
        <w:tc>
          <w:tcPr>
            <w:tcW w:w="1659" w:type="dxa"/>
          </w:tcPr>
          <w:p w14:paraId="2CFF9FFE">
            <w:pPr>
              <w:spacing w:line="360" w:lineRule="auto"/>
              <w:ind w:firstLine="105" w:firstLineChars="50"/>
              <w:rPr>
                <w:rFonts w:hint="eastAsia" w:ascii="宋体" w:hAnsi="宋体" w:eastAsia="宋体"/>
                <w:color w:val="auto"/>
                <w:szCs w:val="21"/>
                <w:highlight w:val="none"/>
                <w:lang w:eastAsia="zh-CN"/>
              </w:rPr>
            </w:pPr>
            <w:r>
              <w:rPr>
                <w:rFonts w:hint="eastAsia" w:ascii="宋体" w:hAnsi="宋体"/>
                <w:color w:val="auto"/>
                <w:szCs w:val="21"/>
                <w:highlight w:val="none"/>
              </w:rPr>
              <w:t>0.035</w:t>
            </w:r>
            <w:r>
              <w:rPr>
                <w:rFonts w:hint="eastAsia" w:ascii="宋体" w:hAnsi="宋体"/>
                <w:color w:val="auto"/>
                <w:szCs w:val="21"/>
                <w:highlight w:val="none"/>
                <w:lang w:eastAsia="zh-CN"/>
              </w:rPr>
              <w:t>%</w:t>
            </w:r>
          </w:p>
        </w:tc>
      </w:tr>
      <w:tr w14:paraId="2D69F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tcPr>
          <w:p w14:paraId="4A3A1C16">
            <w:pPr>
              <w:spacing w:line="360" w:lineRule="auto"/>
              <w:rPr>
                <w:rFonts w:hint="eastAsia" w:ascii="宋体" w:hAnsi="宋体"/>
                <w:color w:val="auto"/>
                <w:szCs w:val="21"/>
                <w:highlight w:val="none"/>
              </w:rPr>
            </w:pPr>
            <w:r>
              <w:rPr>
                <w:rFonts w:hint="eastAsia" w:ascii="宋体" w:hAnsi="宋体"/>
                <w:color w:val="auto"/>
                <w:szCs w:val="21"/>
                <w:highlight w:val="none"/>
                <w:lang w:eastAsia="zh-CN"/>
              </w:rPr>
              <w:t>10亿～50亿</w:t>
            </w:r>
            <w:r>
              <w:rPr>
                <w:rFonts w:hint="eastAsia" w:ascii="宋体" w:hAnsi="宋体"/>
                <w:color w:val="auto"/>
                <w:szCs w:val="21"/>
                <w:highlight w:val="none"/>
              </w:rPr>
              <w:t>元</w:t>
            </w:r>
          </w:p>
        </w:tc>
        <w:tc>
          <w:tcPr>
            <w:tcW w:w="1659" w:type="dxa"/>
          </w:tcPr>
          <w:p w14:paraId="11290DF0">
            <w:pPr>
              <w:spacing w:line="360" w:lineRule="auto"/>
              <w:ind w:firstLine="105" w:firstLineChars="50"/>
              <w:rPr>
                <w:rFonts w:hint="eastAsia" w:ascii="宋体" w:hAnsi="宋体" w:eastAsia="宋体"/>
                <w:color w:val="auto"/>
                <w:szCs w:val="21"/>
                <w:highlight w:val="none"/>
                <w:lang w:eastAsia="zh-CN"/>
              </w:rPr>
            </w:pPr>
            <w:r>
              <w:rPr>
                <w:rFonts w:hint="eastAsia" w:ascii="宋体" w:hAnsi="宋体"/>
                <w:color w:val="auto"/>
                <w:szCs w:val="21"/>
                <w:highlight w:val="none"/>
              </w:rPr>
              <w:t>0.008</w:t>
            </w:r>
            <w:r>
              <w:rPr>
                <w:rFonts w:hint="eastAsia" w:ascii="宋体" w:hAnsi="宋体"/>
                <w:color w:val="auto"/>
                <w:szCs w:val="21"/>
                <w:highlight w:val="none"/>
                <w:lang w:eastAsia="zh-CN"/>
              </w:rPr>
              <w:t>%</w:t>
            </w:r>
          </w:p>
        </w:tc>
        <w:tc>
          <w:tcPr>
            <w:tcW w:w="1687" w:type="dxa"/>
          </w:tcPr>
          <w:p w14:paraId="6CF02917">
            <w:pPr>
              <w:spacing w:line="360" w:lineRule="auto"/>
              <w:ind w:firstLine="210" w:firstLineChars="100"/>
              <w:rPr>
                <w:rFonts w:hint="eastAsia" w:ascii="宋体" w:hAnsi="宋体" w:eastAsia="宋体"/>
                <w:color w:val="auto"/>
                <w:szCs w:val="21"/>
                <w:highlight w:val="none"/>
                <w:lang w:eastAsia="zh-CN"/>
              </w:rPr>
            </w:pPr>
            <w:r>
              <w:rPr>
                <w:rFonts w:hint="eastAsia" w:ascii="宋体" w:hAnsi="宋体"/>
                <w:color w:val="auto"/>
                <w:szCs w:val="21"/>
                <w:highlight w:val="none"/>
              </w:rPr>
              <w:t>0.008</w:t>
            </w:r>
            <w:r>
              <w:rPr>
                <w:rFonts w:hint="eastAsia" w:ascii="宋体" w:hAnsi="宋体"/>
                <w:color w:val="auto"/>
                <w:szCs w:val="21"/>
                <w:highlight w:val="none"/>
                <w:lang w:eastAsia="zh-CN"/>
              </w:rPr>
              <w:t>%</w:t>
            </w:r>
          </w:p>
        </w:tc>
        <w:tc>
          <w:tcPr>
            <w:tcW w:w="1659" w:type="dxa"/>
          </w:tcPr>
          <w:p w14:paraId="4303F568">
            <w:pPr>
              <w:spacing w:line="360" w:lineRule="auto"/>
              <w:ind w:firstLine="105" w:firstLineChars="50"/>
              <w:rPr>
                <w:rFonts w:hint="eastAsia" w:ascii="宋体" w:hAnsi="宋体" w:eastAsia="宋体"/>
                <w:color w:val="auto"/>
                <w:szCs w:val="21"/>
                <w:highlight w:val="none"/>
                <w:lang w:eastAsia="zh-CN"/>
              </w:rPr>
            </w:pPr>
            <w:r>
              <w:rPr>
                <w:rFonts w:hint="eastAsia" w:ascii="宋体" w:hAnsi="宋体"/>
                <w:color w:val="auto"/>
                <w:szCs w:val="21"/>
                <w:highlight w:val="none"/>
              </w:rPr>
              <w:t>0.008</w:t>
            </w:r>
            <w:r>
              <w:rPr>
                <w:rFonts w:hint="eastAsia" w:ascii="宋体" w:hAnsi="宋体"/>
                <w:color w:val="auto"/>
                <w:szCs w:val="21"/>
                <w:highlight w:val="none"/>
                <w:lang w:eastAsia="zh-CN"/>
              </w:rPr>
              <w:t>%</w:t>
            </w:r>
          </w:p>
        </w:tc>
      </w:tr>
      <w:tr w14:paraId="6C20A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tcPr>
          <w:p w14:paraId="708FF5C6">
            <w:pPr>
              <w:spacing w:line="360" w:lineRule="auto"/>
              <w:rPr>
                <w:rFonts w:hint="eastAsia" w:ascii="宋体" w:hAnsi="宋体"/>
                <w:color w:val="auto"/>
                <w:szCs w:val="21"/>
                <w:highlight w:val="none"/>
              </w:rPr>
            </w:pPr>
            <w:r>
              <w:rPr>
                <w:rFonts w:hint="eastAsia" w:ascii="宋体" w:hAnsi="宋体"/>
                <w:color w:val="auto"/>
                <w:szCs w:val="21"/>
                <w:highlight w:val="none"/>
                <w:lang w:eastAsia="zh-CN"/>
              </w:rPr>
              <w:t>50亿～100亿</w:t>
            </w:r>
            <w:r>
              <w:rPr>
                <w:rFonts w:hint="eastAsia" w:ascii="宋体" w:hAnsi="宋体"/>
                <w:color w:val="auto"/>
                <w:szCs w:val="21"/>
                <w:highlight w:val="none"/>
              </w:rPr>
              <w:t>元</w:t>
            </w:r>
          </w:p>
        </w:tc>
        <w:tc>
          <w:tcPr>
            <w:tcW w:w="1659" w:type="dxa"/>
          </w:tcPr>
          <w:p w14:paraId="199A72A2">
            <w:pPr>
              <w:spacing w:line="360" w:lineRule="auto"/>
              <w:rPr>
                <w:rFonts w:hint="eastAsia" w:ascii="宋体" w:hAnsi="宋体" w:eastAsia="宋体"/>
                <w:color w:val="auto"/>
                <w:szCs w:val="21"/>
                <w:highlight w:val="none"/>
                <w:lang w:eastAsia="zh-CN"/>
              </w:rPr>
            </w:pPr>
            <w:r>
              <w:rPr>
                <w:rFonts w:hint="eastAsia" w:ascii="宋体" w:hAnsi="宋体"/>
                <w:color w:val="auto"/>
                <w:szCs w:val="21"/>
                <w:highlight w:val="none"/>
              </w:rPr>
              <w:t xml:space="preserve"> 0.006</w:t>
            </w:r>
            <w:r>
              <w:rPr>
                <w:rFonts w:hint="eastAsia" w:ascii="宋体" w:hAnsi="宋体"/>
                <w:color w:val="auto"/>
                <w:szCs w:val="21"/>
                <w:highlight w:val="none"/>
                <w:lang w:eastAsia="zh-CN"/>
              </w:rPr>
              <w:t>%</w:t>
            </w:r>
          </w:p>
        </w:tc>
        <w:tc>
          <w:tcPr>
            <w:tcW w:w="1687" w:type="dxa"/>
          </w:tcPr>
          <w:p w14:paraId="773F4BD4">
            <w:pPr>
              <w:spacing w:line="360" w:lineRule="auto"/>
              <w:ind w:firstLine="210" w:firstLineChars="100"/>
              <w:rPr>
                <w:rFonts w:hint="eastAsia" w:ascii="宋体" w:hAnsi="宋体" w:eastAsia="宋体"/>
                <w:color w:val="auto"/>
                <w:szCs w:val="21"/>
                <w:highlight w:val="none"/>
                <w:lang w:eastAsia="zh-CN"/>
              </w:rPr>
            </w:pPr>
            <w:r>
              <w:rPr>
                <w:rFonts w:hint="eastAsia" w:ascii="宋体" w:hAnsi="宋体"/>
                <w:color w:val="auto"/>
                <w:szCs w:val="21"/>
                <w:highlight w:val="none"/>
              </w:rPr>
              <w:t>0.006</w:t>
            </w:r>
            <w:r>
              <w:rPr>
                <w:rFonts w:hint="eastAsia" w:ascii="宋体" w:hAnsi="宋体"/>
                <w:color w:val="auto"/>
                <w:szCs w:val="21"/>
                <w:highlight w:val="none"/>
                <w:lang w:eastAsia="zh-CN"/>
              </w:rPr>
              <w:t>%</w:t>
            </w:r>
          </w:p>
        </w:tc>
        <w:tc>
          <w:tcPr>
            <w:tcW w:w="1659" w:type="dxa"/>
          </w:tcPr>
          <w:p w14:paraId="7A29D823">
            <w:pPr>
              <w:spacing w:line="360" w:lineRule="auto"/>
              <w:ind w:firstLine="105" w:firstLineChars="50"/>
              <w:rPr>
                <w:rFonts w:hint="eastAsia" w:ascii="宋体" w:hAnsi="宋体" w:eastAsia="宋体"/>
                <w:color w:val="auto"/>
                <w:szCs w:val="21"/>
                <w:highlight w:val="none"/>
                <w:lang w:eastAsia="zh-CN"/>
              </w:rPr>
            </w:pPr>
            <w:r>
              <w:rPr>
                <w:rFonts w:hint="eastAsia" w:ascii="宋体" w:hAnsi="宋体"/>
                <w:color w:val="auto"/>
                <w:szCs w:val="21"/>
                <w:highlight w:val="none"/>
              </w:rPr>
              <w:t>0.006</w:t>
            </w:r>
            <w:r>
              <w:rPr>
                <w:rFonts w:hint="eastAsia" w:ascii="宋体" w:hAnsi="宋体"/>
                <w:color w:val="auto"/>
                <w:szCs w:val="21"/>
                <w:highlight w:val="none"/>
                <w:lang w:eastAsia="zh-CN"/>
              </w:rPr>
              <w:t>%</w:t>
            </w:r>
          </w:p>
        </w:tc>
      </w:tr>
      <w:tr w14:paraId="26629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tcPr>
          <w:p w14:paraId="1B55EB25">
            <w:pPr>
              <w:spacing w:line="360" w:lineRule="auto"/>
              <w:rPr>
                <w:rFonts w:hint="eastAsia" w:ascii="宋体" w:hAnsi="宋体"/>
                <w:color w:val="auto"/>
                <w:szCs w:val="21"/>
                <w:highlight w:val="none"/>
              </w:rPr>
            </w:pPr>
            <w:r>
              <w:rPr>
                <w:rFonts w:hint="eastAsia" w:ascii="宋体" w:hAnsi="宋体"/>
                <w:color w:val="auto"/>
                <w:szCs w:val="21"/>
                <w:highlight w:val="none"/>
              </w:rPr>
              <w:t>100</w:t>
            </w:r>
            <w:r>
              <w:rPr>
                <w:rFonts w:hint="eastAsia" w:ascii="宋体" w:hAnsi="宋体"/>
                <w:color w:val="auto"/>
                <w:szCs w:val="21"/>
                <w:highlight w:val="none"/>
                <w:lang w:eastAsia="zh-CN"/>
              </w:rPr>
              <w:t>亿元</w:t>
            </w:r>
            <w:r>
              <w:rPr>
                <w:rFonts w:hint="eastAsia" w:ascii="宋体" w:hAnsi="宋体"/>
                <w:color w:val="auto"/>
                <w:szCs w:val="21"/>
                <w:highlight w:val="none"/>
              </w:rPr>
              <w:t>以上</w:t>
            </w:r>
          </w:p>
        </w:tc>
        <w:tc>
          <w:tcPr>
            <w:tcW w:w="1659" w:type="dxa"/>
          </w:tcPr>
          <w:p w14:paraId="3007AAD0">
            <w:pPr>
              <w:spacing w:line="360" w:lineRule="auto"/>
              <w:rPr>
                <w:rFonts w:hint="eastAsia" w:ascii="宋体" w:hAnsi="宋体" w:eastAsia="宋体"/>
                <w:color w:val="auto"/>
                <w:szCs w:val="21"/>
                <w:highlight w:val="none"/>
                <w:lang w:eastAsia="zh-CN"/>
              </w:rPr>
            </w:pPr>
            <w:r>
              <w:rPr>
                <w:rFonts w:hint="eastAsia" w:ascii="宋体" w:hAnsi="宋体"/>
                <w:color w:val="auto"/>
                <w:szCs w:val="21"/>
                <w:highlight w:val="none"/>
              </w:rPr>
              <w:t xml:space="preserve"> 0.004</w:t>
            </w:r>
            <w:r>
              <w:rPr>
                <w:rFonts w:hint="eastAsia" w:ascii="宋体" w:hAnsi="宋体"/>
                <w:color w:val="auto"/>
                <w:szCs w:val="21"/>
                <w:highlight w:val="none"/>
                <w:lang w:eastAsia="zh-CN"/>
              </w:rPr>
              <w:t>%</w:t>
            </w:r>
          </w:p>
        </w:tc>
        <w:tc>
          <w:tcPr>
            <w:tcW w:w="1687" w:type="dxa"/>
          </w:tcPr>
          <w:p w14:paraId="282437C2">
            <w:pPr>
              <w:spacing w:line="360" w:lineRule="auto"/>
              <w:ind w:firstLine="210" w:firstLineChars="100"/>
              <w:rPr>
                <w:rFonts w:hint="eastAsia" w:ascii="宋体" w:hAnsi="宋体" w:eastAsia="宋体"/>
                <w:color w:val="auto"/>
                <w:szCs w:val="21"/>
                <w:highlight w:val="none"/>
                <w:lang w:eastAsia="zh-CN"/>
              </w:rPr>
            </w:pPr>
            <w:r>
              <w:rPr>
                <w:rFonts w:hint="eastAsia" w:ascii="宋体" w:hAnsi="宋体"/>
                <w:color w:val="auto"/>
                <w:szCs w:val="21"/>
                <w:highlight w:val="none"/>
              </w:rPr>
              <w:t>0.004</w:t>
            </w:r>
            <w:r>
              <w:rPr>
                <w:rFonts w:hint="eastAsia" w:ascii="宋体" w:hAnsi="宋体"/>
                <w:color w:val="auto"/>
                <w:szCs w:val="21"/>
                <w:highlight w:val="none"/>
                <w:lang w:eastAsia="zh-CN"/>
              </w:rPr>
              <w:t>%</w:t>
            </w:r>
          </w:p>
        </w:tc>
        <w:tc>
          <w:tcPr>
            <w:tcW w:w="1659" w:type="dxa"/>
          </w:tcPr>
          <w:p w14:paraId="1D815A15">
            <w:pPr>
              <w:spacing w:line="360" w:lineRule="auto"/>
              <w:ind w:firstLine="105" w:firstLineChars="50"/>
              <w:rPr>
                <w:rFonts w:hint="eastAsia" w:ascii="宋体" w:hAnsi="宋体" w:eastAsia="宋体"/>
                <w:color w:val="auto"/>
                <w:szCs w:val="21"/>
                <w:highlight w:val="none"/>
                <w:lang w:eastAsia="zh-CN"/>
              </w:rPr>
            </w:pPr>
            <w:r>
              <w:rPr>
                <w:rFonts w:hint="eastAsia" w:ascii="宋体" w:hAnsi="宋体"/>
                <w:color w:val="auto"/>
                <w:szCs w:val="21"/>
                <w:highlight w:val="none"/>
              </w:rPr>
              <w:t>0.004</w:t>
            </w:r>
            <w:r>
              <w:rPr>
                <w:rFonts w:hint="eastAsia" w:ascii="宋体" w:hAnsi="宋体"/>
                <w:color w:val="auto"/>
                <w:szCs w:val="21"/>
                <w:highlight w:val="none"/>
                <w:lang w:eastAsia="zh-CN"/>
              </w:rPr>
              <w:t>%</w:t>
            </w:r>
          </w:p>
        </w:tc>
      </w:tr>
    </w:tbl>
    <w:p w14:paraId="168B2783">
      <w:pPr>
        <w:spacing w:line="360" w:lineRule="auto"/>
        <w:ind w:firstLine="420" w:firstLineChars="200"/>
        <w:rPr>
          <w:rFonts w:ascii="宋体" w:hAnsi="宋体" w:cs="宋体"/>
          <w:color w:val="auto"/>
          <w:szCs w:val="21"/>
          <w:highlight w:val="none"/>
        </w:rPr>
      </w:pPr>
      <w:r>
        <w:rPr>
          <w:rFonts w:hint="eastAsia" w:ascii="宋体" w:hAnsi="宋体"/>
          <w:color w:val="auto"/>
          <w:szCs w:val="21"/>
          <w:highlight w:val="none"/>
        </w:rPr>
        <w:t>注</w:t>
      </w:r>
      <w:r>
        <w:rPr>
          <w:rFonts w:hint="eastAsia" w:ascii="宋体" w:hAnsi="宋体"/>
          <w:color w:val="auto"/>
          <w:szCs w:val="21"/>
          <w:highlight w:val="none"/>
          <w:lang w:eastAsia="zh-CN"/>
        </w:rPr>
        <w:t>：</w:t>
      </w:r>
      <w:r>
        <w:rPr>
          <w:rFonts w:ascii="宋体" w:hAnsi="宋体" w:cs="宋体"/>
          <w:color w:val="auto"/>
          <w:szCs w:val="21"/>
          <w:highlight w:val="none"/>
        </w:rPr>
        <w:t xml:space="preserve"> </w:t>
      </w:r>
    </w:p>
    <w:p w14:paraId="6E062DA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按本表费率计算的收费为</w:t>
      </w:r>
      <w:r>
        <w:rPr>
          <w:rFonts w:hint="eastAsia" w:ascii="宋体" w:hAnsi="宋体" w:cs="宋体"/>
          <w:color w:val="auto"/>
          <w:szCs w:val="21"/>
          <w:highlight w:val="none"/>
        </w:rPr>
        <w:t>采购</w:t>
      </w:r>
      <w:r>
        <w:rPr>
          <w:rFonts w:ascii="宋体" w:hAnsi="宋体" w:cs="宋体"/>
          <w:color w:val="auto"/>
          <w:szCs w:val="21"/>
          <w:highlight w:val="none"/>
        </w:rPr>
        <w:t>代理的收费基准价格</w:t>
      </w:r>
      <w:r>
        <w:rPr>
          <w:rFonts w:hint="eastAsia" w:ascii="宋体" w:hAnsi="宋体" w:cs="宋体"/>
          <w:color w:val="auto"/>
          <w:szCs w:val="21"/>
          <w:highlight w:val="none"/>
        </w:rPr>
        <w:t>；</w:t>
      </w:r>
    </w:p>
    <w:p w14:paraId="2E6E1ED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（2）采购</w:t>
      </w:r>
      <w:r>
        <w:rPr>
          <w:rFonts w:ascii="宋体" w:hAnsi="宋体" w:cs="宋体"/>
          <w:color w:val="auto"/>
          <w:szCs w:val="21"/>
          <w:highlight w:val="none"/>
        </w:rPr>
        <w:t>代理收费按差额定率累进法计算。</w:t>
      </w:r>
    </w:p>
    <w:p w14:paraId="40E2E7A0">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例如：某</w:t>
      </w:r>
      <w:r>
        <w:rPr>
          <w:rFonts w:hint="eastAsia" w:ascii="宋体" w:hAnsi="宋体" w:cs="宋体"/>
          <w:color w:val="auto"/>
          <w:szCs w:val="21"/>
          <w:highlight w:val="none"/>
        </w:rPr>
        <w:t>货物采购</w:t>
      </w:r>
      <w:r>
        <w:rPr>
          <w:rFonts w:ascii="宋体" w:hAnsi="宋体" w:cs="宋体"/>
          <w:color w:val="auto"/>
          <w:szCs w:val="21"/>
          <w:highlight w:val="none"/>
        </w:rPr>
        <w:t>代理业务</w:t>
      </w:r>
      <w:r>
        <w:rPr>
          <w:rFonts w:hint="eastAsia" w:ascii="宋体" w:hAnsi="宋体" w:cs="宋体"/>
          <w:color w:val="auto"/>
          <w:szCs w:val="21"/>
          <w:highlight w:val="none"/>
        </w:rPr>
        <w:t>中标</w:t>
      </w:r>
      <w:r>
        <w:rPr>
          <w:rFonts w:ascii="宋体" w:hAnsi="宋体" w:cs="宋体"/>
          <w:color w:val="auto"/>
          <w:szCs w:val="21"/>
          <w:highlight w:val="none"/>
        </w:rPr>
        <w:t>金额</w:t>
      </w:r>
      <w:r>
        <w:rPr>
          <w:rFonts w:hint="eastAsia" w:ascii="宋体" w:hAnsi="宋体" w:cs="宋体"/>
          <w:color w:val="auto"/>
          <w:szCs w:val="21"/>
          <w:highlight w:val="none"/>
        </w:rPr>
        <w:t>或者暂定价</w:t>
      </w:r>
      <w:r>
        <w:rPr>
          <w:rFonts w:ascii="宋体" w:hAnsi="宋体" w:cs="宋体"/>
          <w:color w:val="auto"/>
          <w:szCs w:val="21"/>
          <w:highlight w:val="none"/>
        </w:rPr>
        <w:t>为200万元，计算</w:t>
      </w:r>
      <w:r>
        <w:rPr>
          <w:rFonts w:hint="eastAsia" w:ascii="宋体" w:hAnsi="宋体" w:cs="宋体"/>
          <w:color w:val="auto"/>
          <w:szCs w:val="21"/>
          <w:highlight w:val="none"/>
        </w:rPr>
        <w:t>采购</w:t>
      </w:r>
      <w:r>
        <w:rPr>
          <w:rFonts w:ascii="宋体" w:hAnsi="宋体" w:cs="宋体"/>
          <w:color w:val="auto"/>
          <w:szCs w:val="21"/>
          <w:highlight w:val="none"/>
        </w:rPr>
        <w:t>代理收费额如下：</w:t>
      </w:r>
    </w:p>
    <w:p w14:paraId="38FAAFDF">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100万元×l.5</w:t>
      </w:r>
      <w:r>
        <w:rPr>
          <w:rFonts w:hint="eastAsia" w:ascii="宋体" w:hAnsi="宋体" w:cs="宋体"/>
          <w:color w:val="auto"/>
          <w:szCs w:val="21"/>
          <w:highlight w:val="none"/>
          <w:lang w:eastAsia="zh-CN"/>
        </w:rPr>
        <w:t>%</w:t>
      </w:r>
      <w:r>
        <w:rPr>
          <w:rFonts w:ascii="宋体" w:hAnsi="宋体" w:cs="宋体"/>
          <w:color w:val="auto"/>
          <w:szCs w:val="21"/>
          <w:highlight w:val="none"/>
        </w:rPr>
        <w:t>＝1.5万元</w:t>
      </w:r>
    </w:p>
    <w:p w14:paraId="69477618">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（200－100）万元×1.1</w:t>
      </w:r>
      <w:r>
        <w:rPr>
          <w:rFonts w:hint="eastAsia" w:ascii="宋体" w:hAnsi="宋体" w:cs="宋体"/>
          <w:color w:val="auto"/>
          <w:szCs w:val="21"/>
          <w:highlight w:val="none"/>
          <w:lang w:eastAsia="zh-CN"/>
        </w:rPr>
        <w:t>%</w:t>
      </w:r>
      <w:r>
        <w:rPr>
          <w:rFonts w:ascii="宋体" w:hAnsi="宋体" w:cs="宋体"/>
          <w:color w:val="auto"/>
          <w:szCs w:val="21"/>
          <w:highlight w:val="none"/>
        </w:rPr>
        <w:t>＝1.</w:t>
      </w:r>
      <w:r>
        <w:rPr>
          <w:rFonts w:hint="eastAsia" w:ascii="宋体" w:hAnsi="宋体" w:cs="宋体"/>
          <w:color w:val="auto"/>
          <w:szCs w:val="21"/>
          <w:highlight w:val="none"/>
          <w:lang w:val="en-US" w:eastAsia="zh-CN"/>
        </w:rPr>
        <w:t>1</w:t>
      </w:r>
      <w:r>
        <w:rPr>
          <w:rFonts w:ascii="宋体" w:hAnsi="宋体" w:cs="宋体"/>
          <w:color w:val="auto"/>
          <w:szCs w:val="21"/>
          <w:highlight w:val="none"/>
        </w:rPr>
        <w:t>万元</w:t>
      </w:r>
    </w:p>
    <w:p w14:paraId="1A9BCA4A">
      <w:pPr>
        <w:pStyle w:val="25"/>
        <w:snapToGrid w:val="0"/>
        <w:spacing w:before="120" w:after="120" w:line="360" w:lineRule="auto"/>
        <w:ind w:firstLine="420" w:firstLineChars="200"/>
        <w:rPr>
          <w:rFonts w:hAnsi="宋体" w:cs="宋体"/>
          <w:color w:val="auto"/>
          <w:sz w:val="21"/>
          <w:highlight w:val="none"/>
        </w:rPr>
      </w:pPr>
      <w:r>
        <w:rPr>
          <w:rFonts w:hAnsi="宋体" w:cs="宋体"/>
          <w:color w:val="auto"/>
          <w:sz w:val="21"/>
          <w:highlight w:val="none"/>
        </w:rPr>
        <w:t>合计收费＝1.5</w:t>
      </w:r>
      <w:r>
        <w:rPr>
          <w:rFonts w:hint="eastAsia" w:hAnsi="宋体" w:cs="宋体"/>
          <w:color w:val="auto"/>
          <w:sz w:val="21"/>
          <w:highlight w:val="none"/>
        </w:rPr>
        <w:t>+</w:t>
      </w:r>
      <w:r>
        <w:rPr>
          <w:rFonts w:hAnsi="宋体" w:cs="宋体"/>
          <w:color w:val="auto"/>
          <w:sz w:val="21"/>
          <w:highlight w:val="none"/>
        </w:rPr>
        <w:t>1.1＝2.6（万元）</w:t>
      </w:r>
    </w:p>
    <w:p w14:paraId="7C0FDA09">
      <w:pPr>
        <w:pStyle w:val="6"/>
        <w:keepNext w:val="0"/>
        <w:keepLines w:val="0"/>
        <w:spacing w:before="0" w:after="0" w:line="360" w:lineRule="auto"/>
        <w:ind w:left="420" w:leftChars="200"/>
        <w:rPr>
          <w:rFonts w:ascii="宋体" w:hAnsi="宋体"/>
          <w:color w:val="auto"/>
          <w:sz w:val="24"/>
          <w:highlight w:val="none"/>
        </w:rPr>
      </w:pPr>
      <w:r>
        <w:rPr>
          <w:rFonts w:ascii="宋体" w:hAnsi="宋体"/>
          <w:color w:val="auto"/>
          <w:sz w:val="24"/>
          <w:highlight w:val="none"/>
        </w:rPr>
        <w:t>40. 需要补充的其他内容</w:t>
      </w:r>
    </w:p>
    <w:p w14:paraId="675A0494">
      <w:pPr>
        <w:pStyle w:val="25"/>
        <w:spacing w:before="120" w:after="120"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40.1本招标文件解释规则详见“投标人须知前附表”。</w:t>
      </w:r>
    </w:p>
    <w:p w14:paraId="26A1F245">
      <w:pPr>
        <w:pStyle w:val="25"/>
        <w:spacing w:before="120" w:after="120"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40.2 其他事项详见“投标人须知前附表”。</w:t>
      </w:r>
    </w:p>
    <w:p w14:paraId="104129FC">
      <w:pPr>
        <w:pStyle w:val="25"/>
        <w:spacing w:before="120" w:after="120"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40.3</w:t>
      </w:r>
      <w:bookmarkStart w:id="142" w:name="_Hlk65857140"/>
      <w:r>
        <w:rPr>
          <w:rFonts w:hint="eastAsia" w:hAnsi="宋体" w:cs="宋体"/>
          <w:color w:val="auto"/>
          <w:sz w:val="21"/>
          <w:highlight w:val="none"/>
        </w:rPr>
        <w:t>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49414CDD">
      <w:pPr>
        <w:pStyle w:val="25"/>
        <w:spacing w:before="120" w:after="120"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350DD3D2">
      <w:pPr>
        <w:pStyle w:val="25"/>
        <w:spacing w:before="120" w:after="120"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（2）在工程采购项目中，工程由中小企业承建，即工程施工单位为中小企业，不对其中涉及的货物的制造商和服务的承接商作出要求；</w:t>
      </w:r>
    </w:p>
    <w:p w14:paraId="172658A2">
      <w:pPr>
        <w:pStyle w:val="25"/>
        <w:spacing w:before="120" w:after="120"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2648D14E">
      <w:pPr>
        <w:pStyle w:val="25"/>
        <w:spacing w:before="120" w:after="120"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在货物采购项目中，供应商提供的货物既有中小企业制造货物，也有大型企业制造货物的，不享受本招标文件规定的中小企业扶持政策。</w:t>
      </w:r>
    </w:p>
    <w:p w14:paraId="6EC0C25E">
      <w:pPr>
        <w:pStyle w:val="25"/>
        <w:spacing w:before="120" w:after="120"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依据本招标文件规定享受扶持政策获得政府采购合同的，小微企业不得将合同分包给大中型企业，中型企业不得将合同分包给大型企业。</w:t>
      </w:r>
      <w:bookmarkEnd w:id="142"/>
    </w:p>
    <w:p w14:paraId="764AB092">
      <w:pPr>
        <w:pStyle w:val="18"/>
        <w:ind w:left="479" w:leftChars="114" w:hanging="240" w:hangingChars="100"/>
        <w:rPr>
          <w:rFonts w:hint="eastAsia" w:ascii="宋体" w:hAnsi="宋体"/>
          <w:color w:val="auto"/>
          <w:highlight w:val="none"/>
        </w:rPr>
      </w:pPr>
    </w:p>
    <w:p w14:paraId="4E35496B">
      <w:pPr>
        <w:pStyle w:val="25"/>
        <w:snapToGrid w:val="0"/>
        <w:spacing w:before="120" w:after="120"/>
        <w:rPr>
          <w:rFonts w:hint="eastAsia" w:hAnsi="宋体"/>
          <w:color w:val="auto"/>
          <w:highlight w:val="none"/>
        </w:rPr>
      </w:pPr>
    </w:p>
    <w:p w14:paraId="2C4AC001">
      <w:pPr>
        <w:pStyle w:val="25"/>
        <w:snapToGrid w:val="0"/>
        <w:spacing w:before="120" w:after="120"/>
        <w:rPr>
          <w:rFonts w:hint="eastAsia" w:hAnsi="宋体"/>
          <w:color w:val="auto"/>
          <w:highlight w:val="none"/>
        </w:rPr>
      </w:pPr>
    </w:p>
    <w:p w14:paraId="473E2861">
      <w:pPr>
        <w:pStyle w:val="25"/>
        <w:snapToGrid w:val="0"/>
        <w:spacing w:before="120" w:after="120"/>
        <w:rPr>
          <w:rFonts w:hAnsi="宋体"/>
          <w:color w:val="auto"/>
          <w:highlight w:val="none"/>
        </w:rPr>
      </w:pPr>
    </w:p>
    <w:p w14:paraId="7F7B5F0D">
      <w:pPr>
        <w:pStyle w:val="25"/>
        <w:snapToGrid w:val="0"/>
        <w:spacing w:before="120" w:after="120"/>
        <w:rPr>
          <w:rFonts w:hint="eastAsia" w:hAnsi="宋体"/>
          <w:color w:val="auto"/>
          <w:highlight w:val="none"/>
          <w:lang w:eastAsia="zh-CN"/>
        </w:rPr>
      </w:pPr>
    </w:p>
    <w:p w14:paraId="4CF1A243">
      <w:pPr>
        <w:pStyle w:val="25"/>
        <w:snapToGrid w:val="0"/>
        <w:spacing w:before="120" w:after="120"/>
        <w:rPr>
          <w:rFonts w:hint="eastAsia" w:hAnsi="宋体"/>
          <w:color w:val="auto"/>
          <w:highlight w:val="none"/>
          <w:lang w:eastAsia="zh-CN"/>
        </w:rPr>
      </w:pPr>
    </w:p>
    <w:p w14:paraId="631F8102">
      <w:pPr>
        <w:pStyle w:val="25"/>
        <w:snapToGrid w:val="0"/>
        <w:spacing w:before="120" w:after="120"/>
        <w:rPr>
          <w:rFonts w:hint="eastAsia" w:hAnsi="宋体"/>
          <w:color w:val="auto"/>
          <w:highlight w:val="none"/>
          <w:lang w:eastAsia="zh-CN"/>
        </w:rPr>
      </w:pPr>
    </w:p>
    <w:p w14:paraId="4BC8BDEF">
      <w:pPr>
        <w:pStyle w:val="25"/>
        <w:snapToGrid w:val="0"/>
        <w:spacing w:before="120" w:after="120"/>
        <w:rPr>
          <w:rFonts w:hint="eastAsia" w:hAnsi="宋体"/>
          <w:color w:val="auto"/>
          <w:highlight w:val="none"/>
          <w:lang w:eastAsia="zh-CN"/>
        </w:rPr>
      </w:pPr>
    </w:p>
    <w:p w14:paraId="18232BC7">
      <w:pPr>
        <w:pStyle w:val="25"/>
        <w:snapToGrid w:val="0"/>
        <w:spacing w:before="120" w:after="120"/>
        <w:rPr>
          <w:rFonts w:hint="eastAsia" w:hAnsi="宋体"/>
          <w:color w:val="auto"/>
          <w:highlight w:val="none"/>
        </w:rPr>
      </w:pPr>
    </w:p>
    <w:p w14:paraId="494D6236">
      <w:pPr>
        <w:snapToGrid w:val="0"/>
        <w:spacing w:line="340" w:lineRule="exact"/>
        <w:rPr>
          <w:rFonts w:hint="eastAsia" w:ascii="黑体" w:hAnsi="黑体" w:eastAsia="黑体" w:cs="黑体"/>
          <w:bCs/>
          <w:color w:val="auto"/>
          <w:kern w:val="0"/>
          <w:sz w:val="32"/>
          <w:szCs w:val="32"/>
          <w:highlight w:val="none"/>
          <w:lang w:val="en-US" w:eastAsia="zh-CN"/>
        </w:rPr>
      </w:pPr>
    </w:p>
    <w:p w14:paraId="1991A3F4">
      <w:pPr>
        <w:snapToGrid w:val="0"/>
        <w:spacing w:line="340" w:lineRule="exact"/>
        <w:rPr>
          <w:rFonts w:hint="eastAsia" w:ascii="宋体" w:hAnsi="宋体"/>
          <w:color w:val="auto"/>
          <w:kern w:val="0"/>
          <w:sz w:val="20"/>
          <w:szCs w:val="21"/>
          <w:highlight w:val="none"/>
        </w:rPr>
      </w:pPr>
      <w:r>
        <w:rPr>
          <w:rFonts w:hint="eastAsia" w:ascii="黑体" w:hAnsi="黑体" w:eastAsia="黑体" w:cs="黑体"/>
          <w:bCs/>
          <w:color w:val="auto"/>
          <w:kern w:val="0"/>
          <w:sz w:val="32"/>
          <w:szCs w:val="32"/>
          <w:highlight w:val="none"/>
          <w:lang w:val="en-US" w:eastAsia="zh-CN"/>
        </w:rPr>
        <w:t>其他格式</w:t>
      </w:r>
      <w:r>
        <w:rPr>
          <w:rFonts w:hint="eastAsia" w:ascii="黑体" w:hAnsi="黑体" w:eastAsia="黑体" w:cs="黑体"/>
          <w:bCs/>
          <w:color w:val="auto"/>
          <w:kern w:val="0"/>
          <w:sz w:val="32"/>
          <w:szCs w:val="32"/>
          <w:highlight w:val="none"/>
        </w:rPr>
        <w:t>：</w:t>
      </w:r>
    </w:p>
    <w:p w14:paraId="690A0277">
      <w:pPr>
        <w:widowControl/>
        <w:shd w:val="clear" w:color="auto" w:fill="FFFFFF"/>
        <w:spacing w:line="480" w:lineRule="atLeast"/>
        <w:jc w:val="center"/>
        <w:rPr>
          <w:rFonts w:hint="eastAsia" w:ascii="仿宋" w:hAnsi="仿宋" w:eastAsia="仿宋" w:cs="宋体"/>
          <w:color w:val="auto"/>
          <w:kern w:val="0"/>
          <w:sz w:val="32"/>
          <w:szCs w:val="32"/>
          <w:highlight w:val="none"/>
        </w:rPr>
      </w:pPr>
      <w:r>
        <w:rPr>
          <w:rFonts w:hint="eastAsia" w:ascii="宋体" w:hAnsi="宋体" w:cs="宋体"/>
          <w:b/>
          <w:bCs/>
          <w:color w:val="auto"/>
          <w:kern w:val="0"/>
          <w:sz w:val="32"/>
          <w:szCs w:val="32"/>
          <w:highlight w:val="none"/>
        </w:rPr>
        <w:t>广西壮族自治区政府采购项目合同验收书（格式）</w:t>
      </w:r>
    </w:p>
    <w:p w14:paraId="3DE854DE">
      <w:pPr>
        <w:widowControl/>
        <w:shd w:val="clear" w:color="auto" w:fill="FFFFFF"/>
        <w:spacing w:line="480" w:lineRule="atLeast"/>
        <w:jc w:val="center"/>
        <w:rPr>
          <w:rFonts w:hint="eastAsia" w:ascii="仿宋" w:hAnsi="仿宋" w:eastAsia="仿宋" w:cs="宋体"/>
          <w:color w:val="auto"/>
          <w:kern w:val="0"/>
          <w:sz w:val="32"/>
          <w:szCs w:val="32"/>
          <w:highlight w:val="none"/>
        </w:rPr>
      </w:pPr>
    </w:p>
    <w:p w14:paraId="730EEDDE">
      <w:pPr>
        <w:widowControl/>
        <w:shd w:val="clear" w:color="auto" w:fill="FFFFFF"/>
        <w:snapToGrid w:val="0"/>
        <w:spacing w:line="320" w:lineRule="atLeast"/>
        <w:ind w:firstLine="480"/>
        <w:jc w:val="left"/>
        <w:rPr>
          <w:rFonts w:hint="eastAsia" w:ascii="仿宋" w:hAnsi="仿宋" w:eastAsia="仿宋" w:cs="宋体"/>
          <w:color w:val="auto"/>
          <w:kern w:val="0"/>
          <w:szCs w:val="21"/>
          <w:highlight w:val="none"/>
        </w:rPr>
      </w:pPr>
      <w:r>
        <w:rPr>
          <w:rFonts w:hint="eastAsia" w:ascii="仿宋" w:hAnsi="仿宋" w:eastAsia="仿宋" w:cs="宋体"/>
          <w:color w:val="auto"/>
          <w:kern w:val="0"/>
          <w:szCs w:val="21"/>
          <w:highlight w:val="none"/>
        </w:rPr>
        <w:t>根据政府采购项目（</w:t>
      </w:r>
      <w:r>
        <w:rPr>
          <w:rFonts w:hint="eastAsia" w:ascii="仿宋" w:hAnsi="仿宋" w:eastAsia="仿宋" w:cs="宋体"/>
          <w:color w:val="auto"/>
          <w:kern w:val="0"/>
          <w:szCs w:val="21"/>
          <w:highlight w:val="none"/>
          <w:u w:val="single"/>
        </w:rPr>
        <w:t>采购合同编号：</w:t>
      </w:r>
      <w:r>
        <w:rPr>
          <w:rFonts w:hint="eastAsia" w:ascii="仿宋" w:hAnsi="仿宋" w:eastAsia="仿宋" w:cs="宋体"/>
          <w:color w:val="auto"/>
          <w:kern w:val="0"/>
          <w:szCs w:val="21"/>
          <w:highlight w:val="none"/>
          <w:u w:val="single"/>
        </w:rPr>
        <w:softHyphen/>
      </w:r>
      <w:r>
        <w:rPr>
          <w:rFonts w:hint="eastAsia" w:ascii="仿宋" w:hAnsi="仿宋" w:eastAsia="仿宋" w:cs="宋体"/>
          <w:color w:val="auto"/>
          <w:kern w:val="0"/>
          <w:szCs w:val="21"/>
          <w:highlight w:val="none"/>
          <w:u w:val="single"/>
        </w:rPr>
        <w:t xml:space="preserve"> </w:t>
      </w:r>
      <w:r>
        <w:rPr>
          <w:rFonts w:hint="eastAsia" w:ascii="仿宋" w:hAnsi="仿宋" w:eastAsia="仿宋" w:cs="宋体"/>
          <w:color w:val="auto"/>
          <w:kern w:val="0"/>
          <w:szCs w:val="21"/>
          <w:highlight w:val="none"/>
        </w:rPr>
        <w:t>）的约定，我单位对（</w:t>
      </w:r>
      <w:r>
        <w:rPr>
          <w:rFonts w:hint="eastAsia" w:ascii="仿宋" w:hAnsi="仿宋" w:eastAsia="仿宋" w:cs="宋体"/>
          <w:color w:val="auto"/>
          <w:kern w:val="0"/>
          <w:szCs w:val="21"/>
          <w:highlight w:val="none"/>
          <w:u w:val="single"/>
        </w:rPr>
        <w:t xml:space="preserve"> 项目名称 </w:t>
      </w:r>
      <w:r>
        <w:rPr>
          <w:rFonts w:hint="eastAsia" w:ascii="仿宋" w:hAnsi="仿宋" w:eastAsia="仿宋" w:cs="宋体"/>
          <w:color w:val="auto"/>
          <w:kern w:val="0"/>
          <w:szCs w:val="21"/>
          <w:highlight w:val="none"/>
        </w:rPr>
        <w:t>） 政府采购项目成交供应商（</w:t>
      </w:r>
      <w:r>
        <w:rPr>
          <w:rFonts w:hint="eastAsia" w:ascii="仿宋" w:hAnsi="仿宋" w:eastAsia="仿宋" w:cs="宋体"/>
          <w:color w:val="auto"/>
          <w:kern w:val="0"/>
          <w:szCs w:val="21"/>
          <w:highlight w:val="none"/>
          <w:u w:val="single"/>
        </w:rPr>
        <w:t xml:space="preserve"> 公司名称 </w:t>
      </w:r>
      <w:r>
        <w:rPr>
          <w:rFonts w:hint="eastAsia" w:ascii="仿宋" w:hAnsi="仿宋" w:eastAsia="仿宋" w:cs="宋体"/>
          <w:color w:val="auto"/>
          <w:kern w:val="0"/>
          <w:szCs w:val="21"/>
          <w:highlight w:val="none"/>
        </w:rPr>
        <w:t>） 提供的货物（或者工程、服务）进行了验收，验收情况如下：</w:t>
      </w:r>
    </w:p>
    <w:tbl>
      <w:tblPr>
        <w:tblStyle w:val="48"/>
        <w:tblW w:w="0" w:type="auto"/>
        <w:jc w:val="center"/>
        <w:tblLayout w:type="fixed"/>
        <w:tblCellMar>
          <w:top w:w="0" w:type="dxa"/>
          <w:left w:w="0" w:type="dxa"/>
          <w:bottom w:w="0" w:type="dxa"/>
          <w:right w:w="0" w:type="dxa"/>
        </w:tblCellMar>
      </w:tblPr>
      <w:tblGrid>
        <w:gridCol w:w="804"/>
        <w:gridCol w:w="825"/>
        <w:gridCol w:w="1623"/>
        <w:gridCol w:w="798"/>
        <w:gridCol w:w="102"/>
        <w:gridCol w:w="2002"/>
        <w:gridCol w:w="178"/>
        <w:gridCol w:w="1191"/>
        <w:gridCol w:w="1428"/>
      </w:tblGrid>
      <w:tr w14:paraId="65482AB1">
        <w:tblPrEx>
          <w:tblCellMar>
            <w:top w:w="0" w:type="dxa"/>
            <w:left w:w="0" w:type="dxa"/>
            <w:bottom w:w="0" w:type="dxa"/>
            <w:right w:w="0" w:type="dxa"/>
          </w:tblCellMar>
        </w:tblPrEx>
        <w:trPr>
          <w:trHeight w:val="497" w:hRule="atLeast"/>
          <w:jc w:val="center"/>
        </w:trPr>
        <w:tc>
          <w:tcPr>
            <w:tcW w:w="3252" w:type="dxa"/>
            <w:gridSpan w:val="3"/>
            <w:tcBorders>
              <w:top w:val="single" w:color="auto" w:sz="8" w:space="0"/>
              <w:left w:val="single" w:color="auto" w:sz="8" w:space="0"/>
              <w:bottom w:val="single" w:color="auto" w:sz="8" w:space="0"/>
              <w:right w:val="single" w:color="auto" w:sz="8" w:space="0"/>
            </w:tcBorders>
            <w:vAlign w:val="center"/>
          </w:tcPr>
          <w:p w14:paraId="1FFAE8AD">
            <w:pPr>
              <w:widowControl/>
              <w:snapToGrid w:val="0"/>
              <w:spacing w:before="100" w:beforeAutospacing="1" w:after="100" w:afterAutospacing="1" w:line="320" w:lineRule="atLeast"/>
              <w:ind w:firstLine="5"/>
              <w:jc w:val="center"/>
              <w:rPr>
                <w:rFonts w:ascii="Verdana" w:hAnsi="Verdana" w:cs="宋体"/>
                <w:color w:val="auto"/>
                <w:kern w:val="0"/>
                <w:szCs w:val="21"/>
                <w:highlight w:val="none"/>
              </w:rPr>
            </w:pPr>
            <w:r>
              <w:rPr>
                <w:rFonts w:ascii="Verdana" w:hAnsi="Verdana" w:cs="宋体"/>
                <w:color w:val="auto"/>
                <w:kern w:val="0"/>
                <w:szCs w:val="21"/>
                <w:highlight w:val="none"/>
              </w:rPr>
              <w:t>验收方式：</w:t>
            </w:r>
          </w:p>
        </w:tc>
        <w:tc>
          <w:tcPr>
            <w:tcW w:w="5699" w:type="dxa"/>
            <w:gridSpan w:val="6"/>
            <w:tcBorders>
              <w:top w:val="single" w:color="auto" w:sz="8" w:space="0"/>
              <w:left w:val="nil"/>
              <w:bottom w:val="single" w:color="auto" w:sz="8" w:space="0"/>
              <w:right w:val="single" w:color="auto" w:sz="8" w:space="0"/>
            </w:tcBorders>
            <w:vAlign w:val="center"/>
          </w:tcPr>
          <w:p w14:paraId="116C3A99">
            <w:pPr>
              <w:widowControl/>
              <w:snapToGrid w:val="0"/>
              <w:spacing w:before="100" w:beforeAutospacing="1" w:after="100" w:afterAutospacing="1" w:line="320" w:lineRule="atLeast"/>
              <w:jc w:val="center"/>
              <w:rPr>
                <w:rFonts w:ascii="Verdana" w:hAnsi="Verdana" w:cs="宋体"/>
                <w:color w:val="auto"/>
                <w:kern w:val="0"/>
                <w:szCs w:val="21"/>
                <w:highlight w:val="none"/>
              </w:rPr>
            </w:pPr>
            <w:r>
              <w:rPr>
                <w:rFonts w:ascii="Verdana" w:hAnsi="Verdana" w:cs="宋体"/>
                <w:color w:val="auto"/>
                <w:kern w:val="0"/>
                <w:szCs w:val="21"/>
                <w:highlight w:val="none"/>
              </w:rPr>
              <w:t>□自行验收 □委托验收</w:t>
            </w:r>
          </w:p>
        </w:tc>
      </w:tr>
      <w:tr w14:paraId="096EDE6A">
        <w:tblPrEx>
          <w:tblCellMar>
            <w:top w:w="0" w:type="dxa"/>
            <w:left w:w="0" w:type="dxa"/>
            <w:bottom w:w="0" w:type="dxa"/>
            <w:right w:w="0" w:type="dxa"/>
          </w:tblCellMar>
        </w:tblPrEx>
        <w:trPr>
          <w:trHeight w:val="622" w:hRule="atLeast"/>
          <w:jc w:val="center"/>
        </w:trPr>
        <w:tc>
          <w:tcPr>
            <w:tcW w:w="804" w:type="dxa"/>
            <w:tcBorders>
              <w:top w:val="nil"/>
              <w:left w:val="single" w:color="auto" w:sz="8" w:space="0"/>
              <w:bottom w:val="single" w:color="auto" w:sz="8" w:space="0"/>
              <w:right w:val="single" w:color="auto" w:sz="8" w:space="0"/>
            </w:tcBorders>
            <w:vAlign w:val="center"/>
          </w:tcPr>
          <w:p w14:paraId="74953C74">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序号</w:t>
            </w:r>
          </w:p>
        </w:tc>
        <w:tc>
          <w:tcPr>
            <w:tcW w:w="2448" w:type="dxa"/>
            <w:gridSpan w:val="2"/>
            <w:tcBorders>
              <w:top w:val="nil"/>
              <w:left w:val="nil"/>
              <w:bottom w:val="single" w:color="auto" w:sz="8" w:space="0"/>
              <w:right w:val="single" w:color="auto" w:sz="8" w:space="0"/>
            </w:tcBorders>
            <w:vAlign w:val="center"/>
          </w:tcPr>
          <w:p w14:paraId="3BA59E4D">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名称</w:t>
            </w:r>
          </w:p>
        </w:tc>
        <w:tc>
          <w:tcPr>
            <w:tcW w:w="2902" w:type="dxa"/>
            <w:gridSpan w:val="3"/>
            <w:tcBorders>
              <w:top w:val="nil"/>
              <w:left w:val="nil"/>
              <w:bottom w:val="single" w:color="auto" w:sz="8" w:space="0"/>
              <w:right w:val="single" w:color="auto" w:sz="8" w:space="0"/>
            </w:tcBorders>
            <w:vAlign w:val="center"/>
          </w:tcPr>
          <w:p w14:paraId="4792EDF5">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货物型号规格、标准及配置等（或者服务内容、标准）</w:t>
            </w:r>
          </w:p>
        </w:tc>
        <w:tc>
          <w:tcPr>
            <w:tcW w:w="1369" w:type="dxa"/>
            <w:gridSpan w:val="2"/>
            <w:tcBorders>
              <w:top w:val="nil"/>
              <w:left w:val="nil"/>
              <w:bottom w:val="single" w:color="auto" w:sz="8" w:space="0"/>
              <w:right w:val="single" w:color="auto" w:sz="8" w:space="0"/>
            </w:tcBorders>
            <w:vAlign w:val="center"/>
          </w:tcPr>
          <w:p w14:paraId="166F2EF6">
            <w:pPr>
              <w:widowControl/>
              <w:snapToGrid w:val="0"/>
              <w:spacing w:before="100" w:beforeAutospacing="1" w:after="100" w:afterAutospacing="1" w:line="320" w:lineRule="atLeast"/>
              <w:jc w:val="center"/>
              <w:rPr>
                <w:rFonts w:ascii="Verdana" w:hAnsi="Verdana" w:cs="宋体"/>
                <w:color w:val="auto"/>
                <w:kern w:val="0"/>
                <w:szCs w:val="21"/>
                <w:highlight w:val="none"/>
              </w:rPr>
            </w:pPr>
            <w:r>
              <w:rPr>
                <w:rFonts w:ascii="Verdana" w:hAnsi="Verdana" w:cs="宋体"/>
                <w:color w:val="auto"/>
                <w:kern w:val="0"/>
                <w:szCs w:val="21"/>
                <w:highlight w:val="none"/>
              </w:rPr>
              <w:t>数量</w:t>
            </w:r>
          </w:p>
        </w:tc>
        <w:tc>
          <w:tcPr>
            <w:tcW w:w="1428" w:type="dxa"/>
            <w:tcBorders>
              <w:top w:val="nil"/>
              <w:left w:val="nil"/>
              <w:bottom w:val="single" w:color="auto" w:sz="8" w:space="0"/>
              <w:right w:val="single" w:color="auto" w:sz="8" w:space="0"/>
            </w:tcBorders>
            <w:vAlign w:val="center"/>
          </w:tcPr>
          <w:p w14:paraId="6EC62288">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金额</w:t>
            </w:r>
          </w:p>
        </w:tc>
      </w:tr>
      <w:tr w14:paraId="6DBD4DC1">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43824295">
            <w:pPr>
              <w:widowControl/>
              <w:spacing w:before="100" w:beforeAutospacing="1" w:after="100" w:afterAutospacing="1" w:line="240" w:lineRule="atLeast"/>
              <w:jc w:val="center"/>
              <w:rPr>
                <w:rFonts w:ascii="Verdana" w:hAnsi="Verdana" w:cs="宋体"/>
                <w:color w:val="auto"/>
                <w:kern w:val="0"/>
                <w:szCs w:val="21"/>
                <w:highlight w:val="none"/>
              </w:rPr>
            </w:pPr>
          </w:p>
        </w:tc>
        <w:tc>
          <w:tcPr>
            <w:tcW w:w="2448" w:type="dxa"/>
            <w:gridSpan w:val="2"/>
            <w:tcBorders>
              <w:top w:val="nil"/>
              <w:left w:val="nil"/>
              <w:bottom w:val="single" w:color="auto" w:sz="8" w:space="0"/>
              <w:right w:val="single" w:color="auto" w:sz="8" w:space="0"/>
            </w:tcBorders>
            <w:vAlign w:val="center"/>
          </w:tcPr>
          <w:p w14:paraId="46B71245">
            <w:pPr>
              <w:widowControl/>
              <w:spacing w:before="100" w:beforeAutospacing="1" w:after="100" w:afterAutospacing="1" w:line="240" w:lineRule="atLeast"/>
              <w:jc w:val="center"/>
              <w:rPr>
                <w:rFonts w:ascii="Verdana" w:hAnsi="Verdana"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63DC7E23">
            <w:pPr>
              <w:widowControl/>
              <w:spacing w:before="100" w:beforeAutospacing="1" w:after="100" w:afterAutospacing="1" w:line="240" w:lineRule="atLeast"/>
              <w:jc w:val="center"/>
              <w:rPr>
                <w:rFonts w:ascii="Verdana" w:hAnsi="Verdana" w:cs="宋体"/>
                <w:color w:val="auto"/>
                <w:kern w:val="0"/>
                <w:szCs w:val="21"/>
                <w:highlight w:val="none"/>
              </w:rPr>
            </w:pPr>
          </w:p>
        </w:tc>
        <w:tc>
          <w:tcPr>
            <w:tcW w:w="1369" w:type="dxa"/>
            <w:gridSpan w:val="2"/>
            <w:tcBorders>
              <w:top w:val="nil"/>
              <w:left w:val="nil"/>
              <w:bottom w:val="single" w:color="auto" w:sz="8" w:space="0"/>
              <w:right w:val="single" w:color="auto" w:sz="8" w:space="0"/>
            </w:tcBorders>
            <w:vAlign w:val="center"/>
          </w:tcPr>
          <w:p w14:paraId="5DF3EC0B">
            <w:pPr>
              <w:widowControl/>
              <w:spacing w:before="100" w:beforeAutospacing="1" w:after="100" w:afterAutospacing="1" w:line="240" w:lineRule="atLeast"/>
              <w:jc w:val="center"/>
              <w:rPr>
                <w:rFonts w:ascii="Verdana" w:hAnsi="Verdana"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02091743">
            <w:pPr>
              <w:widowControl/>
              <w:spacing w:before="100" w:beforeAutospacing="1" w:after="100" w:afterAutospacing="1" w:line="240" w:lineRule="atLeast"/>
              <w:jc w:val="center"/>
              <w:rPr>
                <w:rFonts w:ascii="Verdana" w:hAnsi="Verdana" w:cs="宋体"/>
                <w:color w:val="auto"/>
                <w:kern w:val="0"/>
                <w:szCs w:val="21"/>
                <w:highlight w:val="none"/>
              </w:rPr>
            </w:pPr>
          </w:p>
        </w:tc>
      </w:tr>
      <w:tr w14:paraId="154AE69E">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116C83D9">
            <w:pPr>
              <w:widowControl/>
              <w:spacing w:before="100" w:beforeAutospacing="1" w:after="100" w:afterAutospacing="1" w:line="240" w:lineRule="atLeast"/>
              <w:jc w:val="center"/>
              <w:rPr>
                <w:rFonts w:ascii="Verdana" w:hAnsi="Verdana" w:cs="宋体"/>
                <w:color w:val="auto"/>
                <w:kern w:val="0"/>
                <w:szCs w:val="21"/>
                <w:highlight w:val="none"/>
              </w:rPr>
            </w:pPr>
          </w:p>
        </w:tc>
        <w:tc>
          <w:tcPr>
            <w:tcW w:w="2448" w:type="dxa"/>
            <w:gridSpan w:val="2"/>
            <w:tcBorders>
              <w:top w:val="nil"/>
              <w:left w:val="nil"/>
              <w:bottom w:val="single" w:color="auto" w:sz="8" w:space="0"/>
              <w:right w:val="single" w:color="auto" w:sz="8" w:space="0"/>
            </w:tcBorders>
            <w:vAlign w:val="center"/>
          </w:tcPr>
          <w:p w14:paraId="1DB9BCE0">
            <w:pPr>
              <w:widowControl/>
              <w:spacing w:before="100" w:beforeAutospacing="1" w:after="100" w:afterAutospacing="1" w:line="240" w:lineRule="atLeast"/>
              <w:jc w:val="center"/>
              <w:rPr>
                <w:rFonts w:ascii="Verdana" w:hAnsi="Verdana"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2D239D4A">
            <w:pPr>
              <w:widowControl/>
              <w:spacing w:before="100" w:beforeAutospacing="1" w:after="100" w:afterAutospacing="1" w:line="240" w:lineRule="atLeast"/>
              <w:jc w:val="center"/>
              <w:rPr>
                <w:rFonts w:ascii="Verdana" w:hAnsi="Verdana" w:cs="宋体"/>
                <w:color w:val="auto"/>
                <w:kern w:val="0"/>
                <w:szCs w:val="21"/>
                <w:highlight w:val="none"/>
              </w:rPr>
            </w:pPr>
          </w:p>
        </w:tc>
        <w:tc>
          <w:tcPr>
            <w:tcW w:w="1369" w:type="dxa"/>
            <w:gridSpan w:val="2"/>
            <w:tcBorders>
              <w:top w:val="nil"/>
              <w:left w:val="nil"/>
              <w:bottom w:val="single" w:color="auto" w:sz="8" w:space="0"/>
              <w:right w:val="single" w:color="auto" w:sz="8" w:space="0"/>
            </w:tcBorders>
            <w:vAlign w:val="center"/>
          </w:tcPr>
          <w:p w14:paraId="5D89467A">
            <w:pPr>
              <w:widowControl/>
              <w:spacing w:before="100" w:beforeAutospacing="1" w:after="100" w:afterAutospacing="1" w:line="240" w:lineRule="atLeast"/>
              <w:jc w:val="center"/>
              <w:rPr>
                <w:rFonts w:ascii="Verdana" w:hAnsi="Verdana"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54548AAC">
            <w:pPr>
              <w:widowControl/>
              <w:spacing w:before="100" w:beforeAutospacing="1" w:after="100" w:afterAutospacing="1" w:line="240" w:lineRule="atLeast"/>
              <w:jc w:val="center"/>
              <w:rPr>
                <w:rFonts w:ascii="Verdana" w:hAnsi="Verdana" w:cs="宋体"/>
                <w:color w:val="auto"/>
                <w:kern w:val="0"/>
                <w:szCs w:val="21"/>
                <w:highlight w:val="none"/>
              </w:rPr>
            </w:pPr>
          </w:p>
        </w:tc>
      </w:tr>
      <w:tr w14:paraId="459CFE9F">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5473813E">
            <w:pPr>
              <w:widowControl/>
              <w:spacing w:before="100" w:beforeAutospacing="1" w:after="100" w:afterAutospacing="1" w:line="240" w:lineRule="atLeast"/>
              <w:jc w:val="center"/>
              <w:rPr>
                <w:rFonts w:ascii="Verdana" w:hAnsi="Verdana" w:cs="宋体"/>
                <w:color w:val="auto"/>
                <w:kern w:val="0"/>
                <w:szCs w:val="21"/>
                <w:highlight w:val="none"/>
              </w:rPr>
            </w:pPr>
          </w:p>
        </w:tc>
        <w:tc>
          <w:tcPr>
            <w:tcW w:w="2448" w:type="dxa"/>
            <w:gridSpan w:val="2"/>
            <w:tcBorders>
              <w:top w:val="nil"/>
              <w:left w:val="nil"/>
              <w:bottom w:val="single" w:color="auto" w:sz="8" w:space="0"/>
              <w:right w:val="single" w:color="auto" w:sz="8" w:space="0"/>
            </w:tcBorders>
            <w:vAlign w:val="center"/>
          </w:tcPr>
          <w:p w14:paraId="01E1E492">
            <w:pPr>
              <w:widowControl/>
              <w:spacing w:before="100" w:beforeAutospacing="1" w:after="100" w:afterAutospacing="1" w:line="240" w:lineRule="atLeast"/>
              <w:jc w:val="center"/>
              <w:rPr>
                <w:rFonts w:ascii="Verdana" w:hAnsi="Verdana"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4BC5F9D3">
            <w:pPr>
              <w:widowControl/>
              <w:spacing w:before="100" w:beforeAutospacing="1" w:after="100" w:afterAutospacing="1" w:line="240" w:lineRule="atLeast"/>
              <w:jc w:val="center"/>
              <w:rPr>
                <w:rFonts w:ascii="Verdana" w:hAnsi="Verdana" w:cs="宋体"/>
                <w:color w:val="auto"/>
                <w:kern w:val="0"/>
                <w:szCs w:val="21"/>
                <w:highlight w:val="none"/>
              </w:rPr>
            </w:pPr>
          </w:p>
        </w:tc>
        <w:tc>
          <w:tcPr>
            <w:tcW w:w="1369" w:type="dxa"/>
            <w:gridSpan w:val="2"/>
            <w:tcBorders>
              <w:top w:val="nil"/>
              <w:left w:val="nil"/>
              <w:bottom w:val="single" w:color="auto" w:sz="8" w:space="0"/>
              <w:right w:val="single" w:color="auto" w:sz="8" w:space="0"/>
            </w:tcBorders>
            <w:vAlign w:val="center"/>
          </w:tcPr>
          <w:p w14:paraId="3EBAF87E">
            <w:pPr>
              <w:widowControl/>
              <w:spacing w:before="100" w:beforeAutospacing="1" w:after="100" w:afterAutospacing="1" w:line="240" w:lineRule="atLeast"/>
              <w:jc w:val="center"/>
              <w:rPr>
                <w:rFonts w:ascii="Verdana" w:hAnsi="Verdana"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7E2C5DE9">
            <w:pPr>
              <w:widowControl/>
              <w:spacing w:before="100" w:beforeAutospacing="1" w:after="100" w:afterAutospacing="1" w:line="240" w:lineRule="atLeast"/>
              <w:jc w:val="center"/>
              <w:rPr>
                <w:rFonts w:ascii="Verdana" w:hAnsi="Verdana" w:cs="宋体"/>
                <w:color w:val="auto"/>
                <w:kern w:val="0"/>
                <w:szCs w:val="21"/>
                <w:highlight w:val="none"/>
              </w:rPr>
            </w:pPr>
          </w:p>
        </w:tc>
      </w:tr>
      <w:tr w14:paraId="1CF6823D">
        <w:tblPrEx>
          <w:tblCellMar>
            <w:top w:w="0" w:type="dxa"/>
            <w:left w:w="0" w:type="dxa"/>
            <w:bottom w:w="0" w:type="dxa"/>
            <w:right w:w="0" w:type="dxa"/>
          </w:tblCellMar>
        </w:tblPrEx>
        <w:trPr>
          <w:trHeight w:val="487" w:hRule="atLeast"/>
          <w:jc w:val="center"/>
        </w:trPr>
        <w:tc>
          <w:tcPr>
            <w:tcW w:w="6154" w:type="dxa"/>
            <w:gridSpan w:val="6"/>
            <w:tcBorders>
              <w:top w:val="nil"/>
              <w:left w:val="single" w:color="auto" w:sz="8" w:space="0"/>
              <w:bottom w:val="single" w:color="auto" w:sz="8" w:space="0"/>
              <w:right w:val="single" w:color="auto" w:sz="8" w:space="0"/>
            </w:tcBorders>
            <w:vAlign w:val="center"/>
          </w:tcPr>
          <w:p w14:paraId="4F4E82E6">
            <w:pPr>
              <w:widowControl/>
              <w:snapToGrid w:val="0"/>
              <w:spacing w:before="100" w:beforeAutospacing="1" w:after="100" w:afterAutospacing="1" w:line="320" w:lineRule="atLeast"/>
              <w:ind w:firstLine="5"/>
              <w:jc w:val="center"/>
              <w:rPr>
                <w:rFonts w:ascii="Verdana" w:hAnsi="Verdana" w:cs="宋体"/>
                <w:color w:val="auto"/>
                <w:kern w:val="0"/>
                <w:szCs w:val="21"/>
                <w:highlight w:val="none"/>
              </w:rPr>
            </w:pPr>
            <w:r>
              <w:rPr>
                <w:rFonts w:ascii="Verdana" w:hAnsi="Verdana" w:cs="宋体"/>
                <w:color w:val="auto"/>
                <w:kern w:val="0"/>
                <w:szCs w:val="21"/>
                <w:highlight w:val="none"/>
              </w:rPr>
              <w:t>合 计</w:t>
            </w:r>
          </w:p>
        </w:tc>
        <w:tc>
          <w:tcPr>
            <w:tcW w:w="1369" w:type="dxa"/>
            <w:gridSpan w:val="2"/>
            <w:tcBorders>
              <w:top w:val="nil"/>
              <w:left w:val="nil"/>
              <w:bottom w:val="single" w:color="auto" w:sz="8" w:space="0"/>
              <w:right w:val="single" w:color="auto" w:sz="8" w:space="0"/>
            </w:tcBorders>
            <w:vAlign w:val="center"/>
          </w:tcPr>
          <w:p w14:paraId="750628C4">
            <w:pPr>
              <w:widowControl/>
              <w:spacing w:before="100" w:beforeAutospacing="1" w:after="100" w:afterAutospacing="1" w:line="240" w:lineRule="atLeast"/>
              <w:jc w:val="center"/>
              <w:rPr>
                <w:rFonts w:ascii="Verdana" w:hAnsi="Verdana"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78F16FD6">
            <w:pPr>
              <w:widowControl/>
              <w:spacing w:before="100" w:beforeAutospacing="1" w:after="100" w:afterAutospacing="1" w:line="240" w:lineRule="atLeast"/>
              <w:jc w:val="center"/>
              <w:rPr>
                <w:rFonts w:ascii="Verdana" w:hAnsi="Verdana" w:cs="宋体"/>
                <w:color w:val="auto"/>
                <w:kern w:val="0"/>
                <w:szCs w:val="21"/>
                <w:highlight w:val="none"/>
              </w:rPr>
            </w:pPr>
          </w:p>
        </w:tc>
      </w:tr>
      <w:tr w14:paraId="0BD9AB8D">
        <w:tblPrEx>
          <w:tblCellMar>
            <w:top w:w="0" w:type="dxa"/>
            <w:left w:w="0" w:type="dxa"/>
            <w:bottom w:w="0" w:type="dxa"/>
            <w:right w:w="0" w:type="dxa"/>
          </w:tblCellMar>
        </w:tblPrEx>
        <w:trPr>
          <w:trHeight w:val="641" w:hRule="atLeast"/>
          <w:jc w:val="center"/>
        </w:trPr>
        <w:tc>
          <w:tcPr>
            <w:tcW w:w="8951" w:type="dxa"/>
            <w:gridSpan w:val="9"/>
            <w:tcBorders>
              <w:top w:val="nil"/>
              <w:left w:val="single" w:color="auto" w:sz="8" w:space="0"/>
              <w:bottom w:val="single" w:color="auto" w:sz="8" w:space="0"/>
              <w:right w:val="single" w:color="auto" w:sz="8" w:space="0"/>
            </w:tcBorders>
            <w:vAlign w:val="center"/>
          </w:tcPr>
          <w:p w14:paraId="2F05C0D9">
            <w:pPr>
              <w:widowControl/>
              <w:snapToGrid w:val="0"/>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 xml:space="preserve">合计大写金额：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仟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佰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拾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万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仟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佰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拾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元</w:t>
            </w:r>
          </w:p>
        </w:tc>
      </w:tr>
      <w:tr w14:paraId="48A84BAF">
        <w:tblPrEx>
          <w:tblCellMar>
            <w:top w:w="0" w:type="dxa"/>
            <w:left w:w="0" w:type="dxa"/>
            <w:bottom w:w="0" w:type="dxa"/>
            <w:right w:w="0" w:type="dxa"/>
          </w:tblCellMar>
        </w:tblPrEx>
        <w:trPr>
          <w:trHeight w:val="641" w:hRule="atLeast"/>
          <w:jc w:val="center"/>
        </w:trPr>
        <w:tc>
          <w:tcPr>
            <w:tcW w:w="1629" w:type="dxa"/>
            <w:gridSpan w:val="2"/>
            <w:tcBorders>
              <w:top w:val="nil"/>
              <w:left w:val="single" w:color="auto" w:sz="8" w:space="0"/>
              <w:bottom w:val="single" w:color="auto" w:sz="8" w:space="0"/>
              <w:right w:val="single" w:color="auto" w:sz="8" w:space="0"/>
            </w:tcBorders>
            <w:vAlign w:val="center"/>
          </w:tcPr>
          <w:p w14:paraId="37D10678">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实际供货日期</w:t>
            </w:r>
          </w:p>
        </w:tc>
        <w:tc>
          <w:tcPr>
            <w:tcW w:w="2421" w:type="dxa"/>
            <w:gridSpan w:val="2"/>
            <w:tcBorders>
              <w:top w:val="nil"/>
              <w:left w:val="nil"/>
              <w:bottom w:val="single" w:color="auto" w:sz="8" w:space="0"/>
              <w:right w:val="single" w:color="auto" w:sz="8" w:space="0"/>
            </w:tcBorders>
            <w:vAlign w:val="center"/>
          </w:tcPr>
          <w:p w14:paraId="316A7BB3">
            <w:pPr>
              <w:widowControl/>
              <w:spacing w:before="100" w:beforeAutospacing="1" w:after="100" w:afterAutospacing="1" w:line="240" w:lineRule="atLeast"/>
              <w:jc w:val="center"/>
              <w:rPr>
                <w:rFonts w:ascii="Verdana" w:hAnsi="Verdana" w:cs="宋体"/>
                <w:color w:val="auto"/>
                <w:kern w:val="0"/>
                <w:szCs w:val="21"/>
                <w:highlight w:val="none"/>
              </w:rPr>
            </w:pPr>
          </w:p>
        </w:tc>
        <w:tc>
          <w:tcPr>
            <w:tcW w:w="2282" w:type="dxa"/>
            <w:gridSpan w:val="3"/>
            <w:tcBorders>
              <w:top w:val="nil"/>
              <w:left w:val="nil"/>
              <w:bottom w:val="single" w:color="auto" w:sz="8" w:space="0"/>
              <w:right w:val="single" w:color="auto" w:sz="8" w:space="0"/>
            </w:tcBorders>
            <w:vAlign w:val="center"/>
          </w:tcPr>
          <w:p w14:paraId="68D5874B">
            <w:pPr>
              <w:widowControl/>
              <w:snapToGrid w:val="0"/>
              <w:spacing w:before="100" w:beforeAutospacing="1" w:after="100" w:afterAutospacing="1" w:line="320" w:lineRule="atLeast"/>
              <w:ind w:firstLine="46"/>
              <w:jc w:val="center"/>
              <w:rPr>
                <w:rFonts w:ascii="Verdana" w:hAnsi="Verdana" w:cs="宋体"/>
                <w:color w:val="auto"/>
                <w:kern w:val="0"/>
                <w:szCs w:val="21"/>
                <w:highlight w:val="none"/>
              </w:rPr>
            </w:pPr>
            <w:r>
              <w:rPr>
                <w:rFonts w:ascii="Verdana" w:hAnsi="Verdana" w:cs="宋体"/>
                <w:color w:val="auto"/>
                <w:kern w:val="0"/>
                <w:szCs w:val="21"/>
                <w:highlight w:val="none"/>
              </w:rPr>
              <w:t>合同交货验收日期</w:t>
            </w:r>
          </w:p>
        </w:tc>
        <w:tc>
          <w:tcPr>
            <w:tcW w:w="2619" w:type="dxa"/>
            <w:gridSpan w:val="2"/>
            <w:tcBorders>
              <w:top w:val="nil"/>
              <w:left w:val="nil"/>
              <w:bottom w:val="single" w:color="auto" w:sz="8" w:space="0"/>
              <w:right w:val="single" w:color="auto" w:sz="8" w:space="0"/>
            </w:tcBorders>
            <w:vAlign w:val="center"/>
          </w:tcPr>
          <w:p w14:paraId="0DA0522F">
            <w:pPr>
              <w:widowControl/>
              <w:spacing w:before="100" w:beforeAutospacing="1" w:after="100" w:afterAutospacing="1" w:line="240" w:lineRule="atLeast"/>
              <w:jc w:val="center"/>
              <w:rPr>
                <w:rFonts w:ascii="Verdana" w:hAnsi="Verdana" w:cs="宋体"/>
                <w:color w:val="auto"/>
                <w:kern w:val="0"/>
                <w:szCs w:val="21"/>
                <w:highlight w:val="none"/>
              </w:rPr>
            </w:pPr>
          </w:p>
        </w:tc>
      </w:tr>
      <w:tr w14:paraId="4683AAFC">
        <w:tblPrEx>
          <w:tblCellMar>
            <w:top w:w="0" w:type="dxa"/>
            <w:left w:w="0" w:type="dxa"/>
            <w:bottom w:w="0" w:type="dxa"/>
            <w:right w:w="0" w:type="dxa"/>
          </w:tblCellMar>
        </w:tblPrEx>
        <w:trPr>
          <w:trHeight w:val="394" w:hRule="atLeast"/>
          <w:jc w:val="center"/>
        </w:trPr>
        <w:tc>
          <w:tcPr>
            <w:tcW w:w="1629" w:type="dxa"/>
            <w:gridSpan w:val="2"/>
            <w:tcBorders>
              <w:top w:val="nil"/>
              <w:left w:val="single" w:color="auto" w:sz="8" w:space="0"/>
              <w:bottom w:val="single" w:color="auto" w:sz="8" w:space="0"/>
              <w:right w:val="single" w:color="auto" w:sz="8" w:space="0"/>
            </w:tcBorders>
            <w:vAlign w:val="center"/>
          </w:tcPr>
          <w:p w14:paraId="28A8D9BB">
            <w:pPr>
              <w:widowControl/>
              <w:spacing w:before="100" w:beforeAutospacing="1" w:after="100" w:afterAutospacing="1" w:line="240" w:lineRule="atLeast"/>
              <w:jc w:val="center"/>
              <w:rPr>
                <w:rFonts w:ascii="Verdana" w:hAnsi="Verdana" w:cs="宋体"/>
                <w:color w:val="auto"/>
                <w:kern w:val="0"/>
                <w:szCs w:val="21"/>
                <w:highlight w:val="none"/>
              </w:rPr>
            </w:pPr>
          </w:p>
        </w:tc>
        <w:tc>
          <w:tcPr>
            <w:tcW w:w="2421" w:type="dxa"/>
            <w:gridSpan w:val="2"/>
            <w:tcBorders>
              <w:top w:val="nil"/>
              <w:left w:val="nil"/>
              <w:bottom w:val="single" w:color="auto" w:sz="8" w:space="0"/>
              <w:right w:val="single" w:color="auto" w:sz="8" w:space="0"/>
            </w:tcBorders>
            <w:vAlign w:val="center"/>
          </w:tcPr>
          <w:p w14:paraId="75877244">
            <w:pPr>
              <w:widowControl/>
              <w:spacing w:before="100" w:beforeAutospacing="1" w:after="100" w:afterAutospacing="1" w:line="240" w:lineRule="atLeast"/>
              <w:jc w:val="center"/>
              <w:rPr>
                <w:rFonts w:ascii="Verdana" w:hAnsi="Verdana" w:cs="宋体"/>
                <w:color w:val="auto"/>
                <w:kern w:val="0"/>
                <w:szCs w:val="21"/>
                <w:highlight w:val="none"/>
              </w:rPr>
            </w:pPr>
          </w:p>
        </w:tc>
        <w:tc>
          <w:tcPr>
            <w:tcW w:w="2282" w:type="dxa"/>
            <w:gridSpan w:val="3"/>
            <w:tcBorders>
              <w:top w:val="nil"/>
              <w:left w:val="nil"/>
              <w:bottom w:val="single" w:color="auto" w:sz="8" w:space="0"/>
              <w:right w:val="single" w:color="auto" w:sz="8" w:space="0"/>
            </w:tcBorders>
            <w:vAlign w:val="center"/>
          </w:tcPr>
          <w:p w14:paraId="7D1D1B91">
            <w:pPr>
              <w:widowControl/>
              <w:spacing w:before="100" w:beforeAutospacing="1" w:after="100" w:afterAutospacing="1" w:line="240" w:lineRule="atLeast"/>
              <w:jc w:val="center"/>
              <w:rPr>
                <w:rFonts w:ascii="Verdana" w:hAnsi="Verdana" w:cs="宋体"/>
                <w:color w:val="auto"/>
                <w:kern w:val="0"/>
                <w:szCs w:val="21"/>
                <w:highlight w:val="none"/>
              </w:rPr>
            </w:pPr>
          </w:p>
        </w:tc>
        <w:tc>
          <w:tcPr>
            <w:tcW w:w="2619" w:type="dxa"/>
            <w:gridSpan w:val="2"/>
            <w:tcBorders>
              <w:top w:val="nil"/>
              <w:left w:val="nil"/>
              <w:bottom w:val="single" w:color="auto" w:sz="8" w:space="0"/>
              <w:right w:val="single" w:color="auto" w:sz="8" w:space="0"/>
            </w:tcBorders>
            <w:vAlign w:val="center"/>
          </w:tcPr>
          <w:p w14:paraId="5F3FED0C">
            <w:pPr>
              <w:widowControl/>
              <w:spacing w:before="100" w:beforeAutospacing="1" w:after="100" w:afterAutospacing="1" w:line="240" w:lineRule="atLeast"/>
              <w:jc w:val="center"/>
              <w:rPr>
                <w:rFonts w:ascii="Verdana" w:hAnsi="Verdana" w:cs="宋体"/>
                <w:color w:val="auto"/>
                <w:kern w:val="0"/>
                <w:szCs w:val="21"/>
                <w:highlight w:val="none"/>
              </w:rPr>
            </w:pPr>
          </w:p>
        </w:tc>
      </w:tr>
      <w:tr w14:paraId="09A09340">
        <w:tblPrEx>
          <w:tblCellMar>
            <w:top w:w="0" w:type="dxa"/>
            <w:left w:w="0" w:type="dxa"/>
            <w:bottom w:w="0" w:type="dxa"/>
            <w:right w:w="0" w:type="dxa"/>
          </w:tblCellMar>
        </w:tblPrEx>
        <w:trPr>
          <w:trHeight w:val="693" w:hRule="atLeast"/>
          <w:jc w:val="center"/>
        </w:trPr>
        <w:tc>
          <w:tcPr>
            <w:tcW w:w="1629"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65E0EA4">
            <w:pPr>
              <w:widowControl/>
              <w:snapToGrid w:val="0"/>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验收具体内容</w:t>
            </w:r>
          </w:p>
        </w:tc>
        <w:tc>
          <w:tcPr>
            <w:tcW w:w="7322"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14:paraId="0B242D92">
            <w:pPr>
              <w:widowControl/>
              <w:snapToGrid w:val="0"/>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应按采购合同、竞争性谈判文件、竞标响应文件及验收方案等进行验收；并核对成交供应商在安装调试等方面是否违反合同约定或者服务规范要求、提供的质量保证证明材料是否齐全、应有的配件及附件是否达到合同约定等。</w:t>
            </w:r>
            <w:r>
              <w:rPr>
                <w:rFonts w:hint="eastAsia" w:ascii="Verdana" w:hAnsi="Verdana" w:cs="宋体"/>
                <w:color w:val="auto"/>
                <w:kern w:val="0"/>
                <w:szCs w:val="21"/>
                <w:highlight w:val="none"/>
                <w:lang w:eastAsia="zh-CN"/>
              </w:rPr>
              <w:t>见附件）</w:t>
            </w:r>
          </w:p>
        </w:tc>
      </w:tr>
      <w:tr w14:paraId="308B91F4">
        <w:tblPrEx>
          <w:tblCellMar>
            <w:top w:w="0" w:type="dxa"/>
            <w:left w:w="0" w:type="dxa"/>
            <w:bottom w:w="0" w:type="dxa"/>
            <w:right w:w="0" w:type="dxa"/>
          </w:tblCellMar>
        </w:tblPrEx>
        <w:trPr>
          <w:trHeight w:val="1281" w:hRule="atLeast"/>
          <w:jc w:val="center"/>
        </w:trPr>
        <w:tc>
          <w:tcPr>
            <w:tcW w:w="1629" w:type="dxa"/>
            <w:gridSpan w:val="2"/>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47C3FCE">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验收小组意见</w:t>
            </w:r>
          </w:p>
        </w:tc>
        <w:tc>
          <w:tcPr>
            <w:tcW w:w="7322" w:type="dxa"/>
            <w:gridSpan w:val="7"/>
            <w:tcBorders>
              <w:top w:val="nil"/>
              <w:left w:val="nil"/>
              <w:bottom w:val="single" w:color="auto" w:sz="8" w:space="0"/>
              <w:right w:val="single" w:color="auto" w:sz="8" w:space="0"/>
            </w:tcBorders>
            <w:vAlign w:val="center"/>
          </w:tcPr>
          <w:p w14:paraId="0676CDFD">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验收结论性意见：</w:t>
            </w:r>
          </w:p>
        </w:tc>
      </w:tr>
      <w:tr w14:paraId="64D73938">
        <w:tblPrEx>
          <w:tblCellMar>
            <w:top w:w="0" w:type="dxa"/>
            <w:left w:w="0" w:type="dxa"/>
            <w:bottom w:w="0" w:type="dxa"/>
            <w:right w:w="0" w:type="dxa"/>
          </w:tblCellMar>
        </w:tblPrEx>
        <w:trPr>
          <w:trHeight w:val="607" w:hRule="atLeast"/>
          <w:jc w:val="center"/>
        </w:trPr>
        <w:tc>
          <w:tcPr>
            <w:tcW w:w="1629" w:type="dxa"/>
            <w:gridSpan w:val="2"/>
            <w:vMerge w:val="continue"/>
            <w:tcBorders>
              <w:top w:val="nil"/>
              <w:left w:val="single" w:color="auto" w:sz="8" w:space="0"/>
              <w:bottom w:val="single" w:color="auto" w:sz="8" w:space="0"/>
              <w:right w:val="single" w:color="auto" w:sz="8" w:space="0"/>
            </w:tcBorders>
            <w:vAlign w:val="center"/>
          </w:tcPr>
          <w:p w14:paraId="3FFF4A65">
            <w:pPr>
              <w:widowControl/>
              <w:jc w:val="left"/>
              <w:rPr>
                <w:rFonts w:ascii="Verdana" w:hAnsi="Verdana" w:cs="宋体"/>
                <w:color w:val="auto"/>
                <w:kern w:val="0"/>
                <w:szCs w:val="21"/>
                <w:highlight w:val="none"/>
              </w:rPr>
            </w:pPr>
          </w:p>
        </w:tc>
        <w:tc>
          <w:tcPr>
            <w:tcW w:w="7322" w:type="dxa"/>
            <w:gridSpan w:val="7"/>
            <w:tcBorders>
              <w:top w:val="nil"/>
              <w:left w:val="nil"/>
              <w:bottom w:val="single" w:color="auto" w:sz="8" w:space="0"/>
              <w:right w:val="single" w:color="auto" w:sz="8" w:space="0"/>
            </w:tcBorders>
            <w:vAlign w:val="center"/>
          </w:tcPr>
          <w:p w14:paraId="7F1B4CA8">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有异议的意见和说明理由：</w:t>
            </w:r>
          </w:p>
          <w:p w14:paraId="6764E7D9">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签字：</w:t>
            </w:r>
          </w:p>
        </w:tc>
      </w:tr>
      <w:tr w14:paraId="35E263BD">
        <w:tblPrEx>
          <w:tblCellMar>
            <w:top w:w="0" w:type="dxa"/>
            <w:left w:w="0" w:type="dxa"/>
            <w:bottom w:w="0" w:type="dxa"/>
            <w:right w:w="0" w:type="dxa"/>
          </w:tblCellMar>
        </w:tblPrEx>
        <w:trPr>
          <w:trHeight w:val="507" w:hRule="atLeast"/>
          <w:jc w:val="center"/>
        </w:trPr>
        <w:tc>
          <w:tcPr>
            <w:tcW w:w="8951"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0BF3630">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验收小组成员签字：</w:t>
            </w:r>
          </w:p>
        </w:tc>
      </w:tr>
      <w:tr w14:paraId="6F26836D">
        <w:tblPrEx>
          <w:tblCellMar>
            <w:top w:w="0" w:type="dxa"/>
            <w:left w:w="0" w:type="dxa"/>
            <w:bottom w:w="0" w:type="dxa"/>
            <w:right w:w="0" w:type="dxa"/>
          </w:tblCellMar>
        </w:tblPrEx>
        <w:trPr>
          <w:trHeight w:val="736" w:hRule="atLeast"/>
          <w:jc w:val="center"/>
        </w:trPr>
        <w:tc>
          <w:tcPr>
            <w:tcW w:w="8951"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BE6F981">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监督人员或者其他相关人员签字：</w:t>
            </w:r>
          </w:p>
          <w:p w14:paraId="4030E3CC">
            <w:pPr>
              <w:widowControl/>
              <w:spacing w:before="100" w:beforeAutospacing="1" w:after="100" w:afterAutospacing="1" w:line="320" w:lineRule="atLeast"/>
              <w:ind w:firstLine="74"/>
              <w:jc w:val="left"/>
              <w:rPr>
                <w:rFonts w:ascii="Verdana" w:hAnsi="Verdana" w:cs="宋体"/>
                <w:color w:val="auto"/>
                <w:kern w:val="0"/>
                <w:szCs w:val="21"/>
                <w:highlight w:val="none"/>
              </w:rPr>
            </w:pPr>
            <w:r>
              <w:rPr>
                <w:rFonts w:ascii="Verdana" w:hAnsi="Verdana" w:cs="宋体"/>
                <w:color w:val="auto"/>
                <w:kern w:val="0"/>
                <w:szCs w:val="21"/>
                <w:highlight w:val="none"/>
              </w:rPr>
              <w:t>或者受邀机构的意见（盖章）：</w:t>
            </w:r>
          </w:p>
        </w:tc>
      </w:tr>
      <w:tr w14:paraId="727F196D">
        <w:tblPrEx>
          <w:tblCellMar>
            <w:top w:w="0" w:type="dxa"/>
            <w:left w:w="0" w:type="dxa"/>
            <w:bottom w:w="0" w:type="dxa"/>
            <w:right w:w="0" w:type="dxa"/>
          </w:tblCellMar>
        </w:tblPrEx>
        <w:trPr>
          <w:trHeight w:val="758" w:hRule="atLeast"/>
          <w:jc w:val="center"/>
        </w:trPr>
        <w:tc>
          <w:tcPr>
            <w:tcW w:w="4152" w:type="dxa"/>
            <w:gridSpan w:val="5"/>
            <w:tcBorders>
              <w:top w:val="nil"/>
              <w:left w:val="single" w:color="auto" w:sz="8" w:space="0"/>
              <w:bottom w:val="single" w:color="auto" w:sz="8" w:space="0"/>
              <w:right w:val="nil"/>
            </w:tcBorders>
            <w:tcMar>
              <w:top w:w="0" w:type="dxa"/>
              <w:left w:w="108" w:type="dxa"/>
              <w:bottom w:w="0" w:type="dxa"/>
              <w:right w:w="108" w:type="dxa"/>
            </w:tcMar>
            <w:vAlign w:val="center"/>
          </w:tcPr>
          <w:p w14:paraId="15FB0B48">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成交供应商负责人签字或者盖章：</w:t>
            </w:r>
          </w:p>
          <w:p w14:paraId="29F73760">
            <w:pPr>
              <w:widowControl/>
              <w:spacing w:before="100" w:beforeAutospacing="1" w:after="100" w:afterAutospacing="1" w:line="320" w:lineRule="atLeast"/>
              <w:jc w:val="left"/>
              <w:rPr>
                <w:rFonts w:ascii="Verdana" w:hAnsi="Verdana" w:cs="宋体"/>
                <w:color w:val="auto"/>
                <w:kern w:val="0"/>
                <w:szCs w:val="21"/>
                <w:highlight w:val="none"/>
              </w:rPr>
            </w:pPr>
          </w:p>
          <w:p w14:paraId="3AE5EFB0">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联系电话：</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 年</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 月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日</w:t>
            </w:r>
          </w:p>
        </w:tc>
        <w:tc>
          <w:tcPr>
            <w:tcW w:w="4799" w:type="dxa"/>
            <w:gridSpan w:val="4"/>
            <w:tcBorders>
              <w:top w:val="nil"/>
              <w:left w:val="nil"/>
              <w:bottom w:val="single" w:color="auto" w:sz="8" w:space="0"/>
              <w:right w:val="single" w:color="auto" w:sz="8" w:space="0"/>
            </w:tcBorders>
            <w:vAlign w:val="center"/>
          </w:tcPr>
          <w:p w14:paraId="26C67956">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采购人或者受托机构的意见（盖章）：</w:t>
            </w:r>
          </w:p>
          <w:p w14:paraId="351A17B3">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p>
          <w:p w14:paraId="3025394C">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联系电话：</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年</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 月</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 日</w:t>
            </w:r>
          </w:p>
        </w:tc>
      </w:tr>
    </w:tbl>
    <w:p w14:paraId="3CCFC33E">
      <w:pPr>
        <w:pStyle w:val="3"/>
        <w:jc w:val="center"/>
        <w:rPr>
          <w:rFonts w:hint="eastAsia" w:ascii="宋体" w:hAnsi="宋体"/>
          <w:color w:val="auto"/>
          <w:highlight w:val="none"/>
        </w:rPr>
      </w:pPr>
      <w:r>
        <w:rPr>
          <w:rFonts w:ascii="宋体" w:hAnsi="宋体"/>
          <w:color w:val="auto"/>
          <w:kern w:val="0"/>
          <w:sz w:val="20"/>
          <w:szCs w:val="21"/>
          <w:highlight w:val="none"/>
        </w:rPr>
        <w:br w:type="page"/>
      </w:r>
      <w:bookmarkStart w:id="143" w:name="_Toc254970689"/>
      <w:bookmarkStart w:id="144" w:name="_Toc121503214"/>
      <w:bookmarkStart w:id="145" w:name="_Toc330456896"/>
      <w:bookmarkStart w:id="146" w:name="_Toc254970548"/>
      <w:r>
        <w:rPr>
          <w:rFonts w:hint="eastAsia" w:ascii="宋体" w:hAnsi="宋体"/>
          <w:color w:val="auto"/>
          <w:highlight w:val="none"/>
        </w:rPr>
        <w:t>第四章  评标方法及评标标准</w:t>
      </w:r>
      <w:bookmarkEnd w:id="143"/>
      <w:bookmarkEnd w:id="144"/>
      <w:bookmarkEnd w:id="145"/>
      <w:bookmarkEnd w:id="146"/>
    </w:p>
    <w:p w14:paraId="3427CC03">
      <w:pPr>
        <w:pStyle w:val="5"/>
        <w:keepNext w:val="0"/>
        <w:keepLines w:val="0"/>
        <w:spacing w:line="360" w:lineRule="exact"/>
        <w:jc w:val="center"/>
        <w:rPr>
          <w:rFonts w:ascii="宋体" w:hAnsi="宋体"/>
          <w:color w:val="auto"/>
          <w:sz w:val="30"/>
          <w:szCs w:val="30"/>
          <w:highlight w:val="none"/>
        </w:rPr>
      </w:pPr>
      <w:r>
        <w:rPr>
          <w:rFonts w:hint="eastAsia" w:ascii="宋体" w:hAnsi="宋体"/>
          <w:color w:val="auto"/>
          <w:sz w:val="30"/>
          <w:szCs w:val="30"/>
          <w:highlight w:val="none"/>
        </w:rPr>
        <w:t>一、评标方法</w:t>
      </w:r>
    </w:p>
    <w:p w14:paraId="0354432C">
      <w:pPr>
        <w:pStyle w:val="25"/>
        <w:spacing w:line="360" w:lineRule="exact"/>
        <w:ind w:firstLine="420"/>
        <w:rPr>
          <w:rFonts w:hAnsi="宋体"/>
          <w:color w:val="auto"/>
          <w:sz w:val="21"/>
          <w:highlight w:val="none"/>
        </w:rPr>
      </w:pPr>
      <w:r>
        <w:rPr>
          <w:rFonts w:hint="eastAsia" w:hAnsi="宋体"/>
          <w:color w:val="auto"/>
          <w:sz w:val="21"/>
          <w:highlight w:val="none"/>
        </w:rPr>
        <w:t>综合评分法，是指投标文件满足招标文件全部实质性要求，且按照评审因素的量化指标评审得分最高的投标人为中标候选人的评标方法。</w:t>
      </w:r>
    </w:p>
    <w:p w14:paraId="4514D740">
      <w:pPr>
        <w:pStyle w:val="25"/>
        <w:spacing w:line="360" w:lineRule="exact"/>
        <w:ind w:firstLine="420"/>
        <w:rPr>
          <w:rFonts w:hAnsi="宋体"/>
          <w:color w:val="auto"/>
          <w:sz w:val="21"/>
          <w:highlight w:val="none"/>
        </w:rPr>
      </w:pPr>
      <w:r>
        <w:rPr>
          <w:rFonts w:hint="eastAsia" w:hAnsi="宋体"/>
          <w:color w:val="auto"/>
          <w:sz w:val="21"/>
          <w:highlight w:val="none"/>
        </w:rPr>
        <w:t>最低评标价法，是指投标文件满足招标文件全部实质性要求，且投标报价最低的投标人为中标候选人的评标方法。</w:t>
      </w:r>
    </w:p>
    <w:p w14:paraId="56C7F583">
      <w:pPr>
        <w:pStyle w:val="5"/>
        <w:keepNext w:val="0"/>
        <w:keepLines w:val="0"/>
        <w:spacing w:line="360" w:lineRule="exact"/>
        <w:jc w:val="center"/>
        <w:rPr>
          <w:rFonts w:hint="eastAsia" w:ascii="宋体" w:hAnsi="宋体"/>
          <w:color w:val="auto"/>
          <w:sz w:val="30"/>
          <w:szCs w:val="30"/>
          <w:highlight w:val="none"/>
        </w:rPr>
      </w:pPr>
      <w:r>
        <w:rPr>
          <w:rFonts w:hint="eastAsia" w:ascii="宋体" w:hAnsi="宋体"/>
          <w:color w:val="auto"/>
          <w:sz w:val="30"/>
          <w:szCs w:val="30"/>
          <w:highlight w:val="none"/>
        </w:rPr>
        <w:t>二、评标程序</w:t>
      </w:r>
    </w:p>
    <w:p w14:paraId="211355B5">
      <w:pPr>
        <w:pStyle w:val="6"/>
        <w:keepNext w:val="0"/>
        <w:keepLines w:val="0"/>
        <w:spacing w:before="0" w:after="0" w:line="360" w:lineRule="exact"/>
        <w:ind w:left="420" w:leftChars="200"/>
        <w:rPr>
          <w:rFonts w:hint="eastAsia" w:ascii="宋体" w:hAnsi="宋体"/>
          <w:color w:val="auto"/>
          <w:sz w:val="21"/>
          <w:szCs w:val="21"/>
          <w:highlight w:val="none"/>
        </w:rPr>
      </w:pPr>
      <w:r>
        <w:rPr>
          <w:rFonts w:hint="eastAsia" w:ascii="宋体" w:hAnsi="宋体"/>
          <w:color w:val="auto"/>
          <w:sz w:val="21"/>
          <w:szCs w:val="21"/>
          <w:highlight w:val="none"/>
        </w:rPr>
        <w:t>1.符合性审查</w:t>
      </w:r>
    </w:p>
    <w:p w14:paraId="32ACB09B">
      <w:pPr>
        <w:pStyle w:val="25"/>
        <w:snapToGrid w:val="0"/>
        <w:spacing w:line="360" w:lineRule="exact"/>
        <w:ind w:left="1" w:firstLine="420"/>
        <w:rPr>
          <w:rFonts w:hint="eastAsia" w:hAnsi="宋体"/>
          <w:b/>
          <w:color w:val="auto"/>
          <w:kern w:val="2"/>
          <w:sz w:val="21"/>
          <w:highlight w:val="none"/>
        </w:rPr>
      </w:pPr>
      <w:r>
        <w:rPr>
          <w:rFonts w:hint="eastAsia" w:hAnsi="宋体"/>
          <w:b/>
          <w:color w:val="auto"/>
          <w:kern w:val="2"/>
          <w:sz w:val="21"/>
          <w:highlight w:val="none"/>
        </w:rPr>
        <w:t>评标委员会应当对符合资格的投标人的投标文件进行投标报价、商务、技术等实质性内容符合性审查，以确定其是否满足招标文件的实质性要求。</w:t>
      </w:r>
    </w:p>
    <w:p w14:paraId="5313086C">
      <w:pPr>
        <w:pStyle w:val="6"/>
        <w:keepNext w:val="0"/>
        <w:keepLines w:val="0"/>
        <w:spacing w:before="0" w:after="0" w:line="360" w:lineRule="exact"/>
        <w:ind w:left="420" w:leftChars="200"/>
        <w:rPr>
          <w:rFonts w:hint="eastAsia" w:ascii="宋体" w:hAnsi="宋体"/>
          <w:color w:val="auto"/>
          <w:sz w:val="21"/>
          <w:szCs w:val="21"/>
          <w:highlight w:val="none"/>
        </w:rPr>
      </w:pPr>
      <w:r>
        <w:rPr>
          <w:rFonts w:hint="eastAsia" w:ascii="宋体" w:hAnsi="宋体"/>
          <w:color w:val="auto"/>
          <w:sz w:val="21"/>
          <w:szCs w:val="21"/>
          <w:highlight w:val="none"/>
        </w:rPr>
        <w:t>2</w:t>
      </w:r>
      <w:r>
        <w:rPr>
          <w:rFonts w:ascii="宋体" w:hAnsi="宋体"/>
          <w:color w:val="auto"/>
          <w:sz w:val="21"/>
          <w:szCs w:val="21"/>
          <w:highlight w:val="none"/>
        </w:rPr>
        <w:t>.</w:t>
      </w:r>
      <w:r>
        <w:rPr>
          <w:rFonts w:hint="eastAsia" w:ascii="宋体" w:hAnsi="宋体"/>
          <w:color w:val="auto"/>
          <w:sz w:val="21"/>
          <w:szCs w:val="21"/>
          <w:highlight w:val="none"/>
        </w:rPr>
        <w:t>符合性审查不通过而导致投标无效的情形</w:t>
      </w:r>
    </w:p>
    <w:p w14:paraId="0C86290B">
      <w:pPr>
        <w:snapToGrid w:val="0"/>
        <w:spacing w:line="36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投标人的投标文件中存在对招标文件的任何实质性要求和条件的负偏离，将被视为投标无效。</w:t>
      </w:r>
    </w:p>
    <w:p w14:paraId="194AE7F5">
      <w:pPr>
        <w:pStyle w:val="6"/>
        <w:keepNext w:val="0"/>
        <w:keepLines w:val="0"/>
        <w:spacing w:before="0" w:after="0" w:line="360" w:lineRule="exact"/>
        <w:ind w:left="420" w:leftChars="200"/>
        <w:rPr>
          <w:rFonts w:hint="eastAsia" w:ascii="宋体" w:hAnsi="宋体"/>
          <w:color w:val="auto"/>
          <w:sz w:val="21"/>
          <w:szCs w:val="21"/>
          <w:highlight w:val="none"/>
        </w:rPr>
      </w:pPr>
      <w:r>
        <w:rPr>
          <w:rFonts w:hint="eastAsia" w:ascii="宋体" w:hAnsi="宋体"/>
          <w:color w:val="auto"/>
          <w:sz w:val="21"/>
          <w:szCs w:val="21"/>
          <w:highlight w:val="none"/>
        </w:rPr>
        <w:t>2.1在报价评审时，如发现下列情形之一的，将被视为投标无效：</w:t>
      </w:r>
    </w:p>
    <w:p w14:paraId="2DDE21BF">
      <w:pPr>
        <w:pStyle w:val="7"/>
        <w:numPr>
          <w:ilvl w:val="0"/>
          <w:numId w:val="13"/>
        </w:numPr>
        <w:spacing w:line="360" w:lineRule="exact"/>
        <w:ind w:firstLine="422"/>
        <w:rPr>
          <w:rFonts w:hint="eastAsia" w:ascii="宋体" w:hAnsi="宋体"/>
          <w:b/>
          <w:color w:val="auto"/>
          <w:szCs w:val="21"/>
          <w:highlight w:val="none"/>
        </w:rPr>
      </w:pPr>
      <w:r>
        <w:rPr>
          <w:rFonts w:hint="eastAsia" w:ascii="宋体" w:hAnsi="宋体"/>
          <w:b/>
          <w:color w:val="auto"/>
          <w:spacing w:val="-6"/>
          <w:szCs w:val="21"/>
          <w:highlight w:val="none"/>
        </w:rPr>
        <w:t>报价文件</w:t>
      </w:r>
      <w:r>
        <w:rPr>
          <w:rFonts w:hint="eastAsia" w:ascii="宋体" w:hAnsi="宋体"/>
          <w:b/>
          <w:color w:val="auto"/>
          <w:szCs w:val="21"/>
          <w:highlight w:val="none"/>
        </w:rPr>
        <w:t>未提供“投标人须知前附表”第13.1条规定中“必须提供”的文件资料的；</w:t>
      </w:r>
    </w:p>
    <w:p w14:paraId="0429B0E9">
      <w:pPr>
        <w:pStyle w:val="7"/>
        <w:numPr>
          <w:ilvl w:val="0"/>
          <w:numId w:val="13"/>
        </w:numPr>
        <w:spacing w:line="360" w:lineRule="exact"/>
        <w:ind w:firstLine="422"/>
        <w:rPr>
          <w:rFonts w:hint="eastAsia" w:ascii="宋体" w:hAnsi="宋体"/>
          <w:b/>
          <w:color w:val="auto"/>
          <w:szCs w:val="21"/>
          <w:highlight w:val="none"/>
        </w:rPr>
      </w:pPr>
      <w:r>
        <w:rPr>
          <w:rFonts w:hint="eastAsia" w:ascii="宋体" w:hAnsi="宋体"/>
          <w:b/>
          <w:color w:val="auto"/>
          <w:szCs w:val="21"/>
          <w:highlight w:val="none"/>
        </w:rPr>
        <w:t>未采用人民币报价或者未按照招标文件标明的币种报价的；</w:t>
      </w:r>
    </w:p>
    <w:p w14:paraId="0A2FD516">
      <w:pPr>
        <w:pStyle w:val="7"/>
        <w:numPr>
          <w:ilvl w:val="0"/>
          <w:numId w:val="13"/>
        </w:numPr>
        <w:spacing w:line="360" w:lineRule="exact"/>
        <w:ind w:firstLine="422"/>
        <w:rPr>
          <w:rFonts w:hint="eastAsia" w:ascii="宋体" w:hAnsi="宋体"/>
          <w:b/>
          <w:color w:val="auto"/>
          <w:szCs w:val="21"/>
          <w:highlight w:val="none"/>
        </w:rPr>
      </w:pPr>
      <w:r>
        <w:rPr>
          <w:rFonts w:hint="eastAsia" w:ascii="宋体" w:hAnsi="宋体"/>
          <w:b/>
          <w:color w:val="auto"/>
          <w:szCs w:val="21"/>
          <w:highlight w:val="none"/>
        </w:rPr>
        <w:t>各分标报价超出招标文件相应分标规定最高限价，或者超出相应分标采购预算金额的；</w:t>
      </w:r>
    </w:p>
    <w:p w14:paraId="5F3865DE">
      <w:pPr>
        <w:pStyle w:val="7"/>
        <w:numPr>
          <w:ilvl w:val="0"/>
          <w:numId w:val="13"/>
        </w:numPr>
        <w:spacing w:line="360" w:lineRule="exact"/>
        <w:ind w:firstLine="422"/>
        <w:rPr>
          <w:rFonts w:hint="eastAsia" w:ascii="宋体" w:hAnsi="宋体"/>
          <w:b/>
          <w:color w:val="auto"/>
          <w:szCs w:val="21"/>
          <w:highlight w:val="none"/>
        </w:rPr>
      </w:pPr>
      <w:r>
        <w:rPr>
          <w:rFonts w:hint="eastAsia" w:ascii="宋体" w:hAnsi="宋体"/>
          <w:b/>
          <w:color w:val="auto"/>
          <w:szCs w:val="21"/>
          <w:highlight w:val="none"/>
        </w:rPr>
        <w:t>投标人未就所投分标进行报价或者存在漏项报价；投标人未就所投分标的单项内容作唯一报价；投标人未就所投分标的全部内容作完整唯一总价报价；存在有选择、有条件报价的（招标文件允许有备选方案或者其他约定的除外）；</w:t>
      </w:r>
    </w:p>
    <w:p w14:paraId="310319C6">
      <w:pPr>
        <w:pStyle w:val="7"/>
        <w:numPr>
          <w:ilvl w:val="0"/>
          <w:numId w:val="13"/>
        </w:numPr>
        <w:spacing w:line="360" w:lineRule="exact"/>
        <w:ind w:firstLine="422"/>
        <w:rPr>
          <w:rFonts w:hint="eastAsia" w:ascii="宋体" w:hAnsi="宋体"/>
          <w:b/>
          <w:color w:val="auto"/>
          <w:szCs w:val="21"/>
          <w:highlight w:val="none"/>
        </w:rPr>
      </w:pPr>
      <w:r>
        <w:rPr>
          <w:rFonts w:hint="eastAsia" w:ascii="宋体" w:hAnsi="宋体"/>
          <w:b/>
          <w:color w:val="auto"/>
          <w:szCs w:val="21"/>
          <w:highlight w:val="none"/>
        </w:rPr>
        <w:t>修正后的报价，投标人不确认的；</w:t>
      </w:r>
    </w:p>
    <w:p w14:paraId="30EE77BF">
      <w:pPr>
        <w:pStyle w:val="7"/>
        <w:numPr>
          <w:ilvl w:val="0"/>
          <w:numId w:val="13"/>
        </w:numPr>
        <w:spacing w:line="360" w:lineRule="exact"/>
        <w:ind w:firstLine="422"/>
        <w:rPr>
          <w:rFonts w:hint="eastAsia" w:ascii="宋体" w:hAnsi="宋体"/>
          <w:b/>
          <w:color w:val="auto"/>
          <w:szCs w:val="21"/>
          <w:highlight w:val="none"/>
        </w:rPr>
      </w:pPr>
      <w:r>
        <w:rPr>
          <w:rFonts w:hint="eastAsia" w:ascii="宋体" w:hAnsi="宋体"/>
          <w:b/>
          <w:color w:val="auto"/>
          <w:szCs w:val="21"/>
          <w:highlight w:val="none"/>
        </w:rPr>
        <w:t>投标人属于本章第</w:t>
      </w:r>
      <w:r>
        <w:rPr>
          <w:rFonts w:ascii="宋体" w:hAnsi="宋体"/>
          <w:b/>
          <w:color w:val="auto"/>
          <w:szCs w:val="21"/>
          <w:highlight w:val="none"/>
        </w:rPr>
        <w:t>5.1</w:t>
      </w:r>
      <w:r>
        <w:rPr>
          <w:rFonts w:hint="eastAsia" w:ascii="宋体" w:hAnsi="宋体"/>
          <w:b/>
          <w:color w:val="auto"/>
          <w:szCs w:val="21"/>
          <w:highlight w:val="none"/>
        </w:rPr>
        <w:t>条（2）或者第5</w:t>
      </w:r>
      <w:r>
        <w:rPr>
          <w:rFonts w:ascii="宋体" w:hAnsi="宋体"/>
          <w:b/>
          <w:color w:val="auto"/>
          <w:szCs w:val="21"/>
          <w:highlight w:val="none"/>
        </w:rPr>
        <w:t>.2条</w:t>
      </w:r>
      <w:r>
        <w:rPr>
          <w:rFonts w:hint="eastAsia" w:ascii="宋体" w:hAnsi="宋体"/>
          <w:b/>
          <w:color w:val="auto"/>
          <w:szCs w:val="21"/>
          <w:highlight w:val="none"/>
        </w:rPr>
        <w:t>（2）项情形的；</w:t>
      </w:r>
    </w:p>
    <w:p w14:paraId="202282AC">
      <w:pPr>
        <w:pStyle w:val="7"/>
        <w:numPr>
          <w:ilvl w:val="0"/>
          <w:numId w:val="13"/>
        </w:numPr>
        <w:spacing w:line="360" w:lineRule="exact"/>
        <w:ind w:firstLine="422"/>
        <w:rPr>
          <w:rFonts w:hint="eastAsia" w:ascii="宋体" w:hAnsi="宋体"/>
          <w:b/>
          <w:color w:val="auto"/>
          <w:szCs w:val="21"/>
          <w:highlight w:val="none"/>
        </w:rPr>
      </w:pPr>
      <w:r>
        <w:rPr>
          <w:rFonts w:hint="eastAsia" w:ascii="宋体" w:hAnsi="宋体"/>
          <w:b/>
          <w:color w:val="auto"/>
          <w:spacing w:val="-6"/>
          <w:szCs w:val="21"/>
          <w:highlight w:val="none"/>
        </w:rPr>
        <w:t>报价文件</w:t>
      </w:r>
      <w:r>
        <w:rPr>
          <w:rFonts w:hint="eastAsia" w:ascii="宋体" w:hAnsi="宋体"/>
          <w:b/>
          <w:color w:val="auto"/>
          <w:szCs w:val="21"/>
          <w:highlight w:val="none"/>
        </w:rPr>
        <w:t>响应的标的数量及单位与招标文件要求实质性不一致的。</w:t>
      </w:r>
    </w:p>
    <w:p w14:paraId="2F36E629">
      <w:pPr>
        <w:pStyle w:val="6"/>
        <w:keepNext w:val="0"/>
        <w:keepLines w:val="0"/>
        <w:spacing w:before="0" w:after="0" w:line="360" w:lineRule="exact"/>
        <w:ind w:left="420" w:leftChars="200"/>
        <w:rPr>
          <w:rFonts w:hint="eastAsia" w:ascii="宋体" w:hAnsi="宋体"/>
          <w:color w:val="auto"/>
          <w:sz w:val="21"/>
          <w:szCs w:val="21"/>
          <w:highlight w:val="none"/>
        </w:rPr>
      </w:pPr>
      <w:r>
        <w:rPr>
          <w:rFonts w:hint="eastAsia" w:ascii="宋体" w:hAnsi="宋体"/>
          <w:color w:val="auto"/>
          <w:sz w:val="21"/>
          <w:szCs w:val="21"/>
          <w:highlight w:val="none"/>
        </w:rPr>
        <w:t>2.2在商务评审时，如发现下列情形之一的，将被视为投标无效：</w:t>
      </w:r>
    </w:p>
    <w:p w14:paraId="69BF48DD">
      <w:pPr>
        <w:numPr>
          <w:ilvl w:val="0"/>
          <w:numId w:val="14"/>
        </w:numPr>
        <w:snapToGrid w:val="0"/>
        <w:spacing w:line="36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投标文件未按招标文件要求签署、盖章的；</w:t>
      </w:r>
    </w:p>
    <w:p w14:paraId="140257E5">
      <w:pPr>
        <w:numPr>
          <w:ilvl w:val="0"/>
          <w:numId w:val="14"/>
        </w:numPr>
        <w:snapToGrid w:val="0"/>
        <w:spacing w:line="36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委托代理人未能出具有效身份证或者出具的身份证与授权委托书中的信息不符的；</w:t>
      </w:r>
    </w:p>
    <w:p w14:paraId="67C2FAEF">
      <w:pPr>
        <w:numPr>
          <w:ilvl w:val="0"/>
          <w:numId w:val="14"/>
        </w:numPr>
        <w:snapToGrid w:val="0"/>
        <w:spacing w:line="36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投标文件未提供“投标人须知前附表”第13.</w:t>
      </w:r>
      <w:r>
        <w:rPr>
          <w:rFonts w:ascii="宋体" w:hAnsi="宋体"/>
          <w:b/>
          <w:color w:val="auto"/>
          <w:szCs w:val="21"/>
          <w:highlight w:val="none"/>
        </w:rPr>
        <w:t>1</w:t>
      </w:r>
      <w:r>
        <w:rPr>
          <w:rFonts w:hint="eastAsia" w:ascii="宋体" w:hAnsi="宋体"/>
          <w:b/>
          <w:color w:val="auto"/>
          <w:szCs w:val="21"/>
          <w:highlight w:val="none"/>
        </w:rPr>
        <w:t>条规定中“必须提供”或者“委托时必须提供”的文件资料的；</w:t>
      </w:r>
    </w:p>
    <w:p w14:paraId="4B2B3AE4">
      <w:pPr>
        <w:numPr>
          <w:ilvl w:val="0"/>
          <w:numId w:val="14"/>
        </w:numPr>
        <w:snapToGrid w:val="0"/>
        <w:spacing w:line="36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商务要求评审允许负偏离的条款数超过“投标人须知前附表”规定项数的；</w:t>
      </w:r>
    </w:p>
    <w:p w14:paraId="3369D753">
      <w:pPr>
        <w:numPr>
          <w:ilvl w:val="0"/>
          <w:numId w:val="14"/>
        </w:numPr>
        <w:snapToGrid w:val="0"/>
        <w:spacing w:line="36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投标文件的实质性内容未使用中文表述、使用计量单位不符合招标文件要求的；</w:t>
      </w:r>
    </w:p>
    <w:p w14:paraId="5F3F3166">
      <w:pPr>
        <w:numPr>
          <w:ilvl w:val="0"/>
          <w:numId w:val="14"/>
        </w:numPr>
        <w:snapToGrid w:val="0"/>
        <w:spacing w:line="36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投标文件中的文件资料因填写不齐全或者内容虚假或者出现其他情形而导致被评标委员会认定无效的；</w:t>
      </w:r>
    </w:p>
    <w:p w14:paraId="54BD8B6A">
      <w:pPr>
        <w:numPr>
          <w:ilvl w:val="0"/>
          <w:numId w:val="14"/>
        </w:numPr>
        <w:snapToGrid w:val="0"/>
        <w:spacing w:line="36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投标文件含有采购人不能接受的附加条件的；</w:t>
      </w:r>
    </w:p>
    <w:p w14:paraId="201A1992">
      <w:pPr>
        <w:numPr>
          <w:ilvl w:val="0"/>
          <w:numId w:val="14"/>
        </w:numPr>
        <w:snapToGrid w:val="0"/>
        <w:spacing w:line="36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属于投标人须知正文第</w:t>
      </w:r>
      <w:r>
        <w:rPr>
          <w:rFonts w:ascii="宋体" w:hAnsi="宋体"/>
          <w:b/>
          <w:color w:val="auto"/>
          <w:szCs w:val="21"/>
          <w:highlight w:val="none"/>
        </w:rPr>
        <w:t>9.2</w:t>
      </w:r>
      <w:r>
        <w:rPr>
          <w:rFonts w:hint="eastAsia" w:ascii="宋体" w:hAnsi="宋体"/>
          <w:b/>
          <w:color w:val="auto"/>
          <w:szCs w:val="21"/>
          <w:highlight w:val="none"/>
        </w:rPr>
        <w:t>条情形的；</w:t>
      </w:r>
    </w:p>
    <w:p w14:paraId="20D24A9F">
      <w:pPr>
        <w:numPr>
          <w:ilvl w:val="0"/>
          <w:numId w:val="14"/>
        </w:numPr>
        <w:snapToGrid w:val="0"/>
        <w:spacing w:line="360" w:lineRule="exact"/>
        <w:ind w:firstLine="422" w:firstLineChars="200"/>
        <w:rPr>
          <w:rFonts w:ascii="宋体" w:hAnsi="宋体"/>
          <w:b/>
          <w:color w:val="auto"/>
          <w:szCs w:val="21"/>
          <w:highlight w:val="none"/>
        </w:rPr>
      </w:pPr>
      <w:r>
        <w:rPr>
          <w:rFonts w:hint="eastAsia" w:ascii="宋体" w:hAnsi="宋体"/>
          <w:b/>
          <w:color w:val="auto"/>
          <w:szCs w:val="21"/>
          <w:highlight w:val="none"/>
        </w:rPr>
        <w:t>投标文件标注的项目名称或者项目编号与招标文件标注的项目名称或者项目编号不一致的；</w:t>
      </w:r>
    </w:p>
    <w:p w14:paraId="6A1D687D">
      <w:pPr>
        <w:numPr>
          <w:ilvl w:val="0"/>
          <w:numId w:val="14"/>
        </w:numPr>
        <w:snapToGrid w:val="0"/>
        <w:spacing w:line="36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招标文件明确不允许分包，投标文件拟分包的；</w:t>
      </w:r>
    </w:p>
    <w:p w14:paraId="462B0BAD">
      <w:pPr>
        <w:numPr>
          <w:ilvl w:val="0"/>
          <w:numId w:val="14"/>
        </w:numPr>
        <w:snapToGrid w:val="0"/>
        <w:spacing w:line="36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未响应招标文件实质性要求的；</w:t>
      </w:r>
    </w:p>
    <w:p w14:paraId="26D65590">
      <w:pPr>
        <w:numPr>
          <w:ilvl w:val="0"/>
          <w:numId w:val="14"/>
        </w:numPr>
        <w:snapToGrid w:val="0"/>
        <w:spacing w:line="360" w:lineRule="exact"/>
        <w:ind w:firstLine="422" w:firstLineChars="200"/>
        <w:rPr>
          <w:rFonts w:hint="eastAsia" w:ascii="宋体" w:hAnsi="宋体"/>
          <w:b/>
          <w:color w:val="auto"/>
          <w:szCs w:val="21"/>
          <w:highlight w:val="none"/>
        </w:rPr>
      </w:pPr>
      <w:r>
        <w:rPr>
          <w:rFonts w:hint="eastAsia" w:ascii="宋体" w:hAnsi="宋体"/>
          <w:b/>
          <w:color w:val="auto"/>
          <w:szCs w:val="21"/>
          <w:highlight w:val="none"/>
          <w:lang w:eastAsia="zh-CN"/>
        </w:rPr>
        <w:t>法律法规</w:t>
      </w:r>
      <w:r>
        <w:rPr>
          <w:rFonts w:hint="eastAsia" w:ascii="宋体" w:hAnsi="宋体"/>
          <w:b/>
          <w:color w:val="auto"/>
          <w:szCs w:val="21"/>
          <w:highlight w:val="none"/>
        </w:rPr>
        <w:t>和招标文件规定的其他无效情形。</w:t>
      </w:r>
    </w:p>
    <w:p w14:paraId="1BB1080E">
      <w:pPr>
        <w:pStyle w:val="6"/>
        <w:keepNext w:val="0"/>
        <w:keepLines w:val="0"/>
        <w:spacing w:before="0" w:after="0" w:line="360" w:lineRule="exact"/>
        <w:ind w:left="420" w:leftChars="200"/>
        <w:rPr>
          <w:rFonts w:hint="eastAsia" w:ascii="宋体" w:hAnsi="宋体"/>
          <w:color w:val="auto"/>
          <w:sz w:val="21"/>
          <w:szCs w:val="21"/>
          <w:highlight w:val="none"/>
        </w:rPr>
      </w:pPr>
      <w:r>
        <w:rPr>
          <w:rFonts w:hint="eastAsia" w:ascii="宋体" w:hAnsi="宋体"/>
          <w:color w:val="auto"/>
          <w:sz w:val="21"/>
          <w:szCs w:val="21"/>
          <w:highlight w:val="none"/>
        </w:rPr>
        <w:t>2.3在技术评审时，如发现下列情形之一的，将被视为投标无效：</w:t>
      </w:r>
    </w:p>
    <w:p w14:paraId="2B199370">
      <w:pPr>
        <w:pStyle w:val="19"/>
        <w:snapToGrid w:val="0"/>
        <w:spacing w:line="360" w:lineRule="exact"/>
        <w:ind w:firstLine="413" w:firstLineChars="196"/>
        <w:rPr>
          <w:rFonts w:hint="eastAsia"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（1）技术要求评审允许负偏离的条款数超过“投标人须知前附表”规定项数的；</w:t>
      </w:r>
    </w:p>
    <w:p w14:paraId="409BCC0B">
      <w:pPr>
        <w:pStyle w:val="19"/>
        <w:snapToGrid w:val="0"/>
        <w:spacing w:line="360" w:lineRule="exact"/>
        <w:ind w:firstLine="413" w:firstLineChars="196"/>
        <w:rPr>
          <w:rFonts w:hint="eastAsia"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（2）投标文件未提供“投标人须知前附表”第13.</w:t>
      </w:r>
      <w:r>
        <w:rPr>
          <w:rFonts w:ascii="宋体" w:hAnsi="宋体" w:eastAsia="宋体"/>
          <w:b/>
          <w:color w:val="auto"/>
          <w:kern w:val="2"/>
          <w:sz w:val="21"/>
          <w:szCs w:val="21"/>
          <w:highlight w:val="none"/>
        </w:rPr>
        <w:t>1</w:t>
      </w:r>
      <w:r>
        <w:rPr>
          <w:rFonts w:hint="eastAsia" w:ascii="宋体" w:hAnsi="宋体" w:eastAsia="宋体"/>
          <w:b/>
          <w:color w:val="auto"/>
          <w:kern w:val="2"/>
          <w:sz w:val="21"/>
          <w:szCs w:val="21"/>
          <w:highlight w:val="none"/>
        </w:rPr>
        <w:t>条规定中“必须提供”的文件资料的；</w:t>
      </w:r>
    </w:p>
    <w:p w14:paraId="50B554F3">
      <w:pPr>
        <w:pStyle w:val="19"/>
        <w:snapToGrid w:val="0"/>
        <w:spacing w:line="360" w:lineRule="exact"/>
        <w:ind w:firstLine="413" w:firstLineChars="196"/>
        <w:rPr>
          <w:rFonts w:hint="eastAsia"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（3）虚假投标，或者出现其他情形而导致被评标委员会认定无效的；</w:t>
      </w:r>
    </w:p>
    <w:p w14:paraId="51EB6688">
      <w:pPr>
        <w:pStyle w:val="19"/>
        <w:snapToGrid w:val="0"/>
        <w:spacing w:line="360" w:lineRule="exact"/>
        <w:ind w:firstLine="413" w:firstLineChars="196"/>
        <w:rPr>
          <w:rFonts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（4）</w:t>
      </w:r>
      <w:bookmarkStart w:id="147" w:name="_Hlk71706244"/>
      <w:r>
        <w:rPr>
          <w:rFonts w:hint="eastAsia" w:ascii="宋体" w:hAnsi="宋体" w:eastAsia="宋体"/>
          <w:b/>
          <w:color w:val="auto"/>
          <w:kern w:val="2"/>
          <w:sz w:val="21"/>
          <w:szCs w:val="21"/>
          <w:highlight w:val="none"/>
        </w:rPr>
        <w:t>招标文件未载明允许提供备选（替代）投标方案或明确不允许提供备选（替代）投标方案时，投标人提供了备选（替代）投标方案的；</w:t>
      </w:r>
      <w:bookmarkEnd w:id="147"/>
    </w:p>
    <w:p w14:paraId="0AEFAC8F">
      <w:pPr>
        <w:pStyle w:val="19"/>
        <w:snapToGrid w:val="0"/>
        <w:spacing w:line="360" w:lineRule="exact"/>
        <w:ind w:firstLine="413" w:firstLineChars="196"/>
        <w:rPr>
          <w:rFonts w:hint="eastAsia"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（5）未响应招标文件实质性要求的。</w:t>
      </w:r>
    </w:p>
    <w:p w14:paraId="5A66F78E">
      <w:pPr>
        <w:pStyle w:val="6"/>
        <w:keepNext w:val="0"/>
        <w:keepLines w:val="0"/>
        <w:spacing w:before="0" w:after="0" w:line="360" w:lineRule="exact"/>
        <w:ind w:left="420" w:leftChars="200"/>
        <w:rPr>
          <w:rFonts w:hint="eastAsia" w:ascii="宋体" w:hAnsi="宋体"/>
          <w:color w:val="auto"/>
          <w:sz w:val="21"/>
          <w:szCs w:val="21"/>
          <w:highlight w:val="none"/>
        </w:rPr>
      </w:pPr>
      <w:r>
        <w:rPr>
          <w:rFonts w:hint="eastAsia" w:ascii="宋体" w:hAnsi="宋体"/>
          <w:color w:val="auto"/>
          <w:sz w:val="21"/>
          <w:szCs w:val="21"/>
          <w:highlight w:val="none"/>
        </w:rPr>
        <w:t>3</w:t>
      </w:r>
      <w:r>
        <w:rPr>
          <w:rFonts w:ascii="宋体" w:hAnsi="宋体"/>
          <w:color w:val="auto"/>
          <w:sz w:val="21"/>
          <w:szCs w:val="21"/>
          <w:highlight w:val="none"/>
        </w:rPr>
        <w:t>.</w:t>
      </w:r>
      <w:r>
        <w:rPr>
          <w:rFonts w:hint="eastAsia" w:ascii="宋体" w:hAnsi="宋体"/>
          <w:color w:val="auto"/>
          <w:sz w:val="21"/>
          <w:szCs w:val="21"/>
          <w:highlight w:val="none"/>
        </w:rPr>
        <w:t>澄清补正</w:t>
      </w:r>
    </w:p>
    <w:p w14:paraId="4DD63450">
      <w:pPr>
        <w:spacing w:line="360" w:lineRule="exact"/>
        <w:ind w:firstLine="420" w:firstLineChars="200"/>
        <w:rPr>
          <w:rFonts w:hint="eastAsia" w:ascii="宋体" w:hAnsi="宋体" w:cs="Courier New"/>
          <w:b/>
          <w:color w:val="auto"/>
          <w:szCs w:val="21"/>
          <w:highlight w:val="none"/>
        </w:rPr>
      </w:pPr>
      <w:r>
        <w:rPr>
          <w:rFonts w:hint="eastAsia" w:ascii="宋体" w:hAnsi="宋体" w:cs="Courier New"/>
          <w:color w:val="auto"/>
          <w:szCs w:val="21"/>
          <w:highlight w:val="none"/>
        </w:rPr>
        <w:t>对投标文件中含义不明确、同类问题表述不一致或者有明显文字和计算错误的内容，评标委员会应在“政采云”平台发布电子澄清函，要求投标人在规定时间内作出必要的澄清、说明或者补正。投标人在“政采云”平台接收到电子澄清函后根据澄清函内容上传PDF格式回函，电子澄清答复函使用CA证书加盖投标人电子签章后在线上传至评标委员会。投标人的澄清、说明或者补正不得超出投标文件的范围或者改变投标文件的实质性内容。</w:t>
      </w:r>
    </w:p>
    <w:p w14:paraId="70C74742">
      <w:pPr>
        <w:spacing w:line="360" w:lineRule="exact"/>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5FFD2E0E">
      <w:pPr>
        <w:spacing w:line="360" w:lineRule="exact"/>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未按评标委员会的要求作出明确澄清、说明或者更正的投标人的投标文件将按照有利于采购人的原则由评标委员会进行判定。</w:t>
      </w:r>
    </w:p>
    <w:p w14:paraId="5398F6C6">
      <w:pPr>
        <w:pStyle w:val="6"/>
        <w:keepNext w:val="0"/>
        <w:keepLines w:val="0"/>
        <w:spacing w:before="0" w:after="0" w:line="360" w:lineRule="exact"/>
        <w:ind w:left="420" w:leftChars="200"/>
        <w:rPr>
          <w:rFonts w:hint="eastAsia" w:ascii="宋体" w:hAnsi="宋体"/>
          <w:color w:val="auto"/>
          <w:sz w:val="21"/>
          <w:szCs w:val="21"/>
          <w:highlight w:val="none"/>
        </w:rPr>
      </w:pPr>
      <w:r>
        <w:rPr>
          <w:rFonts w:ascii="宋体" w:hAnsi="宋体"/>
          <w:color w:val="auto"/>
          <w:sz w:val="21"/>
          <w:szCs w:val="21"/>
          <w:highlight w:val="none"/>
        </w:rPr>
        <w:t>4.</w:t>
      </w:r>
      <w:r>
        <w:rPr>
          <w:rFonts w:hint="eastAsia" w:ascii="宋体" w:hAnsi="宋体"/>
          <w:color w:val="auto"/>
          <w:sz w:val="21"/>
          <w:szCs w:val="21"/>
          <w:highlight w:val="none"/>
        </w:rPr>
        <w:t>投标文件修正</w:t>
      </w:r>
    </w:p>
    <w:p w14:paraId="2BB92A93">
      <w:pPr>
        <w:pStyle w:val="6"/>
        <w:keepNext w:val="0"/>
        <w:keepLines w:val="0"/>
        <w:spacing w:before="0" w:after="0" w:line="360" w:lineRule="exact"/>
        <w:ind w:left="420" w:leftChars="200"/>
        <w:rPr>
          <w:rFonts w:hint="eastAsia" w:ascii="宋体" w:hAnsi="宋体"/>
          <w:b w:val="0"/>
          <w:color w:val="auto"/>
          <w:sz w:val="21"/>
          <w:szCs w:val="21"/>
          <w:highlight w:val="none"/>
        </w:rPr>
      </w:pPr>
      <w:r>
        <w:rPr>
          <w:rFonts w:ascii="宋体" w:hAnsi="宋体"/>
          <w:b w:val="0"/>
          <w:color w:val="auto"/>
          <w:sz w:val="21"/>
          <w:szCs w:val="21"/>
          <w:highlight w:val="none"/>
        </w:rPr>
        <w:t>4</w:t>
      </w:r>
      <w:r>
        <w:rPr>
          <w:rFonts w:hint="eastAsia" w:ascii="宋体" w:hAnsi="宋体"/>
          <w:b w:val="0"/>
          <w:color w:val="auto"/>
          <w:sz w:val="21"/>
          <w:szCs w:val="21"/>
          <w:highlight w:val="none"/>
        </w:rPr>
        <w:t xml:space="preserve">.1投标文件报价出现前后不一致的，按照下列规定修正： </w:t>
      </w:r>
    </w:p>
    <w:p w14:paraId="15550EAB">
      <w:pPr>
        <w:pStyle w:val="25"/>
        <w:snapToGrid w:val="0"/>
        <w:spacing w:line="360" w:lineRule="exact"/>
        <w:ind w:firstLine="420" w:firstLineChars="200"/>
        <w:rPr>
          <w:rFonts w:hAnsi="宋体"/>
          <w:color w:val="auto"/>
          <w:sz w:val="21"/>
          <w:highlight w:val="none"/>
        </w:rPr>
      </w:pPr>
      <w:r>
        <w:rPr>
          <w:rFonts w:hint="eastAsia" w:hAnsi="宋体"/>
          <w:color w:val="auto"/>
          <w:sz w:val="21"/>
          <w:highlight w:val="none"/>
        </w:rPr>
        <w:t>（1）投标文件中开标一览表（报价表）内容与投标文件中相应内容不一致的，以开标一览表（报价表）为准；</w:t>
      </w:r>
    </w:p>
    <w:p w14:paraId="649FF774">
      <w:pPr>
        <w:pStyle w:val="25"/>
        <w:snapToGrid w:val="0"/>
        <w:spacing w:line="360" w:lineRule="exact"/>
        <w:ind w:firstLine="420" w:firstLineChars="200"/>
        <w:rPr>
          <w:rFonts w:hAnsi="宋体"/>
          <w:color w:val="auto"/>
          <w:sz w:val="21"/>
          <w:highlight w:val="none"/>
        </w:rPr>
      </w:pPr>
      <w:r>
        <w:rPr>
          <w:rFonts w:hint="eastAsia" w:hAnsi="宋体"/>
          <w:color w:val="auto"/>
          <w:sz w:val="21"/>
          <w:highlight w:val="none"/>
        </w:rPr>
        <w:t>（2）大写金额和小写金额不一致的，以大写金额为准；</w:t>
      </w:r>
    </w:p>
    <w:p w14:paraId="2B6F8D99">
      <w:pPr>
        <w:pStyle w:val="25"/>
        <w:snapToGrid w:val="0"/>
        <w:spacing w:line="360" w:lineRule="exact"/>
        <w:ind w:firstLine="420" w:firstLineChars="200"/>
        <w:rPr>
          <w:rFonts w:hAnsi="宋体"/>
          <w:color w:val="auto"/>
          <w:sz w:val="21"/>
          <w:highlight w:val="none"/>
        </w:rPr>
      </w:pPr>
      <w:r>
        <w:rPr>
          <w:rFonts w:hint="eastAsia" w:hAnsi="宋体"/>
          <w:color w:val="auto"/>
          <w:sz w:val="21"/>
          <w:highlight w:val="none"/>
        </w:rPr>
        <w:t>（3）单价金额小数点或者百分比有明显错位的，以开标一览表的总价为准，并修改单价；</w:t>
      </w:r>
    </w:p>
    <w:p w14:paraId="68654479">
      <w:pPr>
        <w:pStyle w:val="25"/>
        <w:snapToGrid w:val="0"/>
        <w:spacing w:line="360" w:lineRule="exact"/>
        <w:ind w:firstLine="420" w:firstLineChars="200"/>
        <w:rPr>
          <w:rFonts w:hAnsi="宋体"/>
          <w:color w:val="auto"/>
          <w:sz w:val="21"/>
          <w:highlight w:val="none"/>
        </w:rPr>
      </w:pPr>
      <w:r>
        <w:rPr>
          <w:rFonts w:hint="eastAsia" w:hAnsi="宋体"/>
          <w:color w:val="auto"/>
          <w:sz w:val="21"/>
          <w:highlight w:val="none"/>
        </w:rPr>
        <w:t>（4）总价金额与按单价汇总金额不一致的，以单价金额计算结果为准。</w:t>
      </w:r>
    </w:p>
    <w:p w14:paraId="1545989C">
      <w:pPr>
        <w:pStyle w:val="25"/>
        <w:snapToGrid w:val="0"/>
        <w:spacing w:line="360" w:lineRule="exact"/>
        <w:ind w:firstLine="420" w:firstLineChars="200"/>
        <w:rPr>
          <w:rFonts w:hint="eastAsia" w:hAnsi="宋体"/>
          <w:color w:val="auto"/>
          <w:sz w:val="21"/>
          <w:highlight w:val="none"/>
        </w:rPr>
      </w:pPr>
      <w:r>
        <w:rPr>
          <w:rFonts w:hint="eastAsia" w:hAnsi="宋体"/>
          <w:color w:val="auto"/>
          <w:sz w:val="21"/>
          <w:highlight w:val="none"/>
        </w:rPr>
        <w:t>同时出现两种以上不一致的，按照以上（1）</w:t>
      </w:r>
      <w:r>
        <w:rPr>
          <w:rFonts w:hint="eastAsia" w:hAnsi="宋体"/>
          <w:color w:val="auto"/>
          <w:sz w:val="21"/>
          <w:highlight w:val="none"/>
          <w:lang w:eastAsia="zh-CN"/>
        </w:rPr>
        <w:t>－</w:t>
      </w:r>
      <w:r>
        <w:rPr>
          <w:rFonts w:hint="eastAsia" w:hAnsi="宋体"/>
          <w:color w:val="auto"/>
          <w:sz w:val="21"/>
          <w:highlight w:val="none"/>
        </w:rPr>
        <w:t>（4）规定的顺序修正。修正后的报价经投标人确认后产生约束力，投标人不确认的，</w:t>
      </w:r>
      <w:r>
        <w:rPr>
          <w:rFonts w:hint="eastAsia" w:hAnsi="宋体"/>
          <w:b/>
          <w:color w:val="auto"/>
          <w:kern w:val="2"/>
          <w:sz w:val="21"/>
          <w:highlight w:val="none"/>
        </w:rPr>
        <w:t>其投标无效</w:t>
      </w:r>
      <w:r>
        <w:rPr>
          <w:rFonts w:hint="eastAsia" w:hAnsi="宋体"/>
          <w:color w:val="auto"/>
          <w:sz w:val="21"/>
          <w:highlight w:val="none"/>
        </w:rPr>
        <w:t>。</w:t>
      </w:r>
    </w:p>
    <w:p w14:paraId="6F2C959F">
      <w:pPr>
        <w:pStyle w:val="6"/>
        <w:keepNext w:val="0"/>
        <w:keepLines w:val="0"/>
        <w:spacing w:before="0" w:after="0" w:line="360" w:lineRule="exact"/>
        <w:rPr>
          <w:rFonts w:hint="eastAsia" w:ascii="宋体" w:hAnsi="宋体"/>
          <w:b w:val="0"/>
          <w:color w:val="auto"/>
          <w:sz w:val="21"/>
          <w:szCs w:val="21"/>
          <w:highlight w:val="none"/>
        </w:rPr>
      </w:pPr>
      <w:r>
        <w:rPr>
          <w:rFonts w:ascii="宋体" w:hAnsi="宋体"/>
          <w:b w:val="0"/>
          <w:color w:val="auto"/>
          <w:sz w:val="21"/>
          <w:szCs w:val="21"/>
          <w:highlight w:val="none"/>
        </w:rPr>
        <w:t xml:space="preserve">    4</w:t>
      </w:r>
      <w:r>
        <w:rPr>
          <w:rFonts w:hint="eastAsia" w:ascii="宋体" w:hAnsi="宋体"/>
          <w:b w:val="0"/>
          <w:color w:val="auto"/>
          <w:sz w:val="21"/>
          <w:szCs w:val="21"/>
          <w:highlight w:val="none"/>
        </w:rPr>
        <w:t>.2经投标人确认修正后的报价若超过采购预算金额或者最高限价，</w:t>
      </w:r>
      <w:r>
        <w:rPr>
          <w:rFonts w:hint="eastAsia" w:ascii="宋体" w:hAnsi="宋体"/>
          <w:color w:val="auto"/>
          <w:sz w:val="21"/>
          <w:szCs w:val="21"/>
          <w:highlight w:val="none"/>
        </w:rPr>
        <w:t>投标人的投标文件作无效投标处理</w:t>
      </w:r>
      <w:r>
        <w:rPr>
          <w:rFonts w:hint="eastAsia" w:ascii="宋体" w:hAnsi="宋体"/>
          <w:b w:val="0"/>
          <w:color w:val="auto"/>
          <w:sz w:val="21"/>
          <w:szCs w:val="21"/>
          <w:highlight w:val="none"/>
        </w:rPr>
        <w:t>。</w:t>
      </w:r>
    </w:p>
    <w:p w14:paraId="212668FE">
      <w:pPr>
        <w:snapToGrid w:val="0"/>
        <w:spacing w:line="360" w:lineRule="exact"/>
        <w:ind w:firstLine="420" w:firstLineChars="200"/>
        <w:rPr>
          <w:rFonts w:hint="eastAsia"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.3经投标人确认修正后的报价作为签订合同的依据，并以此报价计算价格分。</w:t>
      </w:r>
    </w:p>
    <w:p w14:paraId="04456642">
      <w:pPr>
        <w:pStyle w:val="6"/>
        <w:keepNext w:val="0"/>
        <w:keepLines w:val="0"/>
        <w:spacing w:before="0" w:after="0" w:line="360" w:lineRule="exact"/>
        <w:ind w:left="420" w:leftChars="200"/>
        <w:rPr>
          <w:rFonts w:hint="eastAsia" w:ascii="宋体" w:hAnsi="宋体"/>
          <w:color w:val="auto"/>
          <w:sz w:val="21"/>
          <w:szCs w:val="21"/>
          <w:highlight w:val="none"/>
        </w:rPr>
      </w:pPr>
      <w:r>
        <w:rPr>
          <w:rFonts w:ascii="宋体" w:hAnsi="宋体"/>
          <w:color w:val="auto"/>
          <w:sz w:val="21"/>
          <w:szCs w:val="21"/>
          <w:highlight w:val="none"/>
        </w:rPr>
        <w:t>5.</w:t>
      </w:r>
      <w:r>
        <w:rPr>
          <w:rFonts w:hint="eastAsia" w:ascii="宋体" w:hAnsi="宋体"/>
          <w:color w:val="auto"/>
          <w:sz w:val="21"/>
          <w:szCs w:val="21"/>
          <w:highlight w:val="none"/>
        </w:rPr>
        <w:t>比较与评价</w:t>
      </w:r>
    </w:p>
    <w:p w14:paraId="0D2FAC12">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5.1采用综合评分法的</w:t>
      </w:r>
    </w:p>
    <w:p w14:paraId="69BC6D10">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（1）评标委员会按照招标文件中规定的评标方法及评标标准，对符合性审查合格的投标文件进行商务和技术评估，综合比较与评价。</w:t>
      </w:r>
    </w:p>
    <w:p w14:paraId="4A56B322">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（2）评标委员会独立对每个投标人的投标文件进行评价，并汇总每个投标人的得分。</w:t>
      </w:r>
    </w:p>
    <w:p w14:paraId="54C523C2">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b/>
          <w:color w:val="auto"/>
          <w:szCs w:val="21"/>
          <w:highlight w:val="none"/>
        </w:rPr>
        <w:t>投标人不能证明其报价合理性的，评标委员会将其作为无效投标处理</w:t>
      </w:r>
      <w:r>
        <w:rPr>
          <w:rFonts w:hint="eastAsia" w:ascii="宋体" w:hAnsi="宋体"/>
          <w:color w:val="auto"/>
          <w:szCs w:val="21"/>
          <w:highlight w:val="none"/>
        </w:rPr>
        <w:t>。</w:t>
      </w:r>
    </w:p>
    <w:p w14:paraId="15F9F8D2">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（3）评标委员会按照招标文件中规定的评标方法和标准计算各投标人的报价得分。在计算过程中，不得去掉最高报价或者最低报价。</w:t>
      </w:r>
    </w:p>
    <w:p w14:paraId="2C2C872E">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（4）各投标人的得分为所有评委的有效评分的算术平均数。</w:t>
      </w:r>
    </w:p>
    <w:p w14:paraId="21DDBCF8">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（5）评标委员会按照招标文件中的规定推荐中标候选人。</w:t>
      </w:r>
    </w:p>
    <w:p w14:paraId="1CEA1374">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w:t>
      </w:r>
      <w:r>
        <w:rPr>
          <w:rFonts w:hint="eastAsia" w:ascii="宋体" w:hAnsi="宋体"/>
          <w:color w:val="auto"/>
          <w:szCs w:val="21"/>
          <w:highlight w:val="none"/>
          <w:lang w:eastAsia="zh-CN"/>
        </w:rPr>
        <w:t>作出</w:t>
      </w:r>
      <w:r>
        <w:rPr>
          <w:rFonts w:hint="eastAsia" w:ascii="宋体" w:hAnsi="宋体"/>
          <w:color w:val="auto"/>
          <w:szCs w:val="21"/>
          <w:highlight w:val="none"/>
        </w:rPr>
        <w:t>结论。持不同意见的评标委员会成员应当在评标报告上签署不同意见及理由，否则视为同意评标报告。</w:t>
      </w:r>
    </w:p>
    <w:p w14:paraId="5F0B74D6">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5.2采用</w:t>
      </w:r>
      <w:r>
        <w:rPr>
          <w:rFonts w:hint="eastAsia" w:ascii="宋体" w:hAnsi="宋体"/>
          <w:color w:val="auto"/>
          <w:highlight w:val="none"/>
        </w:rPr>
        <w:t>最低评标价法</w:t>
      </w:r>
      <w:r>
        <w:rPr>
          <w:rFonts w:hint="eastAsia" w:ascii="宋体" w:hAnsi="宋体"/>
          <w:color w:val="auto"/>
          <w:szCs w:val="21"/>
          <w:highlight w:val="none"/>
        </w:rPr>
        <w:t>的</w:t>
      </w:r>
    </w:p>
    <w:p w14:paraId="2C2E3942">
      <w:pPr>
        <w:snapToGrid w:val="0"/>
        <w:spacing w:line="360" w:lineRule="exact"/>
        <w:ind w:firstLine="424" w:firstLineChars="202"/>
        <w:jc w:val="left"/>
        <w:rPr>
          <w:rFonts w:hint="eastAsia" w:ascii="宋体" w:hAnsi="宋体"/>
          <w:color w:val="auto"/>
          <w:szCs w:val="21"/>
          <w:highlight w:val="none"/>
        </w:rPr>
      </w:pPr>
      <w:r>
        <w:rPr>
          <w:rFonts w:hint="eastAsia" w:ascii="宋体" w:hAnsi="宋体"/>
          <w:color w:val="auto"/>
          <w:szCs w:val="21"/>
          <w:highlight w:val="none"/>
        </w:rPr>
        <w:t>（1）评标委员会按照招标文件中规定的评标方法及评标标准，对符合性审查合格的投标文件报价进行比较。</w:t>
      </w:r>
    </w:p>
    <w:p w14:paraId="0E77584D">
      <w:pPr>
        <w:snapToGrid w:val="0"/>
        <w:spacing w:line="360" w:lineRule="exact"/>
        <w:ind w:firstLine="399" w:firstLineChars="202"/>
        <w:jc w:val="left"/>
        <w:rPr>
          <w:rFonts w:hint="eastAsia" w:ascii="宋体" w:hAnsi="宋体"/>
          <w:color w:val="auto"/>
          <w:spacing w:val="-6"/>
          <w:szCs w:val="21"/>
          <w:highlight w:val="none"/>
        </w:rPr>
      </w:pPr>
      <w:r>
        <w:rPr>
          <w:rFonts w:hint="eastAsia" w:ascii="宋体" w:hAnsi="宋体"/>
          <w:color w:val="auto"/>
          <w:spacing w:val="-6"/>
          <w:szCs w:val="21"/>
          <w:highlight w:val="none"/>
        </w:rPr>
        <w:t>（2）评标委员会认为投标人的报价明显低于其他通过符合性审查投标人的报价，有可能影响产品质量或者不能诚信履约的，应当要求其在评标现场合理的时间内提供书面说明，必要时提交相关证明材料；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b/>
          <w:color w:val="auto"/>
          <w:spacing w:val="-6"/>
          <w:szCs w:val="21"/>
          <w:highlight w:val="none"/>
        </w:rPr>
        <w:t>投标人不能证明其报价合理性的，评标委员会将其作为无效投标处理</w:t>
      </w:r>
      <w:r>
        <w:rPr>
          <w:rFonts w:hint="eastAsia" w:ascii="宋体" w:hAnsi="宋体"/>
          <w:color w:val="auto"/>
          <w:spacing w:val="-6"/>
          <w:szCs w:val="21"/>
          <w:highlight w:val="none"/>
        </w:rPr>
        <w:t>。</w:t>
      </w:r>
    </w:p>
    <w:p w14:paraId="2BFC9C1C">
      <w:pPr>
        <w:snapToGrid w:val="0"/>
        <w:spacing w:line="360" w:lineRule="exact"/>
        <w:ind w:firstLine="424" w:firstLineChars="202"/>
        <w:jc w:val="left"/>
        <w:rPr>
          <w:rFonts w:hint="eastAsia" w:ascii="宋体" w:hAnsi="宋体"/>
          <w:color w:val="auto"/>
          <w:szCs w:val="21"/>
          <w:highlight w:val="none"/>
        </w:rPr>
      </w:pPr>
      <w:r>
        <w:rPr>
          <w:rFonts w:hint="eastAsia" w:ascii="宋体" w:hAnsi="宋体"/>
          <w:color w:val="auto"/>
          <w:szCs w:val="21"/>
          <w:highlight w:val="none"/>
        </w:rPr>
        <w:t>（3）评标委员会按照招标文件中的规定推荐中标候选人。</w:t>
      </w:r>
    </w:p>
    <w:p w14:paraId="1D0A56ED">
      <w:pPr>
        <w:snapToGrid w:val="0"/>
        <w:spacing w:line="360" w:lineRule="exact"/>
        <w:ind w:firstLine="424" w:firstLineChars="202"/>
        <w:jc w:val="left"/>
        <w:rPr>
          <w:rFonts w:ascii="宋体" w:hAnsi="宋体"/>
          <w:color w:val="auto"/>
          <w:szCs w:val="21"/>
          <w:highlight w:val="none"/>
        </w:rPr>
      </w:pPr>
      <w:r>
        <w:rPr>
          <w:rFonts w:hint="eastAsia" w:ascii="宋体" w:hAnsi="宋体"/>
          <w:color w:val="auto"/>
          <w:szCs w:val="21"/>
          <w:highlight w:val="none"/>
        </w:rPr>
        <w:t>（4）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w:t>
      </w:r>
      <w:r>
        <w:rPr>
          <w:rFonts w:hint="eastAsia" w:ascii="宋体" w:hAnsi="宋体"/>
          <w:color w:val="auto"/>
          <w:szCs w:val="21"/>
          <w:highlight w:val="none"/>
          <w:lang w:eastAsia="zh-CN"/>
        </w:rPr>
        <w:t>作出</w:t>
      </w:r>
      <w:r>
        <w:rPr>
          <w:rFonts w:hint="eastAsia" w:ascii="宋体" w:hAnsi="宋体"/>
          <w:color w:val="auto"/>
          <w:szCs w:val="21"/>
          <w:highlight w:val="none"/>
        </w:rPr>
        <w:t>结论。持不同意见的评标委员会成员应当在评标报告上签署不同意见及理由，否则视为同意评标报告。</w:t>
      </w:r>
    </w:p>
    <w:p w14:paraId="1D2FC742">
      <w:pPr>
        <w:snapToGrid w:val="0"/>
        <w:spacing w:line="360" w:lineRule="auto"/>
        <w:ind w:firstLine="426" w:firstLineChars="202"/>
        <w:jc w:val="both"/>
        <w:rPr>
          <w:rFonts w:hint="eastAsia" w:ascii="宋体" w:hAnsi="宋体"/>
          <w:color w:val="auto"/>
          <w:highlight w:val="none"/>
          <w:lang w:val="en-US" w:eastAsia="zh-CN"/>
        </w:rPr>
      </w:pPr>
      <w:r>
        <w:rPr>
          <w:rFonts w:hint="eastAsia" w:ascii="宋体" w:hAnsi="宋体"/>
          <w:b/>
          <w:bCs/>
          <w:color w:val="auto"/>
          <w:highlight w:val="none"/>
          <w:lang w:val="en-US" w:eastAsia="zh-CN"/>
        </w:rPr>
        <w:t>6.政府采购异常低价审查</w:t>
      </w:r>
    </w:p>
    <w:p w14:paraId="098EE2F8">
      <w:pPr>
        <w:snapToGrid w:val="0"/>
        <w:spacing w:line="360" w:lineRule="auto"/>
        <w:ind w:firstLine="424" w:firstLineChars="202"/>
        <w:jc w:val="both"/>
        <w:rPr>
          <w:rFonts w:hint="eastAsia" w:ascii="宋体" w:hAnsi="宋体"/>
          <w:color w:val="auto"/>
          <w:highlight w:val="none"/>
          <w:lang w:val="en-US" w:eastAsia="zh-CN"/>
        </w:rPr>
      </w:pPr>
      <w:r>
        <w:rPr>
          <w:rFonts w:hint="eastAsia" w:ascii="宋体" w:hAnsi="宋体"/>
          <w:color w:val="auto"/>
          <w:highlight w:val="none"/>
          <w:lang w:val="en-US" w:eastAsia="zh-CN"/>
        </w:rPr>
        <w:t>6.1政府采购评审中出现下列情形之一的，评审委员会应当启动异常低价投标（响应）审查程序：</w:t>
      </w:r>
    </w:p>
    <w:p w14:paraId="3C3E2625">
      <w:pPr>
        <w:snapToGrid w:val="0"/>
        <w:spacing w:line="360" w:lineRule="auto"/>
        <w:ind w:firstLine="424" w:firstLineChars="202"/>
        <w:jc w:val="both"/>
        <w:rPr>
          <w:rFonts w:hint="eastAsia" w:ascii="宋体" w:hAnsi="宋体"/>
          <w:color w:val="auto"/>
          <w:highlight w:val="none"/>
          <w:lang w:val="en-US" w:eastAsia="zh-CN"/>
        </w:rPr>
      </w:pPr>
      <w:r>
        <w:rPr>
          <w:rFonts w:hint="eastAsia" w:ascii="宋体" w:hAnsi="宋体"/>
          <w:color w:val="auto"/>
          <w:highlight w:val="none"/>
          <w:lang w:val="en-US" w:eastAsia="zh-CN"/>
        </w:rPr>
        <w:t>6.1.1投标（响应）报价低于全部通过符合性审查供应商投标（响应）报价平均值50%的，即投标（响应）报价〈全部通过符合性审查供应商投标（响应）报价平均值×50%；</w:t>
      </w:r>
    </w:p>
    <w:p w14:paraId="7D3B278C">
      <w:pPr>
        <w:snapToGrid w:val="0"/>
        <w:spacing w:line="360" w:lineRule="auto"/>
        <w:ind w:firstLine="424" w:firstLineChars="202"/>
        <w:jc w:val="both"/>
        <w:rPr>
          <w:rFonts w:hint="eastAsia" w:ascii="宋体" w:hAnsi="宋体"/>
          <w:color w:val="auto"/>
          <w:highlight w:val="none"/>
          <w:lang w:val="en-US" w:eastAsia="zh-CN"/>
        </w:rPr>
      </w:pPr>
      <w:r>
        <w:rPr>
          <w:rFonts w:hint="eastAsia" w:ascii="宋体" w:hAnsi="宋体"/>
          <w:color w:val="auto"/>
          <w:highlight w:val="none"/>
          <w:lang w:val="en-US" w:eastAsia="zh-CN"/>
        </w:rPr>
        <w:t>6.1.2投标（响应）报价低于通过符合性审查的次低报价供应商投标（响应）报价50%的，即投标（响应）报价〈通过符合性审查的次低报价供应商投标（响应）报价×50%；</w:t>
      </w:r>
    </w:p>
    <w:p w14:paraId="5D7DC05B">
      <w:pPr>
        <w:snapToGrid w:val="0"/>
        <w:spacing w:line="360" w:lineRule="auto"/>
        <w:ind w:firstLine="424" w:firstLineChars="202"/>
        <w:jc w:val="both"/>
        <w:rPr>
          <w:rFonts w:hint="eastAsia" w:ascii="宋体" w:hAnsi="宋体"/>
          <w:color w:val="auto"/>
          <w:highlight w:val="none"/>
          <w:lang w:val="en-US" w:eastAsia="zh-CN"/>
        </w:rPr>
      </w:pPr>
      <w:r>
        <w:rPr>
          <w:rFonts w:hint="eastAsia" w:ascii="宋体" w:hAnsi="宋体"/>
          <w:color w:val="auto"/>
          <w:highlight w:val="none"/>
          <w:lang w:val="en-US" w:eastAsia="zh-CN"/>
        </w:rPr>
        <w:t>6.1.3投标（响应）报价低于采购项目最高限价45%的，即投标（响应）报价＜采购项目最高限价×45%；</w:t>
      </w:r>
    </w:p>
    <w:p w14:paraId="64C3429F">
      <w:pPr>
        <w:snapToGrid w:val="0"/>
        <w:spacing w:line="360" w:lineRule="auto"/>
        <w:ind w:firstLine="424" w:firstLineChars="202"/>
        <w:jc w:val="both"/>
        <w:rPr>
          <w:rFonts w:hint="eastAsia" w:ascii="宋体" w:hAnsi="宋体"/>
          <w:color w:val="auto"/>
          <w:highlight w:val="none"/>
          <w:lang w:val="en-US" w:eastAsia="zh-CN"/>
        </w:rPr>
      </w:pPr>
      <w:r>
        <w:rPr>
          <w:rFonts w:hint="eastAsia" w:ascii="宋体" w:hAnsi="宋体"/>
          <w:color w:val="auto"/>
          <w:highlight w:val="none"/>
          <w:lang w:val="en-US" w:eastAsia="zh-CN"/>
        </w:rPr>
        <w:t>6.1.4评审委员会基于专业判断，认为供应商报价过低，有可能影响产品质量或者不能诚信履约的其他情形。</w:t>
      </w:r>
    </w:p>
    <w:p w14:paraId="4FC7E1A8">
      <w:pPr>
        <w:snapToGrid w:val="0"/>
        <w:spacing w:line="360" w:lineRule="auto"/>
        <w:ind w:firstLine="424" w:firstLineChars="202"/>
        <w:jc w:val="both"/>
        <w:rPr>
          <w:rFonts w:hint="eastAsia" w:ascii="宋体" w:hAnsi="宋体"/>
          <w:color w:val="auto"/>
          <w:highlight w:val="none"/>
          <w:lang w:val="en-US" w:eastAsia="zh-CN"/>
        </w:rPr>
      </w:pPr>
      <w:r>
        <w:rPr>
          <w:rFonts w:hint="eastAsia" w:ascii="宋体" w:hAnsi="宋体"/>
          <w:color w:val="auto"/>
          <w:highlight w:val="none"/>
          <w:lang w:val="en-US" w:eastAsia="zh-CN"/>
        </w:rPr>
        <w:t>采购人可以结合具体项目实际情况，提高上述第1项至第3项中启动异常低价投标（响应）审查的数值标准，但是最高不得超过65%。</w:t>
      </w:r>
    </w:p>
    <w:p w14:paraId="60549C4A">
      <w:pPr>
        <w:snapToGrid w:val="0"/>
        <w:spacing w:line="360" w:lineRule="auto"/>
        <w:ind w:firstLine="424" w:firstLineChars="202"/>
        <w:jc w:val="both"/>
        <w:rPr>
          <w:rFonts w:hint="eastAsia" w:ascii="宋体" w:hAnsi="宋体"/>
          <w:color w:val="auto"/>
          <w:highlight w:val="none"/>
          <w:lang w:val="en-US" w:eastAsia="zh-CN"/>
        </w:rPr>
      </w:pPr>
      <w:r>
        <w:rPr>
          <w:rFonts w:hint="eastAsia" w:ascii="宋体" w:hAnsi="宋体"/>
          <w:color w:val="auto"/>
          <w:highlight w:val="none"/>
          <w:lang w:val="en-US" w:eastAsia="zh-CN"/>
        </w:rPr>
        <w:t>相关法律法规对供应商报价有规定的，从其规定。</w:t>
      </w:r>
    </w:p>
    <w:p w14:paraId="68D73F10">
      <w:pPr>
        <w:snapToGrid w:val="0"/>
        <w:spacing w:line="360" w:lineRule="auto"/>
        <w:ind w:firstLine="424" w:firstLineChars="202"/>
        <w:jc w:val="both"/>
        <w:rPr>
          <w:rFonts w:hint="eastAsia" w:ascii="宋体" w:hAnsi="宋体"/>
          <w:color w:val="auto"/>
          <w:highlight w:val="none"/>
          <w:lang w:val="en-US" w:eastAsia="zh-CN"/>
        </w:rPr>
      </w:pPr>
      <w:r>
        <w:rPr>
          <w:rFonts w:hint="eastAsia" w:ascii="宋体" w:hAnsi="宋体"/>
          <w:color w:val="auto"/>
          <w:highlight w:val="none"/>
          <w:lang w:val="en-US" w:eastAsia="zh-CN"/>
        </w:rPr>
        <w:t>6.2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5994C708">
      <w:pPr>
        <w:snapToGrid w:val="0"/>
        <w:spacing w:line="360" w:lineRule="auto"/>
        <w:ind w:firstLine="424" w:firstLineChars="202"/>
        <w:jc w:val="both"/>
        <w:rPr>
          <w:rFonts w:hint="eastAsia" w:ascii="宋体" w:hAnsi="宋体"/>
          <w:color w:val="auto"/>
          <w:highlight w:val="none"/>
        </w:rPr>
      </w:pPr>
      <w:r>
        <w:rPr>
          <w:rFonts w:hint="eastAsia" w:ascii="宋体" w:hAnsi="宋体"/>
          <w:color w:val="auto"/>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r>
        <w:rPr>
          <w:rFonts w:ascii="宋体" w:hAnsi="宋体"/>
          <w:color w:val="auto"/>
          <w:highlight w:val="none"/>
        </w:rPr>
        <w:br w:type="page"/>
      </w:r>
      <w:r>
        <w:rPr>
          <w:rFonts w:ascii="宋体" w:hAnsi="宋体" w:cs="宋体"/>
          <w:b/>
          <w:bCs/>
          <w:color w:val="auto"/>
          <w:sz w:val="32"/>
          <w:szCs w:val="32"/>
          <w:highlight w:val="none"/>
        </w:rPr>
        <w:t>三</w:t>
      </w:r>
      <w:r>
        <w:rPr>
          <w:rFonts w:hint="eastAsia" w:ascii="宋体" w:hAnsi="宋体" w:cs="宋体"/>
          <w:b/>
          <w:bCs/>
          <w:color w:val="auto"/>
          <w:sz w:val="32"/>
          <w:szCs w:val="32"/>
          <w:highlight w:val="none"/>
        </w:rPr>
        <w:t>、评标标准</w:t>
      </w:r>
    </w:p>
    <w:p w14:paraId="586DADA7">
      <w:pPr>
        <w:pStyle w:val="5"/>
        <w:keepNext w:val="0"/>
        <w:keepLines w:val="0"/>
        <w:jc w:val="center"/>
        <w:rPr>
          <w:rFonts w:hint="eastAsia" w:ascii="宋体" w:hAnsi="宋体"/>
          <w:color w:val="auto"/>
          <w:highlight w:val="none"/>
        </w:rPr>
      </w:pPr>
      <w:r>
        <w:rPr>
          <w:rFonts w:hint="eastAsia" w:ascii="宋体" w:hAnsi="宋体"/>
          <w:color w:val="auto"/>
          <w:highlight w:val="none"/>
        </w:rPr>
        <w:t>本项目评标采用综合评分法评标。</w:t>
      </w:r>
    </w:p>
    <w:p w14:paraId="7FEC02EA">
      <w:pPr>
        <w:pStyle w:val="5"/>
        <w:keepNext w:val="0"/>
        <w:keepLines w:val="0"/>
        <w:jc w:val="left"/>
        <w:rPr>
          <w:rFonts w:hint="eastAsia" w:ascii="宋体" w:hAnsi="宋体"/>
          <w:b w:val="0"/>
          <w:bCs w:val="0"/>
          <w:color w:val="auto"/>
          <w:sz w:val="21"/>
          <w:szCs w:val="21"/>
          <w:highlight w:val="none"/>
        </w:rPr>
      </w:pPr>
      <w:r>
        <w:rPr>
          <w:rFonts w:hint="eastAsia" w:ascii="宋体" w:hAnsi="宋体"/>
          <w:b w:val="0"/>
          <w:bCs w:val="0"/>
          <w:color w:val="auto"/>
          <w:sz w:val="21"/>
          <w:szCs w:val="21"/>
          <w:highlight w:val="none"/>
        </w:rPr>
        <w:t>（一）评标原则</w:t>
      </w:r>
    </w:p>
    <w:p w14:paraId="173311A6">
      <w:pPr>
        <w:pStyle w:val="5"/>
        <w:keepNext w:val="0"/>
        <w:keepLines w:val="0"/>
        <w:jc w:val="left"/>
        <w:rPr>
          <w:rFonts w:hint="eastAsia" w:ascii="宋体" w:hAnsi="宋体"/>
          <w:b w:val="0"/>
          <w:bCs w:val="0"/>
          <w:color w:val="auto"/>
          <w:sz w:val="21"/>
          <w:szCs w:val="21"/>
          <w:highlight w:val="none"/>
        </w:rPr>
      </w:pPr>
      <w:r>
        <w:rPr>
          <w:rFonts w:hint="eastAsia" w:ascii="宋体" w:hAnsi="宋体"/>
          <w:b w:val="0"/>
          <w:bCs w:val="0"/>
          <w:color w:val="auto"/>
          <w:sz w:val="21"/>
          <w:szCs w:val="21"/>
          <w:highlight w:val="none"/>
        </w:rPr>
        <w:t>1.评委构成：评标委员会由依法组建的评审专家组成，成员人数应当为</w:t>
      </w:r>
      <w:r>
        <w:rPr>
          <w:rFonts w:hint="eastAsia" w:ascii="宋体" w:hAnsi="宋体"/>
          <w:b w:val="0"/>
          <w:bCs w:val="0"/>
          <w:color w:val="auto"/>
          <w:sz w:val="21"/>
          <w:szCs w:val="21"/>
          <w:highlight w:val="none"/>
          <w:lang w:val="en-US" w:eastAsia="zh-CN"/>
        </w:rPr>
        <w:t>7</w:t>
      </w:r>
      <w:r>
        <w:rPr>
          <w:rFonts w:hint="eastAsia" w:ascii="宋体" w:hAnsi="宋体"/>
          <w:b w:val="0"/>
          <w:bCs w:val="0"/>
          <w:color w:val="auto"/>
          <w:sz w:val="21"/>
          <w:szCs w:val="21"/>
          <w:highlight w:val="none"/>
        </w:rPr>
        <w:t>人以上单数（注：评审专家按规定从省级及以上财政部门设立的政府采购评审专家库中通过随机方式抽取评标专家）。</w:t>
      </w:r>
    </w:p>
    <w:p w14:paraId="43CE8F52">
      <w:pPr>
        <w:pStyle w:val="5"/>
        <w:keepNext w:val="0"/>
        <w:keepLines w:val="0"/>
        <w:jc w:val="left"/>
        <w:rPr>
          <w:rFonts w:hint="eastAsia" w:ascii="宋体" w:hAnsi="宋体"/>
          <w:b w:val="0"/>
          <w:bCs w:val="0"/>
          <w:color w:val="auto"/>
          <w:sz w:val="21"/>
          <w:szCs w:val="21"/>
          <w:highlight w:val="none"/>
        </w:rPr>
      </w:pPr>
      <w:r>
        <w:rPr>
          <w:rFonts w:hint="eastAsia" w:ascii="宋体" w:hAnsi="宋体"/>
          <w:b w:val="0"/>
          <w:bCs w:val="0"/>
          <w:color w:val="auto"/>
          <w:sz w:val="21"/>
          <w:szCs w:val="21"/>
          <w:highlight w:val="none"/>
        </w:rPr>
        <w:t>2.评标依据：评标委员会将以招标文件、投标文件为评标依据，采用综合评分法对投标人的价格分、技术分、商务分等三</w:t>
      </w:r>
      <w:r>
        <w:rPr>
          <w:rFonts w:hint="eastAsia" w:ascii="宋体" w:hAnsi="宋体"/>
          <w:b w:val="0"/>
          <w:bCs w:val="0"/>
          <w:color w:val="auto"/>
          <w:sz w:val="21"/>
          <w:szCs w:val="21"/>
          <w:highlight w:val="none"/>
          <w:lang w:eastAsia="zh-CN"/>
        </w:rPr>
        <w:t>个方</w:t>
      </w:r>
      <w:r>
        <w:rPr>
          <w:rFonts w:hint="eastAsia" w:ascii="宋体" w:hAnsi="宋体"/>
          <w:b w:val="0"/>
          <w:bCs w:val="0"/>
          <w:color w:val="auto"/>
          <w:sz w:val="21"/>
          <w:szCs w:val="21"/>
          <w:highlight w:val="none"/>
        </w:rPr>
        <w:t>面内容按百分制打分。</w:t>
      </w:r>
    </w:p>
    <w:p w14:paraId="5A65B337">
      <w:pPr>
        <w:pStyle w:val="5"/>
        <w:keepNext w:val="0"/>
        <w:keepLines w:val="0"/>
        <w:jc w:val="left"/>
        <w:rPr>
          <w:rFonts w:hint="eastAsia" w:ascii="宋体" w:hAnsi="宋体"/>
          <w:color w:val="auto"/>
          <w:highlight w:val="none"/>
        </w:rPr>
      </w:pPr>
      <w:r>
        <w:rPr>
          <w:rFonts w:hint="eastAsia" w:ascii="宋体" w:hAnsi="宋体"/>
          <w:b w:val="0"/>
          <w:bCs w:val="0"/>
          <w:color w:val="auto"/>
          <w:sz w:val="21"/>
          <w:szCs w:val="21"/>
          <w:highlight w:val="none"/>
        </w:rPr>
        <w:t>3.评标方式：以封闭方式进行，评标全过程中不允许投标人与评标委员会之间有可能影响到评标结果公正性的会面与谈话，以体现公平、公正的基本原则。</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3"/>
        <w:gridCol w:w="1038"/>
        <w:gridCol w:w="1846"/>
        <w:gridCol w:w="5867"/>
      </w:tblGrid>
      <w:tr w14:paraId="5C5B3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381" w:type="dxa"/>
            <w:gridSpan w:val="2"/>
            <w:vAlign w:val="center"/>
          </w:tcPr>
          <w:p w14:paraId="361B2648">
            <w:pPr>
              <w:adjustRightInd w:val="0"/>
              <w:snapToGrid w:val="0"/>
              <w:spacing w:line="240" w:lineRule="auto"/>
              <w:ind w:left="0" w:leftChars="0" w:right="0" w:rightChars="0" w:firstLine="0" w:firstLineChars="0"/>
              <w:jc w:val="center"/>
              <w:textAlignment w:val="baseline"/>
              <w:rPr>
                <w:rFonts w:hint="eastAsia" w:ascii="宋体" w:hAnsi="宋体"/>
                <w:b/>
                <w:color w:val="auto"/>
                <w:szCs w:val="21"/>
                <w:highlight w:val="none"/>
              </w:rPr>
            </w:pPr>
            <w:r>
              <w:rPr>
                <w:rFonts w:hint="eastAsia" w:ascii="宋体" w:hAnsi="宋体"/>
                <w:b/>
                <w:color w:val="auto"/>
                <w:szCs w:val="21"/>
                <w:highlight w:val="none"/>
              </w:rPr>
              <w:t>序号</w:t>
            </w:r>
          </w:p>
        </w:tc>
        <w:tc>
          <w:tcPr>
            <w:tcW w:w="1847" w:type="dxa"/>
            <w:vAlign w:val="center"/>
          </w:tcPr>
          <w:p w14:paraId="197BFEFE">
            <w:pPr>
              <w:adjustRightInd w:val="0"/>
              <w:snapToGrid w:val="0"/>
              <w:spacing w:line="240" w:lineRule="auto"/>
              <w:ind w:left="0" w:leftChars="0" w:right="0" w:rightChars="0" w:firstLine="0" w:firstLineChars="0"/>
              <w:jc w:val="center"/>
              <w:textAlignment w:val="baseline"/>
              <w:rPr>
                <w:rFonts w:hint="eastAsia" w:ascii="宋体" w:hAnsi="宋体"/>
                <w:b/>
                <w:color w:val="auto"/>
                <w:szCs w:val="21"/>
                <w:highlight w:val="none"/>
              </w:rPr>
            </w:pPr>
            <w:r>
              <w:rPr>
                <w:rFonts w:hint="eastAsia" w:ascii="宋体" w:hAnsi="宋体"/>
                <w:b/>
                <w:color w:val="auto"/>
                <w:szCs w:val="21"/>
                <w:highlight w:val="none"/>
              </w:rPr>
              <w:t>评审因素</w:t>
            </w:r>
          </w:p>
        </w:tc>
        <w:tc>
          <w:tcPr>
            <w:tcW w:w="5870" w:type="dxa"/>
            <w:vAlign w:val="center"/>
          </w:tcPr>
          <w:p w14:paraId="25B5581E">
            <w:pPr>
              <w:adjustRightInd w:val="0"/>
              <w:snapToGrid w:val="0"/>
              <w:spacing w:line="240" w:lineRule="auto"/>
              <w:ind w:left="0" w:leftChars="0" w:right="0" w:rightChars="0" w:firstLine="0" w:firstLineChars="0"/>
              <w:jc w:val="center"/>
              <w:textAlignment w:val="baseline"/>
              <w:rPr>
                <w:rFonts w:hint="eastAsia" w:ascii="宋体" w:hAnsi="宋体"/>
                <w:b/>
                <w:color w:val="auto"/>
                <w:szCs w:val="21"/>
                <w:highlight w:val="none"/>
              </w:rPr>
            </w:pPr>
            <w:r>
              <w:rPr>
                <w:rFonts w:hint="eastAsia" w:ascii="宋体" w:hAnsi="宋体"/>
                <w:b/>
                <w:color w:val="auto"/>
                <w:szCs w:val="21"/>
                <w:highlight w:val="none"/>
              </w:rPr>
              <w:t>评标标准</w:t>
            </w:r>
          </w:p>
        </w:tc>
      </w:tr>
      <w:tr w14:paraId="68736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3" w:type="dxa"/>
            <w:vAlign w:val="center"/>
          </w:tcPr>
          <w:p w14:paraId="31A6D280">
            <w:pPr>
              <w:adjustRightInd w:val="0"/>
              <w:snapToGrid w:val="0"/>
              <w:spacing w:line="240" w:lineRule="auto"/>
              <w:ind w:left="0" w:leftChars="0" w:right="0" w:rightChars="0" w:firstLine="0" w:firstLineChars="0"/>
              <w:jc w:val="center"/>
              <w:textAlignment w:val="baseline"/>
              <w:rPr>
                <w:rFonts w:hint="eastAsia" w:ascii="宋体" w:hAnsi="宋体" w:eastAsia="宋体"/>
                <w:b/>
                <w:color w:val="auto"/>
                <w:sz w:val="21"/>
                <w:szCs w:val="21"/>
                <w:highlight w:val="none"/>
              </w:rPr>
            </w:pPr>
            <w:r>
              <w:rPr>
                <w:rFonts w:hint="eastAsia" w:ascii="宋体" w:hAnsi="宋体" w:eastAsia="宋体"/>
                <w:b/>
                <w:color w:val="auto"/>
                <w:sz w:val="21"/>
                <w:szCs w:val="21"/>
                <w:highlight w:val="none"/>
              </w:rPr>
              <w:t>1</w:t>
            </w:r>
          </w:p>
        </w:tc>
        <w:tc>
          <w:tcPr>
            <w:tcW w:w="1038" w:type="dxa"/>
            <w:vAlign w:val="center"/>
          </w:tcPr>
          <w:p w14:paraId="0CE41869">
            <w:pPr>
              <w:adjustRightInd w:val="0"/>
              <w:snapToGrid w:val="0"/>
              <w:spacing w:line="240" w:lineRule="auto"/>
              <w:ind w:left="0" w:leftChars="0" w:right="0" w:rightChars="0" w:firstLine="0" w:firstLineChars="0"/>
              <w:jc w:val="center"/>
              <w:textAlignment w:val="baseline"/>
              <w:rPr>
                <w:rFonts w:hint="eastAsia" w:ascii="宋体" w:hAnsi="宋体" w:eastAsia="宋体"/>
                <w:color w:val="auto"/>
                <w:sz w:val="21"/>
                <w:szCs w:val="21"/>
                <w:highlight w:val="none"/>
              </w:rPr>
            </w:pPr>
            <w:r>
              <w:rPr>
                <w:rFonts w:hint="eastAsia" w:ascii="宋体" w:hAnsi="宋体" w:eastAsia="宋体"/>
                <w:b/>
                <w:bCs w:val="0"/>
                <w:color w:val="auto"/>
                <w:sz w:val="21"/>
                <w:szCs w:val="21"/>
                <w:highlight w:val="none"/>
              </w:rPr>
              <w:t>价格分（满分</w:t>
            </w:r>
            <w:r>
              <w:rPr>
                <w:rFonts w:hint="eastAsia" w:ascii="宋体" w:hAnsi="宋体" w:eastAsia="宋体"/>
                <w:b/>
                <w:bCs w:val="0"/>
                <w:color w:val="auto"/>
                <w:sz w:val="21"/>
                <w:szCs w:val="21"/>
                <w:highlight w:val="none"/>
                <w:u w:val="single"/>
                <w:lang w:val="en-US" w:eastAsia="zh-CN"/>
              </w:rPr>
              <w:t>1</w:t>
            </w:r>
            <w:r>
              <w:rPr>
                <w:rFonts w:hint="eastAsia" w:ascii="宋体" w:hAnsi="宋体" w:eastAsia="宋体"/>
                <w:b/>
                <w:bCs w:val="0"/>
                <w:color w:val="auto"/>
                <w:sz w:val="21"/>
                <w:szCs w:val="21"/>
                <w:highlight w:val="none"/>
                <w:u w:val="single"/>
              </w:rPr>
              <w:t>0</w:t>
            </w:r>
            <w:r>
              <w:rPr>
                <w:rFonts w:hint="eastAsia" w:ascii="宋体" w:hAnsi="宋体" w:eastAsia="宋体"/>
                <w:b/>
                <w:bCs w:val="0"/>
                <w:color w:val="auto"/>
                <w:sz w:val="21"/>
                <w:szCs w:val="21"/>
                <w:highlight w:val="none"/>
              </w:rPr>
              <w:t>分）</w:t>
            </w:r>
          </w:p>
        </w:tc>
        <w:tc>
          <w:tcPr>
            <w:tcW w:w="1847" w:type="dxa"/>
            <w:vAlign w:val="center"/>
          </w:tcPr>
          <w:p w14:paraId="2137735B">
            <w:pPr>
              <w:adjustRightInd w:val="0"/>
              <w:snapToGrid w:val="0"/>
              <w:spacing w:line="360" w:lineRule="auto"/>
              <w:ind w:left="0" w:leftChars="0" w:right="0" w:rightChars="0" w:firstLine="0" w:firstLineChars="0"/>
              <w:jc w:val="center"/>
              <w:textAlignment w:val="baseline"/>
              <w:rPr>
                <w:rFonts w:hint="eastAsia" w:ascii="宋体" w:hAnsi="宋体" w:eastAsia="宋体"/>
                <w:b/>
                <w:color w:val="auto"/>
                <w:sz w:val="21"/>
                <w:szCs w:val="21"/>
                <w:highlight w:val="none"/>
              </w:rPr>
            </w:pPr>
            <w:r>
              <w:rPr>
                <w:rFonts w:hint="eastAsia" w:ascii="宋体" w:hAnsi="宋体" w:eastAsia="宋体"/>
                <w:b/>
                <w:color w:val="auto"/>
                <w:sz w:val="21"/>
                <w:szCs w:val="21"/>
                <w:highlight w:val="none"/>
              </w:rPr>
              <w:t>投标报价</w:t>
            </w:r>
          </w:p>
        </w:tc>
        <w:tc>
          <w:tcPr>
            <w:tcW w:w="5870" w:type="dxa"/>
            <w:vAlign w:val="center"/>
          </w:tcPr>
          <w:p w14:paraId="1E84F260">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s="Courier New"/>
                <w:bCs/>
                <w:color w:val="auto"/>
                <w:szCs w:val="21"/>
                <w:highlight w:val="none"/>
              </w:rPr>
            </w:pPr>
            <w:r>
              <w:rPr>
                <w:rFonts w:hint="eastAsia" w:ascii="宋体" w:hAnsi="宋体" w:cs="Courier New"/>
                <w:bCs/>
                <w:color w:val="auto"/>
                <w:szCs w:val="21"/>
                <w:highlight w:val="none"/>
              </w:rPr>
              <w:t>（1）评标报价为投标人的投标报价进行政策性扣除后的价格，评标报价</w:t>
            </w:r>
            <w:r>
              <w:rPr>
                <w:rFonts w:hint="eastAsia" w:ascii="宋体" w:hAnsi="宋体" w:cs="Courier New"/>
                <w:bCs/>
                <w:color w:val="auto"/>
                <w:szCs w:val="21"/>
                <w:highlight w:val="none"/>
                <w:lang w:eastAsia="zh-CN"/>
              </w:rPr>
              <w:t>只</w:t>
            </w:r>
            <w:r>
              <w:rPr>
                <w:rFonts w:hint="eastAsia" w:ascii="宋体" w:hAnsi="宋体" w:cs="Courier New"/>
                <w:bCs/>
                <w:color w:val="auto"/>
                <w:szCs w:val="21"/>
                <w:highlight w:val="none"/>
              </w:rPr>
              <w:t>作为评标时使用。最终中标人的中标金额等于投标报价。</w:t>
            </w:r>
          </w:p>
          <w:p w14:paraId="0D09CB3B">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s="Courier New"/>
                <w:bCs/>
                <w:color w:val="auto"/>
                <w:szCs w:val="21"/>
                <w:highlight w:val="none"/>
              </w:rPr>
            </w:pPr>
            <w:r>
              <w:rPr>
                <w:rFonts w:hint="eastAsia" w:ascii="宋体" w:hAnsi="宋体" w:cs="Courier New"/>
                <w:bCs/>
                <w:color w:val="auto"/>
                <w:szCs w:val="21"/>
                <w:highlight w:val="none"/>
              </w:rPr>
              <w:t>（2）政策性扣除计算方法。</w:t>
            </w:r>
          </w:p>
          <w:p w14:paraId="13ABE3FC">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s="Courier New"/>
                <w:bCs/>
                <w:color w:val="auto"/>
                <w:szCs w:val="21"/>
                <w:highlight w:val="none"/>
                <w:lang w:eastAsia="zh-CN"/>
              </w:rPr>
            </w:pPr>
            <w:r>
              <w:rPr>
                <w:rFonts w:hint="eastAsia" w:ascii="宋体" w:hAnsi="宋体" w:cs="Courier New"/>
                <w:bCs/>
                <w:color w:val="auto"/>
                <w:szCs w:val="21"/>
                <w:highlight w:val="none"/>
                <w:lang w:eastAsia="zh-CN"/>
              </w:rPr>
              <w:t>按照《政府采购促进中小企业发展管理办法》（财库〔2020〕46号）的规定，对小微企业的投标报价不再执行价格评审优惠的扶持政策。</w:t>
            </w:r>
          </w:p>
          <w:p w14:paraId="47819761">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s="Courier New"/>
                <w:bCs/>
                <w:color w:val="auto"/>
                <w:szCs w:val="21"/>
                <w:highlight w:val="none"/>
              </w:rPr>
            </w:pPr>
            <w:r>
              <w:rPr>
                <w:rFonts w:hint="eastAsia" w:ascii="宋体" w:hAnsi="宋体" w:cs="Courier New"/>
                <w:bCs/>
                <w:color w:val="auto"/>
                <w:szCs w:val="21"/>
                <w:highlight w:val="none"/>
              </w:rPr>
              <w:t>除上述情况外，</w:t>
            </w:r>
            <w:r>
              <w:rPr>
                <w:rFonts w:hint="eastAsia" w:ascii="宋体" w:hAnsi="宋体" w:cs="Courier New"/>
                <w:bCs/>
                <w:color w:val="auto"/>
                <w:szCs w:val="21"/>
                <w:highlight w:val="none"/>
                <w:lang w:eastAsia="zh-CN"/>
              </w:rPr>
              <w:t>评标价</w:t>
            </w:r>
            <w:r>
              <w:rPr>
                <w:rFonts w:hint="eastAsia" w:ascii="宋体" w:hAnsi="宋体" w:cs="Courier New"/>
                <w:bCs/>
                <w:color w:val="auto"/>
                <w:szCs w:val="21"/>
                <w:highlight w:val="none"/>
              </w:rPr>
              <w:t>=投标报价。</w:t>
            </w:r>
          </w:p>
          <w:p w14:paraId="51465FF2">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s="Courier New"/>
                <w:bCs/>
                <w:color w:val="auto"/>
                <w:szCs w:val="21"/>
                <w:highlight w:val="none"/>
              </w:rPr>
            </w:pPr>
            <w:r>
              <w:rPr>
                <w:rFonts w:hint="eastAsia" w:ascii="宋体" w:hAnsi="宋体" w:cs="Courier New"/>
                <w:bCs/>
                <w:color w:val="auto"/>
                <w:szCs w:val="21"/>
                <w:highlight w:val="none"/>
              </w:rPr>
              <w:t>（</w:t>
            </w:r>
            <w:r>
              <w:rPr>
                <w:rFonts w:hint="eastAsia" w:ascii="宋体" w:hAnsi="宋体" w:cs="Courier New"/>
                <w:bCs/>
                <w:color w:val="auto"/>
                <w:szCs w:val="21"/>
                <w:highlight w:val="none"/>
                <w:lang w:val="en-US" w:eastAsia="zh-CN"/>
              </w:rPr>
              <w:t>3</w:t>
            </w:r>
            <w:r>
              <w:rPr>
                <w:rFonts w:hint="eastAsia" w:ascii="宋体" w:hAnsi="宋体" w:cs="Courier New"/>
                <w:bCs/>
                <w:color w:val="auto"/>
                <w:szCs w:val="21"/>
                <w:highlight w:val="none"/>
              </w:rPr>
              <w:t>）满足招标文件要求且评标报价最低的评标报价为评标基准价，其价格分为满分。</w:t>
            </w:r>
          </w:p>
          <w:p w14:paraId="191C5F8D">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s="Courier New"/>
                <w:bCs/>
                <w:color w:val="auto"/>
                <w:szCs w:val="21"/>
                <w:highlight w:val="none"/>
              </w:rPr>
            </w:pPr>
            <w:r>
              <w:rPr>
                <w:rFonts w:hint="eastAsia" w:ascii="宋体" w:hAnsi="宋体" w:cs="Courier New"/>
                <w:bCs/>
                <w:color w:val="auto"/>
                <w:szCs w:val="21"/>
                <w:highlight w:val="none"/>
              </w:rPr>
              <w:t>（</w:t>
            </w:r>
            <w:r>
              <w:rPr>
                <w:rFonts w:hint="eastAsia" w:ascii="宋体" w:hAnsi="宋体" w:cs="Courier New"/>
                <w:bCs/>
                <w:color w:val="auto"/>
                <w:szCs w:val="21"/>
                <w:highlight w:val="none"/>
                <w:lang w:val="en-US" w:eastAsia="zh-CN"/>
              </w:rPr>
              <w:t>4</w:t>
            </w:r>
            <w:r>
              <w:rPr>
                <w:rFonts w:hint="eastAsia" w:ascii="宋体" w:hAnsi="宋体" w:cs="Courier New"/>
                <w:bCs/>
                <w:color w:val="auto"/>
                <w:szCs w:val="21"/>
                <w:highlight w:val="none"/>
              </w:rPr>
              <w:t xml:space="preserve">）价格分计算公式：        </w:t>
            </w:r>
          </w:p>
          <w:p w14:paraId="0FC8C2D3">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s="Courier New"/>
                <w:bCs/>
                <w:color w:val="auto"/>
                <w:szCs w:val="21"/>
                <w:highlight w:val="none"/>
              </w:rPr>
            </w:pPr>
            <w:r>
              <w:rPr>
                <w:rFonts w:hint="eastAsia" w:ascii="宋体" w:hAnsi="宋体" w:cs="Courier New"/>
                <w:bCs/>
                <w:color w:val="auto"/>
                <w:szCs w:val="21"/>
                <w:highlight w:val="none"/>
              </w:rPr>
              <w:t>价格分=（评标基准价／评标报价）×</w:t>
            </w:r>
            <w:r>
              <w:rPr>
                <w:rFonts w:hint="eastAsia" w:ascii="宋体" w:hAnsi="宋体" w:cs="Courier New"/>
                <w:bCs/>
                <w:color w:val="auto"/>
                <w:szCs w:val="21"/>
                <w:highlight w:val="none"/>
                <w:lang w:val="en-US" w:eastAsia="zh-CN"/>
              </w:rPr>
              <w:t>1</w:t>
            </w:r>
            <w:r>
              <w:rPr>
                <w:rFonts w:hint="eastAsia" w:ascii="宋体" w:hAnsi="宋体" w:cs="Courier New"/>
                <w:bCs/>
                <w:color w:val="auto"/>
                <w:szCs w:val="21"/>
                <w:highlight w:val="none"/>
              </w:rPr>
              <w:t>0分</w:t>
            </w:r>
          </w:p>
          <w:p w14:paraId="3E8F726B">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Courier New"/>
                <w:bCs/>
                <w:color w:val="auto"/>
                <w:szCs w:val="21"/>
                <w:highlight w:val="none"/>
                <w:lang w:val="en-US" w:eastAsia="zh-CN"/>
              </w:rPr>
            </w:pPr>
            <w:r>
              <w:rPr>
                <w:rFonts w:hint="eastAsia" w:ascii="宋体" w:hAnsi="宋体" w:cs="Courier New"/>
                <w:bCs/>
                <w:color w:val="auto"/>
                <w:szCs w:val="21"/>
                <w:highlight w:val="none"/>
              </w:rPr>
              <w:t>（</w:t>
            </w:r>
            <w:r>
              <w:rPr>
                <w:rFonts w:hint="eastAsia" w:ascii="宋体" w:hAnsi="宋体" w:cs="Courier New"/>
                <w:bCs/>
                <w:color w:val="auto"/>
                <w:szCs w:val="21"/>
                <w:highlight w:val="none"/>
                <w:lang w:val="en-US" w:eastAsia="zh-CN"/>
              </w:rPr>
              <w:t>5</w:t>
            </w:r>
            <w:r>
              <w:rPr>
                <w:rFonts w:hint="eastAsia" w:ascii="宋体" w:hAnsi="宋体" w:cs="Courier New"/>
                <w:bCs/>
                <w:color w:val="auto"/>
                <w:szCs w:val="21"/>
                <w:highlight w:val="none"/>
              </w:rPr>
              <w:t>）</w:t>
            </w:r>
            <w:r>
              <w:rPr>
                <w:rFonts w:hint="eastAsia" w:ascii="宋体" w:hAnsi="宋体" w:cs="Courier New"/>
                <w:bCs/>
                <w:color w:val="auto"/>
                <w:szCs w:val="21"/>
                <w:highlight w:val="none"/>
                <w:lang w:val="en-US" w:eastAsia="zh-CN"/>
              </w:rPr>
              <w:t>依据《关于推动解决政府采购异常低价问题的通知》（财库〔2026〕2号）文件要求，</w:t>
            </w:r>
            <w:r>
              <w:rPr>
                <w:rFonts w:hint="eastAsia" w:ascii="宋体" w:hAnsi="宋体" w:cs="Courier New"/>
                <w:bCs/>
                <w:color w:val="auto"/>
                <w:szCs w:val="21"/>
                <w:highlight w:val="none"/>
              </w:rPr>
              <w:t>政府采购评审中出现下列情形之一的，评审委员会应当启</w:t>
            </w:r>
            <w:r>
              <w:rPr>
                <w:rFonts w:hint="eastAsia" w:ascii="宋体" w:hAnsi="宋体" w:eastAsia="宋体" w:cs="Courier New"/>
                <w:bCs/>
                <w:color w:val="auto"/>
                <w:szCs w:val="21"/>
                <w:highlight w:val="none"/>
                <w:lang w:val="en-US" w:eastAsia="zh-CN"/>
              </w:rPr>
              <w:t>动异常低价投标（响应）审查程序：</w:t>
            </w:r>
          </w:p>
          <w:p w14:paraId="3DD26F19">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Courier New"/>
                <w:bCs/>
                <w:color w:val="auto"/>
                <w:szCs w:val="21"/>
                <w:highlight w:val="none"/>
                <w:lang w:val="en-US" w:eastAsia="zh-CN"/>
              </w:rPr>
            </w:pPr>
            <w:r>
              <w:rPr>
                <w:rFonts w:hint="default" w:ascii="宋体" w:hAnsi="宋体" w:eastAsia="宋体" w:cs="Courier New"/>
                <w:bCs/>
                <w:color w:val="auto"/>
                <w:szCs w:val="21"/>
                <w:highlight w:val="none"/>
                <w:lang w:val="en-US" w:eastAsia="zh-CN"/>
              </w:rPr>
              <w:t>①</w:t>
            </w:r>
            <w:r>
              <w:rPr>
                <w:rFonts w:hint="eastAsia" w:ascii="宋体" w:hAnsi="宋体" w:eastAsia="宋体" w:cs="Courier New"/>
                <w:bCs/>
                <w:color w:val="auto"/>
                <w:szCs w:val="21"/>
                <w:highlight w:val="none"/>
                <w:lang w:val="en-US" w:eastAsia="zh-CN"/>
              </w:rPr>
              <w:t>投标（响应）报价低于全部通过符合性审查投标人投标（响应）报价平均值50%的，即投标（响应）报价〈全部通过符合性审查供应商投标（响应）报价平均值×50%；</w:t>
            </w:r>
          </w:p>
          <w:p w14:paraId="41262F20">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Courier New"/>
                <w:bCs/>
                <w:color w:val="auto"/>
                <w:szCs w:val="21"/>
                <w:highlight w:val="none"/>
                <w:lang w:val="en-US" w:eastAsia="zh-CN"/>
              </w:rPr>
            </w:pPr>
            <w:r>
              <w:rPr>
                <w:rFonts w:hint="default" w:ascii="宋体" w:hAnsi="宋体" w:eastAsia="宋体" w:cs="Courier New"/>
                <w:bCs/>
                <w:color w:val="auto"/>
                <w:szCs w:val="21"/>
                <w:highlight w:val="none"/>
                <w:lang w:val="en-US" w:eastAsia="zh-CN"/>
              </w:rPr>
              <w:t>②</w:t>
            </w:r>
            <w:r>
              <w:rPr>
                <w:rFonts w:hint="eastAsia" w:ascii="宋体" w:hAnsi="宋体" w:eastAsia="宋体" w:cs="Courier New"/>
                <w:bCs/>
                <w:color w:val="auto"/>
                <w:szCs w:val="21"/>
                <w:highlight w:val="none"/>
                <w:lang w:val="en-US" w:eastAsia="zh-CN"/>
              </w:rPr>
              <w:t>投标（响应）报价低于通过符合性审查的次低报价投标人投标（响应）报价50%的，即投标（响应）报价〈通过符合性审查的次低报价投标人投标（响应）报价×50%；</w:t>
            </w:r>
          </w:p>
          <w:p w14:paraId="1D17883D">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Courier New"/>
                <w:bCs/>
                <w:color w:val="auto"/>
                <w:szCs w:val="21"/>
                <w:highlight w:val="none"/>
                <w:lang w:val="en-US" w:eastAsia="zh-CN"/>
              </w:rPr>
            </w:pPr>
            <w:r>
              <w:rPr>
                <w:rFonts w:hint="default" w:ascii="宋体" w:hAnsi="宋体" w:eastAsia="宋体" w:cs="Courier New"/>
                <w:bCs/>
                <w:color w:val="auto"/>
                <w:szCs w:val="21"/>
                <w:highlight w:val="none"/>
                <w:lang w:val="en-US" w:eastAsia="zh-CN"/>
              </w:rPr>
              <w:t>③</w:t>
            </w:r>
            <w:r>
              <w:rPr>
                <w:rFonts w:hint="eastAsia" w:ascii="宋体" w:hAnsi="宋体" w:eastAsia="宋体" w:cs="Courier New"/>
                <w:bCs/>
                <w:color w:val="auto"/>
                <w:szCs w:val="21"/>
                <w:highlight w:val="none"/>
                <w:lang w:val="en-US" w:eastAsia="zh-CN"/>
              </w:rPr>
              <w:t>投标（响应）报价低于采购项目最高限价45%的，即投标（响应）报价＜采购项目最高限价×45%；</w:t>
            </w:r>
          </w:p>
          <w:p w14:paraId="261594B2">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Courier New"/>
                <w:bCs/>
                <w:color w:val="auto"/>
                <w:szCs w:val="21"/>
                <w:highlight w:val="none"/>
                <w:lang w:val="en-US" w:eastAsia="zh-CN"/>
              </w:rPr>
            </w:pPr>
            <w:r>
              <w:rPr>
                <w:rFonts w:hint="eastAsia" w:ascii="宋体" w:hAnsi="宋体" w:eastAsia="宋体" w:cs="Courier New"/>
                <w:bCs/>
                <w:color w:val="auto"/>
                <w:szCs w:val="21"/>
                <w:highlight w:val="none"/>
                <w:lang w:val="en-US" w:eastAsia="zh-CN"/>
              </w:rPr>
              <w:fldChar w:fldCharType="begin"/>
            </w:r>
            <w:r>
              <w:rPr>
                <w:rFonts w:hint="eastAsia" w:ascii="宋体" w:hAnsi="宋体" w:eastAsia="宋体" w:cs="Courier New"/>
                <w:bCs/>
                <w:color w:val="auto"/>
                <w:szCs w:val="21"/>
                <w:highlight w:val="none"/>
                <w:lang w:val="en-US" w:eastAsia="zh-CN"/>
              </w:rPr>
              <w:instrText xml:space="preserve"> = 4 \* GB3 \* MERGEFORMAT </w:instrText>
            </w:r>
            <w:r>
              <w:rPr>
                <w:rFonts w:hint="eastAsia" w:ascii="宋体" w:hAnsi="宋体" w:eastAsia="宋体" w:cs="Courier New"/>
                <w:bCs/>
                <w:color w:val="auto"/>
                <w:szCs w:val="21"/>
                <w:highlight w:val="none"/>
                <w:lang w:val="en-US" w:eastAsia="zh-CN"/>
              </w:rPr>
              <w:fldChar w:fldCharType="separate"/>
            </w:r>
            <w:r>
              <w:rPr>
                <w:rFonts w:hint="eastAsia" w:ascii="宋体" w:hAnsi="宋体" w:eastAsia="宋体" w:cs="Courier New"/>
                <w:bCs/>
                <w:color w:val="auto"/>
                <w:szCs w:val="21"/>
                <w:highlight w:val="none"/>
                <w:lang w:val="en-US" w:eastAsia="zh-CN"/>
              </w:rPr>
              <w:t>④</w:t>
            </w:r>
            <w:r>
              <w:rPr>
                <w:rFonts w:hint="eastAsia" w:ascii="宋体" w:hAnsi="宋体" w:eastAsia="宋体" w:cs="Courier New"/>
                <w:bCs/>
                <w:color w:val="auto"/>
                <w:szCs w:val="21"/>
                <w:highlight w:val="none"/>
                <w:lang w:val="en-US" w:eastAsia="zh-CN"/>
              </w:rPr>
              <w:fldChar w:fldCharType="end"/>
            </w:r>
            <w:r>
              <w:rPr>
                <w:rFonts w:hint="eastAsia" w:ascii="宋体" w:hAnsi="宋体" w:eastAsia="宋体" w:cs="Courier New"/>
                <w:bCs/>
                <w:color w:val="auto"/>
                <w:szCs w:val="21"/>
                <w:highlight w:val="none"/>
                <w:lang w:val="en-US" w:eastAsia="zh-CN"/>
              </w:rPr>
              <w:t>评审委员会基于专业判断，认为投标人报价过低，有可能影响产品质量或者不能诚信履约的其他情形。</w:t>
            </w:r>
          </w:p>
          <w:p w14:paraId="1A1BD1BE">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Courier New"/>
                <w:bCs/>
                <w:color w:val="auto"/>
                <w:szCs w:val="21"/>
                <w:highlight w:val="none"/>
                <w:lang w:val="en-US" w:eastAsia="zh-CN"/>
              </w:rPr>
            </w:pPr>
            <w:r>
              <w:rPr>
                <w:rFonts w:hint="eastAsia" w:ascii="宋体" w:hAnsi="宋体" w:eastAsia="宋体" w:cs="Courier New"/>
                <w:bCs/>
                <w:color w:val="auto"/>
                <w:szCs w:val="21"/>
                <w:highlight w:val="none"/>
                <w:lang w:val="en-US" w:eastAsia="zh-CN"/>
              </w:rPr>
              <w:t>采购人可以结合具体项目实际情况，提高上述第1项至第3项中启动异常低价投标（响应）审查的数值标准，但是最高不得超过65%。</w:t>
            </w:r>
          </w:p>
          <w:p w14:paraId="05D994A9">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Courier New"/>
                <w:bCs/>
                <w:color w:val="auto"/>
                <w:szCs w:val="21"/>
                <w:highlight w:val="none"/>
                <w:lang w:val="en-US" w:eastAsia="zh-CN"/>
              </w:rPr>
            </w:pPr>
            <w:r>
              <w:rPr>
                <w:rFonts w:hint="eastAsia" w:ascii="宋体" w:hAnsi="宋体" w:eastAsia="宋体" w:cs="Courier New"/>
                <w:bCs/>
                <w:color w:val="auto"/>
                <w:szCs w:val="21"/>
                <w:highlight w:val="none"/>
                <w:lang w:val="en-US" w:eastAsia="zh-CN"/>
              </w:rPr>
              <w:t>相关法律法规对投标人报价有规定的，从其规定。</w:t>
            </w:r>
          </w:p>
          <w:p w14:paraId="7E580B3E">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Courier New"/>
                <w:bCs/>
                <w:color w:val="auto"/>
                <w:szCs w:val="21"/>
                <w:highlight w:val="none"/>
                <w:lang w:val="en-US" w:eastAsia="zh-CN"/>
              </w:rPr>
            </w:pPr>
            <w:r>
              <w:rPr>
                <w:rFonts w:hint="eastAsia" w:ascii="宋体" w:hAnsi="宋体" w:eastAsia="宋体" w:cs="Courier New"/>
                <w:bCs/>
                <w:color w:val="auto"/>
                <w:szCs w:val="21"/>
                <w:highlight w:val="none"/>
                <w:lang w:val="en-US" w:eastAsia="zh-CN"/>
              </w:rPr>
              <w:t>（6）评审委员会启动异常低价投标（响应）审查后，属于前述第1项至第4项情形的，应当要求相关投标人在评审现场合理的时间内对投标（响应）价格作出解释，提供项目具体成本测算等与报价合理性相关的书面说明及必要的证明材料，包括但不限于原材料成本、人工成本、制造费用等，给予相关投标人的合理时间一般不少于30分钟。其中，属于第3项情形，投标人已随投标（响应）文件一并提交相关书面说明及必要的证明材料的，在评审现场可不再重复提交。</w:t>
            </w:r>
          </w:p>
          <w:p w14:paraId="415443C9">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Courier New"/>
                <w:bCs/>
                <w:color w:val="auto"/>
                <w:szCs w:val="21"/>
                <w:highlight w:val="none"/>
                <w:lang w:val="en-US" w:eastAsia="zh-CN"/>
              </w:rPr>
            </w:pPr>
            <w:r>
              <w:rPr>
                <w:rFonts w:hint="eastAsia" w:ascii="宋体" w:hAnsi="宋体" w:eastAsia="宋体" w:cs="Courier New"/>
                <w:bCs/>
                <w:color w:val="auto"/>
                <w:szCs w:val="21"/>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投标人不能提供书面说明、证明材料，或者提供的书面说明、证明材料不能证明其报价合理性的，评审委员会应当将其作为无效投标（响应）处理。</w:t>
            </w:r>
          </w:p>
        </w:tc>
      </w:tr>
      <w:tr w14:paraId="687F7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3" w:type="dxa"/>
            <w:vMerge w:val="restart"/>
            <w:vAlign w:val="center"/>
          </w:tcPr>
          <w:p w14:paraId="2C9AF4AA">
            <w:pPr>
              <w:adjustRightInd w:val="0"/>
              <w:snapToGrid w:val="0"/>
              <w:spacing w:line="240" w:lineRule="auto"/>
              <w:ind w:left="0" w:leftChars="0" w:right="0" w:rightChars="0" w:firstLine="0" w:firstLineChars="0"/>
              <w:jc w:val="center"/>
              <w:textAlignment w:val="baseline"/>
              <w:rPr>
                <w:rFonts w:hint="eastAsia" w:ascii="宋体" w:hAnsi="宋体" w:eastAsia="宋体"/>
                <w:b/>
                <w:color w:val="auto"/>
                <w:sz w:val="21"/>
                <w:szCs w:val="21"/>
                <w:highlight w:val="none"/>
              </w:rPr>
            </w:pPr>
            <w:r>
              <w:rPr>
                <w:rFonts w:hint="eastAsia" w:ascii="宋体" w:hAnsi="宋体" w:eastAsia="宋体"/>
                <w:b/>
                <w:color w:val="auto"/>
                <w:sz w:val="21"/>
                <w:szCs w:val="21"/>
                <w:highlight w:val="none"/>
              </w:rPr>
              <w:t>2</w:t>
            </w:r>
          </w:p>
        </w:tc>
        <w:tc>
          <w:tcPr>
            <w:tcW w:w="1038" w:type="dxa"/>
            <w:vMerge w:val="restart"/>
            <w:vAlign w:val="center"/>
          </w:tcPr>
          <w:p w14:paraId="3F3FAC60">
            <w:pPr>
              <w:adjustRightInd w:val="0"/>
              <w:snapToGrid w:val="0"/>
              <w:spacing w:line="240" w:lineRule="auto"/>
              <w:ind w:left="0" w:leftChars="0" w:right="0" w:rightChars="0" w:firstLine="0" w:firstLineChars="0"/>
              <w:jc w:val="center"/>
              <w:textAlignment w:val="baseline"/>
              <w:rPr>
                <w:rFonts w:hint="eastAsia" w:ascii="宋体" w:hAnsi="宋体" w:eastAsia="宋体"/>
                <w:color w:val="auto"/>
                <w:spacing w:val="-18"/>
                <w:sz w:val="21"/>
                <w:szCs w:val="21"/>
                <w:highlight w:val="none"/>
              </w:rPr>
            </w:pPr>
            <w:r>
              <w:rPr>
                <w:rFonts w:hint="eastAsia" w:ascii="宋体" w:hAnsi="宋体" w:eastAsia="宋体"/>
                <w:b/>
                <w:bCs/>
                <w:color w:val="auto"/>
                <w:sz w:val="21"/>
                <w:szCs w:val="21"/>
                <w:highlight w:val="none"/>
              </w:rPr>
              <w:t>技术分</w:t>
            </w:r>
            <w:r>
              <w:rPr>
                <w:rFonts w:hint="eastAsia" w:ascii="宋体" w:hAnsi="宋体" w:eastAsia="宋体"/>
                <w:b/>
                <w:bCs w:val="0"/>
                <w:color w:val="auto"/>
                <w:sz w:val="21"/>
                <w:szCs w:val="21"/>
                <w:highlight w:val="none"/>
              </w:rPr>
              <w:t>（满分</w:t>
            </w:r>
            <w:r>
              <w:rPr>
                <w:rFonts w:hint="eastAsia" w:ascii="宋体" w:hAnsi="宋体" w:eastAsia="宋体"/>
                <w:b/>
                <w:bCs w:val="0"/>
                <w:color w:val="auto"/>
                <w:sz w:val="21"/>
                <w:szCs w:val="21"/>
                <w:highlight w:val="none"/>
                <w:u w:val="none"/>
                <w:lang w:val="en-US" w:eastAsia="zh-CN"/>
              </w:rPr>
              <w:t>80</w:t>
            </w:r>
            <w:r>
              <w:rPr>
                <w:rFonts w:hint="eastAsia" w:ascii="宋体" w:hAnsi="宋体" w:eastAsia="宋体"/>
                <w:b/>
                <w:bCs w:val="0"/>
                <w:color w:val="auto"/>
                <w:sz w:val="21"/>
                <w:szCs w:val="21"/>
                <w:highlight w:val="none"/>
              </w:rPr>
              <w:t>分）</w:t>
            </w:r>
          </w:p>
        </w:tc>
        <w:tc>
          <w:tcPr>
            <w:tcW w:w="1847" w:type="dxa"/>
            <w:vAlign w:val="center"/>
          </w:tcPr>
          <w:p w14:paraId="14CAE210">
            <w:pPr>
              <w:snapToGrid w:val="0"/>
              <w:spacing w:line="240" w:lineRule="auto"/>
              <w:ind w:left="0" w:leftChars="0" w:right="0" w:rightChars="0" w:firstLine="0" w:firstLineChars="0"/>
              <w:jc w:val="center"/>
              <w:rPr>
                <w:rFonts w:ascii="宋体" w:hAnsi="宋体" w:eastAsia="宋体"/>
                <w:b/>
                <w:bCs w:val="0"/>
                <w:color w:val="auto"/>
                <w:sz w:val="21"/>
                <w:szCs w:val="21"/>
                <w:highlight w:val="none"/>
              </w:rPr>
            </w:pPr>
            <w:r>
              <w:rPr>
                <w:rFonts w:hint="eastAsia" w:ascii="宋体" w:hAnsi="宋体" w:eastAsia="宋体"/>
                <w:b/>
                <w:bCs w:val="0"/>
                <w:color w:val="auto"/>
                <w:sz w:val="21"/>
                <w:szCs w:val="21"/>
                <w:highlight w:val="none"/>
              </w:rPr>
              <w:t xml:space="preserve">拟投入本项目人员配备情况（满分 </w:t>
            </w:r>
            <w:r>
              <w:rPr>
                <w:rFonts w:hint="eastAsia" w:ascii="宋体" w:hAnsi="宋体" w:eastAsia="宋体"/>
                <w:b/>
                <w:bCs w:val="0"/>
                <w:color w:val="auto"/>
                <w:sz w:val="21"/>
                <w:szCs w:val="21"/>
                <w:highlight w:val="none"/>
                <w:lang w:val="en-US" w:eastAsia="zh-CN"/>
              </w:rPr>
              <w:t>20</w:t>
            </w:r>
            <w:r>
              <w:rPr>
                <w:rFonts w:hint="eastAsia" w:ascii="宋体" w:hAnsi="宋体" w:eastAsia="宋体"/>
                <w:b/>
                <w:bCs w:val="0"/>
                <w:color w:val="auto"/>
                <w:sz w:val="21"/>
                <w:szCs w:val="21"/>
                <w:highlight w:val="none"/>
              </w:rPr>
              <w:t xml:space="preserve"> 分）</w:t>
            </w:r>
          </w:p>
        </w:tc>
        <w:tc>
          <w:tcPr>
            <w:tcW w:w="5870" w:type="dxa"/>
            <w:vAlign w:val="center"/>
          </w:tcPr>
          <w:p w14:paraId="74DC348D">
            <w:pPr>
              <w:keepNext w:val="0"/>
              <w:keepLines w:val="0"/>
              <w:pageBreakBefore w:val="0"/>
              <w:widowControl w:val="0"/>
              <w:kinsoku/>
              <w:wordWrap/>
              <w:overflowPunct/>
              <w:topLinePunct w:val="0"/>
              <w:autoSpaceDE/>
              <w:autoSpaceDN/>
              <w:bidi w:val="0"/>
              <w:adjustRightInd/>
              <w:snapToGrid w:val="0"/>
              <w:spacing w:line="360" w:lineRule="auto"/>
              <w:ind w:right="0" w:rightChars="0" w:firstLine="420" w:firstLineChars="200"/>
              <w:jc w:val="left"/>
              <w:textAlignment w:val="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一档（1分）：在满足采购需求的基础上，拟投入本项目人员专业性及经验等方面，仅能满足项目基本服务要求。</w:t>
            </w:r>
          </w:p>
          <w:p w14:paraId="0A81A402">
            <w:pPr>
              <w:keepNext w:val="0"/>
              <w:keepLines w:val="0"/>
              <w:pageBreakBefore w:val="0"/>
              <w:widowControl w:val="0"/>
              <w:kinsoku/>
              <w:wordWrap/>
              <w:overflowPunct/>
              <w:topLinePunct w:val="0"/>
              <w:autoSpaceDE/>
              <w:autoSpaceDN/>
              <w:bidi w:val="0"/>
              <w:adjustRightInd/>
              <w:snapToGrid w:val="0"/>
              <w:spacing w:line="360" w:lineRule="auto"/>
              <w:ind w:right="0" w:rightChars="0" w:firstLine="420" w:firstLineChars="200"/>
              <w:jc w:val="left"/>
              <w:textAlignment w:val="auto"/>
              <w:rPr>
                <w:rFonts w:hint="eastAsia" w:ascii="宋体" w:hAnsi="宋体" w:eastAsia="宋体" w:cs="宋体"/>
                <w:b w:val="0"/>
                <w:bCs w:val="0"/>
                <w:color w:val="auto"/>
                <w:kern w:val="2"/>
                <w:sz w:val="21"/>
                <w:szCs w:val="24"/>
                <w:highlight w:val="none"/>
                <w:lang w:val="en-US" w:eastAsia="zh-CN" w:bidi="ar-SA"/>
              </w:rPr>
            </w:pPr>
            <w:bookmarkStart w:id="148" w:name="auto_fouce_4"/>
            <w:r>
              <w:rPr>
                <w:rFonts w:hint="eastAsia" w:ascii="宋体" w:hAnsi="宋体" w:cs="宋体"/>
                <w:b w:val="0"/>
                <w:bCs w:val="0"/>
                <w:color w:val="auto"/>
                <w:kern w:val="2"/>
                <w:sz w:val="21"/>
                <w:szCs w:val="24"/>
                <w:highlight w:val="none"/>
                <w:lang w:val="en-US" w:eastAsia="zh-CN" w:bidi="ar-SA"/>
              </w:rPr>
              <w:t>二档（5分）：在优于前一档次的基础上，拟投入专职技术人员专业能力满足要求，配备技术维修人员9名及以上，均具有电工操作证、高处作业证，技能熟练，且具有2年以上配电设备维修管理经验，能够稳定满足项目运维需求。</w:t>
            </w:r>
            <w:bookmarkEnd w:id="148"/>
          </w:p>
          <w:p w14:paraId="34FCD0E9">
            <w:pPr>
              <w:keepNext w:val="0"/>
              <w:keepLines w:val="0"/>
              <w:pageBreakBefore w:val="0"/>
              <w:widowControl w:val="0"/>
              <w:kinsoku/>
              <w:wordWrap/>
              <w:overflowPunct/>
              <w:topLinePunct w:val="0"/>
              <w:autoSpaceDE/>
              <w:autoSpaceDN/>
              <w:bidi w:val="0"/>
              <w:adjustRightInd/>
              <w:snapToGrid w:val="0"/>
              <w:spacing w:line="360" w:lineRule="auto"/>
              <w:ind w:right="0" w:rightChars="0" w:firstLine="420" w:firstLineChars="200"/>
              <w:jc w:val="left"/>
              <w:textAlignment w:val="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三档（10分）：在优于二档的基础上，拟投入专职技术人员专业能力较强，配备技术维修人员</w:t>
            </w:r>
            <w:r>
              <w:rPr>
                <w:rFonts w:hint="eastAsia" w:ascii="宋体" w:hAnsi="宋体" w:cs="宋体"/>
                <w:b w:val="0"/>
                <w:bCs w:val="0"/>
                <w:color w:val="auto"/>
                <w:kern w:val="2"/>
                <w:sz w:val="21"/>
                <w:szCs w:val="24"/>
                <w:highlight w:val="none"/>
                <w:lang w:val="en-US" w:eastAsia="zh-CN" w:bidi="ar-SA"/>
              </w:rPr>
              <w:t>11</w:t>
            </w:r>
            <w:r>
              <w:rPr>
                <w:rFonts w:hint="eastAsia" w:ascii="宋体" w:hAnsi="宋体" w:eastAsia="宋体" w:cs="宋体"/>
                <w:b w:val="0"/>
                <w:bCs w:val="0"/>
                <w:color w:val="auto"/>
                <w:kern w:val="2"/>
                <w:sz w:val="21"/>
                <w:szCs w:val="24"/>
                <w:highlight w:val="none"/>
                <w:lang w:val="en-US" w:eastAsia="zh-CN" w:bidi="ar-SA"/>
              </w:rPr>
              <w:t>名及以上，均具有电工操作证、高处作业证，技能熟练，且具有2年以上配电设备维修管理经验，能够有效保障项目运维质量。</w:t>
            </w:r>
          </w:p>
          <w:p w14:paraId="0A415E23">
            <w:pPr>
              <w:keepNext w:val="0"/>
              <w:keepLines w:val="0"/>
              <w:pageBreakBefore w:val="0"/>
              <w:widowControl w:val="0"/>
              <w:kinsoku/>
              <w:wordWrap/>
              <w:overflowPunct/>
              <w:topLinePunct w:val="0"/>
              <w:autoSpaceDE/>
              <w:autoSpaceDN/>
              <w:bidi w:val="0"/>
              <w:adjustRightInd/>
              <w:snapToGrid w:val="0"/>
              <w:spacing w:line="360" w:lineRule="auto"/>
              <w:ind w:right="0" w:rightChars="0" w:firstLine="420" w:firstLineChars="200"/>
              <w:jc w:val="left"/>
              <w:textAlignment w:val="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四档（15分）：在优于三档的基础上，拟投入专职技术人员专业能力突出，配置1名市政照明专业负责人，具有市政照明专业中级以上职称</w:t>
            </w:r>
            <w:r>
              <w:rPr>
                <w:rFonts w:hint="eastAsia" w:ascii="宋体" w:hAnsi="宋体" w:cs="宋体"/>
                <w:b w:val="0"/>
                <w:bCs w:val="0"/>
                <w:color w:val="auto"/>
                <w:kern w:val="2"/>
                <w:sz w:val="21"/>
                <w:szCs w:val="24"/>
                <w:highlight w:val="none"/>
                <w:lang w:val="en-US" w:eastAsia="zh-CN" w:bidi="ar-SA"/>
              </w:rPr>
              <w:t>，</w:t>
            </w:r>
            <w:r>
              <w:rPr>
                <w:rFonts w:hint="eastAsia" w:ascii="宋体" w:hAnsi="宋体" w:eastAsia="宋体" w:cs="宋体"/>
                <w:b w:val="0"/>
                <w:bCs w:val="0"/>
                <w:color w:val="auto"/>
                <w:kern w:val="2"/>
                <w:sz w:val="21"/>
                <w:szCs w:val="24"/>
                <w:highlight w:val="none"/>
                <w:lang w:val="en-US" w:eastAsia="zh-CN" w:bidi="ar-SA"/>
              </w:rPr>
              <w:t>配备技术维修人员12名及以上，均具有电工操作证、高处作业证，技能熟练，且具有2年以上配电设备维修管理经验，能够充分保障项目运维效率与安全。</w:t>
            </w:r>
          </w:p>
          <w:p w14:paraId="0F11CB5C">
            <w:pPr>
              <w:keepNext w:val="0"/>
              <w:keepLines w:val="0"/>
              <w:pageBreakBefore w:val="0"/>
              <w:widowControl w:val="0"/>
              <w:kinsoku/>
              <w:wordWrap/>
              <w:overflowPunct/>
              <w:topLinePunct w:val="0"/>
              <w:autoSpaceDE/>
              <w:autoSpaceDN/>
              <w:bidi w:val="0"/>
              <w:adjustRightInd/>
              <w:snapToGrid w:val="0"/>
              <w:spacing w:line="360" w:lineRule="auto"/>
              <w:ind w:right="0" w:rightChars="0" w:firstLine="420" w:firstLineChars="200"/>
              <w:jc w:val="left"/>
              <w:textAlignment w:val="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五档（20分）：在优于四档的基础上，拟投入专职技术人员专业能力优异，配置1名市政照明专业负责人，具有市政照明专业中级以上职称、2年以上城市照明工程管理工作经验，团队配置完善，配备技术维修人员1</w:t>
            </w:r>
            <w:r>
              <w:rPr>
                <w:rFonts w:hint="eastAsia" w:ascii="宋体" w:hAnsi="宋体" w:cs="宋体"/>
                <w:b w:val="0"/>
                <w:bCs w:val="0"/>
                <w:color w:val="auto"/>
                <w:kern w:val="2"/>
                <w:sz w:val="21"/>
                <w:szCs w:val="24"/>
                <w:highlight w:val="none"/>
                <w:lang w:val="en-US" w:eastAsia="zh-CN" w:bidi="ar-SA"/>
              </w:rPr>
              <w:t>3</w:t>
            </w:r>
            <w:r>
              <w:rPr>
                <w:rFonts w:hint="eastAsia" w:ascii="宋体" w:hAnsi="宋体" w:eastAsia="宋体" w:cs="宋体"/>
                <w:b w:val="0"/>
                <w:bCs w:val="0"/>
                <w:color w:val="auto"/>
                <w:kern w:val="2"/>
                <w:sz w:val="21"/>
                <w:szCs w:val="24"/>
                <w:highlight w:val="none"/>
                <w:lang w:val="en-US" w:eastAsia="zh-CN" w:bidi="ar-SA"/>
              </w:rPr>
              <w:t>名及以上，均具有电工操作证、高处作业证，技能熟练，且具有2年以上配电设备维修管理经验，能够充分保障项目运维效率与安全</w:t>
            </w:r>
            <w:r>
              <w:rPr>
                <w:rFonts w:hint="eastAsia" w:ascii="宋体" w:hAnsi="宋体" w:cs="宋体"/>
                <w:b w:val="0"/>
                <w:bCs w:val="0"/>
                <w:color w:val="auto"/>
                <w:kern w:val="2"/>
                <w:sz w:val="21"/>
                <w:szCs w:val="24"/>
                <w:highlight w:val="none"/>
                <w:lang w:val="en-US" w:eastAsia="zh-CN" w:bidi="ar-SA"/>
              </w:rPr>
              <w:t>，</w:t>
            </w:r>
            <w:r>
              <w:rPr>
                <w:rFonts w:hint="eastAsia" w:ascii="宋体" w:hAnsi="宋体" w:eastAsia="宋体" w:cs="宋体"/>
                <w:b w:val="0"/>
                <w:bCs w:val="0"/>
                <w:color w:val="auto"/>
                <w:kern w:val="2"/>
                <w:sz w:val="21"/>
                <w:szCs w:val="24"/>
                <w:highlight w:val="none"/>
                <w:lang w:val="en-US" w:eastAsia="zh-CN" w:bidi="ar-SA"/>
              </w:rPr>
              <w:t>为项目提供高质量、专业化、可持续的运维保障。</w:t>
            </w:r>
          </w:p>
        </w:tc>
      </w:tr>
      <w:tr w14:paraId="2CB10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3" w:type="dxa"/>
            <w:vMerge w:val="continue"/>
            <w:vAlign w:val="center"/>
          </w:tcPr>
          <w:p w14:paraId="62CD49A4">
            <w:pPr>
              <w:adjustRightInd w:val="0"/>
              <w:snapToGrid w:val="0"/>
              <w:spacing w:line="240" w:lineRule="auto"/>
              <w:ind w:left="0" w:leftChars="0" w:right="0" w:rightChars="0" w:firstLine="0" w:firstLineChars="0"/>
              <w:jc w:val="center"/>
              <w:textAlignment w:val="baseline"/>
              <w:rPr>
                <w:rFonts w:hint="eastAsia" w:ascii="宋体" w:hAnsi="宋体" w:eastAsia="宋体"/>
                <w:b/>
                <w:color w:val="auto"/>
                <w:sz w:val="21"/>
                <w:szCs w:val="21"/>
                <w:highlight w:val="none"/>
              </w:rPr>
            </w:pPr>
          </w:p>
        </w:tc>
        <w:tc>
          <w:tcPr>
            <w:tcW w:w="1038" w:type="dxa"/>
            <w:vMerge w:val="continue"/>
            <w:vAlign w:val="center"/>
          </w:tcPr>
          <w:p w14:paraId="5557E9BD">
            <w:pPr>
              <w:adjustRightInd w:val="0"/>
              <w:snapToGrid w:val="0"/>
              <w:spacing w:line="240" w:lineRule="auto"/>
              <w:ind w:left="0" w:leftChars="0" w:right="0" w:rightChars="0" w:firstLine="0" w:firstLineChars="0"/>
              <w:jc w:val="center"/>
              <w:textAlignment w:val="baseline"/>
              <w:rPr>
                <w:rFonts w:hint="eastAsia" w:ascii="宋体" w:hAnsi="宋体" w:eastAsia="宋体"/>
                <w:b/>
                <w:bCs/>
                <w:color w:val="auto"/>
                <w:sz w:val="21"/>
                <w:szCs w:val="21"/>
                <w:highlight w:val="none"/>
              </w:rPr>
            </w:pPr>
          </w:p>
        </w:tc>
        <w:tc>
          <w:tcPr>
            <w:tcW w:w="1847" w:type="dxa"/>
            <w:vAlign w:val="center"/>
          </w:tcPr>
          <w:p w14:paraId="0D7954F7">
            <w:pPr>
              <w:snapToGrid w:val="0"/>
              <w:spacing w:line="240" w:lineRule="auto"/>
              <w:ind w:left="0" w:leftChars="0" w:right="0" w:rightChars="0" w:firstLine="0" w:firstLineChars="0"/>
              <w:jc w:val="center"/>
              <w:rPr>
                <w:rFonts w:hint="eastAsia" w:ascii="宋体" w:hAnsi="宋体" w:eastAsia="宋体"/>
                <w:b/>
                <w:bCs w:val="0"/>
                <w:color w:val="auto"/>
                <w:kern w:val="2"/>
                <w:sz w:val="21"/>
                <w:szCs w:val="21"/>
                <w:highlight w:val="none"/>
                <w:lang w:val="en-US" w:eastAsia="zh-CN" w:bidi="ar-SA"/>
              </w:rPr>
            </w:pPr>
            <w:r>
              <w:rPr>
                <w:rFonts w:hint="eastAsia" w:ascii="宋体" w:hAnsi="宋体" w:eastAsia="宋体"/>
                <w:b/>
                <w:bCs w:val="0"/>
                <w:color w:val="auto"/>
                <w:sz w:val="21"/>
                <w:szCs w:val="21"/>
                <w:highlight w:val="none"/>
              </w:rPr>
              <w:t>拟投入本项目的主要机械设备及劳动力情况(满分</w:t>
            </w:r>
            <w:r>
              <w:rPr>
                <w:rFonts w:hint="eastAsia" w:ascii="宋体" w:hAnsi="宋体" w:eastAsia="宋体"/>
                <w:b/>
                <w:bCs w:val="0"/>
                <w:color w:val="auto"/>
                <w:sz w:val="21"/>
                <w:szCs w:val="21"/>
                <w:highlight w:val="none"/>
                <w:lang w:val="en-US" w:eastAsia="zh-CN"/>
              </w:rPr>
              <w:t>20</w:t>
            </w:r>
            <w:r>
              <w:rPr>
                <w:rFonts w:hint="eastAsia" w:ascii="宋体" w:hAnsi="宋体" w:eastAsia="宋体"/>
                <w:b/>
                <w:bCs w:val="0"/>
                <w:color w:val="auto"/>
                <w:sz w:val="21"/>
                <w:szCs w:val="21"/>
                <w:highlight w:val="none"/>
              </w:rPr>
              <w:t>分)</w:t>
            </w:r>
          </w:p>
        </w:tc>
        <w:tc>
          <w:tcPr>
            <w:tcW w:w="5870" w:type="dxa"/>
            <w:vAlign w:val="center"/>
          </w:tcPr>
          <w:p w14:paraId="6EE3C8B3">
            <w:pPr>
              <w:keepNext w:val="0"/>
              <w:keepLines w:val="0"/>
              <w:pageBreakBefore w:val="0"/>
              <w:widowControl w:val="0"/>
              <w:kinsoku/>
              <w:wordWrap/>
              <w:overflowPunct/>
              <w:topLinePunct w:val="0"/>
              <w:autoSpaceDE/>
              <w:autoSpaceDN/>
              <w:bidi w:val="0"/>
              <w:adjustRightInd/>
              <w:snapToGrid w:val="0"/>
              <w:spacing w:line="360" w:lineRule="auto"/>
              <w:ind w:right="0" w:rightChars="0" w:firstLine="420" w:firstLineChars="200"/>
              <w:jc w:val="left"/>
              <w:textAlignment w:val="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一档（1分）：施工机械、设备、机具无详细组织计划；未提供各主要施工工序以及各工种劳动力的安排计划，拟投入劳动力与服务要求不符，无法满足施工需求。</w:t>
            </w:r>
          </w:p>
          <w:p w14:paraId="12BD7CE8">
            <w:pPr>
              <w:keepNext w:val="0"/>
              <w:keepLines w:val="0"/>
              <w:pageBreakBefore w:val="0"/>
              <w:widowControl w:val="0"/>
              <w:kinsoku/>
              <w:wordWrap/>
              <w:overflowPunct/>
              <w:topLinePunct w:val="0"/>
              <w:autoSpaceDE/>
              <w:autoSpaceDN/>
              <w:bidi w:val="0"/>
              <w:adjustRightInd/>
              <w:snapToGrid w:val="0"/>
              <w:spacing w:line="360" w:lineRule="auto"/>
              <w:ind w:right="0" w:rightChars="0" w:firstLine="420" w:firstLineChars="200"/>
              <w:jc w:val="left"/>
              <w:textAlignment w:val="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二档（5分）：施工机械、设备、机具有简单组织计划，设备数量、选型配置、进场时间安排基本合理，仅能满足基本施工要求；各主要施工工序及各工种有劳动力安排计划，劳动力投入基本合理，仅能满足基本施工要求。</w:t>
            </w:r>
          </w:p>
          <w:p w14:paraId="16D75D68">
            <w:pPr>
              <w:keepNext w:val="0"/>
              <w:keepLines w:val="0"/>
              <w:pageBreakBefore w:val="0"/>
              <w:widowControl w:val="0"/>
              <w:kinsoku/>
              <w:wordWrap/>
              <w:overflowPunct/>
              <w:topLinePunct w:val="0"/>
              <w:autoSpaceDE/>
              <w:autoSpaceDN/>
              <w:bidi w:val="0"/>
              <w:adjustRightInd/>
              <w:snapToGrid w:val="0"/>
              <w:spacing w:line="360" w:lineRule="auto"/>
              <w:ind w:right="0" w:rightChars="0" w:firstLine="420" w:firstLineChars="200"/>
              <w:jc w:val="left"/>
              <w:textAlignment w:val="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三档（10分）：施工机械、设备、机具有较为完善的组织计划，设备数量、选型配置、进场时间安排合理，能够满足施工需要；各主要施工工序及各工种劳动力安排计划较为完善，劳动力投入合理，能够满足施工需要。</w:t>
            </w:r>
          </w:p>
          <w:p w14:paraId="48D55E4E">
            <w:pPr>
              <w:keepNext w:val="0"/>
              <w:keepLines w:val="0"/>
              <w:pageBreakBefore w:val="0"/>
              <w:widowControl w:val="0"/>
              <w:kinsoku/>
              <w:wordWrap/>
              <w:overflowPunct/>
              <w:topLinePunct w:val="0"/>
              <w:autoSpaceDE/>
              <w:autoSpaceDN/>
              <w:bidi w:val="0"/>
              <w:adjustRightInd/>
              <w:snapToGrid w:val="0"/>
              <w:spacing w:line="360" w:lineRule="auto"/>
              <w:ind w:right="0" w:rightChars="0" w:firstLine="420" w:firstLineChars="200"/>
              <w:jc w:val="left"/>
              <w:textAlignment w:val="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四档（15分）：施工机械、设备、机具有完善周密的组织计划，设备数量、选型配置、进场时间安排科学合理，能够有效保障施工需要；各主要施工工序及各工种劳动力安排计划完善，劳动力投入合理规范，能够有效保障施工需要。</w:t>
            </w:r>
          </w:p>
          <w:p w14:paraId="6D3D23BE">
            <w:pPr>
              <w:keepNext w:val="0"/>
              <w:keepLines w:val="0"/>
              <w:pageBreakBefore w:val="0"/>
              <w:widowControl w:val="0"/>
              <w:kinsoku/>
              <w:wordWrap/>
              <w:overflowPunct/>
              <w:topLinePunct w:val="0"/>
              <w:autoSpaceDE/>
              <w:autoSpaceDN/>
              <w:bidi w:val="0"/>
              <w:adjustRightInd/>
              <w:snapToGrid w:val="0"/>
              <w:spacing w:line="360" w:lineRule="auto"/>
              <w:ind w:right="0" w:rightChars="0" w:firstLine="420" w:firstLineChars="200"/>
              <w:jc w:val="left"/>
              <w:textAlignment w:val="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五档（20分）：施工机械、设备、机具具有详细且周密的组织计划，设备数量、选型配置、进场时间安排科学高效，能够充分保障施工高效推进；各主要施工工序及各工种有详细周密的劳动力安排计划，劳动力投入科学优化，能够充分保障施工高效推进。</w:t>
            </w:r>
          </w:p>
        </w:tc>
      </w:tr>
      <w:tr w14:paraId="4052E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3" w:type="dxa"/>
            <w:vMerge w:val="continue"/>
            <w:vAlign w:val="center"/>
          </w:tcPr>
          <w:p w14:paraId="39CF912F">
            <w:pPr>
              <w:adjustRightInd w:val="0"/>
              <w:snapToGrid w:val="0"/>
              <w:spacing w:line="240" w:lineRule="auto"/>
              <w:ind w:left="0" w:leftChars="0" w:right="0" w:rightChars="0" w:firstLine="0" w:firstLineChars="0"/>
              <w:jc w:val="center"/>
              <w:textAlignment w:val="baseline"/>
              <w:rPr>
                <w:rFonts w:hint="eastAsia" w:ascii="宋体" w:hAnsi="宋体" w:eastAsia="宋体"/>
                <w:b/>
                <w:color w:val="auto"/>
                <w:sz w:val="21"/>
                <w:szCs w:val="21"/>
                <w:highlight w:val="none"/>
              </w:rPr>
            </w:pPr>
          </w:p>
        </w:tc>
        <w:tc>
          <w:tcPr>
            <w:tcW w:w="1038" w:type="dxa"/>
            <w:vMerge w:val="continue"/>
            <w:vAlign w:val="center"/>
          </w:tcPr>
          <w:p w14:paraId="31278F99">
            <w:pPr>
              <w:adjustRightInd w:val="0"/>
              <w:snapToGrid w:val="0"/>
              <w:spacing w:line="240" w:lineRule="auto"/>
              <w:ind w:left="0" w:leftChars="0" w:right="0" w:rightChars="0" w:firstLine="0" w:firstLineChars="0"/>
              <w:jc w:val="left"/>
              <w:textAlignment w:val="baseline"/>
              <w:rPr>
                <w:rFonts w:hint="eastAsia" w:ascii="宋体" w:hAnsi="宋体" w:eastAsia="宋体"/>
                <w:b/>
                <w:bCs/>
                <w:color w:val="auto"/>
                <w:sz w:val="21"/>
                <w:szCs w:val="21"/>
                <w:highlight w:val="none"/>
              </w:rPr>
            </w:pPr>
          </w:p>
        </w:tc>
        <w:tc>
          <w:tcPr>
            <w:tcW w:w="1847" w:type="dxa"/>
            <w:vAlign w:val="center"/>
          </w:tcPr>
          <w:p w14:paraId="4003D434">
            <w:pPr>
              <w:snapToGrid w:val="0"/>
              <w:spacing w:line="240" w:lineRule="auto"/>
              <w:ind w:left="0" w:leftChars="0" w:right="0" w:rightChars="0" w:firstLine="0" w:firstLineChars="0"/>
              <w:jc w:val="center"/>
              <w:rPr>
                <w:rFonts w:ascii="宋体" w:hAnsi="宋体" w:eastAsia="宋体"/>
                <w:b/>
                <w:bCs w:val="0"/>
                <w:color w:val="auto"/>
                <w:sz w:val="21"/>
                <w:szCs w:val="21"/>
                <w:highlight w:val="none"/>
              </w:rPr>
            </w:pPr>
            <w:r>
              <w:rPr>
                <w:rFonts w:ascii="宋体" w:hAnsi="宋体" w:eastAsia="宋体"/>
                <w:b/>
                <w:bCs w:val="0"/>
                <w:color w:val="auto"/>
                <w:sz w:val="21"/>
                <w:szCs w:val="21"/>
                <w:highlight w:val="none"/>
              </w:rPr>
              <w:t>质量、安全、文明施工保证措施方案（满分20分）</w:t>
            </w:r>
          </w:p>
        </w:tc>
        <w:tc>
          <w:tcPr>
            <w:tcW w:w="5870" w:type="dxa"/>
            <w:vAlign w:val="center"/>
          </w:tcPr>
          <w:p w14:paraId="053B0C36">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一档（1分）：质量、安全、文明施工仅满足基本要求，所提供的质量保障措施及安全施工保障承诺内容较为简略，针对性不足。</w:t>
            </w:r>
          </w:p>
          <w:p w14:paraId="56F7A12F">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二档（5分）：质量、安全、文明施工满足基本要求，所提供的质量保障措施及安全施工保障承诺基本合理，具备一定可行性。</w:t>
            </w:r>
          </w:p>
          <w:p w14:paraId="3D554989">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三档（10分）：质量、安全、文明施工满足基本要求，相关措施合理、具体、完整，规范选用正确；承诺内容较为清晰，具备相应质量、安全保障措施及误差允许范围，具备基本保障能力。</w:t>
            </w:r>
          </w:p>
          <w:p w14:paraId="69074EC1">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四档（15分）：质量、安全、文明施工满足项目要求，相关措施合理、具体、完整，规范选用准确；承诺内容清晰明确，质量、安全保障措施较为完善，误差允许范围合理，保障能力较为突出。</w:t>
            </w:r>
          </w:p>
          <w:p w14:paraId="7B385EA3">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五档（20分）：质量、安全、文明施工优于项目要求，相关实施措施科学先进、具体完整、切实可行，规范选用准确清晰；质量、安全承诺明确具体，保障体系完善，误差允许范围设置合理，保障能力优势显著。</w:t>
            </w:r>
          </w:p>
          <w:p w14:paraId="341598E3">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注：未提供质量、安全施工保证措施方案的，本项不予得分。</w:t>
            </w:r>
          </w:p>
        </w:tc>
      </w:tr>
      <w:tr w14:paraId="12951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3" w:type="dxa"/>
            <w:vMerge w:val="continue"/>
            <w:vAlign w:val="center"/>
          </w:tcPr>
          <w:p w14:paraId="18EC914D">
            <w:pPr>
              <w:adjustRightInd w:val="0"/>
              <w:snapToGrid w:val="0"/>
              <w:spacing w:line="240" w:lineRule="auto"/>
              <w:ind w:left="0" w:leftChars="0" w:right="0" w:rightChars="0" w:firstLine="0" w:firstLineChars="0"/>
              <w:jc w:val="center"/>
              <w:textAlignment w:val="baseline"/>
              <w:rPr>
                <w:rFonts w:hint="eastAsia" w:ascii="宋体" w:hAnsi="宋体" w:eastAsia="宋体"/>
                <w:b/>
                <w:color w:val="auto"/>
                <w:sz w:val="21"/>
                <w:szCs w:val="21"/>
                <w:highlight w:val="none"/>
              </w:rPr>
            </w:pPr>
          </w:p>
        </w:tc>
        <w:tc>
          <w:tcPr>
            <w:tcW w:w="1038" w:type="dxa"/>
            <w:vMerge w:val="continue"/>
            <w:vAlign w:val="center"/>
          </w:tcPr>
          <w:p w14:paraId="0F554C04">
            <w:pPr>
              <w:adjustRightInd w:val="0"/>
              <w:snapToGrid w:val="0"/>
              <w:spacing w:line="240" w:lineRule="auto"/>
              <w:ind w:left="0" w:leftChars="0" w:right="0" w:rightChars="0" w:firstLine="0" w:firstLineChars="0"/>
              <w:jc w:val="left"/>
              <w:textAlignment w:val="baseline"/>
              <w:rPr>
                <w:rFonts w:hint="eastAsia" w:ascii="宋体" w:hAnsi="宋体" w:eastAsia="宋体"/>
                <w:b/>
                <w:bCs/>
                <w:color w:val="auto"/>
                <w:sz w:val="21"/>
                <w:szCs w:val="21"/>
                <w:highlight w:val="none"/>
              </w:rPr>
            </w:pPr>
          </w:p>
        </w:tc>
        <w:tc>
          <w:tcPr>
            <w:tcW w:w="1847" w:type="dxa"/>
            <w:vAlign w:val="center"/>
          </w:tcPr>
          <w:p w14:paraId="69C97A7A">
            <w:pPr>
              <w:adjustRightInd w:val="0"/>
              <w:snapToGrid w:val="0"/>
              <w:spacing w:line="240" w:lineRule="auto"/>
              <w:ind w:left="0" w:leftChars="0" w:right="0" w:rightChars="0" w:firstLine="0" w:firstLineChars="0"/>
              <w:jc w:val="center"/>
              <w:textAlignment w:val="baseline"/>
              <w:rPr>
                <w:rFonts w:hint="eastAsia" w:ascii="宋体" w:hAnsi="宋体" w:eastAsia="宋体"/>
                <w:b/>
                <w:bCs w:val="0"/>
                <w:color w:val="auto"/>
                <w:sz w:val="21"/>
                <w:szCs w:val="21"/>
                <w:highlight w:val="none"/>
              </w:rPr>
            </w:pPr>
            <w:r>
              <w:rPr>
                <w:rFonts w:hint="eastAsia" w:ascii="宋体" w:hAnsi="宋体" w:eastAsia="宋体"/>
                <w:b/>
                <w:bCs w:val="0"/>
                <w:color w:val="auto"/>
                <w:sz w:val="21"/>
                <w:szCs w:val="21"/>
                <w:highlight w:val="none"/>
              </w:rPr>
              <w:t>应急措施方案（满分20分）</w:t>
            </w:r>
          </w:p>
        </w:tc>
        <w:tc>
          <w:tcPr>
            <w:tcW w:w="5870" w:type="dxa"/>
            <w:vAlign w:val="center"/>
          </w:tcPr>
          <w:p w14:paraId="5B5DE41E">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一档（1分）：应急保障方案内容简略，应急处置措施不完善，响应时限较长，接到通知后不超过6小时抵达采购人指定现场，仅能满足最低应急需求。</w:t>
            </w:r>
          </w:p>
          <w:p w14:paraId="0A2C68B7">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二档（5分）：应急保障方案基本满足项目要求，针对施工过程的配合服务内容较为简单；应急措施相对完整，响应较为及时，接到通知后不超过5小时抵达采购人指定现场，能够基本满足项目应急保障需求。</w:t>
            </w:r>
          </w:p>
          <w:p w14:paraId="7FE5D732">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三档（10分）：应急保障方案满足招标文件要求，针对施工过程的配合服务内容较为具体；应急措施较为完善，响应较为及时，接到通知后不超过4小时抵达采购人指定现场，能够有效满足项目应急保障需求。</w:t>
            </w:r>
          </w:p>
          <w:p w14:paraId="656330B7">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四档（15分）：应急保障方案满足招标文件要求，针对施工过程的配合服务内容较为详细；应急措施完善规范，响应迅速，接到通知后不超过3小时抵达采购人指定现场，能够充分满足项目应急保障需求。</w:t>
            </w:r>
          </w:p>
          <w:p w14:paraId="3B737B0B">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五档（20分）：应急保障方案全面满足招标文件要求，内容科学合理、操作性强，针对施工过程的配合服务内容具体详尽；应急措施完整规范、处置高效，响应快捷迅速，接到通知后不超过2小时抵达采购人指定现场，能够全面保障项目应急处置高效可靠。</w:t>
            </w:r>
          </w:p>
        </w:tc>
      </w:tr>
      <w:tr w14:paraId="6DF12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3" w:type="dxa"/>
            <w:vAlign w:val="center"/>
          </w:tcPr>
          <w:p w14:paraId="0603FDC1">
            <w:pPr>
              <w:snapToGrid w:val="0"/>
              <w:spacing w:line="240" w:lineRule="auto"/>
              <w:ind w:left="0" w:leftChars="0" w:right="0" w:rightChars="0" w:firstLine="0" w:firstLineChars="0"/>
              <w:jc w:val="center"/>
              <w:rPr>
                <w:rFonts w:hint="eastAsia" w:ascii="宋体" w:hAnsi="宋体" w:eastAsia="宋体"/>
                <w:b/>
                <w:color w:val="auto"/>
                <w:sz w:val="21"/>
                <w:szCs w:val="21"/>
                <w:highlight w:val="none"/>
              </w:rPr>
            </w:pPr>
            <w:r>
              <w:rPr>
                <w:rFonts w:hint="eastAsia" w:ascii="宋体" w:hAnsi="宋体" w:eastAsia="宋体"/>
                <w:b/>
                <w:color w:val="auto"/>
                <w:sz w:val="21"/>
                <w:szCs w:val="21"/>
                <w:highlight w:val="none"/>
              </w:rPr>
              <w:t>3</w:t>
            </w:r>
          </w:p>
        </w:tc>
        <w:tc>
          <w:tcPr>
            <w:tcW w:w="1038" w:type="dxa"/>
            <w:vAlign w:val="center"/>
          </w:tcPr>
          <w:p w14:paraId="396C25AE">
            <w:pPr>
              <w:adjustRightInd w:val="0"/>
              <w:snapToGrid w:val="0"/>
              <w:spacing w:line="240" w:lineRule="auto"/>
              <w:ind w:left="0" w:leftChars="0" w:right="0" w:rightChars="0" w:firstLine="0" w:firstLineChars="0"/>
              <w:jc w:val="center"/>
              <w:textAlignment w:val="baseline"/>
              <w:rPr>
                <w:rFonts w:hint="eastAsia" w:ascii="宋体" w:hAnsi="宋体" w:eastAsia="宋体"/>
                <w:b/>
                <w:color w:val="auto"/>
                <w:sz w:val="21"/>
                <w:szCs w:val="21"/>
                <w:highlight w:val="none"/>
              </w:rPr>
            </w:pPr>
            <w:r>
              <w:rPr>
                <w:rFonts w:hint="eastAsia" w:ascii="宋体" w:hAnsi="宋体" w:eastAsia="宋体"/>
                <w:b/>
                <w:color w:val="auto"/>
                <w:sz w:val="21"/>
                <w:szCs w:val="21"/>
                <w:highlight w:val="none"/>
              </w:rPr>
              <w:t>商务分</w:t>
            </w:r>
            <w:r>
              <w:rPr>
                <w:rFonts w:hint="eastAsia"/>
                <w:b/>
                <w:bCs/>
                <w:color w:val="auto"/>
                <w:highlight w:val="none"/>
                <w:lang w:eastAsia="zh-CN"/>
              </w:rPr>
              <w:t>（</w:t>
            </w:r>
            <w:r>
              <w:rPr>
                <w:rFonts w:hint="eastAsia"/>
                <w:b/>
                <w:bCs/>
                <w:color w:val="auto"/>
                <w:highlight w:val="none"/>
                <w:lang w:val="en-US" w:eastAsia="zh-CN"/>
              </w:rPr>
              <w:t>满分10分</w:t>
            </w:r>
            <w:r>
              <w:rPr>
                <w:rFonts w:hint="eastAsia"/>
                <w:b/>
                <w:bCs/>
                <w:color w:val="auto"/>
                <w:highlight w:val="none"/>
                <w:lang w:eastAsia="zh-CN"/>
              </w:rPr>
              <w:t>）</w:t>
            </w:r>
          </w:p>
        </w:tc>
        <w:tc>
          <w:tcPr>
            <w:tcW w:w="1847" w:type="dxa"/>
            <w:vAlign w:val="center"/>
          </w:tcPr>
          <w:p w14:paraId="3057CC7C">
            <w:pPr>
              <w:snapToGrid w:val="0"/>
              <w:spacing w:line="240" w:lineRule="auto"/>
              <w:ind w:left="0" w:leftChars="0" w:right="0" w:rightChars="0" w:firstLine="0" w:firstLineChars="0"/>
              <w:jc w:val="center"/>
              <w:rPr>
                <w:rFonts w:hint="eastAsia" w:ascii="宋体" w:hAnsi="宋体" w:eastAsia="宋体"/>
                <w:b/>
                <w:color w:val="auto"/>
                <w:sz w:val="21"/>
                <w:szCs w:val="21"/>
                <w:highlight w:val="none"/>
              </w:rPr>
            </w:pPr>
            <w:r>
              <w:rPr>
                <w:rFonts w:hint="eastAsia" w:ascii="宋体" w:hAnsi="宋体" w:eastAsia="宋体"/>
                <w:b/>
                <w:bCs/>
                <w:color w:val="auto"/>
                <w:sz w:val="21"/>
                <w:szCs w:val="21"/>
                <w:highlight w:val="none"/>
              </w:rPr>
              <w:t>履约能力分（满分</w:t>
            </w:r>
            <w:r>
              <w:rPr>
                <w:rFonts w:hint="eastAsia" w:ascii="宋体" w:hAnsi="宋体" w:eastAsia="宋体"/>
                <w:b/>
                <w:bCs/>
                <w:color w:val="auto"/>
                <w:sz w:val="21"/>
                <w:szCs w:val="21"/>
                <w:highlight w:val="none"/>
                <w:lang w:val="en-US" w:eastAsia="zh-CN"/>
              </w:rPr>
              <w:t>10</w:t>
            </w:r>
            <w:r>
              <w:rPr>
                <w:rFonts w:hint="eastAsia" w:ascii="宋体" w:hAnsi="宋体" w:eastAsia="宋体"/>
                <w:b/>
                <w:bCs/>
                <w:color w:val="auto"/>
                <w:sz w:val="21"/>
                <w:szCs w:val="21"/>
                <w:highlight w:val="none"/>
              </w:rPr>
              <w:t>分）</w:t>
            </w:r>
          </w:p>
        </w:tc>
        <w:tc>
          <w:tcPr>
            <w:tcW w:w="5870" w:type="dxa"/>
            <w:tcMar>
              <w:left w:w="57" w:type="dxa"/>
              <w:right w:w="57" w:type="dxa"/>
            </w:tcMar>
            <w:vAlign w:val="center"/>
          </w:tcPr>
          <w:p w14:paraId="549707F4">
            <w:pPr>
              <w:pStyle w:val="25"/>
              <w:keepNext w:val="0"/>
              <w:keepLines w:val="0"/>
              <w:pageBreakBefore w:val="0"/>
              <w:widowControl w:val="0"/>
              <w:kinsoku/>
              <w:wordWrap/>
              <w:overflowPunct/>
              <w:topLinePunct w:val="0"/>
              <w:autoSpaceDE/>
              <w:autoSpaceDN/>
              <w:bidi w:val="0"/>
              <w:adjustRightInd/>
              <w:snapToGrid w:val="0"/>
              <w:spacing w:line="360" w:lineRule="auto"/>
              <w:ind w:right="0" w:rightChars="0"/>
              <w:jc w:val="left"/>
              <w:textAlignment w:val="auto"/>
              <w:rPr>
                <w:rFonts w:hint="eastAsia" w:ascii="宋体" w:hAnsi="宋体" w:eastAsia="宋体" w:cs="宋体"/>
                <w:bCs/>
                <w:color w:val="auto"/>
                <w:kern w:val="2"/>
                <w:sz w:val="21"/>
                <w:highlight w:val="none"/>
                <w:lang w:val="en-US" w:eastAsia="zh-CN"/>
              </w:rPr>
            </w:pPr>
            <w:r>
              <w:rPr>
                <w:rFonts w:hint="eastAsia" w:ascii="宋体" w:hAnsi="宋体" w:eastAsia="宋体" w:cs="宋体"/>
                <w:bCs/>
                <w:color w:val="auto"/>
                <w:kern w:val="2"/>
                <w:sz w:val="21"/>
                <w:highlight w:val="none"/>
                <w:lang w:val="en-US" w:eastAsia="zh-CN"/>
              </w:rPr>
              <w:t>投标人2023年1月1日以来与本项目同类业绩（同类业绩指合同服务范围包含任一市政照明新建、改造、维护、养护内容等），每个得2分，满分10分。[提供中标（成交）通知书或合同或验收报告等证明材料，否则不予加分。]</w:t>
            </w:r>
          </w:p>
        </w:tc>
      </w:tr>
      <w:tr w14:paraId="53DEA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98" w:type="dxa"/>
            <w:gridSpan w:val="4"/>
            <w:vAlign w:val="center"/>
          </w:tcPr>
          <w:p w14:paraId="75023757">
            <w:pPr>
              <w:pStyle w:val="25"/>
              <w:snapToGrid w:val="0"/>
              <w:spacing w:line="240" w:lineRule="auto"/>
              <w:ind w:left="0" w:leftChars="0" w:right="0" w:rightChars="0" w:firstLine="0" w:firstLineChars="0"/>
              <w:jc w:val="left"/>
              <w:rPr>
                <w:rFonts w:hint="eastAsia" w:hAnsi="宋体" w:cs="Courier New"/>
                <w:bCs/>
                <w:color w:val="auto"/>
                <w:kern w:val="2"/>
                <w:sz w:val="21"/>
                <w:highlight w:val="none"/>
                <w:lang w:val="en-US" w:eastAsia="zh-CN"/>
              </w:rPr>
            </w:pPr>
            <w:r>
              <w:rPr>
                <w:rFonts w:hint="eastAsia" w:hAnsi="宋体" w:cs="Courier New"/>
                <w:b/>
                <w:bCs/>
                <w:color w:val="auto"/>
                <w:kern w:val="2"/>
                <w:sz w:val="21"/>
                <w:highlight w:val="none"/>
                <w:lang w:val="en-US" w:eastAsia="zh-CN"/>
              </w:rPr>
              <w:t>总得分=1+2+3。</w:t>
            </w:r>
          </w:p>
        </w:tc>
      </w:tr>
    </w:tbl>
    <w:p w14:paraId="6940530A">
      <w:pPr>
        <w:pStyle w:val="25"/>
        <w:spacing w:line="360" w:lineRule="auto"/>
        <w:ind w:firstLine="420"/>
        <w:rPr>
          <w:rFonts w:hint="eastAsia" w:hAnsi="宋体"/>
          <w:bCs/>
          <w:color w:val="auto"/>
          <w:sz w:val="21"/>
          <w:highlight w:val="none"/>
        </w:rPr>
      </w:pPr>
    </w:p>
    <w:p w14:paraId="0E271FA7">
      <w:pPr>
        <w:pStyle w:val="25"/>
        <w:spacing w:line="360" w:lineRule="auto"/>
        <w:ind w:firstLine="420"/>
        <w:rPr>
          <w:rFonts w:hint="eastAsia" w:hAnsi="宋体"/>
          <w:bCs/>
          <w:color w:val="auto"/>
          <w:sz w:val="21"/>
          <w:highlight w:val="none"/>
          <w:lang w:eastAsia="zh-CN"/>
        </w:rPr>
      </w:pPr>
      <w:r>
        <w:rPr>
          <w:rFonts w:hint="eastAsia" w:hAnsi="宋体"/>
          <w:bCs/>
          <w:color w:val="auto"/>
          <w:sz w:val="21"/>
          <w:highlight w:val="none"/>
        </w:rPr>
        <w:t>注：计分方法按四舍五入取至百分位</w:t>
      </w:r>
    </w:p>
    <w:p w14:paraId="491F99A9">
      <w:pPr>
        <w:pStyle w:val="5"/>
        <w:keepNext w:val="0"/>
        <w:keepLines w:val="0"/>
        <w:jc w:val="center"/>
        <w:rPr>
          <w:rFonts w:ascii="宋体" w:hAnsi="宋体"/>
          <w:color w:val="auto"/>
          <w:sz w:val="30"/>
          <w:szCs w:val="30"/>
          <w:highlight w:val="none"/>
        </w:rPr>
      </w:pPr>
      <w:r>
        <w:rPr>
          <w:rFonts w:hint="eastAsia" w:ascii="宋体" w:hAnsi="宋体"/>
          <w:color w:val="auto"/>
          <w:sz w:val="30"/>
          <w:szCs w:val="30"/>
          <w:highlight w:val="none"/>
        </w:rPr>
        <w:t>四、中标候选人推荐</w:t>
      </w:r>
    </w:p>
    <w:p w14:paraId="054F3EEB">
      <w:pPr>
        <w:pStyle w:val="25"/>
        <w:spacing w:line="360" w:lineRule="auto"/>
        <w:ind w:firstLine="420" w:firstLineChars="200"/>
        <w:contextualSpacing/>
        <w:rPr>
          <w:rFonts w:hAnsi="宋体"/>
          <w:color w:val="auto"/>
          <w:sz w:val="21"/>
          <w:highlight w:val="none"/>
        </w:rPr>
      </w:pPr>
      <w:r>
        <w:rPr>
          <w:rFonts w:hint="eastAsia" w:hAnsi="宋体"/>
          <w:color w:val="auto"/>
          <w:sz w:val="21"/>
          <w:highlight w:val="none"/>
        </w:rPr>
        <w:t>1</w:t>
      </w:r>
      <w:r>
        <w:rPr>
          <w:rFonts w:hAnsi="宋体"/>
          <w:color w:val="auto"/>
          <w:sz w:val="21"/>
          <w:highlight w:val="none"/>
        </w:rPr>
        <w:t>.</w:t>
      </w:r>
      <w:r>
        <w:rPr>
          <w:rFonts w:hint="eastAsia" w:hAnsi="宋体"/>
          <w:color w:val="auto"/>
          <w:sz w:val="21"/>
          <w:highlight w:val="none"/>
        </w:rPr>
        <w:t>评标委员会根据原始评标记录和评标结果编写评标报告，并通过电子交易平台向采购人、采购代理机构提交。</w:t>
      </w:r>
    </w:p>
    <w:p w14:paraId="3CC92251">
      <w:pPr>
        <w:pStyle w:val="25"/>
        <w:spacing w:line="360" w:lineRule="auto"/>
        <w:ind w:firstLine="420" w:firstLineChars="200"/>
        <w:contextualSpacing/>
        <w:rPr>
          <w:rFonts w:hint="eastAsia" w:hAnsi="宋体"/>
          <w:color w:val="auto"/>
          <w:sz w:val="21"/>
          <w:highlight w:val="none"/>
        </w:rPr>
      </w:pPr>
      <w:r>
        <w:rPr>
          <w:rFonts w:hint="eastAsia" w:hAnsi="宋体"/>
          <w:color w:val="auto"/>
          <w:sz w:val="21"/>
          <w:highlight w:val="none"/>
        </w:rPr>
        <w:t>2</w:t>
      </w:r>
      <w:r>
        <w:rPr>
          <w:rFonts w:hAnsi="宋体"/>
          <w:color w:val="auto"/>
          <w:sz w:val="21"/>
          <w:highlight w:val="none"/>
        </w:rPr>
        <w:t>.</w:t>
      </w:r>
      <w:r>
        <w:rPr>
          <w:rFonts w:hint="eastAsia" w:hAnsi="宋体"/>
          <w:color w:val="auto"/>
          <w:sz w:val="21"/>
          <w:highlight w:val="none"/>
        </w:rPr>
        <w:t>评标委员会将根据总得分由高到低排列次序并推荐中标候选人。得分相同的，以投标报价由低到高顺序排列。得分相同且投标报价相同的并列，投标文件满足招标文件全部实质性要求，且按照评审因素的量化指标评审得分最高的投标人为排名第一的中标候选人。</w:t>
      </w:r>
    </w:p>
    <w:p w14:paraId="20998514">
      <w:pPr>
        <w:pStyle w:val="4"/>
        <w:keepNext w:val="0"/>
        <w:keepLines w:val="0"/>
        <w:jc w:val="center"/>
        <w:rPr>
          <w:rFonts w:hint="eastAsia" w:ascii="宋体" w:hAnsi="宋体"/>
          <w:color w:val="auto"/>
          <w:highlight w:val="none"/>
        </w:rPr>
      </w:pPr>
      <w:bookmarkStart w:id="149" w:name="_Toc121503215"/>
      <w:r>
        <w:rPr>
          <w:rFonts w:hint="eastAsia" w:ascii="宋体" w:hAnsi="宋体"/>
          <w:color w:val="auto"/>
          <w:highlight w:val="none"/>
        </w:rPr>
        <w:br w:type="page"/>
      </w:r>
      <w:r>
        <w:rPr>
          <w:rFonts w:hint="eastAsia" w:ascii="宋体" w:hAnsi="宋体"/>
          <w:color w:val="auto"/>
          <w:highlight w:val="none"/>
        </w:rPr>
        <w:t>第五章  拟签订的合同文本</w:t>
      </w:r>
      <w:bookmarkEnd w:id="149"/>
    </w:p>
    <w:p w14:paraId="73FDC6D2">
      <w:pPr>
        <w:pStyle w:val="18"/>
        <w:spacing w:before="78" w:line="221" w:lineRule="auto"/>
        <w:rPr>
          <w:color w:val="auto"/>
          <w:sz w:val="24"/>
          <w:szCs w:val="24"/>
          <w:highlight w:val="none"/>
        </w:rPr>
      </w:pPr>
      <w:bookmarkStart w:id="150" w:name="tip_risk_bookmark_5"/>
      <w:r>
        <w:rPr>
          <w:color w:val="auto"/>
          <w:spacing w:val="-3"/>
          <w:sz w:val="24"/>
          <w:szCs w:val="24"/>
          <w:highlight w:val="none"/>
        </w:rPr>
        <w:t>“政采云</w:t>
      </w:r>
      <w:r>
        <w:rPr>
          <w:color w:val="auto"/>
          <w:spacing w:val="-81"/>
          <w:sz w:val="24"/>
          <w:szCs w:val="24"/>
          <w:highlight w:val="none"/>
        </w:rPr>
        <w:t xml:space="preserve"> </w:t>
      </w:r>
      <w:r>
        <w:rPr>
          <w:color w:val="auto"/>
          <w:spacing w:val="-3"/>
          <w:sz w:val="24"/>
          <w:szCs w:val="24"/>
          <w:highlight w:val="none"/>
        </w:rPr>
        <w:t>”平台合同编号：</w:t>
      </w:r>
      <w:r>
        <w:rPr>
          <w:color w:val="auto"/>
          <w:sz w:val="24"/>
          <w:szCs w:val="24"/>
          <w:highlight w:val="none"/>
          <w:u w:val="single" w:color="auto"/>
        </w:rPr>
        <w:t xml:space="preserve">           </w:t>
      </w:r>
    </w:p>
    <w:p w14:paraId="1FF33514">
      <w:pPr>
        <w:spacing w:line="298" w:lineRule="auto"/>
        <w:rPr>
          <w:rFonts w:ascii="Arial"/>
          <w:color w:val="auto"/>
          <w:sz w:val="21"/>
          <w:highlight w:val="none"/>
        </w:rPr>
      </w:pPr>
    </w:p>
    <w:p w14:paraId="574BAB4D">
      <w:pPr>
        <w:spacing w:line="299" w:lineRule="auto"/>
        <w:rPr>
          <w:rFonts w:ascii="Arial"/>
          <w:color w:val="auto"/>
          <w:sz w:val="21"/>
          <w:highlight w:val="none"/>
        </w:rPr>
      </w:pPr>
    </w:p>
    <w:p w14:paraId="6DB7648C">
      <w:pPr>
        <w:spacing w:line="299" w:lineRule="auto"/>
        <w:rPr>
          <w:rFonts w:ascii="Arial"/>
          <w:color w:val="auto"/>
          <w:sz w:val="21"/>
          <w:highlight w:val="none"/>
        </w:rPr>
      </w:pPr>
    </w:p>
    <w:p w14:paraId="4E604EB3">
      <w:pPr>
        <w:spacing w:line="299" w:lineRule="auto"/>
        <w:rPr>
          <w:rFonts w:ascii="Arial"/>
          <w:color w:val="auto"/>
          <w:sz w:val="21"/>
          <w:highlight w:val="none"/>
        </w:rPr>
      </w:pPr>
    </w:p>
    <w:p w14:paraId="79BEDA56">
      <w:pPr>
        <w:tabs>
          <w:tab w:val="left" w:pos="6797"/>
        </w:tabs>
        <w:spacing w:before="100" w:line="227" w:lineRule="auto"/>
        <w:ind w:left="1748"/>
        <w:rPr>
          <w:rFonts w:ascii="宋体" w:hAnsi="宋体" w:eastAsia="宋体" w:cs="宋体"/>
          <w:color w:val="auto"/>
          <w:sz w:val="31"/>
          <w:szCs w:val="31"/>
          <w:highlight w:val="none"/>
        </w:rPr>
      </w:pPr>
      <w:r>
        <w:rPr>
          <w:rFonts w:ascii="宋体" w:hAnsi="宋体" w:eastAsia="宋体" w:cs="宋体"/>
          <w:color w:val="auto"/>
          <w:sz w:val="31"/>
          <w:szCs w:val="31"/>
          <w:highlight w:val="none"/>
          <w:u w:val="single" w:color="auto"/>
        </w:rPr>
        <w:tab/>
      </w:r>
      <w:r>
        <w:rPr>
          <w:rFonts w:ascii="宋体" w:hAnsi="宋体" w:eastAsia="宋体" w:cs="宋体"/>
          <w:color w:val="auto"/>
          <w:spacing w:val="-141"/>
          <w:sz w:val="31"/>
          <w:szCs w:val="31"/>
          <w:highlight w:val="none"/>
        </w:rPr>
        <w:t xml:space="preserve"> </w:t>
      </w:r>
      <w:r>
        <w:rPr>
          <w:rFonts w:ascii="宋体" w:hAnsi="宋体" w:eastAsia="宋体" w:cs="宋体"/>
          <w:b/>
          <w:bCs/>
          <w:color w:val="auto"/>
          <w:spacing w:val="-6"/>
          <w:sz w:val="31"/>
          <w:szCs w:val="31"/>
          <w:highlight w:val="none"/>
        </w:rPr>
        <w:t>合</w:t>
      </w:r>
      <w:r>
        <w:rPr>
          <w:rFonts w:ascii="宋体" w:hAnsi="宋体" w:eastAsia="宋体" w:cs="宋体"/>
          <w:color w:val="auto"/>
          <w:spacing w:val="11"/>
          <w:sz w:val="31"/>
          <w:szCs w:val="31"/>
          <w:highlight w:val="none"/>
        </w:rPr>
        <w:t xml:space="preserve"> </w:t>
      </w:r>
      <w:r>
        <w:rPr>
          <w:rFonts w:ascii="宋体" w:hAnsi="宋体" w:eastAsia="宋体" w:cs="宋体"/>
          <w:b/>
          <w:bCs/>
          <w:color w:val="auto"/>
          <w:spacing w:val="-6"/>
          <w:sz w:val="31"/>
          <w:szCs w:val="31"/>
          <w:highlight w:val="none"/>
        </w:rPr>
        <w:t>同</w:t>
      </w:r>
    </w:p>
    <w:p w14:paraId="0076F648">
      <w:pPr>
        <w:spacing w:line="247" w:lineRule="auto"/>
        <w:rPr>
          <w:rFonts w:ascii="Arial"/>
          <w:color w:val="auto"/>
          <w:sz w:val="21"/>
          <w:highlight w:val="none"/>
        </w:rPr>
      </w:pPr>
    </w:p>
    <w:p w14:paraId="5988C73C">
      <w:pPr>
        <w:spacing w:line="247" w:lineRule="auto"/>
        <w:rPr>
          <w:rFonts w:ascii="Arial"/>
          <w:color w:val="auto"/>
          <w:sz w:val="21"/>
          <w:highlight w:val="none"/>
        </w:rPr>
      </w:pPr>
    </w:p>
    <w:p w14:paraId="3443065C">
      <w:pPr>
        <w:spacing w:line="247" w:lineRule="auto"/>
        <w:rPr>
          <w:rFonts w:ascii="Arial"/>
          <w:color w:val="auto"/>
          <w:sz w:val="21"/>
          <w:highlight w:val="none"/>
        </w:rPr>
      </w:pPr>
    </w:p>
    <w:p w14:paraId="3C3E7155">
      <w:pPr>
        <w:spacing w:line="247" w:lineRule="auto"/>
        <w:rPr>
          <w:rFonts w:ascii="Arial"/>
          <w:color w:val="auto"/>
          <w:sz w:val="21"/>
          <w:highlight w:val="none"/>
        </w:rPr>
      </w:pPr>
    </w:p>
    <w:p w14:paraId="2C026929">
      <w:pPr>
        <w:spacing w:line="248" w:lineRule="auto"/>
        <w:rPr>
          <w:rFonts w:ascii="Arial"/>
          <w:color w:val="auto"/>
          <w:sz w:val="21"/>
          <w:highlight w:val="none"/>
        </w:rPr>
      </w:pPr>
    </w:p>
    <w:p w14:paraId="7A4B447F">
      <w:pPr>
        <w:spacing w:line="248" w:lineRule="auto"/>
        <w:rPr>
          <w:rFonts w:ascii="Arial"/>
          <w:color w:val="auto"/>
          <w:sz w:val="21"/>
          <w:highlight w:val="none"/>
        </w:rPr>
      </w:pPr>
    </w:p>
    <w:p w14:paraId="5AB0116B">
      <w:pPr>
        <w:spacing w:line="248" w:lineRule="auto"/>
        <w:rPr>
          <w:rFonts w:ascii="Arial"/>
          <w:color w:val="auto"/>
          <w:sz w:val="21"/>
          <w:highlight w:val="none"/>
        </w:rPr>
      </w:pPr>
    </w:p>
    <w:p w14:paraId="6DE4969F">
      <w:pPr>
        <w:spacing w:line="248" w:lineRule="auto"/>
        <w:rPr>
          <w:rFonts w:ascii="Arial"/>
          <w:color w:val="auto"/>
          <w:sz w:val="21"/>
          <w:highlight w:val="none"/>
        </w:rPr>
      </w:pPr>
    </w:p>
    <w:p w14:paraId="7A544BE3">
      <w:pPr>
        <w:spacing w:line="248" w:lineRule="auto"/>
        <w:rPr>
          <w:rFonts w:ascii="Arial"/>
          <w:color w:val="auto"/>
          <w:sz w:val="21"/>
          <w:highlight w:val="none"/>
        </w:rPr>
      </w:pPr>
    </w:p>
    <w:p w14:paraId="5F919249">
      <w:pPr>
        <w:spacing w:line="248" w:lineRule="auto"/>
        <w:rPr>
          <w:rFonts w:ascii="Arial"/>
          <w:color w:val="auto"/>
          <w:sz w:val="21"/>
          <w:highlight w:val="none"/>
        </w:rPr>
      </w:pPr>
    </w:p>
    <w:p w14:paraId="30858BF4">
      <w:pPr>
        <w:spacing w:before="100" w:line="225" w:lineRule="auto"/>
        <w:ind w:left="1870"/>
        <w:rPr>
          <w:rFonts w:ascii="宋体" w:hAnsi="宋体" w:eastAsia="宋体" w:cs="宋体"/>
          <w:color w:val="auto"/>
          <w:sz w:val="31"/>
          <w:szCs w:val="31"/>
          <w:highlight w:val="none"/>
        </w:rPr>
      </w:pPr>
      <w:r>
        <w:rPr>
          <w:rFonts w:ascii="宋体" w:hAnsi="宋体" w:eastAsia="宋体" w:cs="宋体"/>
          <w:color w:val="auto"/>
          <w:spacing w:val="6"/>
          <w:sz w:val="31"/>
          <w:szCs w:val="31"/>
          <w:highlight w:val="none"/>
        </w:rPr>
        <w:t>合同编号</w:t>
      </w:r>
      <w:r>
        <w:rPr>
          <w:rFonts w:hint="eastAsia" w:ascii="宋体" w:hAnsi="宋体" w:eastAsia="宋体" w:cs="宋体"/>
          <w:color w:val="auto"/>
          <w:spacing w:val="6"/>
          <w:sz w:val="31"/>
          <w:szCs w:val="31"/>
          <w:highlight w:val="none"/>
          <w:lang w:eastAsia="zh-CN"/>
        </w:rPr>
        <w:t>：</w:t>
      </w:r>
      <w:r>
        <w:rPr>
          <w:rFonts w:ascii="宋体" w:hAnsi="宋体" w:eastAsia="宋体" w:cs="宋体"/>
          <w:color w:val="auto"/>
          <w:sz w:val="31"/>
          <w:szCs w:val="31"/>
          <w:highlight w:val="none"/>
          <w:u w:val="single" w:color="auto"/>
        </w:rPr>
        <w:t xml:space="preserve">                  </w:t>
      </w:r>
    </w:p>
    <w:p w14:paraId="0AA553E5">
      <w:pPr>
        <w:spacing w:line="264" w:lineRule="auto"/>
        <w:rPr>
          <w:rFonts w:ascii="Arial"/>
          <w:color w:val="auto"/>
          <w:sz w:val="21"/>
          <w:highlight w:val="none"/>
        </w:rPr>
      </w:pPr>
    </w:p>
    <w:p w14:paraId="3F1A53AC">
      <w:pPr>
        <w:spacing w:line="264" w:lineRule="auto"/>
        <w:rPr>
          <w:rFonts w:ascii="Arial"/>
          <w:color w:val="auto"/>
          <w:sz w:val="21"/>
          <w:highlight w:val="none"/>
        </w:rPr>
      </w:pPr>
    </w:p>
    <w:p w14:paraId="26E21835">
      <w:pPr>
        <w:spacing w:line="264" w:lineRule="auto"/>
        <w:rPr>
          <w:rFonts w:ascii="Arial"/>
          <w:color w:val="auto"/>
          <w:sz w:val="21"/>
          <w:highlight w:val="none"/>
        </w:rPr>
      </w:pPr>
    </w:p>
    <w:p w14:paraId="55BF7689">
      <w:pPr>
        <w:spacing w:line="264" w:lineRule="auto"/>
        <w:rPr>
          <w:rFonts w:ascii="Arial"/>
          <w:color w:val="auto"/>
          <w:sz w:val="21"/>
          <w:highlight w:val="none"/>
        </w:rPr>
      </w:pPr>
    </w:p>
    <w:p w14:paraId="2B212737">
      <w:pPr>
        <w:spacing w:line="264" w:lineRule="auto"/>
        <w:rPr>
          <w:rFonts w:ascii="Arial"/>
          <w:color w:val="auto"/>
          <w:sz w:val="21"/>
          <w:highlight w:val="none"/>
        </w:rPr>
      </w:pPr>
    </w:p>
    <w:p w14:paraId="7EFD766A">
      <w:pPr>
        <w:spacing w:line="265" w:lineRule="auto"/>
        <w:rPr>
          <w:rFonts w:ascii="Arial"/>
          <w:color w:val="auto"/>
          <w:sz w:val="21"/>
          <w:highlight w:val="none"/>
        </w:rPr>
      </w:pPr>
    </w:p>
    <w:p w14:paraId="5005D5C3">
      <w:pPr>
        <w:spacing w:before="101" w:line="227" w:lineRule="auto"/>
        <w:ind w:left="1775"/>
        <w:rPr>
          <w:rFonts w:ascii="宋体" w:hAnsi="宋体" w:eastAsia="宋体" w:cs="宋体"/>
          <w:color w:val="auto"/>
          <w:sz w:val="31"/>
          <w:szCs w:val="31"/>
          <w:highlight w:val="none"/>
        </w:rPr>
      </w:pPr>
      <w:r>
        <w:rPr>
          <w:rFonts w:ascii="宋体" w:hAnsi="宋体" w:eastAsia="宋体" w:cs="宋体"/>
          <w:color w:val="auto"/>
          <w:spacing w:val="8"/>
          <w:sz w:val="31"/>
          <w:szCs w:val="31"/>
          <w:highlight w:val="none"/>
        </w:rPr>
        <w:t>签订合同地点：</w:t>
      </w:r>
      <w:r>
        <w:rPr>
          <w:rFonts w:ascii="宋体" w:hAnsi="宋体" w:eastAsia="宋体" w:cs="宋体"/>
          <w:color w:val="auto"/>
          <w:sz w:val="31"/>
          <w:szCs w:val="31"/>
          <w:highlight w:val="none"/>
          <w:u w:val="single" w:color="auto"/>
        </w:rPr>
        <w:t xml:space="preserve">                  </w:t>
      </w:r>
    </w:p>
    <w:p w14:paraId="3EA6A93E">
      <w:pPr>
        <w:spacing w:before="34" w:line="227" w:lineRule="auto"/>
        <w:ind w:left="1775"/>
        <w:rPr>
          <w:rFonts w:ascii="宋体" w:hAnsi="宋体" w:eastAsia="宋体" w:cs="宋体"/>
          <w:color w:val="auto"/>
          <w:sz w:val="31"/>
          <w:szCs w:val="31"/>
          <w:highlight w:val="none"/>
        </w:rPr>
      </w:pPr>
      <w:r>
        <w:rPr>
          <w:rFonts w:ascii="宋体" w:hAnsi="宋体" w:eastAsia="宋体" w:cs="宋体"/>
          <w:color w:val="auto"/>
          <w:spacing w:val="8"/>
          <w:sz w:val="31"/>
          <w:szCs w:val="31"/>
          <w:highlight w:val="none"/>
        </w:rPr>
        <w:t>签订合同时间：</w:t>
      </w:r>
      <w:r>
        <w:rPr>
          <w:rFonts w:ascii="宋体" w:hAnsi="宋体" w:eastAsia="宋体" w:cs="宋体"/>
          <w:color w:val="auto"/>
          <w:sz w:val="31"/>
          <w:szCs w:val="31"/>
          <w:highlight w:val="none"/>
          <w:u w:val="single" w:color="auto"/>
        </w:rPr>
        <w:t xml:space="preserve">                  </w:t>
      </w:r>
    </w:p>
    <w:p w14:paraId="7F7BAD94">
      <w:pPr>
        <w:spacing w:line="227" w:lineRule="auto"/>
        <w:rPr>
          <w:rFonts w:ascii="宋体" w:hAnsi="宋体" w:eastAsia="宋体" w:cs="宋体"/>
          <w:color w:val="auto"/>
          <w:sz w:val="31"/>
          <w:szCs w:val="31"/>
          <w:highlight w:val="none"/>
        </w:rPr>
        <w:sectPr>
          <w:footerReference r:id="rId4" w:type="default"/>
          <w:pgSz w:w="11906" w:h="16839"/>
          <w:pgMar w:top="400" w:right="1785" w:bottom="1091" w:left="1243" w:header="0" w:footer="929" w:gutter="0"/>
          <w:pgNumType w:fmt="decimal"/>
          <w:cols w:space="720" w:num="1"/>
        </w:sectPr>
      </w:pPr>
    </w:p>
    <w:p w14:paraId="4E4DF229">
      <w:pPr>
        <w:spacing w:before="101" w:line="224" w:lineRule="auto"/>
        <w:ind w:left="3345"/>
        <w:rPr>
          <w:rFonts w:ascii="宋体" w:hAnsi="宋体" w:eastAsia="宋体" w:cs="宋体"/>
          <w:color w:val="auto"/>
          <w:sz w:val="31"/>
          <w:szCs w:val="31"/>
          <w:highlight w:val="none"/>
        </w:rPr>
      </w:pPr>
      <w:r>
        <w:rPr>
          <w:rFonts w:ascii="宋体" w:hAnsi="宋体" w:eastAsia="宋体" w:cs="宋体"/>
          <w:b/>
          <w:bCs/>
          <w:color w:val="auto"/>
          <w:spacing w:val="5"/>
          <w:sz w:val="31"/>
          <w:szCs w:val="31"/>
          <w:highlight w:val="none"/>
        </w:rPr>
        <w:t>第一部分</w:t>
      </w:r>
      <w:r>
        <w:rPr>
          <w:rFonts w:ascii="宋体" w:hAnsi="宋体" w:eastAsia="宋体" w:cs="宋体"/>
          <w:color w:val="auto"/>
          <w:spacing w:val="5"/>
          <w:sz w:val="31"/>
          <w:szCs w:val="31"/>
          <w:highlight w:val="none"/>
        </w:rPr>
        <w:t xml:space="preserve">   </w:t>
      </w:r>
      <w:r>
        <w:rPr>
          <w:rFonts w:ascii="宋体" w:hAnsi="宋体" w:eastAsia="宋体" w:cs="宋体"/>
          <w:b/>
          <w:bCs/>
          <w:color w:val="auto"/>
          <w:spacing w:val="5"/>
          <w:sz w:val="31"/>
          <w:szCs w:val="31"/>
          <w:highlight w:val="none"/>
        </w:rPr>
        <w:t>协议书</w:t>
      </w:r>
    </w:p>
    <w:p w14:paraId="798F3F49">
      <w:pPr>
        <w:spacing w:line="338" w:lineRule="auto"/>
        <w:rPr>
          <w:rFonts w:ascii="Arial"/>
          <w:color w:val="auto"/>
          <w:sz w:val="21"/>
          <w:highlight w:val="none"/>
        </w:rPr>
      </w:pPr>
    </w:p>
    <w:p w14:paraId="2AEF595E">
      <w:pPr>
        <w:spacing w:line="338" w:lineRule="auto"/>
        <w:rPr>
          <w:rFonts w:ascii="Arial"/>
          <w:color w:val="auto"/>
          <w:sz w:val="21"/>
          <w:highlight w:val="none"/>
        </w:rPr>
      </w:pPr>
    </w:p>
    <w:p w14:paraId="4D490B98">
      <w:pPr>
        <w:keepNext w:val="0"/>
        <w:keepLines w:val="0"/>
        <w:pageBreakBefore w:val="0"/>
        <w:widowControl w:val="0"/>
        <w:kinsoku/>
        <w:wordWrap/>
        <w:overflowPunct/>
        <w:topLinePunct w:val="0"/>
        <w:autoSpaceDE/>
        <w:autoSpaceDN/>
        <w:bidi w:val="0"/>
        <w:adjustRightInd/>
        <w:spacing w:before="65" w:line="360" w:lineRule="auto"/>
        <w:ind w:left="54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lang w:eastAsia="zh-CN"/>
        </w:rPr>
        <w:t>甲方</w:t>
      </w:r>
      <w:r>
        <w:rPr>
          <w:rFonts w:hint="eastAsia" w:ascii="宋体" w:hAnsi="宋体" w:eastAsia="宋体" w:cs="宋体"/>
          <w:color w:val="auto"/>
          <w:spacing w:val="7"/>
          <w:sz w:val="21"/>
          <w:szCs w:val="21"/>
          <w:highlight w:val="none"/>
        </w:rPr>
        <w:t>（全称</w:t>
      </w:r>
      <w:r>
        <w:rPr>
          <w:rFonts w:hint="eastAsia" w:ascii="宋体" w:hAnsi="宋体" w:eastAsia="宋体" w:cs="宋体"/>
          <w:color w:val="auto"/>
          <w:spacing w:val="12"/>
          <w:sz w:val="21"/>
          <w:szCs w:val="21"/>
          <w:highlight w:val="none"/>
        </w:rPr>
        <w:t>）：</w:t>
      </w:r>
    </w:p>
    <w:p w14:paraId="3CED40D0">
      <w:pPr>
        <w:keepNext w:val="0"/>
        <w:keepLines w:val="0"/>
        <w:pageBreakBefore w:val="0"/>
        <w:widowControl w:val="0"/>
        <w:kinsoku/>
        <w:wordWrap/>
        <w:overflowPunct/>
        <w:topLinePunct w:val="0"/>
        <w:autoSpaceDE/>
        <w:autoSpaceDN/>
        <w:bidi w:val="0"/>
        <w:adjustRightInd/>
        <w:spacing w:before="153" w:line="360" w:lineRule="auto"/>
        <w:ind w:left="559"/>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lang w:eastAsia="zh-CN"/>
        </w:rPr>
        <w:t>乙方</w:t>
      </w:r>
      <w:r>
        <w:rPr>
          <w:rFonts w:hint="eastAsia" w:ascii="宋体" w:hAnsi="宋体" w:eastAsia="宋体" w:cs="宋体"/>
          <w:color w:val="auto"/>
          <w:spacing w:val="4"/>
          <w:sz w:val="21"/>
          <w:szCs w:val="21"/>
          <w:highlight w:val="none"/>
        </w:rPr>
        <w:t>（全称</w:t>
      </w:r>
      <w:r>
        <w:rPr>
          <w:rFonts w:hint="eastAsia" w:ascii="宋体" w:hAnsi="宋体" w:eastAsia="宋体" w:cs="宋体"/>
          <w:color w:val="auto"/>
          <w:spacing w:val="13"/>
          <w:sz w:val="21"/>
          <w:szCs w:val="21"/>
          <w:highlight w:val="none"/>
        </w:rPr>
        <w:t>）：</w:t>
      </w:r>
    </w:p>
    <w:p w14:paraId="53BE1CD3">
      <w:pPr>
        <w:keepNext w:val="0"/>
        <w:keepLines w:val="0"/>
        <w:pageBreakBefore w:val="0"/>
        <w:widowControl w:val="0"/>
        <w:kinsoku/>
        <w:wordWrap/>
        <w:overflowPunct/>
        <w:topLinePunct w:val="0"/>
        <w:autoSpaceDE/>
        <w:autoSpaceDN/>
        <w:bidi w:val="0"/>
        <w:adjustRightInd/>
        <w:spacing w:before="151" w:line="360" w:lineRule="auto"/>
        <w:ind w:right="6" w:firstLine="419"/>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根据《中华人民共和国民法典》、《城市照明管理规定》、《防城港市城市照明管理</w:t>
      </w:r>
      <w:r>
        <w:rPr>
          <w:rFonts w:hint="eastAsia" w:ascii="宋体" w:hAnsi="宋体" w:eastAsia="宋体" w:cs="宋体"/>
          <w:color w:val="auto"/>
          <w:spacing w:val="8"/>
          <w:sz w:val="21"/>
          <w:szCs w:val="21"/>
          <w:highlight w:val="none"/>
        </w:rPr>
        <w:t>办法》及有关</w:t>
      </w:r>
      <w:r>
        <w:rPr>
          <w:rFonts w:hint="eastAsia" w:ascii="宋体" w:hAnsi="宋体" w:eastAsia="宋体" w:cs="宋体"/>
          <w:color w:val="auto"/>
          <w:spacing w:val="6"/>
          <w:sz w:val="21"/>
          <w:szCs w:val="21"/>
          <w:highlight w:val="none"/>
        </w:rPr>
        <w:t>法律规定，遵循平等、自愿、公平和诚实信用的原则，双方就</w:t>
      </w:r>
      <w:r>
        <w:rPr>
          <w:rFonts w:hint="eastAsia" w:ascii="宋体" w:hAnsi="宋体" w:eastAsia="宋体" w:cs="宋体"/>
          <w:color w:val="auto"/>
          <w:spacing w:val="6"/>
          <w:sz w:val="21"/>
          <w:szCs w:val="21"/>
          <w:highlight w:val="none"/>
          <w:lang w:eastAsia="zh-CN"/>
        </w:rPr>
        <w:t>城市照明设施维修养护服务</w:t>
      </w:r>
      <w:r>
        <w:rPr>
          <w:rFonts w:hint="eastAsia" w:ascii="宋体" w:hAnsi="宋体" w:eastAsia="宋体" w:cs="宋体"/>
          <w:color w:val="auto"/>
          <w:spacing w:val="6"/>
          <w:sz w:val="21"/>
          <w:szCs w:val="21"/>
          <w:highlight w:val="none"/>
        </w:rPr>
        <w:t>及有关</w:t>
      </w:r>
      <w:r>
        <w:rPr>
          <w:rFonts w:hint="eastAsia" w:ascii="宋体" w:hAnsi="宋体" w:eastAsia="宋体" w:cs="宋体"/>
          <w:color w:val="auto"/>
          <w:spacing w:val="8"/>
          <w:sz w:val="21"/>
          <w:szCs w:val="21"/>
          <w:highlight w:val="none"/>
        </w:rPr>
        <w:t>事项协商一致，共同达成如下协议：</w:t>
      </w:r>
    </w:p>
    <w:p w14:paraId="38B4F95B">
      <w:pPr>
        <w:keepNext w:val="0"/>
        <w:keepLines w:val="0"/>
        <w:pageBreakBefore w:val="0"/>
        <w:widowControl w:val="0"/>
        <w:kinsoku/>
        <w:wordWrap/>
        <w:overflowPunct/>
        <w:topLinePunct w:val="0"/>
        <w:autoSpaceDE/>
        <w:autoSpaceDN/>
        <w:bidi w:val="0"/>
        <w:adjustRightInd/>
        <w:spacing w:before="1" w:line="360" w:lineRule="auto"/>
        <w:ind w:left="423"/>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6"/>
          <w:sz w:val="21"/>
          <w:szCs w:val="21"/>
          <w:highlight w:val="none"/>
        </w:rPr>
        <w:t>一、项目概况</w:t>
      </w:r>
    </w:p>
    <w:p w14:paraId="53D0E7CF">
      <w:pPr>
        <w:keepNext w:val="0"/>
        <w:keepLines w:val="0"/>
        <w:pageBreakBefore w:val="0"/>
        <w:widowControl w:val="0"/>
        <w:kinsoku/>
        <w:wordWrap/>
        <w:overflowPunct/>
        <w:topLinePunct w:val="0"/>
        <w:autoSpaceDE/>
        <w:autoSpaceDN/>
        <w:bidi w:val="0"/>
        <w:adjustRightInd/>
        <w:spacing w:before="155" w:line="360" w:lineRule="auto"/>
        <w:ind w:left="555"/>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w:t>
      </w:r>
      <w:bookmarkStart w:id="151" w:name="tip_risk_bookmark_7"/>
      <w:bookmarkStart w:id="152" w:name="auto_fouce_6"/>
      <w:r>
        <w:rPr>
          <w:rFonts w:hint="eastAsia" w:ascii="宋体" w:hAnsi="宋体" w:eastAsia="宋体" w:cs="宋体"/>
          <w:color w:val="auto"/>
          <w:spacing w:val="4"/>
          <w:sz w:val="21"/>
          <w:szCs w:val="21"/>
          <w:highlight w:val="none"/>
        </w:rPr>
        <w:t>项目名称：</w:t>
      </w:r>
      <w:r>
        <w:rPr>
          <w:rFonts w:hint="eastAsia" w:ascii="宋体" w:hAnsi="宋体" w:cs="宋体"/>
          <w:color w:val="auto"/>
          <w:spacing w:val="4"/>
          <w:sz w:val="21"/>
          <w:szCs w:val="21"/>
          <w:highlight w:val="none"/>
          <w:u w:val="single"/>
          <w:lang w:val="en-US" w:eastAsia="zh-CN"/>
        </w:rPr>
        <w:t>2026-2028年防城港市市管城市照明设施维修养护服务采购项目</w:t>
      </w:r>
      <w:r>
        <w:rPr>
          <w:rFonts w:hint="eastAsia" w:ascii="宋体" w:hAnsi="宋体" w:eastAsia="宋体" w:cs="宋体"/>
          <w:color w:val="auto"/>
          <w:spacing w:val="4"/>
          <w:sz w:val="21"/>
          <w:szCs w:val="21"/>
          <w:highlight w:val="none"/>
        </w:rPr>
        <w:t>。</w:t>
      </w:r>
    </w:p>
    <w:p w14:paraId="5DCF6F3C">
      <w:pPr>
        <w:keepNext w:val="0"/>
        <w:keepLines w:val="0"/>
        <w:pageBreakBefore w:val="0"/>
        <w:widowControl w:val="0"/>
        <w:kinsoku/>
        <w:wordWrap/>
        <w:overflowPunct/>
        <w:topLinePunct w:val="0"/>
        <w:autoSpaceDE/>
        <w:autoSpaceDN/>
        <w:bidi w:val="0"/>
        <w:adjustRightInd/>
        <w:spacing w:before="154" w:line="360" w:lineRule="auto"/>
        <w:ind w:left="542"/>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2.项目地点：</w:t>
      </w:r>
      <w:r>
        <w:rPr>
          <w:rFonts w:hint="eastAsia" w:ascii="宋体" w:hAnsi="宋体" w:cs="宋体"/>
          <w:color w:val="auto"/>
          <w:spacing w:val="6"/>
          <w:sz w:val="21"/>
          <w:szCs w:val="21"/>
          <w:highlight w:val="none"/>
          <w:u w:val="single"/>
          <w:lang w:val="en-US" w:eastAsia="zh-CN"/>
        </w:rPr>
        <w:t>防</w:t>
      </w:r>
      <w:r>
        <w:rPr>
          <w:rFonts w:hint="eastAsia" w:ascii="宋体" w:hAnsi="宋体" w:cs="宋体"/>
          <w:color w:val="auto"/>
          <w:spacing w:val="6"/>
          <w:sz w:val="21"/>
          <w:szCs w:val="21"/>
          <w:highlight w:val="none"/>
          <w:u w:val="single"/>
          <w:lang w:val="en-US" w:eastAsia="zh-CN"/>
        </w:rPr>
        <w:t>城港市市级城市管理区域内</w:t>
      </w:r>
      <w:r>
        <w:rPr>
          <w:rFonts w:hint="eastAsia" w:ascii="宋体" w:hAnsi="宋体" w:eastAsia="宋体" w:cs="宋体"/>
          <w:color w:val="auto"/>
          <w:spacing w:val="6"/>
          <w:sz w:val="21"/>
          <w:szCs w:val="21"/>
          <w:highlight w:val="none"/>
        </w:rPr>
        <w:t>。</w:t>
      </w:r>
    </w:p>
    <w:p w14:paraId="72EE7766">
      <w:pPr>
        <w:keepNext w:val="0"/>
        <w:keepLines w:val="0"/>
        <w:pageBreakBefore w:val="0"/>
        <w:widowControl w:val="0"/>
        <w:kinsoku/>
        <w:wordWrap/>
        <w:overflowPunct/>
        <w:topLinePunct w:val="0"/>
        <w:autoSpaceDE/>
        <w:autoSpaceDN/>
        <w:bidi w:val="0"/>
        <w:adjustRightInd/>
        <w:spacing w:before="151" w:line="360" w:lineRule="auto"/>
        <w:ind w:left="544"/>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3.工程立项批准文号：</w:t>
      </w:r>
      <w:r>
        <w:rPr>
          <w:rFonts w:hint="eastAsia" w:ascii="宋体" w:hAnsi="宋体" w:eastAsia="宋体" w:cs="宋体"/>
          <w:color w:val="auto"/>
          <w:spacing w:val="6"/>
          <w:sz w:val="21"/>
          <w:szCs w:val="21"/>
          <w:highlight w:val="none"/>
          <w:u w:val="single"/>
          <w:lang w:val="en-US" w:eastAsia="zh-CN"/>
        </w:rPr>
        <w:t xml:space="preserve">       /        </w:t>
      </w:r>
      <w:r>
        <w:rPr>
          <w:rFonts w:hint="eastAsia" w:ascii="宋体" w:hAnsi="宋体" w:eastAsia="宋体" w:cs="宋体"/>
          <w:color w:val="auto"/>
          <w:spacing w:val="5"/>
          <w:sz w:val="21"/>
          <w:szCs w:val="21"/>
          <w:highlight w:val="none"/>
        </w:rPr>
        <w:t>。</w:t>
      </w:r>
    </w:p>
    <w:p w14:paraId="54A1449A">
      <w:pPr>
        <w:keepNext w:val="0"/>
        <w:keepLines w:val="0"/>
        <w:pageBreakBefore w:val="0"/>
        <w:widowControl w:val="0"/>
        <w:kinsoku/>
        <w:wordWrap/>
        <w:overflowPunct/>
        <w:topLinePunct w:val="0"/>
        <w:autoSpaceDE/>
        <w:autoSpaceDN/>
        <w:bidi w:val="0"/>
        <w:adjustRightInd/>
        <w:spacing w:before="153" w:line="360" w:lineRule="auto"/>
        <w:ind w:left="539"/>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4.资金来源：</w:t>
      </w:r>
      <w:r>
        <w:rPr>
          <w:rFonts w:hint="eastAsia" w:ascii="宋体" w:hAnsi="宋体" w:cs="宋体"/>
          <w:color w:val="auto"/>
          <w:spacing w:val="5"/>
          <w:sz w:val="21"/>
          <w:szCs w:val="21"/>
          <w:highlight w:val="none"/>
          <w:u w:val="single"/>
          <w:lang w:val="en-US" w:eastAsia="zh-CN"/>
        </w:rPr>
        <w:t>财政资金</w:t>
      </w:r>
      <w:r>
        <w:rPr>
          <w:rFonts w:hint="eastAsia" w:ascii="宋体" w:hAnsi="宋体" w:eastAsia="宋体" w:cs="宋体"/>
          <w:color w:val="auto"/>
          <w:spacing w:val="5"/>
          <w:sz w:val="21"/>
          <w:szCs w:val="21"/>
          <w:highlight w:val="none"/>
        </w:rPr>
        <w:t>。</w:t>
      </w:r>
      <w:bookmarkEnd w:id="151"/>
    </w:p>
    <w:p w14:paraId="070D52EB">
      <w:pPr>
        <w:keepNext w:val="0"/>
        <w:keepLines w:val="0"/>
        <w:pageBreakBefore w:val="0"/>
        <w:widowControl w:val="0"/>
        <w:kinsoku/>
        <w:wordWrap/>
        <w:overflowPunct/>
        <w:topLinePunct w:val="0"/>
        <w:autoSpaceDE/>
        <w:autoSpaceDN/>
        <w:bidi w:val="0"/>
        <w:adjustRightInd/>
        <w:spacing w:before="154" w:line="360" w:lineRule="auto"/>
        <w:ind w:left="544"/>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5.项目内容：</w:t>
      </w:r>
      <w:r>
        <w:rPr>
          <w:rFonts w:hint="eastAsia" w:ascii="宋体" w:hAnsi="宋体" w:cs="宋体"/>
          <w:color w:val="auto"/>
          <w:spacing w:val="5"/>
          <w:sz w:val="21"/>
          <w:szCs w:val="21"/>
          <w:highlight w:val="none"/>
          <w:u w:val="single"/>
          <w:lang w:val="en-US" w:eastAsia="zh-CN"/>
        </w:rPr>
        <w:t>2026-2028年防城港市市管范围内城市照明设施维修养护服务，包含但不限于箱变、变压器、路灯灯具、灯杆、配电箱、电缆、控制设备、景观亮化等照明设施的日常巡检、维护保养、故障维修、灯具清洗、照明节能改造协助、极端天气及突发事件应急处置、运行数据管理统计等全部约定服务内容</w:t>
      </w:r>
      <w:r>
        <w:rPr>
          <w:rFonts w:hint="eastAsia" w:ascii="宋体" w:hAnsi="宋体" w:eastAsia="宋体" w:cs="宋体"/>
          <w:color w:val="auto"/>
          <w:spacing w:val="5"/>
          <w:sz w:val="21"/>
          <w:szCs w:val="21"/>
          <w:highlight w:val="none"/>
        </w:rPr>
        <w:t>。</w:t>
      </w:r>
    </w:p>
    <w:p w14:paraId="2C033785">
      <w:pPr>
        <w:keepNext w:val="0"/>
        <w:keepLines w:val="0"/>
        <w:pageBreakBefore w:val="0"/>
        <w:widowControl w:val="0"/>
        <w:kinsoku/>
        <w:wordWrap/>
        <w:overflowPunct/>
        <w:topLinePunct w:val="0"/>
        <w:autoSpaceDE/>
        <w:autoSpaceDN/>
        <w:bidi w:val="0"/>
        <w:adjustRightInd/>
        <w:spacing w:before="151" w:line="360" w:lineRule="auto"/>
        <w:ind w:left="541"/>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6.项目承包范围：</w:t>
      </w:r>
      <w:r>
        <w:rPr>
          <w:rFonts w:hint="eastAsia" w:ascii="宋体" w:hAnsi="宋体" w:cs="宋体"/>
          <w:color w:val="auto"/>
          <w:spacing w:val="5"/>
          <w:sz w:val="21"/>
          <w:szCs w:val="21"/>
          <w:highlight w:val="none"/>
          <w:u w:val="single"/>
          <w:lang w:val="en-US" w:eastAsia="zh-CN"/>
        </w:rPr>
        <w:t>本项目招标文件采购需求约定的防城港</w:t>
      </w:r>
      <w:r>
        <w:rPr>
          <w:rFonts w:hint="eastAsia" w:ascii="宋体" w:hAnsi="宋体" w:cs="宋体"/>
          <w:color w:val="auto"/>
          <w:spacing w:val="5"/>
          <w:sz w:val="21"/>
          <w:szCs w:val="21"/>
          <w:highlight w:val="none"/>
          <w:u w:val="single"/>
          <w:lang w:val="en-US" w:eastAsia="zh-CN"/>
        </w:rPr>
        <w:t>市</w:t>
      </w:r>
      <w:r>
        <w:rPr>
          <w:rFonts w:hint="eastAsia" w:ascii="宋体" w:hAnsi="宋体" w:cs="宋体"/>
          <w:color w:val="auto"/>
          <w:spacing w:val="6"/>
          <w:sz w:val="21"/>
          <w:szCs w:val="21"/>
          <w:highlight w:val="none"/>
          <w:u w:val="single"/>
          <w:lang w:val="en-US" w:eastAsia="zh-CN"/>
        </w:rPr>
        <w:t>市级城市管理区域</w:t>
      </w:r>
      <w:r>
        <w:rPr>
          <w:rFonts w:hint="eastAsia" w:ascii="宋体" w:hAnsi="宋体" w:cs="宋体"/>
          <w:color w:val="auto"/>
          <w:spacing w:val="5"/>
          <w:sz w:val="21"/>
          <w:szCs w:val="21"/>
          <w:highlight w:val="none"/>
          <w:u w:val="single"/>
          <w:lang w:val="en-US" w:eastAsia="zh-CN"/>
        </w:rPr>
        <w:t>内</w:t>
      </w:r>
      <w:r>
        <w:rPr>
          <w:rFonts w:hint="eastAsia" w:ascii="宋体" w:hAnsi="宋体" w:cs="宋体"/>
          <w:color w:val="auto"/>
          <w:spacing w:val="5"/>
          <w:sz w:val="21"/>
          <w:szCs w:val="21"/>
          <w:highlight w:val="none"/>
          <w:u w:val="single"/>
          <w:lang w:val="en-US" w:eastAsia="zh-CN"/>
        </w:rPr>
        <w:t>所有市政公用照明设施维修养护全部范围</w:t>
      </w:r>
      <w:r>
        <w:rPr>
          <w:rFonts w:hint="eastAsia" w:ascii="宋体" w:hAnsi="宋体" w:eastAsia="宋体" w:cs="宋体"/>
          <w:color w:val="auto"/>
          <w:spacing w:val="5"/>
          <w:sz w:val="21"/>
          <w:szCs w:val="21"/>
          <w:highlight w:val="none"/>
        </w:rPr>
        <w:t>。</w:t>
      </w:r>
      <w:bookmarkEnd w:id="150"/>
      <w:bookmarkEnd w:id="152"/>
    </w:p>
    <w:p w14:paraId="5CACD0E7">
      <w:pPr>
        <w:keepNext w:val="0"/>
        <w:keepLines w:val="0"/>
        <w:pageBreakBefore w:val="0"/>
        <w:widowControl w:val="0"/>
        <w:kinsoku/>
        <w:wordWrap/>
        <w:overflowPunct/>
        <w:topLinePunct w:val="0"/>
        <w:autoSpaceDE/>
        <w:autoSpaceDN/>
        <w:bidi w:val="0"/>
        <w:adjustRightInd/>
        <w:spacing w:before="155" w:line="360" w:lineRule="auto"/>
        <w:ind w:left="423"/>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bCs/>
          <w:color w:val="auto"/>
          <w:spacing w:val="6"/>
          <w:sz w:val="21"/>
          <w:szCs w:val="21"/>
          <w:highlight w:val="none"/>
        </w:rPr>
        <w:t>二、</w:t>
      </w:r>
      <w:bookmarkStart w:id="153" w:name="tip_risk_bookmark_8"/>
      <w:r>
        <w:rPr>
          <w:rFonts w:hint="eastAsia" w:ascii="宋体" w:hAnsi="宋体" w:eastAsia="宋体" w:cs="宋体"/>
          <w:b/>
          <w:bCs/>
          <w:color w:val="auto"/>
          <w:spacing w:val="6"/>
          <w:sz w:val="21"/>
          <w:szCs w:val="21"/>
          <w:highlight w:val="none"/>
          <w:lang w:eastAsia="zh-CN"/>
        </w:rPr>
        <w:t>服务期限</w:t>
      </w:r>
    </w:p>
    <w:p w14:paraId="60816521">
      <w:pPr>
        <w:keepNext w:val="0"/>
        <w:keepLines w:val="0"/>
        <w:pageBreakBefore w:val="0"/>
        <w:widowControl w:val="0"/>
        <w:kinsoku/>
        <w:wordWrap/>
        <w:overflowPunct/>
        <w:topLinePunct w:val="0"/>
        <w:autoSpaceDE/>
        <w:autoSpaceDN/>
        <w:bidi w:val="0"/>
        <w:adjustRightInd/>
        <w:spacing w:line="360" w:lineRule="auto"/>
        <w:ind w:left="19" w:leftChars="0" w:firstLine="398" w:firstLineChars="188"/>
        <w:textAlignment w:val="auto"/>
        <w:rPr>
          <w:rFonts w:hint="eastAsia" w:ascii="宋体" w:hAnsi="宋体" w:eastAsia="宋体" w:cs="宋体"/>
          <w:color w:val="auto"/>
          <w:spacing w:val="1"/>
          <w:sz w:val="21"/>
          <w:szCs w:val="21"/>
          <w:highlight w:val="none"/>
        </w:rPr>
      </w:pPr>
      <w:bookmarkStart w:id="154" w:name="auto_fouce_10"/>
      <w:bookmarkStart w:id="155" w:name="tip_risk_bookmark_9"/>
      <w:r>
        <w:rPr>
          <w:rFonts w:hint="eastAsia" w:ascii="宋体" w:hAnsi="宋体" w:eastAsia="宋体" w:cs="宋体"/>
          <w:color w:val="auto"/>
          <w:spacing w:val="1"/>
          <w:sz w:val="21"/>
          <w:szCs w:val="21"/>
          <w:highlight w:val="none"/>
        </w:rPr>
        <w:t>合同期限自</w:t>
      </w:r>
      <w:r>
        <w:rPr>
          <w:rFonts w:hint="eastAsia" w:ascii="宋体" w:hAnsi="宋体" w:eastAsia="宋体" w:cs="宋体"/>
          <w:color w:val="auto"/>
          <w:spacing w:val="5"/>
          <w:sz w:val="21"/>
          <w:szCs w:val="21"/>
          <w:highlight w:val="none"/>
          <w:u w:val="single"/>
          <w:lang w:val="en-US" w:eastAsia="zh-CN"/>
        </w:rPr>
        <w:t xml:space="preserve">     </w:t>
      </w:r>
      <w:r>
        <w:rPr>
          <w:rFonts w:hint="eastAsia" w:ascii="宋体" w:hAnsi="宋体" w:eastAsia="宋体" w:cs="宋体"/>
          <w:color w:val="auto"/>
          <w:spacing w:val="1"/>
          <w:sz w:val="21"/>
          <w:szCs w:val="21"/>
          <w:highlight w:val="none"/>
        </w:rPr>
        <w:t>年</w:t>
      </w:r>
      <w:r>
        <w:rPr>
          <w:rFonts w:hint="eastAsia" w:ascii="宋体" w:hAnsi="宋体" w:eastAsia="宋体" w:cs="宋体"/>
          <w:color w:val="auto"/>
          <w:spacing w:val="5"/>
          <w:sz w:val="21"/>
          <w:szCs w:val="21"/>
          <w:highlight w:val="none"/>
          <w:u w:val="single"/>
          <w:lang w:val="en-US" w:eastAsia="zh-CN"/>
        </w:rPr>
        <w:t xml:space="preserve">   </w:t>
      </w:r>
      <w:r>
        <w:rPr>
          <w:rFonts w:hint="eastAsia" w:ascii="宋体" w:hAnsi="宋体" w:eastAsia="宋体" w:cs="宋体"/>
          <w:color w:val="auto"/>
          <w:spacing w:val="1"/>
          <w:sz w:val="21"/>
          <w:szCs w:val="21"/>
          <w:highlight w:val="none"/>
        </w:rPr>
        <w:t>月</w:t>
      </w:r>
      <w:r>
        <w:rPr>
          <w:rFonts w:hint="eastAsia" w:ascii="宋体" w:hAnsi="宋体" w:eastAsia="宋体" w:cs="宋体"/>
          <w:color w:val="auto"/>
          <w:spacing w:val="5"/>
          <w:sz w:val="21"/>
          <w:szCs w:val="21"/>
          <w:highlight w:val="none"/>
          <w:u w:val="single"/>
          <w:lang w:val="en-US" w:eastAsia="zh-CN"/>
        </w:rPr>
        <w:t xml:space="preserve">   </w:t>
      </w:r>
      <w:r>
        <w:rPr>
          <w:rFonts w:hint="eastAsia" w:ascii="宋体" w:hAnsi="宋体" w:eastAsia="宋体" w:cs="宋体"/>
          <w:color w:val="auto"/>
          <w:spacing w:val="1"/>
          <w:sz w:val="21"/>
          <w:szCs w:val="21"/>
          <w:highlight w:val="none"/>
        </w:rPr>
        <w:t>日起至</w:t>
      </w:r>
      <w:r>
        <w:rPr>
          <w:rFonts w:hint="eastAsia" w:ascii="宋体" w:hAnsi="宋体" w:eastAsia="宋体" w:cs="宋体"/>
          <w:color w:val="auto"/>
          <w:spacing w:val="5"/>
          <w:sz w:val="21"/>
          <w:szCs w:val="21"/>
          <w:highlight w:val="none"/>
          <w:u w:val="single"/>
          <w:lang w:val="en-US" w:eastAsia="zh-CN"/>
        </w:rPr>
        <w:t xml:space="preserve">     </w:t>
      </w:r>
      <w:r>
        <w:rPr>
          <w:rFonts w:hint="eastAsia" w:ascii="宋体" w:hAnsi="宋体" w:eastAsia="宋体" w:cs="宋体"/>
          <w:color w:val="auto"/>
          <w:spacing w:val="1"/>
          <w:sz w:val="21"/>
          <w:szCs w:val="21"/>
          <w:highlight w:val="none"/>
        </w:rPr>
        <w:t>年</w:t>
      </w:r>
      <w:r>
        <w:rPr>
          <w:rFonts w:hint="eastAsia" w:ascii="宋体" w:hAnsi="宋体" w:eastAsia="宋体" w:cs="宋体"/>
          <w:color w:val="auto"/>
          <w:spacing w:val="5"/>
          <w:sz w:val="21"/>
          <w:szCs w:val="21"/>
          <w:highlight w:val="none"/>
          <w:u w:val="single"/>
          <w:lang w:val="en-US" w:eastAsia="zh-CN"/>
        </w:rPr>
        <w:t xml:space="preserve">   </w:t>
      </w:r>
      <w:r>
        <w:rPr>
          <w:rFonts w:hint="eastAsia" w:ascii="宋体" w:hAnsi="宋体" w:eastAsia="宋体" w:cs="宋体"/>
          <w:color w:val="auto"/>
          <w:spacing w:val="1"/>
          <w:sz w:val="21"/>
          <w:szCs w:val="21"/>
          <w:highlight w:val="none"/>
        </w:rPr>
        <w:t>月</w:t>
      </w:r>
      <w:r>
        <w:rPr>
          <w:rFonts w:hint="eastAsia" w:ascii="宋体" w:hAnsi="宋体" w:eastAsia="宋体" w:cs="宋体"/>
          <w:color w:val="auto"/>
          <w:spacing w:val="5"/>
          <w:sz w:val="21"/>
          <w:szCs w:val="21"/>
          <w:highlight w:val="none"/>
          <w:u w:val="single"/>
          <w:lang w:val="en-US" w:eastAsia="zh-CN"/>
        </w:rPr>
        <w:t xml:space="preserve">   </w:t>
      </w:r>
      <w:r>
        <w:rPr>
          <w:rFonts w:hint="eastAsia" w:ascii="宋体" w:hAnsi="宋体" w:eastAsia="宋体" w:cs="宋体"/>
          <w:color w:val="auto"/>
          <w:spacing w:val="1"/>
          <w:sz w:val="21"/>
          <w:szCs w:val="21"/>
          <w:highlight w:val="none"/>
        </w:rPr>
        <w:t>日止。</w:t>
      </w:r>
      <w:r>
        <w:rPr>
          <w:rFonts w:hint="eastAsia" w:ascii="宋体" w:hAnsi="宋体" w:cs="宋体"/>
          <w:color w:val="auto"/>
          <w:spacing w:val="1"/>
          <w:sz w:val="21"/>
          <w:szCs w:val="21"/>
          <w:highlight w:val="none"/>
          <w:lang w:eastAsia="zh-CN"/>
        </w:rPr>
        <w:t>服务期限为</w:t>
      </w:r>
      <w:r>
        <w:rPr>
          <w:rFonts w:hint="eastAsia" w:ascii="宋体" w:hAnsi="宋体" w:cs="宋体"/>
          <w:color w:val="auto"/>
          <w:spacing w:val="1"/>
          <w:sz w:val="21"/>
          <w:szCs w:val="21"/>
          <w:highlight w:val="none"/>
          <w:u w:val="single"/>
          <w:lang w:val="en-US" w:eastAsia="zh-CN"/>
        </w:rPr>
        <w:t xml:space="preserve"> 3 </w:t>
      </w:r>
      <w:r>
        <w:rPr>
          <w:rFonts w:hint="eastAsia" w:ascii="宋体" w:hAnsi="宋体" w:cs="宋体"/>
          <w:color w:val="auto"/>
          <w:spacing w:val="1"/>
          <w:sz w:val="21"/>
          <w:szCs w:val="21"/>
          <w:highlight w:val="none"/>
          <w:lang w:eastAsia="zh-CN"/>
        </w:rPr>
        <w:t>年</w:t>
      </w:r>
      <w:r>
        <w:rPr>
          <w:rFonts w:hint="eastAsia" w:ascii="宋体" w:hAnsi="宋体" w:cs="宋体"/>
          <w:color w:val="auto"/>
          <w:spacing w:val="1"/>
          <w:sz w:val="21"/>
          <w:szCs w:val="21"/>
          <w:highlight w:val="none"/>
          <w:lang w:eastAsia="zh-CN"/>
        </w:rPr>
        <w:t>，自合同签订之日起计算。本合同期限届满前，经甲方考核，</w:t>
      </w:r>
      <w:r>
        <w:rPr>
          <w:rFonts w:hint="eastAsia" w:ascii="宋体" w:hAnsi="宋体" w:eastAsia="宋体" w:cs="宋体"/>
          <w:color w:val="auto"/>
          <w:spacing w:val="1"/>
          <w:sz w:val="21"/>
          <w:szCs w:val="21"/>
          <w:highlight w:val="none"/>
          <w:lang w:eastAsia="zh-CN"/>
        </w:rPr>
        <w:t>乙方第一个与第二个</w:t>
      </w:r>
      <w:r>
        <w:rPr>
          <w:rFonts w:hint="eastAsia" w:ascii="宋体" w:hAnsi="宋体" w:eastAsia="宋体" w:cs="Times New Roman"/>
          <w:b w:val="0"/>
          <w:bCs/>
          <w:strike w:val="0"/>
          <w:dstrike w:val="0"/>
          <w:color w:val="auto"/>
          <w:szCs w:val="21"/>
          <w:highlight w:val="none"/>
          <w:lang w:val="en-US" w:eastAsia="zh-CN"/>
        </w:rPr>
        <w:t>绩效考核周期内未出现</w:t>
      </w:r>
      <w:r>
        <w:rPr>
          <w:rFonts w:hint="eastAsia" w:ascii="宋体" w:hAnsi="宋体" w:eastAsia="宋体" w:cs="Times New Roman"/>
          <w:b w:val="0"/>
          <w:bCs/>
          <w:color w:val="auto"/>
          <w:szCs w:val="21"/>
          <w:highlight w:val="none"/>
          <w:lang w:val="en-US" w:eastAsia="zh-CN"/>
        </w:rPr>
        <w:t>累计6个月</w:t>
      </w:r>
      <w:r>
        <w:rPr>
          <w:rFonts w:hint="eastAsia" w:ascii="宋体" w:hAnsi="宋体" w:cs="Times New Roman"/>
          <w:b w:val="0"/>
          <w:bCs/>
          <w:color w:val="auto"/>
          <w:szCs w:val="21"/>
          <w:highlight w:val="none"/>
          <w:lang w:val="en-US" w:eastAsia="zh-CN"/>
        </w:rPr>
        <w:t>及以上</w:t>
      </w:r>
      <w:r>
        <w:rPr>
          <w:rFonts w:hint="eastAsia" w:ascii="宋体" w:hAnsi="宋体" w:eastAsia="宋体" w:cs="Times New Roman"/>
          <w:b w:val="0"/>
          <w:bCs/>
          <w:color w:val="auto"/>
          <w:szCs w:val="21"/>
          <w:highlight w:val="none"/>
          <w:lang w:val="en-US" w:eastAsia="zh-CN"/>
        </w:rPr>
        <w:t>考核不合格的，</w:t>
      </w:r>
      <w:r>
        <w:rPr>
          <w:rFonts w:hint="eastAsia" w:ascii="宋体" w:hAnsi="宋体" w:cs="Times New Roman"/>
          <w:b w:val="0"/>
          <w:bCs/>
          <w:color w:val="auto"/>
          <w:szCs w:val="21"/>
          <w:highlight w:val="none"/>
          <w:lang w:val="en-US" w:eastAsia="zh-CN"/>
        </w:rPr>
        <w:t>双方继续履行剩余的合同服务期限；</w:t>
      </w:r>
      <w:r>
        <w:rPr>
          <w:rFonts w:hint="eastAsia" w:ascii="宋体" w:hAnsi="宋体" w:eastAsia="宋体" w:cs="Times New Roman"/>
          <w:b w:val="0"/>
          <w:bCs/>
          <w:color w:val="auto"/>
          <w:szCs w:val="21"/>
          <w:highlight w:val="none"/>
          <w:lang w:val="en-US" w:eastAsia="zh-CN"/>
        </w:rPr>
        <w:t>若</w:t>
      </w:r>
      <w:r>
        <w:rPr>
          <w:rFonts w:hint="eastAsia" w:ascii="宋体" w:hAnsi="宋体" w:cs="Times New Roman"/>
          <w:b w:val="0"/>
          <w:bCs/>
          <w:color w:val="auto"/>
          <w:szCs w:val="21"/>
          <w:highlight w:val="none"/>
          <w:lang w:val="en-US" w:eastAsia="zh-CN"/>
        </w:rPr>
        <w:t>任一</w:t>
      </w:r>
      <w:r>
        <w:rPr>
          <w:rFonts w:hint="eastAsia" w:ascii="宋体" w:hAnsi="宋体" w:eastAsia="宋体" w:cs="Times New Roman"/>
          <w:b w:val="0"/>
          <w:bCs/>
          <w:strike w:val="0"/>
          <w:dstrike w:val="0"/>
          <w:color w:val="auto"/>
          <w:szCs w:val="21"/>
          <w:highlight w:val="none"/>
          <w:lang w:val="en-US" w:eastAsia="zh-CN"/>
        </w:rPr>
        <w:t>绩效考核周期内</w:t>
      </w:r>
      <w:r>
        <w:rPr>
          <w:rFonts w:hint="eastAsia" w:ascii="宋体" w:hAnsi="宋体" w:eastAsia="宋体" w:cs="Times New Roman"/>
          <w:b w:val="0"/>
          <w:bCs/>
          <w:color w:val="auto"/>
          <w:szCs w:val="21"/>
          <w:highlight w:val="none"/>
          <w:lang w:val="en-US" w:eastAsia="zh-CN"/>
        </w:rPr>
        <w:t>出现累计6个月</w:t>
      </w:r>
      <w:r>
        <w:rPr>
          <w:rFonts w:hint="eastAsia" w:ascii="宋体" w:hAnsi="宋体" w:cs="Times New Roman"/>
          <w:b w:val="0"/>
          <w:bCs/>
          <w:color w:val="auto"/>
          <w:szCs w:val="21"/>
          <w:highlight w:val="none"/>
          <w:lang w:val="en-US" w:eastAsia="zh-CN"/>
        </w:rPr>
        <w:t>及以上</w:t>
      </w:r>
      <w:r>
        <w:rPr>
          <w:rFonts w:hint="eastAsia" w:ascii="宋体" w:hAnsi="宋体" w:eastAsia="宋体" w:cs="Times New Roman"/>
          <w:b w:val="0"/>
          <w:bCs/>
          <w:color w:val="auto"/>
          <w:szCs w:val="21"/>
          <w:highlight w:val="none"/>
          <w:lang w:val="en-US" w:eastAsia="zh-CN"/>
        </w:rPr>
        <w:t>考核不合格的，</w:t>
      </w:r>
      <w:r>
        <w:rPr>
          <w:rFonts w:hint="eastAsia" w:ascii="宋体" w:hAnsi="宋体" w:cs="Times New Roman"/>
          <w:b w:val="0"/>
          <w:bCs/>
          <w:color w:val="auto"/>
          <w:szCs w:val="21"/>
          <w:highlight w:val="none"/>
          <w:lang w:val="en-US" w:eastAsia="zh-CN"/>
        </w:rPr>
        <w:t>甲方有权提前</w:t>
      </w:r>
      <w:r>
        <w:rPr>
          <w:rFonts w:hint="eastAsia" w:ascii="宋体" w:hAnsi="宋体" w:eastAsia="宋体" w:cs="Times New Roman"/>
          <w:b w:val="0"/>
          <w:bCs/>
          <w:color w:val="auto"/>
          <w:szCs w:val="21"/>
          <w:highlight w:val="none"/>
          <w:lang w:val="en-US" w:eastAsia="zh-CN"/>
        </w:rPr>
        <w:t>终止</w:t>
      </w:r>
      <w:r>
        <w:rPr>
          <w:rFonts w:hint="eastAsia" w:ascii="宋体" w:hAnsi="宋体" w:cs="Times New Roman"/>
          <w:b w:val="0"/>
          <w:bCs/>
          <w:color w:val="auto"/>
          <w:szCs w:val="21"/>
          <w:highlight w:val="none"/>
          <w:lang w:val="en-US" w:eastAsia="zh-CN"/>
        </w:rPr>
        <w:t>本</w:t>
      </w:r>
      <w:r>
        <w:rPr>
          <w:rFonts w:hint="eastAsia" w:ascii="宋体" w:hAnsi="宋体" w:eastAsia="宋体" w:cs="Times New Roman"/>
          <w:b w:val="0"/>
          <w:bCs/>
          <w:color w:val="auto"/>
          <w:szCs w:val="21"/>
          <w:highlight w:val="none"/>
          <w:lang w:val="en-US" w:eastAsia="zh-CN"/>
        </w:rPr>
        <w:t>合同</w:t>
      </w:r>
      <w:r>
        <w:rPr>
          <w:rFonts w:hint="eastAsia" w:ascii="宋体" w:hAnsi="宋体" w:cs="Times New Roman"/>
          <w:b w:val="0"/>
          <w:bCs/>
          <w:color w:val="auto"/>
          <w:szCs w:val="21"/>
          <w:highlight w:val="none"/>
          <w:lang w:val="en-US" w:eastAsia="zh-CN"/>
        </w:rPr>
        <w:t>并</w:t>
      </w:r>
      <w:r>
        <w:rPr>
          <w:rFonts w:hint="eastAsia" w:ascii="宋体" w:hAnsi="宋体" w:eastAsia="宋体" w:cs="Times New Roman"/>
          <w:b w:val="0"/>
          <w:bCs/>
          <w:color w:val="auto"/>
          <w:szCs w:val="21"/>
          <w:highlight w:val="none"/>
          <w:lang w:val="en-US" w:eastAsia="zh-CN"/>
        </w:rPr>
        <w:t>重新招标</w:t>
      </w:r>
      <w:r>
        <w:rPr>
          <w:rFonts w:hint="eastAsia" w:ascii="宋体" w:hAnsi="宋体" w:cs="宋体"/>
          <w:color w:val="auto"/>
          <w:spacing w:val="1"/>
          <w:sz w:val="21"/>
          <w:szCs w:val="21"/>
          <w:highlight w:val="none"/>
          <w:lang w:eastAsia="zh-CN"/>
        </w:rPr>
        <w:t>，无需向乙方承担任何责任</w:t>
      </w:r>
      <w:r>
        <w:rPr>
          <w:rFonts w:hint="eastAsia" w:ascii="宋体" w:hAnsi="宋体" w:eastAsia="宋体" w:cs="宋体"/>
          <w:color w:val="auto"/>
          <w:spacing w:val="1"/>
          <w:sz w:val="21"/>
          <w:szCs w:val="21"/>
          <w:highlight w:val="none"/>
        </w:rPr>
        <w:t>。</w:t>
      </w:r>
      <w:bookmarkEnd w:id="153"/>
      <w:bookmarkEnd w:id="154"/>
      <w:bookmarkEnd w:id="155"/>
    </w:p>
    <w:p w14:paraId="2E524AAA">
      <w:pPr>
        <w:keepNext w:val="0"/>
        <w:keepLines w:val="0"/>
        <w:pageBreakBefore w:val="0"/>
        <w:widowControl w:val="0"/>
        <w:kinsoku/>
        <w:wordWrap/>
        <w:overflowPunct/>
        <w:topLinePunct w:val="0"/>
        <w:autoSpaceDE/>
        <w:autoSpaceDN/>
        <w:bidi w:val="0"/>
        <w:adjustRightInd/>
        <w:spacing w:line="360" w:lineRule="auto"/>
        <w:ind w:left="419"/>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6"/>
          <w:sz w:val="21"/>
          <w:szCs w:val="21"/>
          <w:highlight w:val="none"/>
        </w:rPr>
        <w:t>三、质量标准</w:t>
      </w:r>
    </w:p>
    <w:p w14:paraId="5B1BA4EF">
      <w:pPr>
        <w:keepNext w:val="0"/>
        <w:keepLines w:val="0"/>
        <w:pageBreakBefore w:val="0"/>
        <w:widowControl w:val="0"/>
        <w:kinsoku/>
        <w:wordWrap/>
        <w:overflowPunct/>
        <w:topLinePunct w:val="0"/>
        <w:autoSpaceDE/>
        <w:autoSpaceDN/>
        <w:bidi w:val="0"/>
        <w:adjustRightInd/>
        <w:spacing w:before="153" w:line="360" w:lineRule="auto"/>
        <w:ind w:left="539"/>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lang w:eastAsia="zh-CN"/>
        </w:rPr>
        <w:t>本项目</w:t>
      </w:r>
      <w:r>
        <w:rPr>
          <w:rFonts w:hint="eastAsia" w:ascii="宋体" w:hAnsi="宋体" w:eastAsia="宋体" w:cs="宋体"/>
          <w:color w:val="auto"/>
          <w:spacing w:val="6"/>
          <w:sz w:val="21"/>
          <w:szCs w:val="21"/>
          <w:highlight w:val="none"/>
        </w:rPr>
        <w:t>服务质量符合</w:t>
      </w:r>
      <w:r>
        <w:rPr>
          <w:rFonts w:hint="eastAsia" w:ascii="宋体" w:hAnsi="宋体" w:eastAsia="宋体" w:cs="宋体"/>
          <w:color w:val="auto"/>
          <w:spacing w:val="10"/>
          <w:sz w:val="21"/>
          <w:szCs w:val="21"/>
          <w:highlight w:val="none"/>
          <w:u w:val="single" w:color="auto"/>
          <w:lang w:val="en-US" w:eastAsia="zh-CN"/>
        </w:rPr>
        <w:t xml:space="preserve"> 合格 </w:t>
      </w:r>
      <w:r>
        <w:rPr>
          <w:rFonts w:hint="eastAsia" w:ascii="宋体" w:hAnsi="宋体" w:eastAsia="宋体" w:cs="宋体"/>
          <w:color w:val="auto"/>
          <w:spacing w:val="6"/>
          <w:sz w:val="21"/>
          <w:szCs w:val="21"/>
          <w:highlight w:val="none"/>
        </w:rPr>
        <w:t>标准。</w:t>
      </w:r>
    </w:p>
    <w:p w14:paraId="6900955F">
      <w:pPr>
        <w:keepNext w:val="0"/>
        <w:keepLines w:val="0"/>
        <w:pageBreakBefore w:val="0"/>
        <w:widowControl w:val="0"/>
        <w:kinsoku/>
        <w:wordWrap/>
        <w:overflowPunct/>
        <w:topLinePunct w:val="0"/>
        <w:autoSpaceDE/>
        <w:autoSpaceDN/>
        <w:bidi w:val="0"/>
        <w:adjustRightInd/>
        <w:spacing w:before="154" w:line="360" w:lineRule="auto"/>
        <w:ind w:left="2" w:right="2" w:firstLine="437"/>
        <w:jc w:val="both"/>
        <w:textAlignment w:val="auto"/>
        <w:rPr>
          <w:rFonts w:hint="eastAsia" w:ascii="宋体" w:hAnsi="宋体" w:eastAsia="宋体" w:cs="宋体"/>
          <w:color w:val="auto"/>
          <w:spacing w:val="8"/>
          <w:sz w:val="21"/>
          <w:szCs w:val="21"/>
          <w:highlight w:val="none"/>
        </w:rPr>
      </w:pPr>
      <w:r>
        <w:rPr>
          <w:rFonts w:hint="eastAsia" w:ascii="宋体" w:hAnsi="宋体" w:eastAsia="宋体" w:cs="宋体"/>
          <w:b/>
          <w:bCs/>
          <w:color w:val="auto"/>
          <w:spacing w:val="10"/>
          <w:sz w:val="21"/>
          <w:szCs w:val="21"/>
          <w:highlight w:val="none"/>
        </w:rPr>
        <w:t>四、合同价款</w:t>
      </w:r>
      <w:r>
        <w:rPr>
          <w:rFonts w:hint="eastAsia" w:ascii="宋体" w:hAnsi="宋体" w:eastAsia="宋体" w:cs="宋体"/>
          <w:color w:val="auto"/>
          <w:spacing w:val="8"/>
          <w:sz w:val="21"/>
          <w:szCs w:val="21"/>
          <w:highlight w:val="none"/>
        </w:rPr>
        <w:t>：</w:t>
      </w:r>
    </w:p>
    <w:p w14:paraId="0B94C74E">
      <w:pPr>
        <w:keepNext w:val="0"/>
        <w:keepLines w:val="0"/>
        <w:pageBreakBefore w:val="0"/>
        <w:widowControl w:val="0"/>
        <w:kinsoku/>
        <w:wordWrap/>
        <w:overflowPunct/>
        <w:topLinePunct w:val="0"/>
        <w:autoSpaceDE/>
        <w:autoSpaceDN/>
        <w:bidi w:val="0"/>
        <w:adjustRightInd/>
        <w:spacing w:before="154" w:line="360" w:lineRule="auto"/>
        <w:ind w:left="2" w:right="2" w:firstLine="437"/>
        <w:jc w:val="both"/>
        <w:textAlignment w:val="auto"/>
        <w:rPr>
          <w:rFonts w:hint="eastAsia" w:ascii="宋体" w:hAnsi="宋体" w:eastAsia="宋体" w:cs="宋体"/>
          <w:color w:val="auto"/>
          <w:sz w:val="21"/>
          <w:szCs w:val="21"/>
          <w:highlight w:val="none"/>
        </w:rPr>
      </w:pPr>
      <w:bookmarkStart w:id="156" w:name="tip_risk_bookmark_11"/>
      <w:r>
        <w:rPr>
          <w:rFonts w:hint="eastAsia" w:ascii="宋体" w:hAnsi="宋体" w:eastAsia="宋体" w:cs="宋体"/>
          <w:color w:val="auto"/>
          <w:spacing w:val="10"/>
          <w:sz w:val="21"/>
          <w:szCs w:val="21"/>
          <w:highlight w:val="none"/>
          <w:u w:val="none" w:color="auto"/>
        </w:rPr>
        <w:t>市政设施日常维修养护费用为</w:t>
      </w:r>
      <w:r>
        <w:rPr>
          <w:rFonts w:hint="eastAsia" w:ascii="宋体" w:hAnsi="宋体" w:eastAsia="宋体" w:cs="宋体"/>
          <w:color w:val="auto"/>
          <w:spacing w:val="10"/>
          <w:sz w:val="21"/>
          <w:szCs w:val="21"/>
          <w:highlight w:val="none"/>
          <w:u w:val="single" w:color="auto"/>
          <w:lang w:val="en-US" w:eastAsia="zh-CN"/>
        </w:rPr>
        <w:t xml:space="preserve">     </w:t>
      </w:r>
      <w:r>
        <w:rPr>
          <w:rFonts w:hint="eastAsia" w:ascii="宋体" w:hAnsi="宋体" w:eastAsia="宋体" w:cs="宋体"/>
          <w:color w:val="auto"/>
          <w:spacing w:val="10"/>
          <w:sz w:val="21"/>
          <w:szCs w:val="21"/>
          <w:highlight w:val="none"/>
          <w:u w:val="none" w:color="auto"/>
        </w:rPr>
        <w:t>万/年（三年合计</w:t>
      </w:r>
      <w:r>
        <w:rPr>
          <w:rFonts w:hint="eastAsia" w:ascii="宋体" w:hAnsi="宋体" w:eastAsia="宋体" w:cs="宋体"/>
          <w:color w:val="auto"/>
          <w:spacing w:val="10"/>
          <w:sz w:val="21"/>
          <w:szCs w:val="21"/>
          <w:highlight w:val="none"/>
          <w:u w:val="single" w:color="auto"/>
          <w:lang w:val="en-US" w:eastAsia="zh-CN"/>
        </w:rPr>
        <w:t xml:space="preserve">     </w:t>
      </w:r>
      <w:r>
        <w:rPr>
          <w:rFonts w:hint="eastAsia" w:ascii="宋体" w:hAnsi="宋体" w:eastAsia="宋体" w:cs="宋体"/>
          <w:color w:val="auto"/>
          <w:spacing w:val="10"/>
          <w:sz w:val="21"/>
          <w:szCs w:val="21"/>
          <w:highlight w:val="none"/>
          <w:u w:val="none" w:color="auto"/>
        </w:rPr>
        <w:t>万元</w:t>
      </w:r>
      <w:r>
        <w:rPr>
          <w:rFonts w:hint="eastAsia" w:ascii="宋体" w:hAnsi="宋体" w:eastAsia="宋体" w:cs="宋体"/>
          <w:color w:val="auto"/>
          <w:spacing w:val="8"/>
          <w:sz w:val="21"/>
          <w:szCs w:val="21"/>
          <w:highlight w:val="none"/>
          <w:u w:val="none" w:color="auto"/>
        </w:rPr>
        <w:t>），</w:t>
      </w:r>
      <w:r>
        <w:rPr>
          <w:rFonts w:hint="eastAsia" w:ascii="宋体" w:hAnsi="宋体" w:eastAsia="宋体" w:cs="宋体"/>
          <w:color w:val="auto"/>
          <w:spacing w:val="10"/>
          <w:sz w:val="21"/>
          <w:szCs w:val="21"/>
          <w:highlight w:val="none"/>
          <w:u w:val="none" w:color="auto"/>
        </w:rPr>
        <w:t>包含市管城</w:t>
      </w:r>
      <w:r>
        <w:rPr>
          <w:rFonts w:hint="eastAsia" w:ascii="宋体" w:hAnsi="宋体" w:eastAsia="宋体" w:cs="宋体"/>
          <w:color w:val="auto"/>
          <w:spacing w:val="9"/>
          <w:sz w:val="21"/>
          <w:szCs w:val="21"/>
          <w:highlight w:val="none"/>
          <w:u w:val="none" w:color="auto"/>
        </w:rPr>
        <w:t>市照明设施、附属配套设施及照明供配电设施的日常维修养护工作、与当地供电部门相</w:t>
      </w:r>
      <w:r>
        <w:rPr>
          <w:rFonts w:hint="eastAsia" w:ascii="宋体" w:hAnsi="宋体" w:eastAsia="宋体" w:cs="宋体"/>
          <w:color w:val="auto"/>
          <w:spacing w:val="8"/>
          <w:sz w:val="21"/>
          <w:szCs w:val="21"/>
          <w:highlight w:val="none"/>
          <w:u w:val="none" w:color="auto"/>
        </w:rPr>
        <w:t>关业务手续办理</w:t>
      </w:r>
      <w:r>
        <w:rPr>
          <w:rFonts w:hint="eastAsia" w:ascii="宋体" w:hAnsi="宋体" w:eastAsia="宋体" w:cs="宋体"/>
          <w:color w:val="auto"/>
          <w:spacing w:val="9"/>
          <w:sz w:val="21"/>
          <w:szCs w:val="21"/>
          <w:highlight w:val="none"/>
          <w:u w:val="none" w:color="auto"/>
        </w:rPr>
        <w:t>工作、城市照明及附属配套设施因外力损毁等照明设施突发事件的应急处置工作、城市</w:t>
      </w:r>
      <w:r>
        <w:rPr>
          <w:rFonts w:hint="eastAsia" w:ascii="宋体" w:hAnsi="宋体" w:eastAsia="宋体" w:cs="宋体"/>
          <w:color w:val="auto"/>
          <w:spacing w:val="8"/>
          <w:sz w:val="21"/>
          <w:szCs w:val="21"/>
          <w:highlight w:val="none"/>
          <w:u w:val="none" w:color="auto"/>
        </w:rPr>
        <w:t>照明相关设施巡</w:t>
      </w:r>
      <w:r>
        <w:rPr>
          <w:rFonts w:hint="eastAsia" w:ascii="宋体" w:hAnsi="宋体" w:eastAsia="宋体" w:cs="宋体"/>
          <w:color w:val="auto"/>
          <w:spacing w:val="10"/>
          <w:sz w:val="21"/>
          <w:szCs w:val="21"/>
          <w:highlight w:val="none"/>
          <w:u w:val="none" w:color="auto"/>
        </w:rPr>
        <w:t>查、重大活动期间的照明设施应急保障工作等</w:t>
      </w:r>
      <w:r>
        <w:rPr>
          <w:rFonts w:hint="eastAsia" w:ascii="宋体" w:hAnsi="宋体" w:eastAsia="宋体" w:cs="宋体"/>
          <w:color w:val="auto"/>
          <w:spacing w:val="10"/>
          <w:sz w:val="21"/>
          <w:szCs w:val="21"/>
          <w:highlight w:val="none"/>
          <w:u w:val="none" w:color="auto"/>
          <w:lang w:eastAsia="zh-CN"/>
        </w:rPr>
        <w:t>，为服务包干，无须另行计算工程量</w:t>
      </w:r>
      <w:r>
        <w:rPr>
          <w:rFonts w:hint="eastAsia" w:ascii="宋体" w:hAnsi="宋体" w:eastAsia="宋体" w:cs="宋体"/>
          <w:color w:val="auto"/>
          <w:spacing w:val="10"/>
          <w:sz w:val="21"/>
          <w:szCs w:val="21"/>
          <w:highlight w:val="none"/>
          <w:u w:val="none" w:color="auto"/>
        </w:rPr>
        <w:t>。</w:t>
      </w:r>
      <w:bookmarkEnd w:id="156"/>
    </w:p>
    <w:p w14:paraId="6FAA7B7D">
      <w:pPr>
        <w:keepNext w:val="0"/>
        <w:keepLines w:val="0"/>
        <w:pageBreakBefore w:val="0"/>
        <w:widowControl w:val="0"/>
        <w:kinsoku/>
        <w:wordWrap/>
        <w:overflowPunct/>
        <w:topLinePunct w:val="0"/>
        <w:autoSpaceDE/>
        <w:autoSpaceDN/>
        <w:bidi w:val="0"/>
        <w:adjustRightInd/>
        <w:spacing w:before="154" w:line="360" w:lineRule="auto"/>
        <w:ind w:left="419"/>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7"/>
          <w:sz w:val="21"/>
          <w:szCs w:val="21"/>
          <w:highlight w:val="none"/>
          <w:lang w:eastAsia="zh-CN"/>
        </w:rPr>
        <w:t>五</w:t>
      </w:r>
      <w:r>
        <w:rPr>
          <w:rFonts w:hint="eastAsia" w:ascii="宋体" w:hAnsi="宋体" w:eastAsia="宋体" w:cs="宋体"/>
          <w:b/>
          <w:bCs/>
          <w:color w:val="auto"/>
          <w:spacing w:val="7"/>
          <w:sz w:val="21"/>
          <w:szCs w:val="21"/>
          <w:highlight w:val="none"/>
        </w:rPr>
        <w:t>、项目（服务费）支付</w:t>
      </w:r>
    </w:p>
    <w:p w14:paraId="2877E04F">
      <w:pPr>
        <w:spacing w:line="360" w:lineRule="auto"/>
        <w:ind w:firstLine="452" w:firstLineChars="200"/>
        <w:rPr>
          <w:rFonts w:hint="eastAsia" w:ascii="宋体" w:hAnsi="宋体" w:eastAsia="宋体" w:cs="Times New Roman"/>
          <w:b w:val="0"/>
          <w:bCs/>
          <w:color w:val="auto"/>
          <w:szCs w:val="21"/>
          <w:highlight w:val="none"/>
        </w:rPr>
      </w:pP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10"/>
          <w:sz w:val="21"/>
          <w:szCs w:val="21"/>
          <w:highlight w:val="none"/>
        </w:rPr>
        <w:t>一）</w:t>
      </w:r>
      <w:r>
        <w:rPr>
          <w:rFonts w:hint="eastAsia" w:ascii="宋体" w:hAnsi="宋体" w:eastAsia="宋体" w:cs="Times New Roman"/>
          <w:b w:val="0"/>
          <w:bCs/>
          <w:color w:val="auto"/>
          <w:szCs w:val="21"/>
          <w:highlight w:val="none"/>
        </w:rPr>
        <w:t>由</w:t>
      </w:r>
      <w:r>
        <w:rPr>
          <w:rFonts w:hint="eastAsia" w:ascii="宋体" w:hAnsi="宋体" w:cs="Times New Roman"/>
          <w:b w:val="0"/>
          <w:bCs/>
          <w:color w:val="auto"/>
          <w:szCs w:val="21"/>
          <w:highlight w:val="none"/>
          <w:lang w:val="en-US" w:eastAsia="zh-CN"/>
        </w:rPr>
        <w:t>甲方</w:t>
      </w:r>
      <w:r>
        <w:rPr>
          <w:rFonts w:hint="eastAsia" w:ascii="宋体" w:hAnsi="宋体" w:eastAsia="宋体" w:cs="Times New Roman"/>
          <w:b w:val="0"/>
          <w:bCs/>
          <w:color w:val="auto"/>
          <w:szCs w:val="21"/>
          <w:highlight w:val="none"/>
        </w:rPr>
        <w:t>根据考核结果支付养护经费，在开具服务类发票后，按财政拨款进度支付。养护经费</w:t>
      </w:r>
      <w:r>
        <w:rPr>
          <w:rFonts w:hint="eastAsia" w:ascii="宋体" w:hAnsi="宋体" w:eastAsia="宋体" w:cs="Times New Roman"/>
          <w:b w:val="0"/>
          <w:bCs/>
          <w:color w:val="auto"/>
          <w:szCs w:val="21"/>
          <w:highlight w:val="none"/>
          <w:lang w:val="en-US" w:eastAsia="zh-CN"/>
        </w:rPr>
        <w:t>分为两部分，</w:t>
      </w:r>
      <w:r>
        <w:rPr>
          <w:rFonts w:hint="eastAsia" w:ascii="宋体" w:hAnsi="宋体" w:cs="Times New Roman"/>
          <w:b w:val="0"/>
          <w:bCs/>
          <w:color w:val="auto"/>
          <w:szCs w:val="21"/>
          <w:highlight w:val="none"/>
          <w:lang w:val="en-US" w:eastAsia="zh-CN"/>
        </w:rPr>
        <w:t>甲方</w:t>
      </w:r>
      <w:r>
        <w:rPr>
          <w:rFonts w:hint="eastAsia" w:ascii="宋体" w:hAnsi="宋体" w:eastAsia="宋体" w:cs="Times New Roman"/>
          <w:b w:val="0"/>
          <w:bCs/>
          <w:color w:val="auto"/>
          <w:szCs w:val="21"/>
          <w:highlight w:val="none"/>
          <w:lang w:eastAsia="zh-CN"/>
        </w:rPr>
        <w:t>以连续</w:t>
      </w:r>
      <w:r>
        <w:rPr>
          <w:rFonts w:hint="eastAsia" w:ascii="宋体" w:hAnsi="宋体" w:eastAsia="宋体" w:cs="Times New Roman"/>
          <w:b w:val="0"/>
          <w:bCs/>
          <w:color w:val="auto"/>
          <w:szCs w:val="21"/>
          <w:highlight w:val="none"/>
          <w:lang w:val="en-US" w:eastAsia="zh-CN"/>
        </w:rPr>
        <w:t>3</w:t>
      </w:r>
      <w:r>
        <w:rPr>
          <w:rFonts w:hint="eastAsia" w:ascii="宋体" w:hAnsi="宋体" w:eastAsia="宋体" w:cs="Times New Roman"/>
          <w:b w:val="0"/>
          <w:bCs/>
          <w:color w:val="auto"/>
          <w:szCs w:val="21"/>
          <w:highlight w:val="none"/>
          <w:lang w:eastAsia="zh-CN"/>
        </w:rPr>
        <w:t>个月为</w:t>
      </w:r>
      <w:r>
        <w:rPr>
          <w:rFonts w:hint="eastAsia" w:ascii="宋体" w:hAnsi="宋体" w:eastAsia="宋体" w:cs="Times New Roman"/>
          <w:b w:val="0"/>
          <w:bCs/>
          <w:color w:val="auto"/>
          <w:szCs w:val="21"/>
          <w:highlight w:val="none"/>
          <w:lang w:val="en-US" w:eastAsia="zh-CN"/>
        </w:rPr>
        <w:t>1</w:t>
      </w:r>
      <w:r>
        <w:rPr>
          <w:rFonts w:hint="eastAsia" w:ascii="宋体" w:hAnsi="宋体" w:eastAsia="宋体" w:cs="Times New Roman"/>
          <w:b w:val="0"/>
          <w:bCs/>
          <w:color w:val="auto"/>
          <w:szCs w:val="21"/>
          <w:highlight w:val="none"/>
          <w:lang w:eastAsia="zh-CN"/>
        </w:rPr>
        <w:t>个基础考核周期向市财政局申请基础养护经费，以</w:t>
      </w:r>
      <w:r>
        <w:rPr>
          <w:rFonts w:hint="eastAsia" w:ascii="宋体" w:hAnsi="宋体" w:eastAsia="宋体" w:cs="Times New Roman"/>
          <w:b w:val="0"/>
          <w:bCs/>
          <w:color w:val="auto"/>
          <w:szCs w:val="21"/>
          <w:highlight w:val="none"/>
          <w:lang w:val="en-US" w:eastAsia="zh-CN"/>
        </w:rPr>
        <w:t>连续12个月</w:t>
      </w:r>
      <w:r>
        <w:rPr>
          <w:rFonts w:hint="eastAsia" w:ascii="宋体" w:hAnsi="宋体" w:eastAsia="宋体" w:cs="Times New Roman"/>
          <w:b w:val="0"/>
          <w:bCs/>
          <w:color w:val="auto"/>
          <w:szCs w:val="21"/>
          <w:highlight w:val="none"/>
          <w:lang w:eastAsia="zh-CN"/>
        </w:rPr>
        <w:t>为</w:t>
      </w:r>
      <w:r>
        <w:rPr>
          <w:rFonts w:hint="eastAsia" w:ascii="宋体" w:hAnsi="宋体" w:eastAsia="宋体" w:cs="Times New Roman"/>
          <w:b w:val="0"/>
          <w:bCs/>
          <w:color w:val="auto"/>
          <w:szCs w:val="21"/>
          <w:highlight w:val="none"/>
          <w:lang w:val="en-US" w:eastAsia="zh-CN"/>
        </w:rPr>
        <w:t>1</w:t>
      </w:r>
      <w:r>
        <w:rPr>
          <w:rFonts w:hint="eastAsia" w:ascii="宋体" w:hAnsi="宋体" w:eastAsia="宋体" w:cs="Times New Roman"/>
          <w:b w:val="0"/>
          <w:bCs/>
          <w:color w:val="auto"/>
          <w:szCs w:val="21"/>
          <w:highlight w:val="none"/>
          <w:lang w:eastAsia="zh-CN"/>
        </w:rPr>
        <w:t>个绩效考核周期向市财政局申请</w:t>
      </w:r>
      <w:r>
        <w:rPr>
          <w:rFonts w:hint="eastAsia" w:ascii="宋体" w:hAnsi="宋体" w:eastAsia="宋体" w:cs="Times New Roman"/>
          <w:b w:val="0"/>
          <w:bCs/>
          <w:color w:val="auto"/>
          <w:szCs w:val="21"/>
          <w:highlight w:val="none"/>
          <w:lang w:val="en-US" w:eastAsia="zh-CN"/>
        </w:rPr>
        <w:t>绩效养护经费</w:t>
      </w:r>
      <w:r>
        <w:rPr>
          <w:rFonts w:hint="eastAsia" w:ascii="宋体" w:hAnsi="宋体" w:eastAsia="宋体" w:cs="Times New Roman"/>
          <w:b w:val="0"/>
          <w:bCs/>
          <w:color w:val="auto"/>
          <w:szCs w:val="21"/>
          <w:highlight w:val="none"/>
        </w:rPr>
        <w:t>（如后期市财政局要求进行调整，中标</w:t>
      </w:r>
      <w:r>
        <w:rPr>
          <w:rFonts w:hint="eastAsia" w:ascii="宋体" w:hAnsi="宋体" w:eastAsia="宋体" w:cs="Times New Roman"/>
          <w:b w:val="0"/>
          <w:bCs/>
          <w:color w:val="auto"/>
          <w:szCs w:val="21"/>
          <w:highlight w:val="none"/>
          <w:lang w:val="en-US" w:eastAsia="zh-CN"/>
        </w:rPr>
        <w:t>人</w:t>
      </w:r>
      <w:r>
        <w:rPr>
          <w:rFonts w:hint="eastAsia" w:ascii="宋体" w:hAnsi="宋体" w:eastAsia="宋体" w:cs="Times New Roman"/>
          <w:b w:val="0"/>
          <w:bCs/>
          <w:color w:val="auto"/>
          <w:szCs w:val="21"/>
          <w:highlight w:val="none"/>
        </w:rPr>
        <w:t>需</w:t>
      </w:r>
      <w:r>
        <w:rPr>
          <w:rFonts w:hint="eastAsia" w:ascii="宋体" w:hAnsi="宋体" w:eastAsia="宋体" w:cs="Times New Roman"/>
          <w:b w:val="0"/>
          <w:bCs/>
          <w:color w:val="auto"/>
          <w:szCs w:val="21"/>
          <w:highlight w:val="none"/>
          <w:lang w:eastAsia="zh-CN"/>
        </w:rPr>
        <w:t>无条件</w:t>
      </w:r>
      <w:r>
        <w:rPr>
          <w:rFonts w:hint="eastAsia" w:ascii="宋体" w:hAnsi="宋体" w:eastAsia="宋体" w:cs="Times New Roman"/>
          <w:b w:val="0"/>
          <w:bCs/>
          <w:color w:val="auto"/>
          <w:szCs w:val="21"/>
          <w:highlight w:val="none"/>
        </w:rPr>
        <w:t>服从安排）。</w:t>
      </w:r>
    </w:p>
    <w:p w14:paraId="5A562F98">
      <w:pPr>
        <w:spacing w:line="360" w:lineRule="auto"/>
        <w:ind w:firstLine="452" w:firstLineChars="200"/>
        <w:rPr>
          <w:rFonts w:hint="eastAsia" w:ascii="宋体" w:hAnsi="宋体" w:eastAsia="宋体" w:cs="Times New Roman"/>
          <w:b w:val="0"/>
          <w:bCs/>
          <w:color w:val="auto"/>
          <w:szCs w:val="21"/>
          <w:highlight w:val="none"/>
          <w:lang w:val="en-US" w:eastAsia="zh-CN"/>
        </w:rPr>
      </w:pP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10"/>
          <w:sz w:val="21"/>
          <w:szCs w:val="21"/>
          <w:highlight w:val="none"/>
          <w:lang w:eastAsia="zh-CN"/>
        </w:rPr>
        <w:t>二</w:t>
      </w:r>
      <w:r>
        <w:rPr>
          <w:rFonts w:hint="eastAsia" w:ascii="宋体" w:hAnsi="宋体" w:eastAsia="宋体" w:cs="宋体"/>
          <w:color w:val="auto"/>
          <w:spacing w:val="10"/>
          <w:sz w:val="21"/>
          <w:szCs w:val="21"/>
          <w:highlight w:val="none"/>
        </w:rPr>
        <w:t>）</w:t>
      </w:r>
      <w:bookmarkStart w:id="157" w:name="tip_risk_bookmark_12"/>
      <w:r>
        <w:rPr>
          <w:rFonts w:hint="eastAsia" w:ascii="宋体" w:hAnsi="宋体" w:eastAsia="宋体" w:cs="Times New Roman"/>
          <w:b w:val="0"/>
          <w:bCs/>
          <w:color w:val="auto"/>
          <w:szCs w:val="21"/>
          <w:highlight w:val="none"/>
          <w:lang w:val="en-US" w:eastAsia="zh-CN"/>
        </w:rPr>
        <w:t>基础养护经费根据日常考核+月度考核的结果，每3个月支付一次。</w:t>
      </w:r>
      <w:r>
        <w:rPr>
          <w:rFonts w:hint="eastAsia" w:ascii="宋体" w:hAnsi="宋体" w:eastAsia="宋体" w:cs="Times New Roman"/>
          <w:b w:val="0"/>
          <w:bCs/>
          <w:color w:val="auto"/>
          <w:szCs w:val="21"/>
          <w:highlight w:val="none"/>
        </w:rPr>
        <w:t>考核结果</w:t>
      </w:r>
      <w:r>
        <w:rPr>
          <w:rFonts w:hint="eastAsia" w:ascii="宋体" w:hAnsi="宋体" w:eastAsia="宋体" w:cs="Times New Roman"/>
          <w:b w:val="0"/>
          <w:bCs/>
          <w:color w:val="auto"/>
          <w:szCs w:val="21"/>
          <w:highlight w:val="none"/>
          <w:lang w:eastAsia="zh-CN"/>
        </w:rPr>
        <w:t>分为</w:t>
      </w:r>
      <w:r>
        <w:rPr>
          <w:rFonts w:hint="eastAsia" w:ascii="宋体" w:hAnsi="宋体" w:eastAsia="宋体" w:cs="Times New Roman"/>
          <w:b w:val="0"/>
          <w:bCs/>
          <w:color w:val="auto"/>
          <w:szCs w:val="21"/>
          <w:highlight w:val="none"/>
        </w:rPr>
        <w:t>合格和不合格两个等级（考核满分为100</w:t>
      </w:r>
      <w:r>
        <w:rPr>
          <w:rFonts w:hint="eastAsia" w:ascii="宋体" w:hAnsi="宋体" w:eastAsia="宋体" w:cs="Times New Roman"/>
          <w:b w:val="0"/>
          <w:bCs/>
          <w:color w:val="auto"/>
          <w:szCs w:val="21"/>
          <w:highlight w:val="none"/>
          <w:lang w:val="en-US" w:eastAsia="zh-CN"/>
        </w:rPr>
        <w:t>0</w:t>
      </w:r>
      <w:r>
        <w:rPr>
          <w:rFonts w:hint="eastAsia" w:ascii="宋体" w:hAnsi="宋体" w:eastAsia="宋体" w:cs="Times New Roman"/>
          <w:b w:val="0"/>
          <w:bCs/>
          <w:color w:val="auto"/>
          <w:szCs w:val="21"/>
          <w:highlight w:val="none"/>
        </w:rPr>
        <w:t>分，考核得分≥90</w:t>
      </w:r>
      <w:r>
        <w:rPr>
          <w:rFonts w:hint="eastAsia" w:ascii="宋体" w:hAnsi="宋体" w:eastAsia="宋体" w:cs="Times New Roman"/>
          <w:b w:val="0"/>
          <w:bCs/>
          <w:color w:val="auto"/>
          <w:szCs w:val="21"/>
          <w:highlight w:val="none"/>
          <w:lang w:val="en-US" w:eastAsia="zh-CN"/>
        </w:rPr>
        <w:t>0</w:t>
      </w:r>
      <w:r>
        <w:rPr>
          <w:rFonts w:hint="eastAsia" w:ascii="宋体" w:hAnsi="宋体" w:eastAsia="宋体" w:cs="Times New Roman"/>
          <w:b w:val="0"/>
          <w:bCs/>
          <w:color w:val="auto"/>
          <w:szCs w:val="21"/>
          <w:highlight w:val="none"/>
        </w:rPr>
        <w:t>分为合格等级，考核得分＜9</w:t>
      </w:r>
      <w:r>
        <w:rPr>
          <w:rFonts w:hint="eastAsia" w:ascii="宋体" w:hAnsi="宋体" w:eastAsia="宋体" w:cs="Times New Roman"/>
          <w:b w:val="0"/>
          <w:bCs/>
          <w:color w:val="auto"/>
          <w:szCs w:val="21"/>
          <w:highlight w:val="none"/>
          <w:lang w:val="en-US" w:eastAsia="zh-CN"/>
        </w:rPr>
        <w:t>0</w:t>
      </w:r>
      <w:r>
        <w:rPr>
          <w:rFonts w:hint="eastAsia" w:ascii="宋体" w:hAnsi="宋体" w:eastAsia="宋体" w:cs="Times New Roman"/>
          <w:b w:val="0"/>
          <w:bCs/>
          <w:color w:val="auto"/>
          <w:szCs w:val="21"/>
          <w:highlight w:val="none"/>
        </w:rPr>
        <w:t>0分为不合格等级）。</w:t>
      </w:r>
      <w:r>
        <w:rPr>
          <w:rFonts w:hint="eastAsia" w:ascii="宋体" w:hAnsi="宋体" w:eastAsia="宋体" w:cs="Times New Roman"/>
          <w:b w:val="0"/>
          <w:bCs/>
          <w:color w:val="auto"/>
          <w:szCs w:val="21"/>
          <w:highlight w:val="none"/>
          <w:lang w:val="en-US" w:eastAsia="zh-CN"/>
        </w:rPr>
        <w:t>考核结果达到</w:t>
      </w:r>
      <w:r>
        <w:rPr>
          <w:rFonts w:hint="eastAsia" w:ascii="宋体" w:hAnsi="宋体" w:eastAsia="宋体" w:cs="Times New Roman"/>
          <w:b w:val="0"/>
          <w:bCs/>
          <w:color w:val="auto"/>
          <w:szCs w:val="21"/>
          <w:highlight w:val="none"/>
        </w:rPr>
        <w:t>合格等级</w:t>
      </w:r>
      <w:r>
        <w:rPr>
          <w:rFonts w:hint="eastAsia" w:ascii="宋体" w:hAnsi="宋体" w:eastAsia="宋体" w:cs="Times New Roman"/>
          <w:b w:val="0"/>
          <w:bCs/>
          <w:color w:val="auto"/>
          <w:szCs w:val="21"/>
          <w:highlight w:val="none"/>
          <w:lang w:eastAsia="zh-CN"/>
        </w:rPr>
        <w:t>的</w:t>
      </w:r>
      <w:r>
        <w:rPr>
          <w:rFonts w:hint="eastAsia" w:ascii="宋体" w:hAnsi="宋体" w:eastAsia="宋体" w:cs="Times New Roman"/>
          <w:b w:val="0"/>
          <w:bCs/>
          <w:color w:val="auto"/>
          <w:szCs w:val="21"/>
          <w:highlight w:val="none"/>
        </w:rPr>
        <w:t>按约定支付</w:t>
      </w:r>
      <w:r>
        <w:rPr>
          <w:rFonts w:hint="default" w:ascii="宋体" w:hAnsi="宋体" w:eastAsia="宋体" w:cs="Times New Roman"/>
          <w:b w:val="0"/>
          <w:bCs/>
          <w:color w:val="auto"/>
          <w:szCs w:val="21"/>
          <w:highlight w:val="none"/>
          <w:lang w:val="en-US" w:eastAsia="zh-CN"/>
        </w:rPr>
        <w:t>当</w:t>
      </w:r>
      <w:r>
        <w:rPr>
          <w:rFonts w:hint="eastAsia" w:ascii="宋体" w:hAnsi="宋体" w:eastAsia="宋体" w:cs="Times New Roman"/>
          <w:b w:val="0"/>
          <w:bCs/>
          <w:color w:val="auto"/>
          <w:szCs w:val="21"/>
          <w:highlight w:val="none"/>
          <w:lang w:val="en-US" w:eastAsia="zh-CN"/>
        </w:rPr>
        <w:t>月全部金额的基础养护</w:t>
      </w:r>
      <w:r>
        <w:rPr>
          <w:rFonts w:hint="eastAsia" w:ascii="宋体" w:hAnsi="宋体" w:cs="Times New Roman"/>
          <w:b w:val="0"/>
          <w:bCs/>
          <w:color w:val="auto"/>
          <w:szCs w:val="21"/>
          <w:highlight w:val="none"/>
          <w:lang w:val="en-US" w:eastAsia="zh-CN"/>
        </w:rPr>
        <w:t>服务</w:t>
      </w:r>
      <w:r>
        <w:rPr>
          <w:rFonts w:hint="eastAsia" w:ascii="宋体" w:hAnsi="宋体" w:eastAsia="宋体" w:cs="Times New Roman"/>
          <w:b w:val="0"/>
          <w:bCs/>
          <w:color w:val="auto"/>
          <w:szCs w:val="21"/>
          <w:highlight w:val="none"/>
          <w:lang w:val="en-US" w:eastAsia="zh-CN"/>
        </w:rPr>
        <w:t>费</w:t>
      </w:r>
      <w:r>
        <w:rPr>
          <w:rFonts w:hint="eastAsia" w:ascii="宋体" w:hAnsi="宋体" w:eastAsia="宋体" w:cs="Times New Roman"/>
          <w:b w:val="0"/>
          <w:bCs/>
          <w:color w:val="auto"/>
          <w:szCs w:val="21"/>
          <w:highlight w:val="none"/>
        </w:rPr>
        <w:t>，</w:t>
      </w:r>
      <w:r>
        <w:rPr>
          <w:rFonts w:hint="eastAsia" w:ascii="宋体" w:hAnsi="宋体" w:eastAsia="宋体" w:cs="Times New Roman"/>
          <w:b w:val="0"/>
          <w:bCs/>
          <w:color w:val="auto"/>
          <w:szCs w:val="21"/>
          <w:highlight w:val="none"/>
          <w:lang w:val="en-US" w:eastAsia="zh-CN"/>
        </w:rPr>
        <w:t>考核结果为</w:t>
      </w:r>
      <w:r>
        <w:rPr>
          <w:rFonts w:hint="eastAsia" w:ascii="宋体" w:hAnsi="宋体" w:eastAsia="宋体" w:cs="Times New Roman"/>
          <w:b w:val="0"/>
          <w:bCs/>
          <w:color w:val="auto"/>
          <w:szCs w:val="21"/>
          <w:highlight w:val="none"/>
        </w:rPr>
        <w:t>不合格等级</w:t>
      </w:r>
      <w:r>
        <w:rPr>
          <w:rFonts w:hint="eastAsia" w:ascii="宋体" w:hAnsi="宋体" w:eastAsia="宋体" w:cs="Times New Roman"/>
          <w:b w:val="0"/>
          <w:bCs/>
          <w:color w:val="auto"/>
          <w:szCs w:val="21"/>
          <w:highlight w:val="none"/>
          <w:lang w:eastAsia="zh-CN"/>
        </w:rPr>
        <w:t>且＞</w:t>
      </w:r>
      <w:r>
        <w:rPr>
          <w:rFonts w:hint="default" w:ascii="宋体" w:hAnsi="宋体" w:eastAsia="宋体" w:cs="Times New Roman"/>
          <w:b w:val="0"/>
          <w:bCs/>
          <w:color w:val="auto"/>
          <w:szCs w:val="21"/>
          <w:highlight w:val="none"/>
          <w:lang w:val="en-US" w:eastAsia="zh-CN"/>
        </w:rPr>
        <w:t>600分</w:t>
      </w:r>
      <w:r>
        <w:rPr>
          <w:rFonts w:hint="eastAsia" w:ascii="宋体" w:hAnsi="宋体" w:eastAsia="宋体" w:cs="Times New Roman"/>
          <w:b w:val="0"/>
          <w:bCs/>
          <w:color w:val="auto"/>
          <w:szCs w:val="21"/>
          <w:highlight w:val="none"/>
        </w:rPr>
        <w:t>的按</w:t>
      </w:r>
      <w:r>
        <w:rPr>
          <w:rFonts w:hint="default" w:ascii="宋体" w:hAnsi="宋体" w:eastAsia="宋体" w:cs="Times New Roman"/>
          <w:b w:val="0"/>
          <w:bCs/>
          <w:color w:val="auto"/>
          <w:szCs w:val="21"/>
          <w:highlight w:val="none"/>
          <w:lang w:val="en-US" w:eastAsia="zh-CN"/>
        </w:rPr>
        <w:t>当</w:t>
      </w:r>
      <w:r>
        <w:rPr>
          <w:rFonts w:hint="eastAsia" w:ascii="宋体" w:hAnsi="宋体" w:eastAsia="宋体" w:cs="Times New Roman"/>
          <w:b w:val="0"/>
          <w:bCs/>
          <w:color w:val="auto"/>
          <w:szCs w:val="21"/>
          <w:highlight w:val="none"/>
          <w:lang w:val="en-US" w:eastAsia="zh-CN"/>
        </w:rPr>
        <w:t>月</w:t>
      </w:r>
      <w:r>
        <w:rPr>
          <w:rFonts w:hint="eastAsia" w:ascii="宋体" w:hAnsi="宋体" w:eastAsia="宋体" w:cs="Times New Roman"/>
          <w:b w:val="0"/>
          <w:bCs/>
          <w:color w:val="auto"/>
          <w:szCs w:val="21"/>
          <w:highlight w:val="none"/>
        </w:rPr>
        <w:t>考核得分比例</w:t>
      </w:r>
      <w:r>
        <w:rPr>
          <w:rFonts w:hint="eastAsia" w:ascii="宋体" w:hAnsi="宋体" w:eastAsia="宋体" w:cs="Times New Roman"/>
          <w:b w:val="0"/>
          <w:bCs/>
          <w:color w:val="auto"/>
          <w:szCs w:val="21"/>
          <w:highlight w:val="none"/>
          <w:lang w:eastAsia="zh-CN"/>
        </w:rPr>
        <w:t>支付</w:t>
      </w:r>
      <w:r>
        <w:rPr>
          <w:rFonts w:hint="eastAsia" w:ascii="宋体" w:hAnsi="宋体" w:eastAsia="宋体" w:cs="Times New Roman"/>
          <w:b w:val="0"/>
          <w:bCs/>
          <w:color w:val="auto"/>
          <w:szCs w:val="21"/>
          <w:highlight w:val="none"/>
          <w:lang w:val="en-US" w:eastAsia="zh-CN"/>
        </w:rPr>
        <w:t>基础养护</w:t>
      </w:r>
      <w:r>
        <w:rPr>
          <w:rFonts w:hint="eastAsia" w:ascii="宋体" w:hAnsi="宋体" w:cs="Times New Roman"/>
          <w:b w:val="0"/>
          <w:bCs/>
          <w:color w:val="auto"/>
          <w:szCs w:val="21"/>
          <w:highlight w:val="none"/>
          <w:lang w:val="en-US" w:eastAsia="zh-CN"/>
        </w:rPr>
        <w:t>服务</w:t>
      </w:r>
      <w:r>
        <w:rPr>
          <w:rFonts w:hint="eastAsia" w:ascii="宋体" w:hAnsi="宋体" w:eastAsia="宋体" w:cs="Times New Roman"/>
          <w:b w:val="0"/>
          <w:bCs/>
          <w:color w:val="auto"/>
          <w:szCs w:val="21"/>
          <w:highlight w:val="none"/>
          <w:lang w:val="en-US" w:eastAsia="zh-CN"/>
        </w:rPr>
        <w:t>费。</w:t>
      </w:r>
      <w:r>
        <w:rPr>
          <w:rFonts w:hint="eastAsia" w:ascii="宋体" w:hAnsi="宋体" w:eastAsia="宋体" w:cs="Times New Roman"/>
          <w:b w:val="0"/>
          <w:bCs/>
          <w:color w:val="auto"/>
          <w:szCs w:val="21"/>
          <w:highlight w:val="none"/>
        </w:rPr>
        <w:t>考核得分</w:t>
      </w:r>
      <w:r>
        <w:rPr>
          <w:rFonts w:hint="eastAsia" w:ascii="宋体" w:hAnsi="宋体" w:eastAsia="宋体" w:cs="Times New Roman"/>
          <w:b w:val="0"/>
          <w:bCs/>
          <w:color w:val="auto"/>
          <w:szCs w:val="21"/>
          <w:highlight w:val="none"/>
          <w:lang w:eastAsia="zh-CN"/>
        </w:rPr>
        <w:t>≤</w:t>
      </w:r>
      <w:r>
        <w:rPr>
          <w:rFonts w:hint="default" w:ascii="宋体" w:hAnsi="宋体" w:eastAsia="宋体" w:cs="Times New Roman"/>
          <w:b w:val="0"/>
          <w:bCs/>
          <w:color w:val="auto"/>
          <w:szCs w:val="21"/>
          <w:highlight w:val="none"/>
          <w:lang w:val="en-US" w:eastAsia="zh-CN"/>
        </w:rPr>
        <w:t>600分</w:t>
      </w:r>
      <w:r>
        <w:rPr>
          <w:rFonts w:hint="eastAsia" w:ascii="宋体" w:hAnsi="宋体" w:eastAsia="宋体" w:cs="Times New Roman"/>
          <w:b w:val="0"/>
          <w:bCs/>
          <w:color w:val="auto"/>
          <w:szCs w:val="21"/>
          <w:highlight w:val="none"/>
          <w:lang w:val="en-US" w:eastAsia="zh-CN"/>
        </w:rPr>
        <w:t>的</w:t>
      </w:r>
      <w:r>
        <w:rPr>
          <w:rFonts w:hint="default" w:ascii="宋体" w:hAnsi="宋体" w:eastAsia="宋体" w:cs="Times New Roman"/>
          <w:b w:val="0"/>
          <w:bCs/>
          <w:color w:val="auto"/>
          <w:szCs w:val="21"/>
          <w:highlight w:val="none"/>
          <w:lang w:val="en-US" w:eastAsia="zh-CN"/>
        </w:rPr>
        <w:t>不予支付当</w:t>
      </w:r>
      <w:r>
        <w:rPr>
          <w:rFonts w:hint="eastAsia" w:ascii="宋体" w:hAnsi="宋体" w:eastAsia="宋体" w:cs="Times New Roman"/>
          <w:b w:val="0"/>
          <w:bCs/>
          <w:color w:val="auto"/>
          <w:szCs w:val="21"/>
          <w:highlight w:val="none"/>
          <w:lang w:val="en-US" w:eastAsia="zh-CN"/>
        </w:rPr>
        <w:t>月</w:t>
      </w:r>
      <w:r>
        <w:rPr>
          <w:rFonts w:hint="default" w:ascii="宋体" w:hAnsi="宋体" w:eastAsia="宋体" w:cs="Times New Roman"/>
          <w:b w:val="0"/>
          <w:bCs/>
          <w:color w:val="auto"/>
          <w:szCs w:val="21"/>
          <w:highlight w:val="none"/>
          <w:lang w:val="en-US" w:eastAsia="zh-CN"/>
        </w:rPr>
        <w:t>服务费用</w:t>
      </w:r>
      <w:r>
        <w:rPr>
          <w:rFonts w:hint="eastAsia" w:ascii="宋体" w:hAnsi="宋体" w:eastAsia="宋体" w:cs="Times New Roman"/>
          <w:b w:val="0"/>
          <w:bCs/>
          <w:color w:val="auto"/>
          <w:szCs w:val="21"/>
          <w:highlight w:val="none"/>
          <w:lang w:val="en-US" w:eastAsia="zh-CN"/>
        </w:rPr>
        <w:t>，</w:t>
      </w:r>
      <w:r>
        <w:rPr>
          <w:rFonts w:hint="eastAsia" w:ascii="宋体" w:hAnsi="宋体" w:cs="Times New Roman"/>
          <w:b w:val="0"/>
          <w:bCs/>
          <w:color w:val="auto"/>
          <w:szCs w:val="21"/>
          <w:highlight w:val="none"/>
          <w:lang w:val="en-US" w:eastAsia="zh-CN"/>
        </w:rPr>
        <w:t>甲方</w:t>
      </w:r>
      <w:r>
        <w:rPr>
          <w:rFonts w:hint="eastAsia" w:ascii="宋体" w:hAnsi="宋体" w:eastAsia="宋体" w:cs="Times New Roman"/>
          <w:b w:val="0"/>
          <w:bCs/>
          <w:color w:val="auto"/>
          <w:szCs w:val="21"/>
          <w:highlight w:val="none"/>
          <w:lang w:val="en-US" w:eastAsia="zh-CN"/>
        </w:rPr>
        <w:t>在服务期内保留终止合同的权利。</w:t>
      </w:r>
    </w:p>
    <w:p w14:paraId="698D1043">
      <w:pPr>
        <w:keepNext w:val="0"/>
        <w:keepLines w:val="0"/>
        <w:pageBreakBefore w:val="0"/>
        <w:widowControl w:val="0"/>
        <w:kinsoku/>
        <w:wordWrap/>
        <w:overflowPunct/>
        <w:topLinePunct w:val="0"/>
        <w:autoSpaceDE/>
        <w:autoSpaceDN/>
        <w:bidi w:val="0"/>
        <w:adjustRightInd/>
        <w:spacing w:line="360" w:lineRule="auto"/>
        <w:ind w:left="0" w:leftChars="0" w:firstLine="452" w:firstLineChars="200"/>
        <w:textAlignment w:val="auto"/>
        <w:rPr>
          <w:rFonts w:hint="eastAsia" w:ascii="宋体" w:hAnsi="宋体" w:eastAsia="宋体" w:cs="Times New Roman"/>
          <w:b w:val="0"/>
          <w:bCs/>
          <w:color w:val="auto"/>
          <w:szCs w:val="21"/>
          <w:highlight w:val="none"/>
          <w:lang w:eastAsia="zh-CN"/>
        </w:rPr>
      </w:pP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10"/>
          <w:sz w:val="21"/>
          <w:szCs w:val="21"/>
          <w:highlight w:val="none"/>
          <w:lang w:eastAsia="zh-CN"/>
        </w:rPr>
        <w:t>三</w:t>
      </w:r>
      <w:r>
        <w:rPr>
          <w:rFonts w:hint="eastAsia" w:ascii="宋体" w:hAnsi="宋体" w:eastAsia="宋体" w:cs="宋体"/>
          <w:color w:val="auto"/>
          <w:spacing w:val="10"/>
          <w:sz w:val="21"/>
          <w:szCs w:val="21"/>
          <w:highlight w:val="none"/>
        </w:rPr>
        <w:t>）</w:t>
      </w:r>
      <w:r>
        <w:rPr>
          <w:rFonts w:hint="eastAsia" w:ascii="宋体" w:hAnsi="宋体" w:eastAsia="宋体" w:cs="Times New Roman"/>
          <w:b w:val="0"/>
          <w:bCs/>
          <w:color w:val="auto"/>
          <w:szCs w:val="21"/>
          <w:highlight w:val="none"/>
          <w:lang w:val="en-US" w:eastAsia="zh-CN"/>
        </w:rPr>
        <w:t>绩效养护经费根据1</w:t>
      </w:r>
      <w:r>
        <w:rPr>
          <w:rFonts w:hint="eastAsia" w:ascii="宋体" w:hAnsi="宋体" w:eastAsia="宋体" w:cs="Times New Roman"/>
          <w:b w:val="0"/>
          <w:bCs/>
          <w:color w:val="auto"/>
          <w:szCs w:val="21"/>
          <w:highlight w:val="none"/>
          <w:lang w:eastAsia="zh-CN"/>
        </w:rPr>
        <w:t>个绩效考核周期的</w:t>
      </w:r>
      <w:r>
        <w:rPr>
          <w:rFonts w:hint="eastAsia" w:ascii="宋体" w:hAnsi="宋体" w:eastAsia="宋体" w:cs="Times New Roman"/>
          <w:b w:val="0"/>
          <w:bCs/>
          <w:color w:val="auto"/>
          <w:szCs w:val="21"/>
          <w:highlight w:val="none"/>
          <w:lang w:val="en-US" w:eastAsia="zh-CN"/>
        </w:rPr>
        <w:t>考核结果（考核结果为该周期内每月考核+日常考核得分的累加），每12个月支付一次。其中，</w:t>
      </w:r>
      <w:r>
        <w:rPr>
          <w:rFonts w:hint="eastAsia" w:ascii="宋体" w:hAnsi="宋体" w:eastAsia="宋体" w:cs="Times New Roman"/>
          <w:b w:val="0"/>
          <w:bCs/>
          <w:color w:val="auto"/>
          <w:szCs w:val="21"/>
          <w:highlight w:val="none"/>
        </w:rPr>
        <w:t>考核</w:t>
      </w:r>
      <w:r>
        <w:rPr>
          <w:rFonts w:hint="eastAsia" w:ascii="宋体" w:hAnsi="宋体" w:eastAsia="宋体" w:cs="Times New Roman"/>
          <w:b w:val="0"/>
          <w:bCs/>
          <w:color w:val="auto"/>
          <w:szCs w:val="21"/>
          <w:highlight w:val="none"/>
          <w:lang w:eastAsia="zh-CN"/>
        </w:rPr>
        <w:t>合格的</w:t>
      </w:r>
      <w:r>
        <w:rPr>
          <w:rFonts w:hint="eastAsia" w:ascii="宋体" w:hAnsi="宋体" w:eastAsia="宋体" w:cs="Times New Roman"/>
          <w:b w:val="0"/>
          <w:bCs/>
          <w:color w:val="auto"/>
          <w:szCs w:val="21"/>
          <w:highlight w:val="none"/>
        </w:rPr>
        <w:t>得分</w:t>
      </w:r>
      <w:r>
        <w:rPr>
          <w:rFonts w:hint="eastAsia" w:ascii="宋体" w:hAnsi="宋体" w:eastAsia="宋体" w:cs="Times New Roman"/>
          <w:b w:val="0"/>
          <w:bCs/>
          <w:color w:val="auto"/>
          <w:szCs w:val="21"/>
          <w:highlight w:val="none"/>
          <w:lang w:eastAsia="zh-CN"/>
        </w:rPr>
        <w:t>全额计入绩效考核周期的考核结果，考核</w:t>
      </w:r>
      <w:r>
        <w:rPr>
          <w:rFonts w:hint="eastAsia" w:ascii="宋体" w:hAnsi="宋体" w:eastAsia="宋体" w:cs="Times New Roman"/>
          <w:b w:val="0"/>
          <w:bCs/>
          <w:color w:val="auto"/>
          <w:szCs w:val="21"/>
          <w:highlight w:val="none"/>
        </w:rPr>
        <w:t>不合格</w:t>
      </w:r>
      <w:r>
        <w:rPr>
          <w:rFonts w:hint="eastAsia" w:ascii="宋体" w:hAnsi="宋体" w:eastAsia="宋体" w:cs="Times New Roman"/>
          <w:b w:val="0"/>
          <w:bCs/>
          <w:color w:val="auto"/>
          <w:szCs w:val="21"/>
          <w:highlight w:val="none"/>
          <w:lang w:eastAsia="zh-CN"/>
        </w:rPr>
        <w:t>且＞</w:t>
      </w:r>
      <w:r>
        <w:rPr>
          <w:rFonts w:hint="default" w:ascii="宋体" w:hAnsi="宋体" w:eastAsia="宋体" w:cs="Times New Roman"/>
          <w:b w:val="0"/>
          <w:bCs/>
          <w:color w:val="auto"/>
          <w:szCs w:val="21"/>
          <w:highlight w:val="none"/>
          <w:lang w:val="en-US" w:eastAsia="zh-CN"/>
        </w:rPr>
        <w:t>600分</w:t>
      </w:r>
      <w:r>
        <w:rPr>
          <w:rFonts w:hint="eastAsia" w:ascii="宋体" w:hAnsi="宋体" w:eastAsia="宋体" w:cs="Times New Roman"/>
          <w:b w:val="0"/>
          <w:bCs/>
          <w:color w:val="auto"/>
          <w:szCs w:val="21"/>
          <w:highlight w:val="none"/>
        </w:rPr>
        <w:t>的得分</w:t>
      </w:r>
      <w:r>
        <w:rPr>
          <w:rFonts w:hint="eastAsia" w:ascii="宋体" w:hAnsi="宋体" w:eastAsia="宋体" w:cs="Times New Roman"/>
          <w:b w:val="0"/>
          <w:bCs/>
          <w:color w:val="auto"/>
          <w:szCs w:val="21"/>
          <w:highlight w:val="none"/>
          <w:lang w:eastAsia="zh-CN"/>
        </w:rPr>
        <w:t>按比例计入绩效考核周期的考核结果，</w:t>
      </w:r>
      <w:r>
        <w:rPr>
          <w:rFonts w:hint="eastAsia" w:ascii="宋体" w:hAnsi="宋体" w:eastAsia="宋体" w:cs="Times New Roman"/>
          <w:b w:val="0"/>
          <w:bCs/>
          <w:color w:val="auto"/>
          <w:szCs w:val="21"/>
          <w:highlight w:val="none"/>
        </w:rPr>
        <w:t>考核得分</w:t>
      </w:r>
      <w:r>
        <w:rPr>
          <w:rFonts w:hint="eastAsia" w:ascii="宋体" w:hAnsi="宋体" w:eastAsia="宋体" w:cs="Times New Roman"/>
          <w:b w:val="0"/>
          <w:bCs/>
          <w:color w:val="auto"/>
          <w:szCs w:val="21"/>
          <w:highlight w:val="none"/>
          <w:lang w:eastAsia="zh-CN"/>
        </w:rPr>
        <w:t>≤</w:t>
      </w:r>
      <w:r>
        <w:rPr>
          <w:rFonts w:hint="default" w:ascii="宋体" w:hAnsi="宋体" w:eastAsia="宋体" w:cs="Times New Roman"/>
          <w:b w:val="0"/>
          <w:bCs/>
          <w:color w:val="auto"/>
          <w:szCs w:val="21"/>
          <w:highlight w:val="none"/>
          <w:lang w:val="en-US" w:eastAsia="zh-CN"/>
        </w:rPr>
        <w:t>600分</w:t>
      </w:r>
      <w:r>
        <w:rPr>
          <w:rFonts w:hint="eastAsia" w:ascii="宋体" w:hAnsi="宋体" w:eastAsia="宋体" w:cs="Times New Roman"/>
          <w:b w:val="0"/>
          <w:bCs/>
          <w:color w:val="auto"/>
          <w:szCs w:val="21"/>
          <w:highlight w:val="none"/>
          <w:lang w:val="en-US" w:eastAsia="zh-CN"/>
        </w:rPr>
        <w:t>的不予计入</w:t>
      </w:r>
      <w:r>
        <w:rPr>
          <w:rFonts w:hint="eastAsia" w:ascii="宋体" w:hAnsi="宋体" w:eastAsia="宋体" w:cs="Times New Roman"/>
          <w:b w:val="0"/>
          <w:bCs/>
          <w:color w:val="auto"/>
          <w:szCs w:val="21"/>
          <w:highlight w:val="none"/>
          <w:lang w:eastAsia="zh-CN"/>
        </w:rPr>
        <w:t>考核结果。</w:t>
      </w:r>
      <w:r>
        <w:rPr>
          <w:rFonts w:hint="eastAsia" w:ascii="宋体" w:hAnsi="宋体" w:eastAsia="宋体" w:cs="Times New Roman"/>
          <w:b w:val="0"/>
          <w:bCs/>
          <w:strike w:val="0"/>
          <w:dstrike w:val="0"/>
          <w:color w:val="auto"/>
          <w:szCs w:val="21"/>
          <w:highlight w:val="none"/>
          <w:lang w:val="en-US" w:eastAsia="zh-CN"/>
        </w:rPr>
        <w:t>在1个绩效考核周期</w:t>
      </w:r>
      <w:r>
        <w:rPr>
          <w:rFonts w:hint="eastAsia" w:ascii="宋体" w:hAnsi="宋体" w:eastAsia="宋体" w:cs="Times New Roman"/>
          <w:b w:val="0"/>
          <w:bCs/>
          <w:color w:val="auto"/>
          <w:szCs w:val="21"/>
          <w:highlight w:val="none"/>
          <w:lang w:val="en-US" w:eastAsia="zh-CN"/>
        </w:rPr>
        <w:t>内出现累计6个月</w:t>
      </w:r>
      <w:r>
        <w:rPr>
          <w:rFonts w:hint="eastAsia" w:ascii="宋体" w:hAnsi="宋体" w:cs="Times New Roman"/>
          <w:b w:val="0"/>
          <w:bCs/>
          <w:color w:val="auto"/>
          <w:szCs w:val="21"/>
          <w:highlight w:val="none"/>
          <w:lang w:val="en-US" w:eastAsia="zh-CN"/>
        </w:rPr>
        <w:t>及以上</w:t>
      </w:r>
      <w:r>
        <w:rPr>
          <w:rFonts w:hint="eastAsia" w:ascii="宋体" w:hAnsi="宋体" w:eastAsia="宋体" w:cs="Times New Roman"/>
          <w:b w:val="0"/>
          <w:bCs/>
          <w:color w:val="auto"/>
          <w:szCs w:val="21"/>
          <w:highlight w:val="none"/>
          <w:lang w:val="en-US" w:eastAsia="zh-CN"/>
        </w:rPr>
        <w:t>考核不合格的，将全额扣除本周期的绩效养护经费，</w:t>
      </w:r>
      <w:r>
        <w:rPr>
          <w:rFonts w:hint="eastAsia" w:ascii="宋体" w:hAnsi="宋体" w:cs="Times New Roman"/>
          <w:b w:val="0"/>
          <w:bCs/>
          <w:color w:val="auto"/>
          <w:szCs w:val="21"/>
          <w:highlight w:val="none"/>
          <w:lang w:val="en-US" w:eastAsia="zh-CN"/>
        </w:rPr>
        <w:t>甲方</w:t>
      </w:r>
      <w:r>
        <w:rPr>
          <w:rFonts w:hint="eastAsia" w:ascii="宋体" w:hAnsi="宋体" w:eastAsia="宋体" w:cs="Times New Roman"/>
          <w:b w:val="0"/>
          <w:bCs/>
          <w:color w:val="auto"/>
          <w:szCs w:val="21"/>
          <w:highlight w:val="none"/>
          <w:lang w:val="en-US" w:eastAsia="zh-CN"/>
        </w:rPr>
        <w:t>在服务期内保留终止合同的权利</w:t>
      </w:r>
      <w:r>
        <w:rPr>
          <w:rFonts w:hint="eastAsia" w:ascii="宋体" w:hAnsi="宋体" w:eastAsia="宋体" w:cs="Times New Roman"/>
          <w:b w:val="0"/>
          <w:bCs/>
          <w:color w:val="auto"/>
          <w:szCs w:val="21"/>
          <w:highlight w:val="none"/>
          <w:lang w:eastAsia="zh-CN"/>
        </w:rPr>
        <w:t>。因考核不合格扣减的养护经费</w:t>
      </w:r>
      <w:r>
        <w:rPr>
          <w:rFonts w:hint="eastAsia" w:ascii="宋体" w:hAnsi="宋体" w:eastAsia="宋体" w:cs="Times New Roman"/>
          <w:b w:val="0"/>
          <w:bCs/>
          <w:color w:val="auto"/>
          <w:szCs w:val="21"/>
          <w:highlight w:val="none"/>
          <w:u w:val="none"/>
          <w:lang w:eastAsia="zh-CN"/>
        </w:rPr>
        <w:t>，由</w:t>
      </w:r>
      <w:r>
        <w:rPr>
          <w:rFonts w:hint="eastAsia" w:ascii="宋体" w:hAnsi="宋体" w:cs="Times New Roman"/>
          <w:b w:val="0"/>
          <w:bCs/>
          <w:color w:val="auto"/>
          <w:szCs w:val="21"/>
          <w:highlight w:val="none"/>
          <w:u w:val="none"/>
          <w:lang w:val="en-US" w:eastAsia="zh-CN"/>
        </w:rPr>
        <w:t>甲方</w:t>
      </w:r>
      <w:r>
        <w:rPr>
          <w:rFonts w:hint="eastAsia" w:ascii="宋体" w:hAnsi="宋体" w:eastAsia="宋体" w:cs="Times New Roman"/>
          <w:b w:val="0"/>
          <w:bCs/>
          <w:color w:val="auto"/>
          <w:szCs w:val="21"/>
          <w:highlight w:val="none"/>
          <w:u w:val="none"/>
          <w:lang w:eastAsia="zh-CN"/>
        </w:rPr>
        <w:t>用于项目</w:t>
      </w:r>
      <w:r>
        <w:rPr>
          <w:rFonts w:hint="eastAsia" w:ascii="宋体" w:hAnsi="宋体" w:eastAsia="宋体" w:cs="Times New Roman"/>
          <w:b w:val="0"/>
          <w:bCs/>
          <w:color w:val="auto"/>
          <w:szCs w:val="21"/>
          <w:highlight w:val="none"/>
          <w:lang w:eastAsia="zh-CN"/>
        </w:rPr>
        <w:t>内城市照明设施更新修复工作经费。</w:t>
      </w:r>
      <w:bookmarkEnd w:id="157"/>
    </w:p>
    <w:p w14:paraId="351F7EAB">
      <w:pPr>
        <w:keepNext w:val="0"/>
        <w:keepLines w:val="0"/>
        <w:pageBreakBefore w:val="0"/>
        <w:widowControl w:val="0"/>
        <w:kinsoku/>
        <w:wordWrap/>
        <w:overflowPunct/>
        <w:topLinePunct w:val="0"/>
        <w:autoSpaceDE/>
        <w:autoSpaceDN/>
        <w:bidi w:val="0"/>
        <w:adjustRightInd/>
        <w:spacing w:line="360" w:lineRule="auto"/>
        <w:ind w:left="527"/>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7"/>
          <w:sz w:val="21"/>
          <w:szCs w:val="21"/>
          <w:highlight w:val="none"/>
          <w:lang w:eastAsia="zh-CN"/>
        </w:rPr>
        <w:t>六</w:t>
      </w:r>
      <w:r>
        <w:rPr>
          <w:rFonts w:hint="eastAsia" w:ascii="宋体" w:hAnsi="宋体" w:eastAsia="宋体" w:cs="宋体"/>
          <w:b/>
          <w:bCs/>
          <w:color w:val="auto"/>
          <w:spacing w:val="7"/>
          <w:sz w:val="21"/>
          <w:szCs w:val="21"/>
          <w:highlight w:val="none"/>
        </w:rPr>
        <w:t>、本工程双方约定投保内容如下：</w:t>
      </w:r>
    </w:p>
    <w:p w14:paraId="34D8A36C">
      <w:pPr>
        <w:keepNext w:val="0"/>
        <w:keepLines w:val="0"/>
        <w:pageBreakBefore w:val="0"/>
        <w:widowControl w:val="0"/>
        <w:kinsoku/>
        <w:wordWrap/>
        <w:overflowPunct/>
        <w:topLinePunct w:val="0"/>
        <w:autoSpaceDE/>
        <w:autoSpaceDN/>
        <w:bidi w:val="0"/>
        <w:adjustRightInd/>
        <w:spacing w:before="154" w:line="360" w:lineRule="auto"/>
        <w:ind w:left="2" w:right="2" w:firstLine="437"/>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lang w:eastAsia="zh-CN"/>
        </w:rPr>
        <w:t>乙方自行</w:t>
      </w:r>
      <w:r>
        <w:rPr>
          <w:rFonts w:hint="eastAsia" w:ascii="宋体" w:hAnsi="宋体" w:eastAsia="宋体" w:cs="宋体"/>
          <w:color w:val="auto"/>
          <w:spacing w:val="4"/>
          <w:sz w:val="21"/>
          <w:szCs w:val="21"/>
          <w:highlight w:val="none"/>
        </w:rPr>
        <w:t>投保内容：</w:t>
      </w:r>
      <w:r>
        <w:rPr>
          <w:rFonts w:hint="eastAsia" w:ascii="宋体" w:hAnsi="宋体" w:eastAsia="宋体" w:cs="宋体"/>
          <w:color w:val="auto"/>
          <w:spacing w:val="4"/>
          <w:sz w:val="21"/>
          <w:szCs w:val="21"/>
          <w:highlight w:val="none"/>
          <w:u w:val="single" w:color="auto"/>
          <w:lang w:eastAsia="zh-CN"/>
        </w:rPr>
        <w:t>维修养护作业</w:t>
      </w:r>
      <w:r>
        <w:rPr>
          <w:rFonts w:hint="eastAsia" w:ascii="宋体" w:hAnsi="宋体" w:eastAsia="宋体" w:cs="宋体"/>
          <w:color w:val="auto"/>
          <w:spacing w:val="4"/>
          <w:sz w:val="21"/>
          <w:szCs w:val="21"/>
          <w:highlight w:val="none"/>
          <w:u w:val="single" w:color="auto"/>
        </w:rPr>
        <w:t>人员人身意外伤害保险</w:t>
      </w:r>
      <w:r>
        <w:rPr>
          <w:rFonts w:hint="eastAsia" w:ascii="宋体" w:hAnsi="宋体" w:eastAsia="宋体" w:cs="宋体"/>
          <w:color w:val="auto"/>
          <w:spacing w:val="4"/>
          <w:sz w:val="21"/>
          <w:szCs w:val="21"/>
          <w:highlight w:val="none"/>
          <w:u w:val="single" w:color="auto"/>
          <w:lang w:eastAsia="zh-CN"/>
        </w:rPr>
        <w:t>，</w:t>
      </w:r>
      <w:r>
        <w:rPr>
          <w:rFonts w:hint="eastAsia" w:ascii="宋体" w:hAnsi="宋体" w:eastAsia="宋体" w:cs="宋体"/>
          <w:color w:val="auto"/>
          <w:spacing w:val="4"/>
          <w:sz w:val="21"/>
          <w:szCs w:val="21"/>
          <w:highlight w:val="none"/>
          <w:u w:val="single" w:color="auto"/>
        </w:rPr>
        <w:t>视工作实际情况及设施工况购</w:t>
      </w:r>
      <w:r>
        <w:rPr>
          <w:rFonts w:hint="eastAsia" w:ascii="宋体" w:hAnsi="宋体" w:eastAsia="宋体" w:cs="宋体"/>
          <w:color w:val="auto"/>
          <w:spacing w:val="3"/>
          <w:sz w:val="21"/>
          <w:szCs w:val="21"/>
          <w:highlight w:val="none"/>
          <w:u w:val="single" w:color="auto"/>
        </w:rPr>
        <w:t>买财产保险</w:t>
      </w:r>
      <w:r>
        <w:rPr>
          <w:rFonts w:hint="eastAsia" w:ascii="宋体" w:hAnsi="宋体" w:eastAsia="宋体" w:cs="宋体"/>
          <w:color w:val="auto"/>
          <w:spacing w:val="3"/>
          <w:sz w:val="21"/>
          <w:szCs w:val="21"/>
          <w:highlight w:val="none"/>
          <w:u w:val="single" w:color="auto"/>
          <w:lang w:eastAsia="zh-CN"/>
        </w:rPr>
        <w:t>等</w:t>
      </w:r>
      <w:r>
        <w:rPr>
          <w:rFonts w:hint="eastAsia" w:ascii="宋体" w:hAnsi="宋体" w:eastAsia="宋体" w:cs="宋体"/>
          <w:color w:val="auto"/>
          <w:spacing w:val="3"/>
          <w:sz w:val="21"/>
          <w:szCs w:val="21"/>
          <w:highlight w:val="none"/>
          <w:u w:val="single" w:color="auto"/>
        </w:rPr>
        <w:t>。</w:t>
      </w:r>
    </w:p>
    <w:p w14:paraId="1BFAEF98">
      <w:pPr>
        <w:keepNext w:val="0"/>
        <w:keepLines w:val="0"/>
        <w:pageBreakBefore w:val="0"/>
        <w:widowControl w:val="0"/>
        <w:kinsoku/>
        <w:wordWrap/>
        <w:overflowPunct/>
        <w:topLinePunct w:val="0"/>
        <w:autoSpaceDE/>
        <w:autoSpaceDN/>
        <w:bidi w:val="0"/>
        <w:adjustRightInd/>
        <w:spacing w:before="151" w:line="360" w:lineRule="auto"/>
        <w:ind w:left="485"/>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6"/>
          <w:sz w:val="21"/>
          <w:szCs w:val="21"/>
          <w:highlight w:val="none"/>
          <w:lang w:eastAsia="zh-CN"/>
        </w:rPr>
        <w:t>七</w:t>
      </w:r>
      <w:r>
        <w:rPr>
          <w:rFonts w:hint="eastAsia" w:ascii="宋体" w:hAnsi="宋体" w:eastAsia="宋体" w:cs="宋体"/>
          <w:b/>
          <w:bCs/>
          <w:color w:val="auto"/>
          <w:spacing w:val="6"/>
          <w:sz w:val="21"/>
          <w:szCs w:val="21"/>
          <w:highlight w:val="none"/>
        </w:rPr>
        <w:t>、履约保证金的使用：</w:t>
      </w:r>
    </w:p>
    <w:p w14:paraId="18E2F46B">
      <w:pPr>
        <w:keepNext w:val="0"/>
        <w:keepLines w:val="0"/>
        <w:pageBreakBefore w:val="0"/>
        <w:widowControl w:val="0"/>
        <w:kinsoku/>
        <w:wordWrap/>
        <w:overflowPunct/>
        <w:topLinePunct w:val="0"/>
        <w:autoSpaceDE/>
        <w:autoSpaceDN/>
        <w:bidi w:val="0"/>
        <w:adjustRightInd/>
        <w:spacing w:before="154" w:line="360" w:lineRule="auto"/>
        <w:ind w:left="2" w:right="2" w:firstLine="437"/>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rPr>
        <w:t>本项目不收取履约金</w:t>
      </w:r>
      <w:r>
        <w:rPr>
          <w:rFonts w:hint="eastAsia" w:ascii="宋体" w:hAnsi="宋体" w:eastAsia="宋体" w:cs="宋体"/>
          <w:color w:val="auto"/>
          <w:spacing w:val="8"/>
          <w:sz w:val="21"/>
          <w:szCs w:val="21"/>
          <w:highlight w:val="none"/>
          <w:lang w:eastAsia="zh-CN"/>
        </w:rPr>
        <w:t>。</w:t>
      </w:r>
    </w:p>
    <w:p w14:paraId="3F69D5C3">
      <w:pPr>
        <w:keepNext w:val="0"/>
        <w:keepLines w:val="0"/>
        <w:pageBreakBefore w:val="0"/>
        <w:widowControl w:val="0"/>
        <w:kinsoku/>
        <w:wordWrap/>
        <w:overflowPunct/>
        <w:topLinePunct w:val="0"/>
        <w:autoSpaceDE/>
        <w:autoSpaceDN/>
        <w:bidi w:val="0"/>
        <w:adjustRightInd/>
        <w:spacing w:before="155" w:line="360" w:lineRule="auto"/>
        <w:ind w:left="421"/>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7"/>
          <w:sz w:val="21"/>
          <w:szCs w:val="21"/>
          <w:highlight w:val="none"/>
          <w:lang w:eastAsia="zh-CN"/>
        </w:rPr>
        <w:t>八</w:t>
      </w:r>
      <w:r>
        <w:rPr>
          <w:rFonts w:hint="eastAsia" w:ascii="宋体" w:hAnsi="宋体" w:eastAsia="宋体" w:cs="宋体"/>
          <w:b/>
          <w:bCs/>
          <w:color w:val="auto"/>
          <w:spacing w:val="7"/>
          <w:sz w:val="21"/>
          <w:szCs w:val="21"/>
          <w:highlight w:val="none"/>
        </w:rPr>
        <w:t>、违约及违约责任</w:t>
      </w:r>
    </w:p>
    <w:p w14:paraId="6D43B5B7">
      <w:pPr>
        <w:keepNext w:val="0"/>
        <w:keepLines w:val="0"/>
        <w:pageBreakBefore w:val="0"/>
        <w:widowControl w:val="0"/>
        <w:kinsoku/>
        <w:wordWrap/>
        <w:overflowPunct/>
        <w:topLinePunct w:val="0"/>
        <w:autoSpaceDE/>
        <w:autoSpaceDN/>
        <w:bidi w:val="0"/>
        <w:adjustRightInd/>
        <w:spacing w:before="154" w:line="360" w:lineRule="auto"/>
        <w:ind w:left="2" w:right="2" w:firstLine="437"/>
        <w:jc w:val="both"/>
        <w:textAlignment w:val="auto"/>
        <w:rPr>
          <w:rFonts w:hint="eastAsia" w:ascii="宋体" w:hAnsi="宋体" w:cs="宋体"/>
          <w:color w:val="auto"/>
          <w:spacing w:val="10"/>
          <w:sz w:val="21"/>
          <w:szCs w:val="21"/>
          <w:highlight w:val="none"/>
          <w:lang w:eastAsia="zh-CN"/>
        </w:rPr>
      </w:pPr>
      <w:bookmarkStart w:id="158" w:name="auto_fouce_13"/>
      <w:r>
        <w:rPr>
          <w:rFonts w:hint="eastAsia" w:ascii="宋体" w:hAnsi="宋体" w:cs="宋体"/>
          <w:color w:val="auto"/>
          <w:spacing w:val="10"/>
          <w:sz w:val="21"/>
          <w:szCs w:val="21"/>
          <w:highlight w:val="none"/>
          <w:lang w:eastAsia="zh-CN"/>
        </w:rPr>
        <w:t>乙方出现下列情形之一的，均构成违约，甲方有权根据附</w:t>
      </w:r>
      <w:r>
        <w:rPr>
          <w:rFonts w:hint="eastAsia" w:ascii="宋体" w:hAnsi="宋体" w:cs="宋体"/>
          <w:color w:val="auto"/>
          <w:spacing w:val="10"/>
          <w:sz w:val="21"/>
          <w:szCs w:val="21"/>
          <w:highlight w:val="none"/>
          <w:lang w:eastAsia="zh-CN"/>
        </w:rPr>
        <w:t>件</w:t>
      </w:r>
      <w:r>
        <w:rPr>
          <w:rFonts w:hint="eastAsia" w:ascii="宋体" w:hAnsi="宋体"/>
          <w:color w:val="auto"/>
          <w:szCs w:val="21"/>
          <w:highlight w:val="none"/>
          <w:lang w:eastAsia="zh-CN"/>
        </w:rPr>
        <w:t>《防城港市市管城市照明设施维修养护服务项目考核办法》</w:t>
      </w:r>
      <w:r>
        <w:rPr>
          <w:rFonts w:hint="eastAsia" w:ascii="宋体" w:hAnsi="宋体" w:cs="宋体"/>
          <w:color w:val="auto"/>
          <w:spacing w:val="10"/>
          <w:sz w:val="21"/>
          <w:szCs w:val="21"/>
          <w:highlight w:val="none"/>
          <w:lang w:eastAsia="zh-CN"/>
        </w:rPr>
        <w:t>扣减相应服务费用，并有权要求乙方承担违约责任：（1）未按合同约定配备项目人员、机械设备，或未经甲方同意擅自更换关键人员的；（2）未按合同约定时限响应故障、处置投诉或完成其他甲方指令的；（3）发生安全生产责任事故的；（4）维护质量未达到合同约定亮灯率、完好率等标准的；（5）擅自转包、分包或允许他人挂靠的；（6）违反合同约定私自接驳用电线路的；（7）其他违反合同约定义务或承诺的情形。对于前款第（5）项转包、分包或挂靠行为，甲方有权要求乙方支付合同总金额20%的违约金。</w:t>
      </w:r>
    </w:p>
    <w:p w14:paraId="1830BE15">
      <w:pPr>
        <w:adjustRightInd/>
        <w:spacing w:before="154" w:line="360" w:lineRule="auto"/>
        <w:ind w:left="2" w:right="2" w:firstLine="437"/>
        <w:jc w:val="both"/>
        <w:textAlignment w:val="auto"/>
        <w:rPr>
          <w:rFonts w:hint="eastAsia" w:ascii="宋体" w:hAnsi="宋体" w:cs="宋体"/>
          <w:color w:val="auto"/>
          <w:spacing w:val="10"/>
          <w:szCs w:val="21"/>
          <w:highlight w:val="none"/>
          <w:lang w:eastAsia="zh-CN"/>
        </w:rPr>
      </w:pPr>
      <w:r>
        <w:rPr>
          <w:rFonts w:hint="eastAsia" w:ascii="宋体" w:hAnsi="宋体" w:eastAsia="宋体" w:cs="宋体"/>
          <w:color w:val="auto"/>
          <w:spacing w:val="10"/>
          <w:sz w:val="21"/>
          <w:szCs w:val="21"/>
          <w:highlight w:val="none"/>
        </w:rPr>
        <w:t>如因</w:t>
      </w:r>
      <w:r>
        <w:rPr>
          <w:rFonts w:hint="eastAsia" w:ascii="宋体" w:hAnsi="宋体" w:eastAsia="宋体" w:cs="宋体"/>
          <w:color w:val="auto"/>
          <w:spacing w:val="10"/>
          <w:sz w:val="21"/>
          <w:szCs w:val="21"/>
          <w:highlight w:val="none"/>
          <w:lang w:eastAsia="zh-CN"/>
        </w:rPr>
        <w:t>乙方</w:t>
      </w:r>
      <w:r>
        <w:rPr>
          <w:rFonts w:hint="eastAsia" w:ascii="宋体" w:hAnsi="宋体" w:eastAsia="宋体" w:cs="宋体"/>
          <w:color w:val="auto"/>
          <w:spacing w:val="10"/>
          <w:sz w:val="21"/>
          <w:szCs w:val="21"/>
          <w:highlight w:val="none"/>
        </w:rPr>
        <w:t>未按规定时间修复照明设施故障，导致北部湾大道、西湾大道、跨海大桥、迎宾</w:t>
      </w:r>
      <w:r>
        <w:rPr>
          <w:rFonts w:hint="eastAsia" w:ascii="宋体" w:hAnsi="宋体" w:eastAsia="宋体" w:cs="宋体"/>
          <w:color w:val="auto"/>
          <w:spacing w:val="10"/>
          <w:sz w:val="21"/>
          <w:szCs w:val="21"/>
          <w:highlight w:val="none"/>
          <w:lang w:eastAsia="zh-CN"/>
        </w:rPr>
        <w:t>街</w:t>
      </w:r>
      <w:r>
        <w:rPr>
          <w:rFonts w:hint="eastAsia" w:ascii="宋体" w:hAnsi="宋体" w:eastAsia="宋体" w:cs="宋体"/>
          <w:color w:val="auto"/>
          <w:spacing w:val="10"/>
          <w:sz w:val="21"/>
          <w:szCs w:val="21"/>
          <w:highlight w:val="none"/>
        </w:rPr>
        <w:t>、马正开路、圣文路、和谐街、平安街、金花茶大道、田口街、</w:t>
      </w:r>
      <w:r>
        <w:rPr>
          <w:rFonts w:hint="eastAsia" w:ascii="宋体" w:hAnsi="宋体" w:eastAsia="宋体" w:cs="宋体"/>
          <w:color w:val="auto"/>
          <w:spacing w:val="10"/>
          <w:sz w:val="21"/>
          <w:szCs w:val="21"/>
          <w:highlight w:val="none"/>
          <w:lang w:eastAsia="zh-CN"/>
        </w:rPr>
        <w:t>玉桂大道</w:t>
      </w:r>
      <w:r>
        <w:rPr>
          <w:rFonts w:hint="eastAsia" w:ascii="宋体" w:hAnsi="宋体" w:eastAsia="宋体" w:cs="宋体"/>
          <w:color w:val="auto"/>
          <w:spacing w:val="10"/>
          <w:sz w:val="21"/>
          <w:szCs w:val="21"/>
          <w:highlight w:val="none"/>
        </w:rPr>
        <w:t>、江山大道、针鱼岭大</w:t>
      </w:r>
      <w:r>
        <w:rPr>
          <w:rFonts w:hint="eastAsia" w:ascii="宋体" w:hAnsi="宋体" w:eastAsia="宋体" w:cs="宋体"/>
          <w:color w:val="auto"/>
          <w:spacing w:val="10"/>
          <w:sz w:val="21"/>
          <w:szCs w:val="21"/>
          <w:highlight w:val="none"/>
          <w:lang w:eastAsia="zh-CN"/>
        </w:rPr>
        <w:t>桥</w:t>
      </w:r>
      <w:r>
        <w:rPr>
          <w:rFonts w:hint="eastAsia" w:ascii="宋体" w:hAnsi="宋体" w:eastAsia="宋体" w:cs="宋体"/>
          <w:color w:val="auto"/>
          <w:spacing w:val="10"/>
          <w:sz w:val="21"/>
          <w:szCs w:val="21"/>
          <w:highlight w:val="none"/>
        </w:rPr>
        <w:t>、三都路等城市主干道大面积灭灯的（亮灯率低于93%），每发生一起，扣罚5000元服务费，并按</w:t>
      </w:r>
      <w:r>
        <w:rPr>
          <w:rFonts w:hint="eastAsia" w:ascii="宋体" w:hAnsi="宋体"/>
          <w:color w:val="auto"/>
          <w:szCs w:val="21"/>
          <w:highlight w:val="none"/>
          <w:lang w:eastAsia="zh-CN"/>
        </w:rPr>
        <w:t>《防城港市市管城市照明设施维修养护服务项目考核办法》</w:t>
      </w:r>
      <w:r>
        <w:rPr>
          <w:rFonts w:hint="eastAsia" w:ascii="宋体" w:hAnsi="宋体" w:eastAsia="宋体" w:cs="宋体"/>
          <w:color w:val="auto"/>
          <w:spacing w:val="10"/>
          <w:sz w:val="21"/>
          <w:szCs w:val="21"/>
          <w:highlight w:val="none"/>
        </w:rPr>
        <w:t>相应扣分。</w:t>
      </w:r>
      <w:r>
        <w:rPr>
          <w:rFonts w:hint="eastAsia" w:ascii="宋体" w:hAnsi="宋体" w:cs="宋体"/>
          <w:color w:val="auto"/>
          <w:spacing w:val="10"/>
          <w:sz w:val="21"/>
          <w:szCs w:val="21"/>
          <w:highlight w:val="none"/>
          <w:lang w:eastAsia="zh-CN"/>
        </w:rPr>
        <w:t>乙方发生违约行为时，甲方有权直接从应付乙方的服务费中抵扣相应的违约金、赔偿金或扣款，不足部分甲方有权继续向乙方追偿。</w:t>
      </w:r>
      <w:bookmarkEnd w:id="158"/>
    </w:p>
    <w:p w14:paraId="322E837D">
      <w:pPr>
        <w:keepNext w:val="0"/>
        <w:keepLines w:val="0"/>
        <w:pageBreakBefore w:val="0"/>
        <w:widowControl w:val="0"/>
        <w:kinsoku/>
        <w:wordWrap/>
        <w:overflowPunct/>
        <w:topLinePunct w:val="0"/>
        <w:autoSpaceDE/>
        <w:autoSpaceDN/>
        <w:bidi w:val="0"/>
        <w:adjustRightInd/>
        <w:spacing w:before="154" w:line="360" w:lineRule="auto"/>
        <w:ind w:left="2" w:right="2" w:firstLine="437"/>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7"/>
          <w:sz w:val="21"/>
          <w:szCs w:val="21"/>
          <w:highlight w:val="none"/>
          <w:lang w:eastAsia="zh-CN"/>
        </w:rPr>
        <w:t>九</w:t>
      </w:r>
      <w:r>
        <w:rPr>
          <w:rFonts w:hint="eastAsia" w:ascii="宋体" w:hAnsi="宋体" w:eastAsia="宋体" w:cs="宋体"/>
          <w:b/>
          <w:bCs/>
          <w:color w:val="auto"/>
          <w:spacing w:val="7"/>
          <w:sz w:val="21"/>
          <w:szCs w:val="21"/>
          <w:highlight w:val="none"/>
        </w:rPr>
        <w:t>、合同期内</w:t>
      </w:r>
      <w:r>
        <w:rPr>
          <w:rFonts w:hint="eastAsia" w:ascii="宋体" w:hAnsi="宋体" w:eastAsia="宋体" w:cs="宋体"/>
          <w:b/>
          <w:bCs/>
          <w:color w:val="auto"/>
          <w:spacing w:val="7"/>
          <w:sz w:val="21"/>
          <w:szCs w:val="21"/>
          <w:highlight w:val="none"/>
          <w:lang w:eastAsia="zh-CN"/>
        </w:rPr>
        <w:t>乙方</w:t>
      </w:r>
      <w:r>
        <w:rPr>
          <w:rFonts w:hint="eastAsia" w:ascii="宋体" w:hAnsi="宋体" w:eastAsia="宋体" w:cs="宋体"/>
          <w:b/>
          <w:bCs/>
          <w:color w:val="auto"/>
          <w:spacing w:val="7"/>
          <w:sz w:val="21"/>
          <w:szCs w:val="21"/>
          <w:highlight w:val="none"/>
        </w:rPr>
        <w:t>的工作</w:t>
      </w:r>
      <w:r>
        <w:rPr>
          <w:rFonts w:hint="eastAsia" w:ascii="宋体" w:hAnsi="宋体" w:eastAsia="宋体" w:cs="宋体"/>
          <w:b/>
          <w:bCs/>
          <w:color w:val="auto"/>
          <w:spacing w:val="7"/>
          <w:sz w:val="21"/>
          <w:szCs w:val="21"/>
          <w:highlight w:val="none"/>
          <w:lang w:eastAsia="zh-CN"/>
        </w:rPr>
        <w:t>及要求</w:t>
      </w:r>
      <w:r>
        <w:rPr>
          <w:rFonts w:hint="eastAsia" w:ascii="宋体" w:hAnsi="宋体" w:eastAsia="宋体" w:cs="宋体"/>
          <w:b/>
          <w:bCs/>
          <w:color w:val="auto"/>
          <w:spacing w:val="7"/>
          <w:sz w:val="21"/>
          <w:szCs w:val="21"/>
          <w:highlight w:val="none"/>
        </w:rPr>
        <w:t>：</w:t>
      </w:r>
    </w:p>
    <w:p w14:paraId="26AD1144">
      <w:pPr>
        <w:keepNext w:val="0"/>
        <w:keepLines w:val="0"/>
        <w:pageBreakBefore w:val="0"/>
        <w:widowControl w:val="0"/>
        <w:kinsoku/>
        <w:wordWrap/>
        <w:overflowPunct/>
        <w:topLinePunct w:val="0"/>
        <w:autoSpaceDE/>
        <w:autoSpaceDN/>
        <w:bidi w:val="0"/>
        <w:adjustRightInd/>
        <w:spacing w:before="154" w:line="360" w:lineRule="auto"/>
        <w:ind w:right="66" w:firstLine="420"/>
        <w:jc w:val="both"/>
        <w:textAlignment w:val="auto"/>
        <w:rPr>
          <w:rFonts w:hint="eastAsia" w:ascii="宋体" w:hAnsi="宋体" w:eastAsia="宋体" w:cs="宋体"/>
          <w:color w:val="auto"/>
          <w:spacing w:val="12"/>
          <w:sz w:val="21"/>
          <w:szCs w:val="21"/>
          <w:highlight w:val="none"/>
        </w:rPr>
      </w:pPr>
      <w:r>
        <w:rPr>
          <w:rFonts w:hint="eastAsia" w:ascii="宋体" w:hAnsi="宋体" w:eastAsia="宋体" w:cs="宋体"/>
          <w:color w:val="auto"/>
          <w:spacing w:val="12"/>
          <w:sz w:val="21"/>
          <w:szCs w:val="21"/>
          <w:highlight w:val="none"/>
        </w:rPr>
        <w:t>（一）</w:t>
      </w:r>
      <w:bookmarkStart w:id="159" w:name="auto_fouce_14"/>
      <w:r>
        <w:rPr>
          <w:rFonts w:hint="eastAsia" w:ascii="宋体" w:hAnsi="宋体" w:eastAsia="宋体" w:cs="宋体"/>
          <w:color w:val="auto"/>
          <w:spacing w:val="12"/>
          <w:sz w:val="21"/>
          <w:szCs w:val="21"/>
          <w:highlight w:val="none"/>
        </w:rPr>
        <w:t>照明设施管护要求：</w:t>
      </w:r>
    </w:p>
    <w:p w14:paraId="3903DF5F">
      <w:pPr>
        <w:keepNext w:val="0"/>
        <w:keepLines w:val="0"/>
        <w:pageBreakBefore w:val="0"/>
        <w:widowControl w:val="0"/>
        <w:kinsoku/>
        <w:wordWrap/>
        <w:overflowPunct/>
        <w:topLinePunct w:val="0"/>
        <w:autoSpaceDE/>
        <w:autoSpaceDN/>
        <w:bidi w:val="0"/>
        <w:adjustRightInd/>
        <w:snapToGrid/>
        <w:spacing w:line="560" w:lineRule="exact"/>
        <w:ind w:left="0" w:leftChars="0" w:firstLine="468" w:firstLineChars="200"/>
        <w:textAlignment w:val="auto"/>
        <w:rPr>
          <w:rFonts w:hint="default" w:ascii="宋体" w:hAnsi="宋体" w:eastAsia="宋体" w:cs="宋体"/>
          <w:color w:val="auto"/>
          <w:spacing w:val="12"/>
          <w:sz w:val="21"/>
          <w:szCs w:val="21"/>
          <w:highlight w:val="none"/>
          <w:lang w:eastAsia="zh-CN"/>
        </w:rPr>
      </w:pPr>
      <w:r>
        <w:rPr>
          <w:rFonts w:hint="eastAsia" w:ascii="宋体" w:hAnsi="宋体" w:eastAsia="宋体" w:cs="宋体"/>
          <w:color w:val="auto"/>
          <w:spacing w:val="12"/>
          <w:sz w:val="21"/>
          <w:szCs w:val="21"/>
          <w:highlight w:val="none"/>
        </w:rPr>
        <w:t>1、</w:t>
      </w:r>
      <w:r>
        <w:rPr>
          <w:rFonts w:hint="eastAsia" w:ascii="宋体" w:hAnsi="宋体" w:eastAsia="宋体" w:cs="宋体"/>
          <w:color w:val="auto"/>
          <w:spacing w:val="12"/>
          <w:sz w:val="21"/>
          <w:szCs w:val="21"/>
          <w:highlight w:val="none"/>
          <w:lang w:eastAsia="zh-CN"/>
        </w:rPr>
        <w:t>乙方必须配备适应本标内设施防盗和维护管理的工具设备及工作人员，其所有费用由乙方负责支出。配备1辆高空作业维护车辆、1辆皮卡巡逻作业车，配备1名具有市政公用工程专业二级以上（含二级）注册建造师资格的项目经理；配备不少于</w:t>
      </w:r>
      <w:r>
        <w:rPr>
          <w:rFonts w:hint="eastAsia" w:ascii="宋体" w:hAnsi="宋体" w:eastAsia="宋体" w:cs="宋体"/>
          <w:color w:val="auto"/>
          <w:spacing w:val="12"/>
          <w:sz w:val="21"/>
          <w:szCs w:val="21"/>
          <w:highlight w:val="none"/>
          <w:lang w:val="en-US" w:eastAsia="zh-CN"/>
        </w:rPr>
        <w:t>13</w:t>
      </w:r>
      <w:r>
        <w:rPr>
          <w:rFonts w:hint="eastAsia" w:ascii="宋体" w:hAnsi="宋体" w:eastAsia="宋体" w:cs="宋体"/>
          <w:color w:val="auto"/>
          <w:spacing w:val="12"/>
          <w:sz w:val="21"/>
          <w:szCs w:val="21"/>
          <w:highlight w:val="none"/>
          <w:lang w:eastAsia="zh-CN"/>
        </w:rPr>
        <w:t>名（含</w:t>
      </w:r>
      <w:r>
        <w:rPr>
          <w:rFonts w:hint="eastAsia" w:ascii="宋体" w:hAnsi="宋体" w:eastAsia="宋体" w:cs="宋体"/>
          <w:color w:val="auto"/>
          <w:spacing w:val="12"/>
          <w:sz w:val="21"/>
          <w:szCs w:val="21"/>
          <w:highlight w:val="none"/>
          <w:lang w:val="en-US" w:eastAsia="zh-CN"/>
        </w:rPr>
        <w:t>13</w:t>
      </w:r>
      <w:r>
        <w:rPr>
          <w:rFonts w:hint="eastAsia" w:ascii="宋体" w:hAnsi="宋体" w:eastAsia="宋体" w:cs="宋体"/>
          <w:color w:val="auto"/>
          <w:spacing w:val="12"/>
          <w:sz w:val="21"/>
          <w:szCs w:val="21"/>
          <w:highlight w:val="none"/>
          <w:lang w:eastAsia="zh-CN"/>
        </w:rPr>
        <w:t>名）技术维修人员，所有技术维修均要求具有电工操作证，且至少有</w:t>
      </w:r>
      <w:r>
        <w:rPr>
          <w:rFonts w:hint="eastAsia" w:ascii="宋体" w:hAnsi="宋体" w:eastAsia="宋体" w:cs="宋体"/>
          <w:color w:val="auto"/>
          <w:spacing w:val="12"/>
          <w:sz w:val="21"/>
          <w:szCs w:val="21"/>
          <w:highlight w:val="none"/>
          <w:lang w:val="en-US" w:eastAsia="zh-CN"/>
        </w:rPr>
        <w:t>4人同时具有</w:t>
      </w:r>
      <w:r>
        <w:rPr>
          <w:rFonts w:hint="eastAsia" w:ascii="宋体" w:hAnsi="宋体" w:eastAsia="宋体" w:cs="宋体"/>
          <w:color w:val="auto"/>
          <w:spacing w:val="12"/>
          <w:sz w:val="21"/>
          <w:szCs w:val="21"/>
          <w:highlight w:val="none"/>
          <w:lang w:eastAsia="zh-CN"/>
        </w:rPr>
        <w:t>高处作业证、至少有</w:t>
      </w:r>
      <w:r>
        <w:rPr>
          <w:rFonts w:hint="eastAsia" w:ascii="宋体" w:hAnsi="宋体" w:eastAsia="宋体" w:cs="宋体"/>
          <w:color w:val="auto"/>
          <w:spacing w:val="12"/>
          <w:sz w:val="21"/>
          <w:szCs w:val="21"/>
          <w:highlight w:val="none"/>
          <w:lang w:val="en-US" w:eastAsia="zh-CN"/>
        </w:rPr>
        <w:t>2名人员同时具有熔化焊接与热切割作业证</w:t>
      </w:r>
      <w:r>
        <w:rPr>
          <w:rFonts w:hint="eastAsia" w:ascii="宋体" w:hAnsi="宋体" w:eastAsia="宋体" w:cs="宋体"/>
          <w:color w:val="auto"/>
          <w:spacing w:val="12"/>
          <w:sz w:val="21"/>
          <w:szCs w:val="21"/>
          <w:highlight w:val="none"/>
          <w:lang w:eastAsia="zh-CN"/>
        </w:rPr>
        <w:t>，电工技能、焊接技能熟练，且具有2年以上配电设备维修管理经验。配备1名项目资料员，要求具有资料员证，要求熟悉档案管理，了解建设承包方式、合同签订、施工预算、文字写作的基本知识，了解设计、施工验收规范和安全生产的法律法规、标准及规范，熟练使用办公软件，具有1年以上相关工作经验。配备专职安全员</w:t>
      </w:r>
      <w:r>
        <w:rPr>
          <w:rFonts w:hint="eastAsia" w:ascii="宋体" w:hAnsi="宋体" w:eastAsia="宋体" w:cs="宋体"/>
          <w:color w:val="auto"/>
          <w:spacing w:val="12"/>
          <w:sz w:val="21"/>
          <w:szCs w:val="21"/>
          <w:highlight w:val="none"/>
          <w:lang w:val="en-US" w:eastAsia="zh-CN"/>
        </w:rPr>
        <w:t>1</w:t>
      </w:r>
      <w:r>
        <w:rPr>
          <w:rFonts w:hint="eastAsia" w:ascii="宋体" w:hAnsi="宋体" w:eastAsia="宋体" w:cs="宋体"/>
          <w:color w:val="auto"/>
          <w:spacing w:val="12"/>
          <w:sz w:val="21"/>
          <w:szCs w:val="21"/>
          <w:highlight w:val="none"/>
          <w:lang w:eastAsia="zh-CN"/>
        </w:rPr>
        <w:t>名，要求具有安全员证</w:t>
      </w:r>
      <w:r>
        <w:rPr>
          <w:rFonts w:hint="default" w:ascii="宋体" w:hAnsi="宋体" w:eastAsia="宋体" w:cs="宋体"/>
          <w:color w:val="auto"/>
          <w:spacing w:val="12"/>
          <w:sz w:val="21"/>
          <w:szCs w:val="21"/>
          <w:highlight w:val="none"/>
          <w:lang w:eastAsia="zh-CN"/>
        </w:rPr>
        <w:t>。</w:t>
      </w:r>
    </w:p>
    <w:p w14:paraId="5D4E7FF3">
      <w:pPr>
        <w:keepNext w:val="0"/>
        <w:keepLines w:val="0"/>
        <w:pageBreakBefore w:val="0"/>
        <w:widowControl w:val="0"/>
        <w:kinsoku/>
        <w:wordWrap/>
        <w:overflowPunct/>
        <w:topLinePunct w:val="0"/>
        <w:autoSpaceDE/>
        <w:autoSpaceDN/>
        <w:bidi w:val="0"/>
        <w:adjustRightInd/>
        <w:spacing w:before="154" w:line="360" w:lineRule="auto"/>
        <w:ind w:left="2" w:right="2" w:firstLine="437"/>
        <w:jc w:val="both"/>
        <w:textAlignment w:val="auto"/>
        <w:rPr>
          <w:rFonts w:hint="eastAsia" w:ascii="宋体" w:hAnsi="宋体" w:eastAsia="宋体" w:cs="宋体"/>
          <w:color w:val="auto"/>
          <w:spacing w:val="12"/>
          <w:sz w:val="21"/>
          <w:szCs w:val="21"/>
          <w:highlight w:val="none"/>
        </w:rPr>
      </w:pPr>
      <w:r>
        <w:rPr>
          <w:rFonts w:hint="eastAsia" w:ascii="宋体" w:hAnsi="宋体" w:eastAsia="宋体" w:cs="宋体"/>
          <w:color w:val="auto"/>
          <w:spacing w:val="12"/>
          <w:sz w:val="21"/>
          <w:szCs w:val="21"/>
          <w:highlight w:val="none"/>
        </w:rPr>
        <w:t>2、</w:t>
      </w:r>
      <w:bookmarkStart w:id="160" w:name="tip_risk_bookmark_15"/>
      <w:r>
        <w:rPr>
          <w:rFonts w:hint="eastAsia" w:ascii="宋体" w:hAnsi="宋体" w:eastAsia="宋体" w:cs="宋体"/>
          <w:color w:val="auto"/>
          <w:spacing w:val="12"/>
          <w:sz w:val="21"/>
          <w:szCs w:val="21"/>
          <w:highlight w:val="none"/>
        </w:rPr>
        <w:t>为保证设施完好率，在合同期间发生照明设施被盗或人为破坏的，</w:t>
      </w:r>
      <w:r>
        <w:rPr>
          <w:rFonts w:hint="eastAsia" w:ascii="宋体" w:hAnsi="宋体" w:eastAsia="宋体" w:cs="宋体"/>
          <w:color w:val="auto"/>
          <w:spacing w:val="12"/>
          <w:sz w:val="21"/>
          <w:szCs w:val="21"/>
          <w:highlight w:val="none"/>
          <w:lang w:eastAsia="zh-CN"/>
        </w:rPr>
        <w:t>乙方</w:t>
      </w:r>
      <w:r>
        <w:rPr>
          <w:rFonts w:hint="eastAsia" w:ascii="宋体" w:hAnsi="宋体" w:eastAsia="宋体" w:cs="宋体"/>
          <w:color w:val="auto"/>
          <w:spacing w:val="12"/>
          <w:sz w:val="21"/>
          <w:szCs w:val="21"/>
          <w:highlight w:val="none"/>
        </w:rPr>
        <w:t>负责赔偿并按</w:t>
      </w:r>
      <w:r>
        <w:rPr>
          <w:rFonts w:hint="eastAsia" w:ascii="宋体" w:hAnsi="宋体" w:eastAsia="宋体" w:cs="宋体"/>
          <w:color w:val="auto"/>
          <w:spacing w:val="12"/>
          <w:sz w:val="21"/>
          <w:szCs w:val="21"/>
          <w:highlight w:val="none"/>
          <w:lang w:eastAsia="zh-CN"/>
        </w:rPr>
        <w:t>甲方</w:t>
      </w:r>
      <w:r>
        <w:rPr>
          <w:rFonts w:hint="eastAsia" w:ascii="宋体" w:hAnsi="宋体" w:eastAsia="宋体" w:cs="宋体"/>
          <w:color w:val="auto"/>
          <w:spacing w:val="12"/>
          <w:sz w:val="21"/>
          <w:szCs w:val="21"/>
          <w:highlight w:val="none"/>
        </w:rPr>
        <w:t>要求的质量、时限进行修复。</w:t>
      </w:r>
      <w:r>
        <w:rPr>
          <w:rFonts w:hint="eastAsia" w:ascii="宋体" w:hAnsi="宋体" w:eastAsia="宋体" w:cs="宋体"/>
          <w:color w:val="auto"/>
          <w:spacing w:val="12"/>
          <w:sz w:val="21"/>
          <w:szCs w:val="21"/>
          <w:highlight w:val="none"/>
          <w:lang w:eastAsia="zh-CN"/>
        </w:rPr>
        <w:t>乙方</w:t>
      </w:r>
      <w:r>
        <w:rPr>
          <w:rFonts w:hint="eastAsia" w:ascii="宋体" w:hAnsi="宋体" w:eastAsia="宋体" w:cs="宋体"/>
          <w:color w:val="auto"/>
          <w:spacing w:val="12"/>
          <w:sz w:val="21"/>
          <w:szCs w:val="21"/>
          <w:highlight w:val="none"/>
        </w:rPr>
        <w:t>发现照明设施重大故障及非被盗或人为损坏的1小时内应通知</w:t>
      </w:r>
      <w:r>
        <w:rPr>
          <w:rFonts w:hint="eastAsia" w:ascii="宋体" w:hAnsi="宋体" w:eastAsia="宋体" w:cs="宋体"/>
          <w:color w:val="auto"/>
          <w:spacing w:val="12"/>
          <w:sz w:val="21"/>
          <w:szCs w:val="21"/>
          <w:highlight w:val="none"/>
          <w:lang w:eastAsia="zh-CN"/>
        </w:rPr>
        <w:t>甲方</w:t>
      </w:r>
      <w:r>
        <w:rPr>
          <w:rFonts w:hint="eastAsia" w:ascii="宋体" w:hAnsi="宋体" w:eastAsia="宋体" w:cs="宋体"/>
          <w:color w:val="auto"/>
          <w:spacing w:val="12"/>
          <w:sz w:val="21"/>
          <w:szCs w:val="21"/>
          <w:highlight w:val="none"/>
        </w:rPr>
        <w:t>并做好现场安全防护措施。为做好被盗设施的修复工作，</w:t>
      </w:r>
      <w:r>
        <w:rPr>
          <w:rFonts w:hint="eastAsia" w:ascii="宋体" w:hAnsi="宋体" w:eastAsia="宋体" w:cs="宋体"/>
          <w:color w:val="auto"/>
          <w:spacing w:val="12"/>
          <w:sz w:val="21"/>
          <w:szCs w:val="21"/>
          <w:highlight w:val="none"/>
          <w:lang w:eastAsia="zh-CN"/>
        </w:rPr>
        <w:t>乙方</w:t>
      </w:r>
      <w:r>
        <w:rPr>
          <w:rFonts w:hint="eastAsia" w:ascii="宋体" w:hAnsi="宋体" w:eastAsia="宋体" w:cs="宋体"/>
          <w:color w:val="auto"/>
          <w:spacing w:val="12"/>
          <w:sz w:val="21"/>
          <w:szCs w:val="21"/>
          <w:highlight w:val="none"/>
        </w:rPr>
        <w:t>可以保险公司购买财产被盗保险服务。因</w:t>
      </w:r>
      <w:r>
        <w:rPr>
          <w:rFonts w:hint="eastAsia" w:ascii="宋体" w:hAnsi="宋体" w:eastAsia="宋体" w:cs="宋体"/>
          <w:color w:val="auto"/>
          <w:spacing w:val="12"/>
          <w:sz w:val="21"/>
          <w:szCs w:val="21"/>
          <w:highlight w:val="none"/>
          <w:lang w:eastAsia="zh-CN"/>
        </w:rPr>
        <w:t>乙方</w:t>
      </w:r>
      <w:r>
        <w:rPr>
          <w:rFonts w:hint="eastAsia" w:ascii="宋体" w:hAnsi="宋体" w:eastAsia="宋体" w:cs="宋体"/>
          <w:color w:val="auto"/>
          <w:spacing w:val="12"/>
          <w:sz w:val="21"/>
          <w:szCs w:val="21"/>
          <w:highlight w:val="none"/>
        </w:rPr>
        <w:t>巡查监管不到位造成损失的，相关修复费用由</w:t>
      </w:r>
      <w:r>
        <w:rPr>
          <w:rFonts w:hint="eastAsia" w:ascii="宋体" w:hAnsi="宋体" w:eastAsia="宋体" w:cs="宋体"/>
          <w:color w:val="auto"/>
          <w:spacing w:val="12"/>
          <w:sz w:val="21"/>
          <w:szCs w:val="21"/>
          <w:highlight w:val="none"/>
          <w:lang w:eastAsia="zh-CN"/>
        </w:rPr>
        <w:t>乙方</w:t>
      </w:r>
      <w:r>
        <w:rPr>
          <w:rFonts w:hint="eastAsia" w:ascii="宋体" w:hAnsi="宋体" w:eastAsia="宋体" w:cs="宋体"/>
          <w:color w:val="auto"/>
          <w:spacing w:val="12"/>
          <w:sz w:val="21"/>
          <w:szCs w:val="21"/>
          <w:highlight w:val="none"/>
        </w:rPr>
        <w:t>承担。</w:t>
      </w:r>
    </w:p>
    <w:p w14:paraId="4502A508">
      <w:pPr>
        <w:keepNext w:val="0"/>
        <w:keepLines w:val="0"/>
        <w:pageBreakBefore w:val="0"/>
        <w:widowControl w:val="0"/>
        <w:kinsoku/>
        <w:wordWrap/>
        <w:overflowPunct/>
        <w:topLinePunct w:val="0"/>
        <w:autoSpaceDE/>
        <w:autoSpaceDN/>
        <w:bidi w:val="0"/>
        <w:adjustRightInd/>
        <w:spacing w:before="154" w:line="360" w:lineRule="auto"/>
        <w:ind w:left="2" w:right="2" w:firstLine="437"/>
        <w:jc w:val="both"/>
        <w:textAlignment w:val="auto"/>
        <w:rPr>
          <w:rFonts w:hint="eastAsia" w:ascii="宋体" w:hAnsi="宋体" w:eastAsia="宋体" w:cs="宋体"/>
          <w:color w:val="auto"/>
          <w:spacing w:val="12"/>
          <w:sz w:val="21"/>
          <w:szCs w:val="21"/>
          <w:highlight w:val="none"/>
        </w:rPr>
      </w:pPr>
      <w:r>
        <w:rPr>
          <w:rFonts w:hint="eastAsia" w:ascii="宋体" w:hAnsi="宋体" w:eastAsia="宋体" w:cs="宋体"/>
          <w:color w:val="auto"/>
          <w:spacing w:val="12"/>
          <w:sz w:val="21"/>
          <w:szCs w:val="21"/>
          <w:highlight w:val="none"/>
        </w:rPr>
        <w:t>3、</w:t>
      </w:r>
      <w:r>
        <w:rPr>
          <w:rFonts w:hint="eastAsia" w:ascii="宋体" w:hAnsi="宋体" w:eastAsia="宋体" w:cs="宋体"/>
          <w:color w:val="auto"/>
          <w:spacing w:val="12"/>
          <w:sz w:val="21"/>
          <w:szCs w:val="21"/>
          <w:highlight w:val="none"/>
          <w:lang w:eastAsia="zh-CN"/>
        </w:rPr>
        <w:t>乙方</w:t>
      </w:r>
      <w:r>
        <w:rPr>
          <w:rFonts w:hint="eastAsia" w:ascii="宋体" w:hAnsi="宋体" w:eastAsia="宋体" w:cs="宋体"/>
          <w:color w:val="auto"/>
          <w:spacing w:val="12"/>
          <w:sz w:val="21"/>
          <w:szCs w:val="21"/>
          <w:highlight w:val="none"/>
        </w:rPr>
        <w:t>必须落实安全生产措施，且应按</w:t>
      </w:r>
      <w:r>
        <w:rPr>
          <w:rFonts w:hint="eastAsia" w:ascii="宋体" w:hAnsi="宋体" w:eastAsia="宋体" w:cs="宋体"/>
          <w:color w:val="auto"/>
          <w:spacing w:val="12"/>
          <w:sz w:val="21"/>
          <w:szCs w:val="21"/>
          <w:highlight w:val="none"/>
          <w:lang w:eastAsia="zh-CN"/>
        </w:rPr>
        <w:t>甲方</w:t>
      </w:r>
      <w:r>
        <w:rPr>
          <w:rFonts w:hint="eastAsia" w:ascii="宋体" w:hAnsi="宋体" w:eastAsia="宋体" w:cs="宋体"/>
          <w:color w:val="auto"/>
          <w:spacing w:val="12"/>
          <w:sz w:val="21"/>
          <w:szCs w:val="21"/>
          <w:highlight w:val="none"/>
        </w:rPr>
        <w:t>的要求，上岗工人统一配备工作证件（报</w:t>
      </w:r>
      <w:r>
        <w:rPr>
          <w:rFonts w:hint="eastAsia" w:ascii="宋体" w:hAnsi="宋体" w:eastAsia="宋体" w:cs="宋体"/>
          <w:color w:val="auto"/>
          <w:spacing w:val="12"/>
          <w:sz w:val="21"/>
          <w:szCs w:val="21"/>
          <w:highlight w:val="none"/>
          <w:lang w:eastAsia="zh-CN"/>
        </w:rPr>
        <w:t>甲方</w:t>
      </w:r>
      <w:r>
        <w:rPr>
          <w:rFonts w:hint="eastAsia" w:ascii="宋体" w:hAnsi="宋体" w:eastAsia="宋体" w:cs="宋体"/>
          <w:color w:val="auto"/>
          <w:spacing w:val="12"/>
          <w:sz w:val="21"/>
          <w:szCs w:val="21"/>
          <w:highlight w:val="none"/>
        </w:rPr>
        <w:t>备案），为上岗工人配置统一的维护工作服、反光背心、反光袖套、反光雨衣、安全头盔、电工鞋、工具袋、高空作业绳、安全扣、防电手套、高压令克棒等，解决安全作业问题及购买保险。在进行维护作业时必须认真负责，并注意安全规范操作。维护人员在维护项目服务期限结束前的社保及人身意外保险由</w:t>
      </w:r>
      <w:r>
        <w:rPr>
          <w:rFonts w:hint="eastAsia" w:ascii="宋体" w:hAnsi="宋体" w:eastAsia="宋体" w:cs="宋体"/>
          <w:color w:val="auto"/>
          <w:spacing w:val="12"/>
          <w:sz w:val="21"/>
          <w:szCs w:val="21"/>
          <w:highlight w:val="none"/>
          <w:lang w:eastAsia="zh-CN"/>
        </w:rPr>
        <w:t>乙方</w:t>
      </w:r>
      <w:r>
        <w:rPr>
          <w:rFonts w:hint="eastAsia" w:ascii="宋体" w:hAnsi="宋体" w:eastAsia="宋体" w:cs="宋体"/>
          <w:color w:val="auto"/>
          <w:spacing w:val="12"/>
          <w:sz w:val="21"/>
          <w:szCs w:val="21"/>
          <w:highlight w:val="none"/>
        </w:rPr>
        <w:t>负责。如发生任何意外事故，维护</w:t>
      </w:r>
      <w:r>
        <w:rPr>
          <w:rFonts w:hint="eastAsia" w:ascii="宋体" w:hAnsi="宋体" w:eastAsia="宋体" w:cs="宋体"/>
          <w:color w:val="auto"/>
          <w:spacing w:val="12"/>
          <w:sz w:val="21"/>
          <w:szCs w:val="21"/>
          <w:highlight w:val="none"/>
          <w:lang w:eastAsia="zh-CN"/>
        </w:rPr>
        <w:t>乙方</w:t>
      </w:r>
      <w:r>
        <w:rPr>
          <w:rFonts w:hint="eastAsia" w:ascii="宋体" w:hAnsi="宋体" w:eastAsia="宋体" w:cs="宋体"/>
          <w:color w:val="auto"/>
          <w:spacing w:val="12"/>
          <w:sz w:val="21"/>
          <w:szCs w:val="21"/>
          <w:highlight w:val="none"/>
        </w:rPr>
        <w:t>负责事故处理及一切费用，概与</w:t>
      </w:r>
      <w:r>
        <w:rPr>
          <w:rFonts w:hint="eastAsia" w:ascii="宋体" w:hAnsi="宋体" w:eastAsia="宋体" w:cs="宋体"/>
          <w:color w:val="auto"/>
          <w:spacing w:val="12"/>
          <w:sz w:val="21"/>
          <w:szCs w:val="21"/>
          <w:highlight w:val="none"/>
          <w:lang w:eastAsia="zh-CN"/>
        </w:rPr>
        <w:t>甲方</w:t>
      </w:r>
      <w:r>
        <w:rPr>
          <w:rFonts w:hint="eastAsia" w:ascii="宋体" w:hAnsi="宋体" w:eastAsia="宋体" w:cs="宋体"/>
          <w:color w:val="auto"/>
          <w:spacing w:val="12"/>
          <w:sz w:val="21"/>
          <w:szCs w:val="21"/>
          <w:highlight w:val="none"/>
        </w:rPr>
        <w:t>无关。</w:t>
      </w:r>
      <w:bookmarkEnd w:id="160"/>
    </w:p>
    <w:p w14:paraId="23B7D525">
      <w:pPr>
        <w:keepNext w:val="0"/>
        <w:keepLines w:val="0"/>
        <w:pageBreakBefore w:val="0"/>
        <w:widowControl w:val="0"/>
        <w:kinsoku/>
        <w:wordWrap/>
        <w:overflowPunct/>
        <w:topLinePunct w:val="0"/>
        <w:autoSpaceDE/>
        <w:autoSpaceDN/>
        <w:bidi w:val="0"/>
        <w:adjustRightInd/>
        <w:spacing w:before="154" w:line="360" w:lineRule="auto"/>
        <w:ind w:left="2" w:right="2" w:firstLine="437"/>
        <w:jc w:val="both"/>
        <w:textAlignment w:val="auto"/>
        <w:rPr>
          <w:rFonts w:hint="eastAsia" w:ascii="宋体" w:hAnsi="宋体" w:eastAsia="宋体" w:cs="宋体"/>
          <w:color w:val="auto"/>
          <w:spacing w:val="12"/>
          <w:sz w:val="21"/>
          <w:szCs w:val="21"/>
          <w:highlight w:val="none"/>
        </w:rPr>
      </w:pPr>
      <w:r>
        <w:rPr>
          <w:rFonts w:hint="eastAsia" w:ascii="宋体" w:hAnsi="宋体" w:eastAsia="宋体" w:cs="宋体"/>
          <w:color w:val="auto"/>
          <w:spacing w:val="12"/>
          <w:sz w:val="21"/>
          <w:szCs w:val="21"/>
          <w:highlight w:val="none"/>
        </w:rPr>
        <w:t>4、</w:t>
      </w:r>
      <w:bookmarkStart w:id="161" w:name="auto_fouce_16"/>
      <w:r>
        <w:rPr>
          <w:rFonts w:hint="eastAsia" w:ascii="宋体" w:hAnsi="宋体" w:eastAsia="宋体" w:cs="宋体"/>
          <w:color w:val="auto"/>
          <w:spacing w:val="12"/>
          <w:sz w:val="21"/>
          <w:szCs w:val="21"/>
          <w:highlight w:val="none"/>
        </w:rPr>
        <w:t>电缆等维护要求：（1）电缆井：电缆井盖应该保证无破损和丢失，电缆井内无杂物填充，检查电缆井的封堵情况，必须符合</w:t>
      </w:r>
      <w:r>
        <w:rPr>
          <w:rFonts w:hint="eastAsia" w:ascii="宋体" w:hAnsi="宋体" w:eastAsia="宋体" w:cs="宋体"/>
          <w:color w:val="auto"/>
          <w:spacing w:val="12"/>
          <w:sz w:val="21"/>
          <w:szCs w:val="21"/>
          <w:highlight w:val="none"/>
          <w:lang w:eastAsia="zh-CN"/>
        </w:rPr>
        <w:t>甲方</w:t>
      </w:r>
      <w:r>
        <w:rPr>
          <w:rFonts w:hint="eastAsia" w:ascii="宋体" w:hAnsi="宋体" w:eastAsia="宋体" w:cs="宋体"/>
          <w:color w:val="auto"/>
          <w:spacing w:val="12"/>
          <w:sz w:val="21"/>
          <w:szCs w:val="21"/>
          <w:highlight w:val="none"/>
        </w:rPr>
        <w:t>要求，未达到要求的要按照</w:t>
      </w:r>
      <w:r>
        <w:rPr>
          <w:rFonts w:hint="eastAsia" w:ascii="宋体" w:hAnsi="宋体" w:eastAsia="宋体" w:cs="宋体"/>
          <w:color w:val="auto"/>
          <w:spacing w:val="12"/>
          <w:sz w:val="21"/>
          <w:szCs w:val="21"/>
          <w:highlight w:val="none"/>
          <w:lang w:eastAsia="zh-CN"/>
        </w:rPr>
        <w:t>甲方</w:t>
      </w:r>
      <w:r>
        <w:rPr>
          <w:rFonts w:hint="eastAsia" w:ascii="宋体" w:hAnsi="宋体" w:eastAsia="宋体" w:cs="宋体"/>
          <w:color w:val="auto"/>
          <w:spacing w:val="12"/>
          <w:sz w:val="21"/>
          <w:szCs w:val="21"/>
          <w:highlight w:val="none"/>
        </w:rPr>
        <w:t>要求整改。（2）电缆更换：电缆更换前必须报</w:t>
      </w:r>
      <w:r>
        <w:rPr>
          <w:rFonts w:hint="eastAsia" w:ascii="宋体" w:hAnsi="宋体" w:eastAsia="宋体" w:cs="宋体"/>
          <w:color w:val="auto"/>
          <w:spacing w:val="12"/>
          <w:sz w:val="21"/>
          <w:szCs w:val="21"/>
          <w:highlight w:val="none"/>
          <w:lang w:eastAsia="zh-CN"/>
        </w:rPr>
        <w:t>甲方</w:t>
      </w:r>
      <w:r>
        <w:rPr>
          <w:rFonts w:hint="eastAsia" w:ascii="宋体" w:hAnsi="宋体" w:eastAsia="宋体" w:cs="宋体"/>
          <w:color w:val="auto"/>
          <w:spacing w:val="12"/>
          <w:sz w:val="21"/>
          <w:szCs w:val="21"/>
          <w:highlight w:val="none"/>
        </w:rPr>
        <w:t>审核，必须采用同原来规格型号一致</w:t>
      </w:r>
      <w:r>
        <w:rPr>
          <w:rFonts w:hint="eastAsia" w:ascii="宋体" w:hAnsi="宋体" w:eastAsia="宋体" w:cs="宋体"/>
          <w:color w:val="auto"/>
          <w:spacing w:val="12"/>
          <w:sz w:val="21"/>
          <w:szCs w:val="21"/>
          <w:highlight w:val="none"/>
          <w:lang w:eastAsia="zh-CN"/>
        </w:rPr>
        <w:t>或更高等级</w:t>
      </w:r>
      <w:r>
        <w:rPr>
          <w:rFonts w:hint="eastAsia" w:ascii="宋体" w:hAnsi="宋体" w:eastAsia="宋体" w:cs="宋体"/>
          <w:color w:val="auto"/>
          <w:spacing w:val="12"/>
          <w:sz w:val="21"/>
          <w:szCs w:val="21"/>
          <w:highlight w:val="none"/>
        </w:rPr>
        <w:t>的电缆进行更换，不能采用降低规格或低于原材质的电缆进行更换，更换过程中需报</w:t>
      </w:r>
      <w:r>
        <w:rPr>
          <w:rFonts w:hint="eastAsia" w:ascii="宋体" w:hAnsi="宋体" w:eastAsia="宋体" w:cs="宋体"/>
          <w:color w:val="auto"/>
          <w:spacing w:val="12"/>
          <w:sz w:val="21"/>
          <w:szCs w:val="21"/>
          <w:highlight w:val="none"/>
          <w:lang w:eastAsia="zh-CN"/>
        </w:rPr>
        <w:t>甲方</w:t>
      </w:r>
      <w:r>
        <w:rPr>
          <w:rFonts w:hint="eastAsia" w:ascii="宋体" w:hAnsi="宋体" w:eastAsia="宋体" w:cs="宋体"/>
          <w:color w:val="auto"/>
          <w:spacing w:val="12"/>
          <w:sz w:val="21"/>
          <w:szCs w:val="21"/>
          <w:highlight w:val="none"/>
        </w:rPr>
        <w:t>进行现场核实或备案。电缆敷设必须符合相关技术规范及</w:t>
      </w:r>
      <w:r>
        <w:rPr>
          <w:rFonts w:hint="eastAsia" w:ascii="宋体" w:hAnsi="宋体" w:eastAsia="宋体" w:cs="宋体"/>
          <w:color w:val="auto"/>
          <w:spacing w:val="12"/>
          <w:sz w:val="21"/>
          <w:szCs w:val="21"/>
          <w:highlight w:val="none"/>
          <w:lang w:eastAsia="zh-CN"/>
        </w:rPr>
        <w:t>甲方</w:t>
      </w:r>
      <w:r>
        <w:rPr>
          <w:rFonts w:hint="eastAsia" w:ascii="宋体" w:hAnsi="宋体" w:eastAsia="宋体" w:cs="宋体"/>
          <w:color w:val="auto"/>
          <w:spacing w:val="12"/>
          <w:sz w:val="21"/>
          <w:szCs w:val="21"/>
          <w:highlight w:val="none"/>
        </w:rPr>
        <w:t>的要求。（3）电缆绝缘电阻测试：在维护年度内进行一次电缆绝缘测试。（4）电缆的三相不平衡：要求调整负荷，使得中性线电流不超过20%，严禁同一条电缆三相供电合并成两相或单相供电，如有此类情况的，电缆需要更换，且更换后需要进行电缆绝缘测试并且符合相关技术要求，如有不符的需要整改并进行处罚。（5）</w:t>
      </w:r>
      <w:r>
        <w:rPr>
          <w:rFonts w:hint="eastAsia" w:ascii="宋体" w:hAnsi="宋体" w:eastAsia="宋体" w:cs="宋体"/>
          <w:color w:val="auto"/>
          <w:spacing w:val="12"/>
          <w:sz w:val="21"/>
          <w:szCs w:val="21"/>
          <w:highlight w:val="none"/>
          <w:lang w:eastAsia="zh-CN"/>
        </w:rPr>
        <w:t>乙方</w:t>
      </w:r>
      <w:r>
        <w:rPr>
          <w:rFonts w:hint="eastAsia" w:ascii="宋体" w:hAnsi="宋体" w:eastAsia="宋体" w:cs="宋体"/>
          <w:color w:val="auto"/>
          <w:spacing w:val="12"/>
          <w:sz w:val="21"/>
          <w:szCs w:val="21"/>
          <w:highlight w:val="none"/>
        </w:rPr>
        <w:t>应每月定期到配电房或箱变了解电缆负荷情况，并作记录。（6）路灯杆内电缆接头应符合</w:t>
      </w:r>
      <w:r>
        <w:rPr>
          <w:rFonts w:hint="eastAsia" w:ascii="宋体" w:hAnsi="宋体" w:eastAsia="宋体" w:cs="宋体"/>
          <w:color w:val="auto"/>
          <w:spacing w:val="12"/>
          <w:sz w:val="21"/>
          <w:szCs w:val="21"/>
          <w:highlight w:val="none"/>
          <w:lang w:eastAsia="zh-CN"/>
        </w:rPr>
        <w:t>甲方</w:t>
      </w:r>
      <w:r>
        <w:rPr>
          <w:rFonts w:hint="eastAsia" w:ascii="宋体" w:hAnsi="宋体" w:eastAsia="宋体" w:cs="宋体"/>
          <w:color w:val="auto"/>
          <w:spacing w:val="12"/>
          <w:sz w:val="21"/>
          <w:szCs w:val="21"/>
          <w:highlight w:val="none"/>
        </w:rPr>
        <w:t>的接头制作方式，并外套绝缘胶套。（7）路灯电缆故障修复需破路或顶管时（由</w:t>
      </w:r>
      <w:r>
        <w:rPr>
          <w:rFonts w:hint="eastAsia" w:ascii="宋体" w:hAnsi="宋体" w:eastAsia="宋体" w:cs="宋体"/>
          <w:color w:val="auto"/>
          <w:spacing w:val="12"/>
          <w:sz w:val="21"/>
          <w:szCs w:val="21"/>
          <w:highlight w:val="none"/>
          <w:lang w:eastAsia="zh-CN"/>
        </w:rPr>
        <w:t>甲方</w:t>
      </w:r>
      <w:r>
        <w:rPr>
          <w:rFonts w:hint="eastAsia" w:ascii="宋体" w:hAnsi="宋体" w:eastAsia="宋体" w:cs="宋体"/>
          <w:color w:val="auto"/>
          <w:spacing w:val="12"/>
          <w:sz w:val="21"/>
          <w:szCs w:val="21"/>
          <w:highlight w:val="none"/>
        </w:rPr>
        <w:t>现场核定），破路费用以及产生的绿化恢复、人行道及路面修复等引起的所有费用涵盖在</w:t>
      </w:r>
      <w:r>
        <w:rPr>
          <w:rFonts w:hint="eastAsia" w:ascii="宋体" w:hAnsi="宋体" w:eastAsia="宋体" w:cs="宋体"/>
          <w:color w:val="auto"/>
          <w:spacing w:val="12"/>
          <w:sz w:val="21"/>
          <w:szCs w:val="21"/>
          <w:highlight w:val="none"/>
          <w:lang w:eastAsia="zh-CN"/>
        </w:rPr>
        <w:t>此采购服务</w:t>
      </w:r>
      <w:r>
        <w:rPr>
          <w:rFonts w:hint="eastAsia" w:ascii="宋体" w:hAnsi="宋体" w:eastAsia="宋体" w:cs="宋体"/>
          <w:color w:val="auto"/>
          <w:spacing w:val="12"/>
          <w:sz w:val="21"/>
          <w:szCs w:val="21"/>
          <w:highlight w:val="none"/>
        </w:rPr>
        <w:t>照明设施管养费用中，由</w:t>
      </w:r>
      <w:r>
        <w:rPr>
          <w:rFonts w:hint="eastAsia" w:ascii="宋体" w:hAnsi="宋体" w:eastAsia="宋体" w:cs="宋体"/>
          <w:color w:val="auto"/>
          <w:spacing w:val="12"/>
          <w:sz w:val="21"/>
          <w:szCs w:val="21"/>
          <w:highlight w:val="none"/>
          <w:lang w:eastAsia="zh-CN"/>
        </w:rPr>
        <w:t>乙方</w:t>
      </w:r>
      <w:r>
        <w:rPr>
          <w:rFonts w:hint="eastAsia" w:ascii="宋体" w:hAnsi="宋体" w:eastAsia="宋体" w:cs="宋体"/>
          <w:color w:val="auto"/>
          <w:spacing w:val="12"/>
          <w:sz w:val="21"/>
          <w:szCs w:val="21"/>
          <w:highlight w:val="none"/>
        </w:rPr>
        <w:t>自行负责，不</w:t>
      </w:r>
      <w:r>
        <w:rPr>
          <w:rFonts w:hint="eastAsia" w:ascii="宋体" w:hAnsi="宋体" w:eastAsia="宋体" w:cs="宋体"/>
          <w:color w:val="auto"/>
          <w:spacing w:val="12"/>
          <w:sz w:val="21"/>
          <w:szCs w:val="21"/>
          <w:highlight w:val="none"/>
          <w:lang w:eastAsia="zh-CN"/>
        </w:rPr>
        <w:t>另行结算</w:t>
      </w:r>
      <w:r>
        <w:rPr>
          <w:rFonts w:hint="eastAsia" w:ascii="宋体" w:hAnsi="宋体" w:eastAsia="宋体" w:cs="宋体"/>
          <w:color w:val="auto"/>
          <w:spacing w:val="12"/>
          <w:sz w:val="21"/>
          <w:szCs w:val="21"/>
          <w:highlight w:val="none"/>
        </w:rPr>
        <w:t>，</w:t>
      </w:r>
      <w:r>
        <w:rPr>
          <w:rFonts w:hint="eastAsia" w:ascii="宋体" w:hAnsi="宋体"/>
          <w:color w:val="auto"/>
          <w:szCs w:val="21"/>
          <w:highlight w:val="none"/>
        </w:rPr>
        <w:t>顶管工作</w:t>
      </w:r>
      <w:r>
        <w:rPr>
          <w:rFonts w:hint="eastAsia" w:ascii="宋体" w:hAnsi="宋体"/>
          <w:color w:val="auto"/>
          <w:szCs w:val="21"/>
          <w:highlight w:val="none"/>
          <w:lang w:eastAsia="zh-CN"/>
        </w:rPr>
        <w:t>经甲方</w:t>
      </w:r>
      <w:r>
        <w:rPr>
          <w:rFonts w:hint="eastAsia" w:ascii="宋体" w:hAnsi="宋体"/>
          <w:color w:val="auto"/>
          <w:szCs w:val="21"/>
          <w:highlight w:val="none"/>
        </w:rPr>
        <w:t>现场研判</w:t>
      </w:r>
      <w:r>
        <w:rPr>
          <w:rFonts w:hint="eastAsia" w:ascii="宋体" w:hAnsi="宋体"/>
          <w:color w:val="auto"/>
          <w:szCs w:val="21"/>
          <w:highlight w:val="none"/>
          <w:lang w:eastAsia="zh-CN"/>
        </w:rPr>
        <w:t>确认需要</w:t>
      </w:r>
      <w:r>
        <w:rPr>
          <w:rFonts w:hint="eastAsia" w:ascii="宋体" w:hAnsi="宋体"/>
          <w:color w:val="auto"/>
          <w:szCs w:val="21"/>
          <w:highlight w:val="none"/>
        </w:rPr>
        <w:t>实施</w:t>
      </w:r>
      <w:r>
        <w:rPr>
          <w:rFonts w:hint="eastAsia" w:ascii="宋体" w:hAnsi="宋体"/>
          <w:color w:val="auto"/>
          <w:szCs w:val="21"/>
          <w:highlight w:val="none"/>
          <w:lang w:eastAsia="zh-CN"/>
        </w:rPr>
        <w:t>的</w:t>
      </w:r>
      <w:r>
        <w:rPr>
          <w:rFonts w:hint="eastAsia" w:ascii="宋体" w:hAnsi="宋体"/>
          <w:color w:val="auto"/>
          <w:szCs w:val="21"/>
          <w:highlight w:val="none"/>
        </w:rPr>
        <w:t>，费用</w:t>
      </w:r>
      <w:r>
        <w:rPr>
          <w:rFonts w:hint="eastAsia" w:ascii="宋体" w:hAnsi="宋体"/>
          <w:color w:val="auto"/>
          <w:szCs w:val="21"/>
          <w:highlight w:val="none"/>
          <w:lang w:eastAsia="zh-CN"/>
        </w:rPr>
        <w:t>由乙方先行垫付，最终费用以甲方审核确认的金额为准另行结算，未经甲方审核确认乙方不得自行主张任何费用</w:t>
      </w:r>
      <w:r>
        <w:rPr>
          <w:rFonts w:hint="eastAsia" w:ascii="宋体" w:hAnsi="宋体"/>
          <w:color w:val="auto"/>
          <w:szCs w:val="21"/>
          <w:highlight w:val="none"/>
        </w:rPr>
        <w:t>。</w:t>
      </w:r>
      <w:bookmarkEnd w:id="161"/>
    </w:p>
    <w:bookmarkEnd w:id="159"/>
    <w:p w14:paraId="32C81C50">
      <w:pPr>
        <w:keepNext w:val="0"/>
        <w:keepLines w:val="0"/>
        <w:pageBreakBefore w:val="0"/>
        <w:widowControl w:val="0"/>
        <w:kinsoku/>
        <w:wordWrap/>
        <w:overflowPunct/>
        <w:topLinePunct w:val="0"/>
        <w:autoSpaceDE/>
        <w:autoSpaceDN/>
        <w:bidi w:val="0"/>
        <w:adjustRightInd/>
        <w:spacing w:before="154" w:line="360" w:lineRule="auto"/>
        <w:ind w:left="2" w:right="2" w:firstLine="437"/>
        <w:jc w:val="both"/>
        <w:textAlignment w:val="auto"/>
        <w:rPr>
          <w:rFonts w:hint="eastAsia" w:ascii="宋体" w:hAnsi="宋体" w:eastAsia="宋体" w:cs="宋体"/>
          <w:color w:val="auto"/>
          <w:spacing w:val="12"/>
          <w:sz w:val="21"/>
          <w:szCs w:val="21"/>
          <w:highlight w:val="none"/>
        </w:rPr>
      </w:pPr>
      <w:r>
        <w:rPr>
          <w:rFonts w:hint="eastAsia" w:ascii="宋体" w:hAnsi="宋体" w:eastAsia="宋体" w:cs="宋体"/>
          <w:color w:val="auto"/>
          <w:spacing w:val="12"/>
          <w:sz w:val="21"/>
          <w:szCs w:val="21"/>
          <w:highlight w:val="none"/>
        </w:rPr>
        <w:t>5、照明设施维护：</w:t>
      </w:r>
      <w:r>
        <w:rPr>
          <w:rFonts w:hint="eastAsia" w:ascii="宋体" w:hAnsi="宋体" w:eastAsia="宋体" w:cs="宋体"/>
          <w:color w:val="auto"/>
          <w:spacing w:val="12"/>
          <w:sz w:val="21"/>
          <w:szCs w:val="21"/>
          <w:highlight w:val="none"/>
          <w:lang w:eastAsia="zh-CN"/>
        </w:rPr>
        <w:t>乙方</w:t>
      </w:r>
      <w:r>
        <w:rPr>
          <w:rFonts w:hint="eastAsia" w:ascii="宋体" w:hAnsi="宋体" w:eastAsia="宋体" w:cs="宋体"/>
          <w:color w:val="auto"/>
          <w:spacing w:val="12"/>
          <w:sz w:val="21"/>
          <w:szCs w:val="21"/>
          <w:highlight w:val="none"/>
        </w:rPr>
        <w:t>负责照明设施的运行及安全工作,合同期内由照明设施引发的一切安全</w:t>
      </w:r>
      <w:r>
        <w:rPr>
          <w:rFonts w:hint="eastAsia" w:ascii="宋体" w:hAnsi="宋体" w:eastAsia="宋体" w:cs="宋体"/>
          <w:color w:val="auto"/>
          <w:spacing w:val="12"/>
          <w:sz w:val="21"/>
          <w:szCs w:val="21"/>
          <w:highlight w:val="none"/>
        </w:rPr>
        <w:t>事故由</w:t>
      </w:r>
      <w:r>
        <w:rPr>
          <w:rFonts w:hint="eastAsia" w:ascii="宋体" w:hAnsi="宋体" w:cs="宋体"/>
          <w:color w:val="auto"/>
          <w:spacing w:val="9"/>
          <w:sz w:val="21"/>
          <w:szCs w:val="21"/>
          <w:highlight w:val="none"/>
          <w:lang w:eastAsia="zh-CN"/>
        </w:rPr>
        <w:t>乙方</w:t>
      </w:r>
      <w:r>
        <w:rPr>
          <w:rFonts w:hint="eastAsia" w:ascii="宋体" w:hAnsi="宋体" w:eastAsia="宋体" w:cs="宋体"/>
          <w:color w:val="auto"/>
          <w:spacing w:val="12"/>
          <w:sz w:val="21"/>
          <w:szCs w:val="21"/>
          <w:highlight w:val="none"/>
        </w:rPr>
        <w:t>负责。不得私自安装未经</w:t>
      </w:r>
      <w:r>
        <w:rPr>
          <w:rFonts w:hint="eastAsia" w:ascii="宋体" w:hAnsi="宋体" w:eastAsia="宋体" w:cs="宋体"/>
          <w:color w:val="auto"/>
          <w:spacing w:val="12"/>
          <w:sz w:val="21"/>
          <w:szCs w:val="21"/>
          <w:highlight w:val="none"/>
          <w:lang w:eastAsia="zh-CN"/>
        </w:rPr>
        <w:t>甲方</w:t>
      </w:r>
      <w:r>
        <w:rPr>
          <w:rFonts w:hint="eastAsia" w:ascii="宋体" w:hAnsi="宋体" w:eastAsia="宋体" w:cs="宋体"/>
          <w:color w:val="auto"/>
          <w:spacing w:val="12"/>
          <w:sz w:val="21"/>
          <w:szCs w:val="21"/>
          <w:highlight w:val="none"/>
        </w:rPr>
        <w:t>批准的任何防盗设施，对照明设施的维护必须符合国家相关规范要求。</w:t>
      </w:r>
    </w:p>
    <w:p w14:paraId="5DA2FEFF">
      <w:pPr>
        <w:keepNext w:val="0"/>
        <w:keepLines w:val="0"/>
        <w:pageBreakBefore w:val="0"/>
        <w:widowControl w:val="0"/>
        <w:kinsoku/>
        <w:wordWrap/>
        <w:overflowPunct/>
        <w:topLinePunct w:val="0"/>
        <w:autoSpaceDE/>
        <w:autoSpaceDN/>
        <w:bidi w:val="0"/>
        <w:adjustRightInd/>
        <w:spacing w:before="154" w:line="360" w:lineRule="auto"/>
        <w:ind w:left="2" w:right="2" w:firstLine="437"/>
        <w:jc w:val="both"/>
        <w:textAlignment w:val="auto"/>
        <w:rPr>
          <w:rFonts w:hint="eastAsia" w:ascii="宋体" w:hAnsi="宋体" w:eastAsia="宋体" w:cs="宋体"/>
          <w:color w:val="auto"/>
          <w:spacing w:val="12"/>
          <w:sz w:val="21"/>
          <w:szCs w:val="21"/>
          <w:highlight w:val="none"/>
        </w:rPr>
      </w:pPr>
      <w:r>
        <w:rPr>
          <w:rFonts w:hint="eastAsia" w:ascii="宋体" w:hAnsi="宋体" w:eastAsia="宋体" w:cs="宋体"/>
          <w:color w:val="auto"/>
          <w:spacing w:val="12"/>
          <w:sz w:val="21"/>
          <w:szCs w:val="21"/>
          <w:highlight w:val="none"/>
        </w:rPr>
        <w:t>6、被盗和人为破坏的照明设施以及亮化设施的日常维修必须满足数字化城管处置要求。</w:t>
      </w:r>
    </w:p>
    <w:p w14:paraId="4943F659">
      <w:pPr>
        <w:keepNext w:val="0"/>
        <w:keepLines w:val="0"/>
        <w:pageBreakBefore w:val="0"/>
        <w:widowControl w:val="0"/>
        <w:kinsoku/>
        <w:wordWrap/>
        <w:overflowPunct/>
        <w:topLinePunct w:val="0"/>
        <w:autoSpaceDE/>
        <w:autoSpaceDN/>
        <w:bidi w:val="0"/>
        <w:adjustRightInd/>
        <w:spacing w:before="154" w:line="360" w:lineRule="auto"/>
        <w:ind w:right="66" w:firstLine="420"/>
        <w:jc w:val="both"/>
        <w:textAlignment w:val="auto"/>
        <w:rPr>
          <w:rFonts w:hint="eastAsia" w:ascii="宋体" w:hAnsi="宋体" w:eastAsia="宋体" w:cs="宋体"/>
          <w:color w:val="auto"/>
          <w:spacing w:val="12"/>
          <w:sz w:val="21"/>
          <w:szCs w:val="21"/>
          <w:highlight w:val="none"/>
        </w:rPr>
      </w:pPr>
      <w:r>
        <w:rPr>
          <w:rFonts w:hint="eastAsia" w:ascii="宋体" w:hAnsi="宋体" w:eastAsia="宋体" w:cs="宋体"/>
          <w:color w:val="auto"/>
          <w:spacing w:val="12"/>
          <w:sz w:val="21"/>
          <w:szCs w:val="21"/>
          <w:highlight w:val="none"/>
        </w:rPr>
        <w:t>7、在合同期内，</w:t>
      </w:r>
      <w:r>
        <w:rPr>
          <w:rFonts w:hint="eastAsia" w:ascii="宋体" w:hAnsi="宋体" w:eastAsia="宋体" w:cs="宋体"/>
          <w:color w:val="auto"/>
          <w:spacing w:val="12"/>
          <w:sz w:val="21"/>
          <w:szCs w:val="21"/>
          <w:highlight w:val="none"/>
          <w:lang w:eastAsia="zh-CN"/>
        </w:rPr>
        <w:t>乙方</w:t>
      </w:r>
      <w:r>
        <w:rPr>
          <w:rFonts w:hint="eastAsia" w:ascii="宋体" w:hAnsi="宋体" w:eastAsia="宋体" w:cs="宋体"/>
          <w:color w:val="auto"/>
          <w:spacing w:val="12"/>
          <w:sz w:val="21"/>
          <w:szCs w:val="21"/>
          <w:highlight w:val="none"/>
        </w:rPr>
        <w:t>因各种原因，造成第三方的损失或经济损失，由</w:t>
      </w:r>
      <w:r>
        <w:rPr>
          <w:rFonts w:hint="eastAsia" w:ascii="宋体" w:hAnsi="宋体" w:eastAsia="宋体" w:cs="宋体"/>
          <w:color w:val="auto"/>
          <w:spacing w:val="12"/>
          <w:sz w:val="21"/>
          <w:szCs w:val="21"/>
          <w:highlight w:val="none"/>
          <w:lang w:eastAsia="zh-CN"/>
        </w:rPr>
        <w:t>乙方</w:t>
      </w:r>
      <w:r>
        <w:rPr>
          <w:rFonts w:hint="eastAsia" w:ascii="宋体" w:hAnsi="宋体" w:eastAsia="宋体" w:cs="宋体"/>
          <w:color w:val="auto"/>
          <w:spacing w:val="12"/>
          <w:sz w:val="21"/>
          <w:szCs w:val="21"/>
          <w:highlight w:val="none"/>
        </w:rPr>
        <w:t>独自承担其法律和经济责任，与</w:t>
      </w:r>
      <w:r>
        <w:rPr>
          <w:rFonts w:hint="eastAsia" w:ascii="宋体" w:hAnsi="宋体" w:eastAsia="宋体" w:cs="宋体"/>
          <w:color w:val="auto"/>
          <w:spacing w:val="12"/>
          <w:sz w:val="21"/>
          <w:szCs w:val="21"/>
          <w:highlight w:val="none"/>
          <w:lang w:eastAsia="zh-CN"/>
        </w:rPr>
        <w:t>甲方</w:t>
      </w:r>
      <w:r>
        <w:rPr>
          <w:rFonts w:hint="eastAsia" w:ascii="宋体" w:hAnsi="宋体" w:eastAsia="宋体" w:cs="宋体"/>
          <w:color w:val="auto"/>
          <w:spacing w:val="12"/>
          <w:sz w:val="21"/>
          <w:szCs w:val="21"/>
          <w:highlight w:val="none"/>
        </w:rPr>
        <w:t>无关。</w:t>
      </w:r>
    </w:p>
    <w:p w14:paraId="0A63FF42">
      <w:pPr>
        <w:keepNext w:val="0"/>
        <w:keepLines w:val="0"/>
        <w:pageBreakBefore w:val="0"/>
        <w:widowControl w:val="0"/>
        <w:kinsoku/>
        <w:wordWrap/>
        <w:overflowPunct/>
        <w:topLinePunct w:val="0"/>
        <w:autoSpaceDE/>
        <w:autoSpaceDN/>
        <w:bidi w:val="0"/>
        <w:adjustRightInd/>
        <w:spacing w:before="154" w:line="360" w:lineRule="auto"/>
        <w:ind w:left="2" w:right="2" w:firstLine="437"/>
        <w:jc w:val="both"/>
        <w:textAlignment w:val="auto"/>
        <w:rPr>
          <w:rFonts w:hint="eastAsia" w:ascii="宋体" w:hAnsi="宋体" w:eastAsia="宋体" w:cs="宋体"/>
          <w:color w:val="auto"/>
          <w:spacing w:val="12"/>
          <w:sz w:val="21"/>
          <w:szCs w:val="21"/>
          <w:highlight w:val="none"/>
        </w:rPr>
      </w:pPr>
      <w:r>
        <w:rPr>
          <w:rFonts w:hint="eastAsia" w:ascii="宋体" w:hAnsi="宋体" w:eastAsia="宋体" w:cs="宋体"/>
          <w:color w:val="auto"/>
          <w:spacing w:val="12"/>
          <w:sz w:val="21"/>
          <w:szCs w:val="21"/>
          <w:highlight w:val="none"/>
        </w:rPr>
        <w:t>8、实施过程中</w:t>
      </w:r>
      <w:r>
        <w:rPr>
          <w:rFonts w:hint="eastAsia" w:ascii="宋体" w:hAnsi="宋体" w:eastAsia="宋体" w:cs="宋体"/>
          <w:color w:val="auto"/>
          <w:spacing w:val="12"/>
          <w:sz w:val="21"/>
          <w:szCs w:val="21"/>
          <w:highlight w:val="none"/>
          <w:lang w:eastAsia="zh-CN"/>
        </w:rPr>
        <w:t>乙方</w:t>
      </w:r>
      <w:r>
        <w:rPr>
          <w:rFonts w:hint="eastAsia" w:ascii="宋体" w:hAnsi="宋体" w:eastAsia="宋体" w:cs="宋体"/>
          <w:color w:val="auto"/>
          <w:spacing w:val="12"/>
          <w:sz w:val="21"/>
          <w:szCs w:val="21"/>
          <w:highlight w:val="none"/>
        </w:rPr>
        <w:t>必须根据中标合同中的各项条款，履行各项职责。服务</w:t>
      </w:r>
      <w:r>
        <w:rPr>
          <w:rFonts w:hint="eastAsia" w:ascii="宋体" w:hAnsi="宋体" w:eastAsia="宋体" w:cs="宋体"/>
          <w:color w:val="auto"/>
          <w:spacing w:val="12"/>
          <w:sz w:val="21"/>
          <w:szCs w:val="21"/>
          <w:highlight w:val="none"/>
          <w:lang w:eastAsia="zh-CN"/>
        </w:rPr>
        <w:t>乙方</w:t>
      </w:r>
      <w:r>
        <w:rPr>
          <w:rFonts w:hint="eastAsia" w:ascii="宋体" w:hAnsi="宋体" w:eastAsia="宋体" w:cs="宋体"/>
          <w:color w:val="auto"/>
          <w:spacing w:val="12"/>
          <w:sz w:val="21"/>
          <w:szCs w:val="21"/>
          <w:highlight w:val="none"/>
        </w:rPr>
        <w:t>应做好巡查维</w:t>
      </w:r>
      <w:r>
        <w:rPr>
          <w:rFonts w:hint="eastAsia" w:ascii="宋体" w:hAnsi="宋体" w:eastAsia="宋体" w:cs="宋体"/>
          <w:color w:val="auto"/>
          <w:spacing w:val="12"/>
          <w:sz w:val="21"/>
          <w:szCs w:val="21"/>
          <w:highlight w:val="none"/>
        </w:rPr>
        <w:t>修计划、维修材料更换记录表、日常维护计划、保养记录的统计汇总，每月25日上报。如发现</w:t>
      </w:r>
      <w:r>
        <w:rPr>
          <w:rFonts w:hint="eastAsia" w:ascii="宋体" w:hAnsi="宋体" w:cs="宋体"/>
          <w:color w:val="auto"/>
          <w:spacing w:val="9"/>
          <w:sz w:val="21"/>
          <w:szCs w:val="21"/>
          <w:highlight w:val="none"/>
          <w:lang w:eastAsia="zh-CN"/>
        </w:rPr>
        <w:t>乙方</w:t>
      </w:r>
      <w:r>
        <w:rPr>
          <w:rFonts w:hint="eastAsia" w:ascii="宋体" w:hAnsi="宋体" w:eastAsia="宋体" w:cs="宋体"/>
          <w:color w:val="auto"/>
          <w:spacing w:val="12"/>
          <w:sz w:val="21"/>
          <w:szCs w:val="21"/>
          <w:highlight w:val="none"/>
        </w:rPr>
        <w:t>组织措施不当、计划不落实、管理不严、实施方案中所列人员、机械设备（工具）与现场实际不符，导致维护质量达不到标准的，</w:t>
      </w:r>
      <w:r>
        <w:rPr>
          <w:rFonts w:hint="eastAsia" w:ascii="宋体" w:hAnsi="宋体" w:eastAsia="宋体" w:cs="宋体"/>
          <w:color w:val="auto"/>
          <w:spacing w:val="12"/>
          <w:sz w:val="21"/>
          <w:szCs w:val="21"/>
          <w:highlight w:val="none"/>
          <w:lang w:eastAsia="zh-CN"/>
        </w:rPr>
        <w:t>甲方</w:t>
      </w:r>
      <w:r>
        <w:rPr>
          <w:rFonts w:hint="eastAsia" w:ascii="宋体" w:hAnsi="宋体" w:eastAsia="宋体" w:cs="宋体"/>
          <w:color w:val="auto"/>
          <w:spacing w:val="12"/>
          <w:sz w:val="21"/>
          <w:szCs w:val="21"/>
          <w:highlight w:val="none"/>
        </w:rPr>
        <w:t>有权单方面终止合同。如延迟上报巡查计划、记录资料，按</w:t>
      </w:r>
      <w:r>
        <w:rPr>
          <w:rFonts w:hint="eastAsia" w:ascii="宋体" w:hAnsi="宋体"/>
          <w:color w:val="auto"/>
          <w:szCs w:val="21"/>
          <w:highlight w:val="none"/>
          <w:lang w:eastAsia="zh-CN"/>
        </w:rPr>
        <w:t>《防城港市市管城市照明设施维修养护服务项目考核办法》</w:t>
      </w:r>
      <w:r>
        <w:rPr>
          <w:rFonts w:hint="eastAsia" w:ascii="宋体" w:hAnsi="宋体" w:eastAsia="宋体" w:cs="宋体"/>
          <w:color w:val="auto"/>
          <w:spacing w:val="12"/>
          <w:sz w:val="21"/>
          <w:szCs w:val="21"/>
          <w:highlight w:val="none"/>
        </w:rPr>
        <w:t>给予扣分。</w:t>
      </w:r>
    </w:p>
    <w:p w14:paraId="7D83FF87">
      <w:pPr>
        <w:keepNext w:val="0"/>
        <w:keepLines w:val="0"/>
        <w:pageBreakBefore w:val="0"/>
        <w:widowControl w:val="0"/>
        <w:kinsoku/>
        <w:wordWrap/>
        <w:overflowPunct/>
        <w:topLinePunct w:val="0"/>
        <w:autoSpaceDE/>
        <w:autoSpaceDN/>
        <w:bidi w:val="0"/>
        <w:adjustRightInd/>
        <w:spacing w:before="154" w:line="360" w:lineRule="auto"/>
        <w:ind w:left="2" w:right="2" w:firstLine="437"/>
        <w:jc w:val="both"/>
        <w:textAlignment w:val="auto"/>
        <w:rPr>
          <w:rFonts w:hint="eastAsia" w:ascii="宋体" w:hAnsi="宋体" w:eastAsia="宋体" w:cs="宋体"/>
          <w:color w:val="auto"/>
          <w:spacing w:val="8"/>
          <w:sz w:val="21"/>
          <w:szCs w:val="21"/>
          <w:highlight w:val="none"/>
        </w:rPr>
      </w:pPr>
      <w:r>
        <w:rPr>
          <w:rFonts w:hint="eastAsia" w:ascii="宋体" w:hAnsi="宋体" w:eastAsia="宋体" w:cs="宋体"/>
          <w:color w:val="auto"/>
          <w:spacing w:val="12"/>
          <w:sz w:val="21"/>
          <w:szCs w:val="21"/>
          <w:highlight w:val="none"/>
        </w:rPr>
        <w:t>9、</w:t>
      </w:r>
      <w:r>
        <w:rPr>
          <w:rFonts w:hint="eastAsia" w:ascii="宋体" w:hAnsi="宋体" w:eastAsia="宋体" w:cs="宋体"/>
          <w:color w:val="auto"/>
          <w:spacing w:val="12"/>
          <w:sz w:val="21"/>
          <w:szCs w:val="21"/>
          <w:highlight w:val="none"/>
          <w:lang w:eastAsia="zh-CN"/>
        </w:rPr>
        <w:t>乙方</w:t>
      </w:r>
      <w:r>
        <w:rPr>
          <w:rFonts w:hint="eastAsia" w:ascii="宋体" w:hAnsi="宋体" w:eastAsia="宋体" w:cs="宋体"/>
          <w:color w:val="auto"/>
          <w:spacing w:val="12"/>
          <w:sz w:val="21"/>
          <w:szCs w:val="21"/>
          <w:highlight w:val="none"/>
        </w:rPr>
        <w:t>必须积极响应并接受监督检查，若受到投诉、媒体曝光，经调查认定情况属实，且因</w:t>
      </w:r>
      <w:r>
        <w:rPr>
          <w:rFonts w:hint="eastAsia" w:ascii="宋体" w:hAnsi="宋体" w:cs="宋体"/>
          <w:color w:val="auto"/>
          <w:spacing w:val="9"/>
          <w:sz w:val="21"/>
          <w:szCs w:val="21"/>
          <w:highlight w:val="none"/>
          <w:lang w:eastAsia="zh-CN"/>
        </w:rPr>
        <w:t>乙方</w:t>
      </w:r>
      <w:r>
        <w:rPr>
          <w:rFonts w:hint="eastAsia" w:ascii="宋体" w:hAnsi="宋体" w:eastAsia="宋体" w:cs="宋体"/>
          <w:color w:val="auto"/>
          <w:spacing w:val="12"/>
          <w:sz w:val="21"/>
          <w:szCs w:val="21"/>
          <w:highlight w:val="none"/>
        </w:rPr>
        <w:t>维护不到位的，根据</w:t>
      </w:r>
      <w:r>
        <w:rPr>
          <w:rFonts w:hint="eastAsia" w:ascii="宋体" w:hAnsi="宋体"/>
          <w:color w:val="auto"/>
          <w:szCs w:val="21"/>
          <w:highlight w:val="none"/>
          <w:lang w:eastAsia="zh-CN"/>
        </w:rPr>
        <w:t>《防城港市市管城市照明设施维修养护服务项目考核办法》</w:t>
      </w:r>
      <w:r>
        <w:rPr>
          <w:rFonts w:hint="eastAsia" w:ascii="宋体" w:hAnsi="宋体" w:eastAsia="宋体" w:cs="宋体"/>
          <w:color w:val="auto"/>
          <w:spacing w:val="12"/>
          <w:sz w:val="21"/>
          <w:szCs w:val="21"/>
          <w:highlight w:val="none"/>
        </w:rPr>
        <w:t>进行相应的扣分，视情节轻重予按考核细则给予扣分；造成恶劣影响的，</w:t>
      </w:r>
      <w:r>
        <w:rPr>
          <w:rFonts w:hint="eastAsia" w:ascii="宋体" w:hAnsi="宋体" w:eastAsia="宋体" w:cs="宋体"/>
          <w:color w:val="auto"/>
          <w:spacing w:val="12"/>
          <w:sz w:val="21"/>
          <w:szCs w:val="21"/>
          <w:highlight w:val="none"/>
          <w:lang w:eastAsia="zh-CN"/>
        </w:rPr>
        <w:t>甲方</w:t>
      </w:r>
      <w:r>
        <w:rPr>
          <w:rFonts w:hint="eastAsia" w:ascii="宋体" w:hAnsi="宋体" w:eastAsia="宋体" w:cs="宋体"/>
          <w:color w:val="auto"/>
          <w:spacing w:val="12"/>
          <w:sz w:val="21"/>
          <w:szCs w:val="21"/>
          <w:highlight w:val="none"/>
        </w:rPr>
        <w:t>有权单方面</w:t>
      </w:r>
      <w:r>
        <w:rPr>
          <w:rFonts w:hint="eastAsia" w:ascii="宋体" w:hAnsi="宋体" w:eastAsia="宋体" w:cs="宋体"/>
          <w:color w:val="auto"/>
          <w:spacing w:val="12"/>
          <w:sz w:val="21"/>
          <w:szCs w:val="21"/>
          <w:highlight w:val="none"/>
        </w:rPr>
        <w:t>终止合同。</w:t>
      </w:r>
    </w:p>
    <w:p w14:paraId="27053BC9">
      <w:pPr>
        <w:keepNext w:val="0"/>
        <w:keepLines w:val="0"/>
        <w:pageBreakBefore w:val="0"/>
        <w:widowControl w:val="0"/>
        <w:kinsoku/>
        <w:wordWrap/>
        <w:overflowPunct/>
        <w:topLinePunct w:val="0"/>
        <w:autoSpaceDE/>
        <w:autoSpaceDN/>
        <w:bidi w:val="0"/>
        <w:adjustRightInd/>
        <w:spacing w:before="154" w:line="360" w:lineRule="auto"/>
        <w:ind w:left="2" w:right="2" w:firstLine="437"/>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10、</w:t>
      </w:r>
      <w:r>
        <w:rPr>
          <w:rFonts w:hint="eastAsia" w:ascii="宋体" w:hAnsi="宋体" w:eastAsia="宋体" w:cs="宋体"/>
          <w:color w:val="auto"/>
          <w:spacing w:val="12"/>
          <w:sz w:val="21"/>
          <w:szCs w:val="21"/>
          <w:highlight w:val="none"/>
          <w:lang w:eastAsia="zh-CN"/>
        </w:rPr>
        <w:t>乙方</w:t>
      </w:r>
      <w:r>
        <w:rPr>
          <w:rFonts w:hint="eastAsia" w:ascii="宋体" w:hAnsi="宋体" w:eastAsia="宋体" w:cs="宋体"/>
          <w:color w:val="auto"/>
          <w:spacing w:val="8"/>
          <w:sz w:val="21"/>
          <w:szCs w:val="21"/>
          <w:highlight w:val="none"/>
        </w:rPr>
        <w:t>应设立关、亮灯巡灯、节假日或重大活动值班及故障紧急抢修制度，发现问题要上报</w:t>
      </w:r>
      <w:r>
        <w:rPr>
          <w:rFonts w:hint="eastAsia" w:ascii="宋体" w:hAnsi="宋体" w:eastAsia="宋体" w:cs="宋体"/>
          <w:color w:val="auto"/>
          <w:spacing w:val="8"/>
          <w:sz w:val="21"/>
          <w:szCs w:val="21"/>
          <w:highlight w:val="none"/>
          <w:lang w:eastAsia="zh-CN"/>
        </w:rPr>
        <w:t>甲方</w:t>
      </w:r>
      <w:r>
        <w:rPr>
          <w:rFonts w:hint="eastAsia" w:ascii="宋体" w:hAnsi="宋体" w:eastAsia="宋体" w:cs="宋体"/>
          <w:color w:val="auto"/>
          <w:spacing w:val="9"/>
          <w:sz w:val="21"/>
          <w:szCs w:val="21"/>
          <w:highlight w:val="none"/>
        </w:rPr>
        <w:t>并及时记录和检修。每遇节假日或重大活动，</w:t>
      </w:r>
      <w:r>
        <w:rPr>
          <w:rFonts w:hint="eastAsia" w:ascii="宋体" w:hAnsi="宋体" w:eastAsia="宋体" w:cs="宋体"/>
          <w:color w:val="auto"/>
          <w:spacing w:val="12"/>
          <w:sz w:val="21"/>
          <w:szCs w:val="21"/>
          <w:highlight w:val="none"/>
          <w:lang w:eastAsia="zh-CN"/>
        </w:rPr>
        <w:t>乙方</w:t>
      </w:r>
      <w:r>
        <w:rPr>
          <w:rFonts w:hint="eastAsia" w:ascii="宋体" w:hAnsi="宋体" w:eastAsia="宋体" w:cs="宋体"/>
          <w:color w:val="auto"/>
          <w:spacing w:val="9"/>
          <w:sz w:val="21"/>
          <w:szCs w:val="21"/>
          <w:highlight w:val="none"/>
        </w:rPr>
        <w:t>应服从</w:t>
      </w:r>
      <w:r>
        <w:rPr>
          <w:rFonts w:hint="eastAsia" w:ascii="宋体" w:hAnsi="宋体" w:eastAsia="宋体" w:cs="宋体"/>
          <w:color w:val="auto"/>
          <w:spacing w:val="9"/>
          <w:sz w:val="21"/>
          <w:szCs w:val="21"/>
          <w:highlight w:val="none"/>
          <w:lang w:eastAsia="zh-CN"/>
        </w:rPr>
        <w:t>甲方</w:t>
      </w:r>
      <w:r>
        <w:rPr>
          <w:rFonts w:hint="eastAsia" w:ascii="宋体" w:hAnsi="宋体" w:eastAsia="宋体" w:cs="宋体"/>
          <w:color w:val="auto"/>
          <w:spacing w:val="9"/>
          <w:sz w:val="21"/>
          <w:szCs w:val="21"/>
          <w:highlight w:val="none"/>
        </w:rPr>
        <w:t>的安排，根据节假日或</w:t>
      </w:r>
      <w:r>
        <w:rPr>
          <w:rFonts w:hint="eastAsia" w:ascii="宋体" w:hAnsi="宋体" w:eastAsia="宋体" w:cs="宋体"/>
          <w:color w:val="auto"/>
          <w:spacing w:val="8"/>
          <w:sz w:val="21"/>
          <w:szCs w:val="21"/>
          <w:highlight w:val="none"/>
        </w:rPr>
        <w:t>重大活动</w:t>
      </w:r>
      <w:r>
        <w:rPr>
          <w:rFonts w:hint="eastAsia" w:ascii="宋体" w:hAnsi="宋体" w:eastAsia="宋体" w:cs="宋体"/>
          <w:color w:val="auto"/>
          <w:spacing w:val="9"/>
          <w:sz w:val="21"/>
          <w:szCs w:val="21"/>
          <w:highlight w:val="none"/>
        </w:rPr>
        <w:t>的工作要求进行临时开、关灯的调整，并提前进行详细的亮灯情况及设施巡查，保证节假日或</w:t>
      </w:r>
      <w:r>
        <w:rPr>
          <w:rFonts w:hint="eastAsia" w:ascii="宋体" w:hAnsi="宋体" w:eastAsia="宋体" w:cs="宋体"/>
          <w:color w:val="auto"/>
          <w:spacing w:val="8"/>
          <w:sz w:val="21"/>
          <w:szCs w:val="21"/>
          <w:highlight w:val="none"/>
        </w:rPr>
        <w:t>重大活动</w:t>
      </w:r>
      <w:r>
        <w:rPr>
          <w:rFonts w:hint="eastAsia" w:ascii="宋体" w:hAnsi="宋体" w:eastAsia="宋体" w:cs="宋体"/>
          <w:color w:val="auto"/>
          <w:spacing w:val="10"/>
          <w:sz w:val="21"/>
          <w:szCs w:val="21"/>
          <w:highlight w:val="none"/>
        </w:rPr>
        <w:t>期间正常关、亮灯。因各种原因被损坏或被盗的，第一时间处理，原则上在24小时内修复。如没有发</w:t>
      </w:r>
      <w:r>
        <w:rPr>
          <w:rFonts w:hint="eastAsia" w:ascii="宋体" w:hAnsi="宋体" w:eastAsia="宋体" w:cs="宋体"/>
          <w:color w:val="auto"/>
          <w:spacing w:val="9"/>
          <w:sz w:val="21"/>
          <w:szCs w:val="21"/>
          <w:highlight w:val="none"/>
        </w:rPr>
        <w:t>现问题或发现问题不及时由第三方发现</w:t>
      </w:r>
      <w:r>
        <w:rPr>
          <w:rFonts w:hint="eastAsia" w:ascii="宋体" w:hAnsi="宋体" w:eastAsia="宋体" w:cs="宋体"/>
          <w:color w:val="auto"/>
          <w:spacing w:val="9"/>
          <w:sz w:val="21"/>
          <w:szCs w:val="21"/>
          <w:highlight w:val="none"/>
        </w:rPr>
        <w:t>问题的，按</w:t>
      </w:r>
      <w:r>
        <w:rPr>
          <w:rFonts w:hint="eastAsia" w:ascii="宋体" w:hAnsi="宋体"/>
          <w:color w:val="auto"/>
          <w:szCs w:val="21"/>
          <w:highlight w:val="none"/>
          <w:lang w:eastAsia="zh-CN"/>
        </w:rPr>
        <w:t>《防城港市市管城市照明设施维修养护服务项目考核办法》</w:t>
      </w:r>
      <w:r>
        <w:rPr>
          <w:rFonts w:hint="eastAsia" w:ascii="宋体" w:hAnsi="宋体" w:eastAsia="宋体" w:cs="宋体"/>
          <w:color w:val="auto"/>
          <w:spacing w:val="9"/>
          <w:sz w:val="21"/>
          <w:szCs w:val="21"/>
          <w:highlight w:val="none"/>
        </w:rPr>
        <w:t>给予扣分。</w:t>
      </w:r>
    </w:p>
    <w:p w14:paraId="3BEF9078">
      <w:pPr>
        <w:keepNext w:val="0"/>
        <w:keepLines w:val="0"/>
        <w:pageBreakBefore w:val="0"/>
        <w:widowControl w:val="0"/>
        <w:kinsoku/>
        <w:wordWrap/>
        <w:overflowPunct/>
        <w:topLinePunct w:val="0"/>
        <w:autoSpaceDE/>
        <w:autoSpaceDN/>
        <w:bidi w:val="0"/>
        <w:adjustRightInd/>
        <w:spacing w:before="154" w:line="360" w:lineRule="auto"/>
        <w:ind w:left="2" w:right="2" w:firstLine="437"/>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11、其它用电设施如广告、灯饰及其它非用于城市照明设施的用电未经</w:t>
      </w:r>
      <w:r>
        <w:rPr>
          <w:rFonts w:hint="eastAsia" w:ascii="宋体" w:hAnsi="宋体" w:eastAsia="宋体" w:cs="宋体"/>
          <w:color w:val="auto"/>
          <w:spacing w:val="8"/>
          <w:sz w:val="21"/>
          <w:szCs w:val="21"/>
          <w:highlight w:val="none"/>
          <w:lang w:eastAsia="zh-CN"/>
        </w:rPr>
        <w:t>甲方</w:t>
      </w:r>
      <w:r>
        <w:rPr>
          <w:rFonts w:hint="eastAsia" w:ascii="宋体" w:hAnsi="宋体" w:eastAsia="宋体" w:cs="宋体"/>
          <w:color w:val="auto"/>
          <w:spacing w:val="8"/>
          <w:sz w:val="21"/>
          <w:szCs w:val="21"/>
          <w:highlight w:val="none"/>
        </w:rPr>
        <w:t>同意，不得擅自接驳</w:t>
      </w:r>
      <w:r>
        <w:rPr>
          <w:rFonts w:hint="eastAsia" w:ascii="宋体" w:hAnsi="宋体" w:eastAsia="宋体" w:cs="宋体"/>
          <w:color w:val="auto"/>
          <w:spacing w:val="9"/>
          <w:sz w:val="21"/>
          <w:szCs w:val="21"/>
          <w:highlight w:val="none"/>
        </w:rPr>
        <w:t>线路，</w:t>
      </w:r>
      <w:r>
        <w:rPr>
          <w:rFonts w:hint="eastAsia" w:ascii="宋体" w:hAnsi="宋体" w:eastAsia="宋体" w:cs="宋体"/>
          <w:color w:val="auto"/>
          <w:spacing w:val="12"/>
          <w:sz w:val="21"/>
          <w:szCs w:val="21"/>
          <w:highlight w:val="none"/>
          <w:lang w:eastAsia="zh-CN"/>
        </w:rPr>
        <w:t>乙方</w:t>
      </w:r>
      <w:r>
        <w:rPr>
          <w:rFonts w:hint="eastAsia" w:ascii="宋体" w:hAnsi="宋体" w:eastAsia="宋体" w:cs="宋体"/>
          <w:color w:val="auto"/>
          <w:spacing w:val="9"/>
          <w:sz w:val="21"/>
          <w:szCs w:val="21"/>
          <w:highlight w:val="none"/>
        </w:rPr>
        <w:t>需对维护范围内的所有线路进行排查，并及时处理。</w:t>
      </w:r>
      <w:r>
        <w:rPr>
          <w:rFonts w:hint="eastAsia" w:ascii="宋体" w:hAnsi="宋体" w:eastAsia="宋体" w:cs="宋体"/>
          <w:color w:val="auto"/>
          <w:spacing w:val="9"/>
          <w:sz w:val="21"/>
          <w:szCs w:val="21"/>
          <w:highlight w:val="none"/>
          <w:lang w:eastAsia="zh-CN"/>
        </w:rPr>
        <w:t>甲方</w:t>
      </w:r>
      <w:r>
        <w:rPr>
          <w:rFonts w:hint="eastAsia" w:ascii="宋体" w:hAnsi="宋体" w:eastAsia="宋体" w:cs="宋体"/>
          <w:color w:val="auto"/>
          <w:spacing w:val="9"/>
          <w:sz w:val="21"/>
          <w:szCs w:val="21"/>
          <w:highlight w:val="none"/>
        </w:rPr>
        <w:t>将随机抽查，一经发</w:t>
      </w:r>
      <w:r>
        <w:rPr>
          <w:rFonts w:hint="eastAsia" w:ascii="宋体" w:hAnsi="宋体" w:eastAsia="宋体" w:cs="宋体"/>
          <w:color w:val="auto"/>
          <w:spacing w:val="8"/>
          <w:sz w:val="21"/>
          <w:szCs w:val="21"/>
          <w:highlight w:val="none"/>
        </w:rPr>
        <w:t>现，按偷</w:t>
      </w:r>
      <w:r>
        <w:rPr>
          <w:rFonts w:hint="eastAsia" w:ascii="宋体" w:hAnsi="宋体" w:eastAsia="宋体" w:cs="宋体"/>
          <w:color w:val="auto"/>
          <w:spacing w:val="9"/>
          <w:sz w:val="21"/>
          <w:szCs w:val="21"/>
          <w:highlight w:val="none"/>
        </w:rPr>
        <w:t>电处理，并按规定对</w:t>
      </w:r>
      <w:r>
        <w:rPr>
          <w:rFonts w:hint="eastAsia" w:ascii="宋体" w:hAnsi="宋体" w:eastAsia="宋体" w:cs="宋体"/>
          <w:color w:val="auto"/>
          <w:spacing w:val="12"/>
          <w:sz w:val="21"/>
          <w:szCs w:val="21"/>
          <w:highlight w:val="none"/>
          <w:lang w:eastAsia="zh-CN"/>
        </w:rPr>
        <w:t>乙方</w:t>
      </w:r>
      <w:r>
        <w:rPr>
          <w:rFonts w:hint="eastAsia" w:ascii="宋体" w:hAnsi="宋体" w:eastAsia="宋体" w:cs="宋体"/>
          <w:color w:val="auto"/>
          <w:spacing w:val="9"/>
          <w:sz w:val="21"/>
          <w:szCs w:val="21"/>
          <w:highlight w:val="none"/>
        </w:rPr>
        <w:t>予以处理，情况严重者，</w:t>
      </w:r>
      <w:r>
        <w:rPr>
          <w:rFonts w:hint="eastAsia" w:ascii="宋体" w:hAnsi="宋体" w:eastAsia="宋体" w:cs="宋体"/>
          <w:color w:val="auto"/>
          <w:spacing w:val="9"/>
          <w:sz w:val="21"/>
          <w:szCs w:val="21"/>
          <w:highlight w:val="none"/>
          <w:lang w:eastAsia="zh-CN"/>
        </w:rPr>
        <w:t>甲方</w:t>
      </w:r>
      <w:r>
        <w:rPr>
          <w:rFonts w:hint="eastAsia" w:ascii="宋体" w:hAnsi="宋体" w:eastAsia="宋体" w:cs="宋体"/>
          <w:color w:val="auto"/>
          <w:spacing w:val="9"/>
          <w:sz w:val="21"/>
          <w:szCs w:val="21"/>
          <w:highlight w:val="none"/>
        </w:rPr>
        <w:t>有权单方面终止合同。若经</w:t>
      </w:r>
      <w:r>
        <w:rPr>
          <w:rFonts w:hint="eastAsia" w:ascii="宋体" w:hAnsi="宋体" w:eastAsia="宋体" w:cs="宋体"/>
          <w:color w:val="auto"/>
          <w:spacing w:val="8"/>
          <w:sz w:val="21"/>
          <w:szCs w:val="21"/>
          <w:highlight w:val="none"/>
          <w:lang w:eastAsia="zh-CN"/>
        </w:rPr>
        <w:t>甲方</w:t>
      </w:r>
      <w:r>
        <w:rPr>
          <w:rFonts w:hint="eastAsia" w:ascii="宋体" w:hAnsi="宋体" w:eastAsia="宋体" w:cs="宋体"/>
          <w:color w:val="auto"/>
          <w:spacing w:val="8"/>
          <w:sz w:val="21"/>
          <w:szCs w:val="21"/>
          <w:highlight w:val="none"/>
        </w:rPr>
        <w:t>同意接驳的线路，</w:t>
      </w:r>
      <w:r>
        <w:rPr>
          <w:rFonts w:hint="eastAsia" w:ascii="宋体" w:hAnsi="宋体" w:eastAsia="宋体" w:cs="宋体"/>
          <w:color w:val="auto"/>
          <w:spacing w:val="12"/>
          <w:sz w:val="21"/>
          <w:szCs w:val="21"/>
          <w:highlight w:val="none"/>
          <w:lang w:eastAsia="zh-CN"/>
        </w:rPr>
        <w:t>乙方</w:t>
      </w:r>
      <w:r>
        <w:rPr>
          <w:rFonts w:hint="eastAsia" w:ascii="宋体" w:hAnsi="宋体" w:eastAsia="宋体" w:cs="宋体"/>
          <w:color w:val="auto"/>
          <w:spacing w:val="8"/>
          <w:sz w:val="21"/>
          <w:szCs w:val="21"/>
          <w:highlight w:val="none"/>
        </w:rPr>
        <w:t>必须认真配合。</w:t>
      </w:r>
    </w:p>
    <w:p w14:paraId="2A51BCD0">
      <w:pPr>
        <w:keepNext w:val="0"/>
        <w:keepLines w:val="0"/>
        <w:pageBreakBefore w:val="0"/>
        <w:widowControl w:val="0"/>
        <w:kinsoku/>
        <w:wordWrap/>
        <w:overflowPunct/>
        <w:topLinePunct w:val="0"/>
        <w:autoSpaceDE/>
        <w:autoSpaceDN/>
        <w:bidi w:val="0"/>
        <w:adjustRightInd/>
        <w:spacing w:before="154" w:line="360" w:lineRule="auto"/>
        <w:ind w:left="2" w:right="2" w:firstLine="437"/>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12、</w:t>
      </w:r>
      <w:r>
        <w:rPr>
          <w:rFonts w:hint="eastAsia" w:ascii="宋体" w:hAnsi="宋体" w:eastAsia="宋体" w:cs="宋体"/>
          <w:color w:val="auto"/>
          <w:spacing w:val="12"/>
          <w:sz w:val="21"/>
          <w:szCs w:val="21"/>
          <w:highlight w:val="none"/>
          <w:lang w:eastAsia="zh-CN"/>
        </w:rPr>
        <w:t>乙方</w:t>
      </w:r>
      <w:r>
        <w:rPr>
          <w:rFonts w:hint="eastAsia" w:ascii="宋体" w:hAnsi="宋体" w:eastAsia="宋体" w:cs="宋体"/>
          <w:color w:val="auto"/>
          <w:spacing w:val="9"/>
          <w:sz w:val="21"/>
          <w:szCs w:val="21"/>
          <w:highlight w:val="none"/>
        </w:rPr>
        <w:t>对数字化城管案件、12345</w:t>
      </w:r>
      <w:r>
        <w:rPr>
          <w:rFonts w:hint="eastAsia" w:ascii="宋体" w:hAnsi="宋体" w:eastAsia="宋体" w:cs="宋体"/>
          <w:color w:val="auto"/>
          <w:spacing w:val="9"/>
          <w:sz w:val="21"/>
          <w:szCs w:val="21"/>
          <w:highlight w:val="none"/>
          <w:lang w:eastAsia="zh-CN"/>
        </w:rPr>
        <w:t>政务服务便民热线</w:t>
      </w:r>
      <w:r>
        <w:rPr>
          <w:rFonts w:hint="eastAsia" w:ascii="宋体" w:hAnsi="宋体" w:eastAsia="宋体" w:cs="宋体"/>
          <w:color w:val="auto"/>
          <w:spacing w:val="9"/>
          <w:sz w:val="21"/>
          <w:szCs w:val="21"/>
          <w:highlight w:val="none"/>
        </w:rPr>
        <w:t>、市长信箱</w:t>
      </w:r>
      <w:r>
        <w:rPr>
          <w:rFonts w:hint="eastAsia" w:ascii="宋体" w:hAnsi="宋体" w:eastAsia="宋体" w:cs="宋体"/>
          <w:color w:val="auto"/>
          <w:spacing w:val="8"/>
          <w:sz w:val="21"/>
          <w:szCs w:val="21"/>
          <w:highlight w:val="none"/>
        </w:rPr>
        <w:t>及其他投诉案件必须按规定</w:t>
      </w:r>
      <w:r>
        <w:rPr>
          <w:rFonts w:hint="eastAsia" w:ascii="宋体" w:hAnsi="宋体" w:eastAsia="宋体" w:cs="宋体"/>
          <w:color w:val="auto"/>
          <w:spacing w:val="9"/>
          <w:sz w:val="21"/>
          <w:szCs w:val="21"/>
          <w:highlight w:val="none"/>
        </w:rPr>
        <w:t>如期处理，并对处理现场用相机拍照记录存档，包括事前、事中和事后</w:t>
      </w:r>
      <w:r>
        <w:rPr>
          <w:rFonts w:hint="eastAsia" w:ascii="宋体" w:hAnsi="宋体" w:eastAsia="宋体" w:cs="宋体"/>
          <w:color w:val="auto"/>
          <w:spacing w:val="9"/>
          <w:sz w:val="21"/>
          <w:szCs w:val="21"/>
          <w:highlight w:val="none"/>
        </w:rPr>
        <w:t>对比照片。如</w:t>
      </w:r>
      <w:r>
        <w:rPr>
          <w:rFonts w:hint="eastAsia" w:ascii="宋体" w:hAnsi="宋体" w:eastAsia="宋体" w:cs="宋体"/>
          <w:color w:val="auto"/>
          <w:spacing w:val="9"/>
          <w:sz w:val="21"/>
          <w:szCs w:val="21"/>
          <w:highlight w:val="none"/>
        </w:rPr>
        <w:t>有延误，按</w:t>
      </w:r>
      <w:r>
        <w:rPr>
          <w:rFonts w:hint="eastAsia" w:ascii="宋体" w:hAnsi="宋体"/>
          <w:color w:val="auto"/>
          <w:szCs w:val="21"/>
          <w:highlight w:val="none"/>
          <w:lang w:eastAsia="zh-CN"/>
        </w:rPr>
        <w:t>《防城港市市管城市照明设施维修养护服务项目考核办法》</w:t>
      </w:r>
      <w:r>
        <w:rPr>
          <w:rFonts w:hint="eastAsia" w:ascii="宋体" w:hAnsi="宋体" w:eastAsia="宋体" w:cs="宋体"/>
          <w:color w:val="auto"/>
          <w:spacing w:val="6"/>
          <w:sz w:val="21"/>
          <w:szCs w:val="21"/>
          <w:highlight w:val="none"/>
        </w:rPr>
        <w:t>扣分扣款。</w:t>
      </w:r>
    </w:p>
    <w:p w14:paraId="3CCDEC3F">
      <w:pPr>
        <w:keepNext w:val="0"/>
        <w:keepLines w:val="0"/>
        <w:pageBreakBefore w:val="0"/>
        <w:widowControl w:val="0"/>
        <w:kinsoku/>
        <w:wordWrap/>
        <w:overflowPunct/>
        <w:topLinePunct w:val="0"/>
        <w:autoSpaceDE/>
        <w:autoSpaceDN/>
        <w:bidi w:val="0"/>
        <w:adjustRightInd/>
        <w:spacing w:before="154" w:line="360" w:lineRule="auto"/>
        <w:ind w:left="2" w:right="2" w:firstLine="437"/>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13、</w:t>
      </w:r>
      <w:r>
        <w:rPr>
          <w:rFonts w:hint="eastAsia" w:ascii="宋体" w:hAnsi="宋体" w:eastAsia="宋体" w:cs="宋体"/>
          <w:color w:val="auto"/>
          <w:spacing w:val="12"/>
          <w:sz w:val="21"/>
          <w:szCs w:val="21"/>
          <w:highlight w:val="none"/>
          <w:lang w:eastAsia="zh-CN"/>
        </w:rPr>
        <w:t>乙方</w:t>
      </w:r>
      <w:r>
        <w:rPr>
          <w:rFonts w:hint="eastAsia" w:ascii="宋体" w:hAnsi="宋体" w:eastAsia="宋体" w:cs="宋体"/>
          <w:color w:val="auto"/>
          <w:spacing w:val="8"/>
          <w:sz w:val="21"/>
          <w:szCs w:val="21"/>
          <w:highlight w:val="none"/>
        </w:rPr>
        <w:t>应制定有防汛抗台风、暴雨季节等应急预案，并提前进行排查整改。台风、雨季期间加</w:t>
      </w:r>
      <w:r>
        <w:rPr>
          <w:rFonts w:hint="eastAsia" w:ascii="宋体" w:hAnsi="宋体" w:eastAsia="宋体" w:cs="宋体"/>
          <w:color w:val="auto"/>
          <w:spacing w:val="9"/>
          <w:sz w:val="21"/>
          <w:szCs w:val="21"/>
          <w:highlight w:val="none"/>
        </w:rPr>
        <w:t>强巡查，做好安全措施，并有应急抢修人员随时做好抢修准备。</w:t>
      </w:r>
    </w:p>
    <w:p w14:paraId="5308960C">
      <w:pPr>
        <w:keepNext w:val="0"/>
        <w:keepLines w:val="0"/>
        <w:pageBreakBefore w:val="0"/>
        <w:widowControl w:val="0"/>
        <w:kinsoku/>
        <w:wordWrap/>
        <w:overflowPunct/>
        <w:topLinePunct w:val="0"/>
        <w:autoSpaceDE/>
        <w:autoSpaceDN/>
        <w:bidi w:val="0"/>
        <w:adjustRightInd/>
        <w:spacing w:before="154" w:line="360" w:lineRule="auto"/>
        <w:ind w:left="2" w:right="2" w:firstLine="437"/>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14、根据实际需要，</w:t>
      </w:r>
      <w:r>
        <w:rPr>
          <w:rFonts w:hint="eastAsia" w:ascii="宋体" w:hAnsi="宋体" w:eastAsia="宋体" w:cs="宋体"/>
          <w:color w:val="auto"/>
          <w:spacing w:val="8"/>
          <w:sz w:val="21"/>
          <w:szCs w:val="21"/>
          <w:highlight w:val="none"/>
        </w:rPr>
        <w:t>在维护期内如需拆除部分亮化设施的，应由</w:t>
      </w:r>
      <w:r>
        <w:rPr>
          <w:rFonts w:hint="eastAsia" w:ascii="宋体" w:hAnsi="宋体" w:cs="宋体"/>
          <w:color w:val="auto"/>
          <w:spacing w:val="9"/>
          <w:sz w:val="21"/>
          <w:szCs w:val="21"/>
          <w:highlight w:val="none"/>
          <w:lang w:eastAsia="zh-CN"/>
        </w:rPr>
        <w:t>乙方</w:t>
      </w:r>
      <w:r>
        <w:rPr>
          <w:rFonts w:hint="eastAsia" w:ascii="宋体" w:hAnsi="宋体" w:eastAsia="宋体" w:cs="宋体"/>
          <w:color w:val="auto"/>
          <w:spacing w:val="8"/>
          <w:sz w:val="21"/>
          <w:szCs w:val="21"/>
          <w:highlight w:val="none"/>
        </w:rPr>
        <w:t>负责拆除并入库，产生的费</w:t>
      </w:r>
      <w:r>
        <w:rPr>
          <w:rFonts w:hint="eastAsia" w:ascii="宋体" w:hAnsi="宋体" w:eastAsia="宋体" w:cs="宋体"/>
          <w:color w:val="auto"/>
          <w:spacing w:val="7"/>
          <w:sz w:val="21"/>
          <w:szCs w:val="21"/>
          <w:highlight w:val="none"/>
        </w:rPr>
        <w:t>用由</w:t>
      </w:r>
      <w:r>
        <w:rPr>
          <w:rFonts w:hint="eastAsia" w:ascii="宋体" w:hAnsi="宋体" w:eastAsia="宋体" w:cs="宋体"/>
          <w:color w:val="auto"/>
          <w:spacing w:val="12"/>
          <w:sz w:val="21"/>
          <w:szCs w:val="21"/>
          <w:highlight w:val="none"/>
          <w:lang w:eastAsia="zh-CN"/>
        </w:rPr>
        <w:t>乙方</w:t>
      </w:r>
      <w:r>
        <w:rPr>
          <w:rFonts w:hint="eastAsia" w:ascii="宋体" w:hAnsi="宋体" w:eastAsia="宋体" w:cs="宋体"/>
          <w:color w:val="auto"/>
          <w:spacing w:val="7"/>
          <w:sz w:val="21"/>
          <w:szCs w:val="21"/>
          <w:highlight w:val="none"/>
        </w:rPr>
        <w:t>负责。</w:t>
      </w:r>
    </w:p>
    <w:p w14:paraId="758E3C09">
      <w:pPr>
        <w:keepNext w:val="0"/>
        <w:keepLines w:val="0"/>
        <w:pageBreakBefore w:val="0"/>
        <w:widowControl w:val="0"/>
        <w:kinsoku/>
        <w:wordWrap/>
        <w:overflowPunct/>
        <w:topLinePunct w:val="0"/>
        <w:autoSpaceDE/>
        <w:autoSpaceDN/>
        <w:bidi w:val="0"/>
        <w:adjustRightInd/>
        <w:spacing w:before="154" w:line="360" w:lineRule="auto"/>
        <w:ind w:left="2" w:right="2" w:firstLine="437"/>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15、</w:t>
      </w:r>
      <w:r>
        <w:rPr>
          <w:rFonts w:hint="eastAsia" w:ascii="宋体" w:hAnsi="宋体" w:eastAsia="宋体" w:cs="宋体"/>
          <w:color w:val="auto"/>
          <w:spacing w:val="12"/>
          <w:sz w:val="21"/>
          <w:szCs w:val="21"/>
          <w:highlight w:val="none"/>
          <w:lang w:eastAsia="zh-CN"/>
        </w:rPr>
        <w:t>乙方</w:t>
      </w:r>
      <w:r>
        <w:rPr>
          <w:rFonts w:hint="eastAsia" w:ascii="宋体" w:hAnsi="宋体" w:eastAsia="宋体" w:cs="宋体"/>
          <w:color w:val="auto"/>
          <w:spacing w:val="8"/>
          <w:sz w:val="21"/>
          <w:szCs w:val="21"/>
          <w:highlight w:val="none"/>
        </w:rPr>
        <w:t>须对维护范围内的所有设施进行巡查及保护，并制止未经</w:t>
      </w:r>
      <w:r>
        <w:rPr>
          <w:rFonts w:hint="eastAsia" w:ascii="宋体" w:hAnsi="宋体" w:eastAsia="宋体" w:cs="宋体"/>
          <w:color w:val="auto"/>
          <w:spacing w:val="8"/>
          <w:sz w:val="21"/>
          <w:szCs w:val="21"/>
          <w:highlight w:val="none"/>
          <w:lang w:eastAsia="zh-CN"/>
        </w:rPr>
        <w:t>甲方</w:t>
      </w:r>
      <w:r>
        <w:rPr>
          <w:rFonts w:hint="eastAsia" w:ascii="宋体" w:hAnsi="宋体" w:eastAsia="宋体" w:cs="宋体"/>
          <w:color w:val="auto"/>
          <w:spacing w:val="8"/>
          <w:sz w:val="21"/>
          <w:szCs w:val="21"/>
          <w:highlight w:val="none"/>
        </w:rPr>
        <w:t>同意的可能损坏到照明</w:t>
      </w:r>
      <w:r>
        <w:rPr>
          <w:rFonts w:hint="eastAsia" w:ascii="宋体" w:hAnsi="宋体" w:eastAsia="宋体" w:cs="宋体"/>
          <w:color w:val="auto"/>
          <w:spacing w:val="9"/>
          <w:sz w:val="21"/>
          <w:szCs w:val="21"/>
          <w:highlight w:val="none"/>
        </w:rPr>
        <w:t>设施的行为，如该行为已发生，</w:t>
      </w:r>
      <w:r>
        <w:rPr>
          <w:rFonts w:hint="eastAsia" w:ascii="宋体" w:hAnsi="宋体" w:eastAsia="宋体" w:cs="宋体"/>
          <w:color w:val="auto"/>
          <w:spacing w:val="12"/>
          <w:sz w:val="21"/>
          <w:szCs w:val="21"/>
          <w:highlight w:val="none"/>
          <w:lang w:eastAsia="zh-CN"/>
        </w:rPr>
        <w:t>乙方</w:t>
      </w:r>
      <w:r>
        <w:rPr>
          <w:rFonts w:hint="eastAsia" w:ascii="宋体" w:hAnsi="宋体" w:eastAsia="宋体" w:cs="宋体"/>
          <w:color w:val="auto"/>
          <w:spacing w:val="9"/>
          <w:sz w:val="21"/>
          <w:szCs w:val="21"/>
          <w:highlight w:val="none"/>
        </w:rPr>
        <w:t>需立即修复并自行向当事方索赔；维护期内出现设施被</w:t>
      </w:r>
      <w:r>
        <w:rPr>
          <w:rFonts w:hint="eastAsia" w:ascii="宋体" w:hAnsi="宋体" w:eastAsia="宋体" w:cs="宋体"/>
          <w:color w:val="auto"/>
          <w:spacing w:val="8"/>
          <w:sz w:val="21"/>
          <w:szCs w:val="21"/>
          <w:highlight w:val="none"/>
        </w:rPr>
        <w:t>损的一律</w:t>
      </w:r>
      <w:r>
        <w:rPr>
          <w:rFonts w:hint="eastAsia" w:ascii="宋体" w:hAnsi="宋体" w:eastAsia="宋体" w:cs="宋体"/>
          <w:color w:val="auto"/>
          <w:spacing w:val="9"/>
          <w:sz w:val="21"/>
          <w:szCs w:val="21"/>
          <w:highlight w:val="none"/>
        </w:rPr>
        <w:t>由</w:t>
      </w:r>
      <w:r>
        <w:rPr>
          <w:rFonts w:hint="eastAsia" w:ascii="宋体" w:hAnsi="宋体" w:cs="宋体"/>
          <w:color w:val="auto"/>
          <w:spacing w:val="9"/>
          <w:sz w:val="21"/>
          <w:szCs w:val="21"/>
          <w:highlight w:val="none"/>
          <w:lang w:eastAsia="zh-CN"/>
        </w:rPr>
        <w:t>乙方</w:t>
      </w:r>
      <w:r>
        <w:rPr>
          <w:rFonts w:hint="eastAsia" w:ascii="宋体" w:hAnsi="宋体" w:eastAsia="宋体" w:cs="宋体"/>
          <w:color w:val="auto"/>
          <w:spacing w:val="9"/>
          <w:sz w:val="21"/>
          <w:szCs w:val="21"/>
          <w:highlight w:val="none"/>
        </w:rPr>
        <w:t>进行修复及赔偿，</w:t>
      </w:r>
      <w:r>
        <w:rPr>
          <w:rFonts w:hint="eastAsia" w:ascii="宋体" w:hAnsi="宋体" w:eastAsia="宋体" w:cs="宋体"/>
          <w:color w:val="auto"/>
          <w:spacing w:val="9"/>
          <w:sz w:val="21"/>
          <w:szCs w:val="21"/>
          <w:highlight w:val="none"/>
          <w:lang w:eastAsia="zh-CN"/>
        </w:rPr>
        <w:t>甲方</w:t>
      </w:r>
      <w:r>
        <w:rPr>
          <w:rFonts w:hint="eastAsia" w:ascii="宋体" w:hAnsi="宋体" w:eastAsia="宋体" w:cs="宋体"/>
          <w:color w:val="auto"/>
          <w:spacing w:val="9"/>
          <w:sz w:val="21"/>
          <w:szCs w:val="21"/>
          <w:highlight w:val="none"/>
        </w:rPr>
        <w:t>给予协助。如相应损坏行为造成数字化案件扣分的、</w:t>
      </w:r>
      <w:r>
        <w:rPr>
          <w:rFonts w:hint="eastAsia" w:ascii="宋体" w:hAnsi="宋体"/>
          <w:color w:val="auto"/>
          <w:szCs w:val="21"/>
          <w:highlight w:val="none"/>
        </w:rPr>
        <w:t>12345</w:t>
      </w:r>
      <w:r>
        <w:rPr>
          <w:rFonts w:hint="eastAsia" w:ascii="宋体" w:hAnsi="宋体"/>
          <w:color w:val="auto"/>
          <w:szCs w:val="21"/>
          <w:highlight w:val="none"/>
          <w:lang w:eastAsia="zh-CN"/>
        </w:rPr>
        <w:t>政务服务便民热线与</w:t>
      </w:r>
      <w:r>
        <w:rPr>
          <w:rFonts w:hint="eastAsia" w:ascii="宋体" w:hAnsi="宋体"/>
          <w:color w:val="auto"/>
          <w:szCs w:val="21"/>
          <w:highlight w:val="none"/>
        </w:rPr>
        <w:t>市长信箱</w:t>
      </w:r>
      <w:r>
        <w:rPr>
          <w:rFonts w:hint="eastAsia" w:ascii="宋体" w:hAnsi="宋体"/>
          <w:color w:val="auto"/>
          <w:szCs w:val="21"/>
          <w:highlight w:val="none"/>
          <w:lang w:eastAsia="zh-CN"/>
        </w:rPr>
        <w:t>不满意的</w:t>
      </w:r>
      <w:r>
        <w:rPr>
          <w:rFonts w:hint="eastAsia" w:ascii="宋体" w:hAnsi="宋体" w:cs="宋体"/>
          <w:color w:val="auto"/>
          <w:spacing w:val="9"/>
          <w:sz w:val="21"/>
          <w:szCs w:val="21"/>
          <w:highlight w:val="none"/>
          <w:lang w:eastAsia="zh-CN"/>
        </w:rPr>
        <w:t>、</w:t>
      </w:r>
      <w:r>
        <w:rPr>
          <w:rFonts w:hint="eastAsia" w:ascii="宋体" w:hAnsi="宋体" w:eastAsia="宋体" w:cs="宋体"/>
          <w:color w:val="auto"/>
          <w:spacing w:val="9"/>
          <w:sz w:val="21"/>
          <w:szCs w:val="21"/>
          <w:highlight w:val="none"/>
        </w:rPr>
        <w:t>受到投诉</w:t>
      </w:r>
      <w:r>
        <w:rPr>
          <w:rFonts w:hint="eastAsia" w:ascii="宋体" w:hAnsi="宋体" w:cs="宋体"/>
          <w:color w:val="auto"/>
          <w:spacing w:val="9"/>
          <w:sz w:val="21"/>
          <w:szCs w:val="21"/>
          <w:highlight w:val="none"/>
          <w:lang w:eastAsia="zh-CN"/>
        </w:rPr>
        <w:t>不满意</w:t>
      </w:r>
      <w:r>
        <w:rPr>
          <w:rFonts w:hint="eastAsia" w:ascii="宋体" w:hAnsi="宋体" w:eastAsia="宋体" w:cs="宋体"/>
          <w:color w:val="auto"/>
          <w:spacing w:val="9"/>
          <w:sz w:val="21"/>
          <w:szCs w:val="21"/>
          <w:highlight w:val="none"/>
        </w:rPr>
        <w:t>的</w:t>
      </w:r>
      <w:r>
        <w:rPr>
          <w:rFonts w:hint="eastAsia" w:ascii="宋体" w:hAnsi="宋体" w:eastAsia="宋体" w:cs="宋体"/>
          <w:color w:val="auto"/>
          <w:spacing w:val="8"/>
          <w:sz w:val="21"/>
          <w:szCs w:val="21"/>
          <w:highlight w:val="none"/>
        </w:rPr>
        <w:t>，按</w:t>
      </w:r>
      <w:r>
        <w:rPr>
          <w:rFonts w:hint="eastAsia" w:ascii="宋体" w:hAnsi="宋体"/>
          <w:color w:val="auto"/>
          <w:szCs w:val="21"/>
          <w:highlight w:val="none"/>
          <w:lang w:eastAsia="zh-CN"/>
        </w:rPr>
        <w:t>《防城港市市管城市照明设施维修养护服务项目考核办法》</w:t>
      </w:r>
      <w:r>
        <w:rPr>
          <w:rFonts w:hint="eastAsia" w:ascii="宋体" w:hAnsi="宋体" w:eastAsia="宋体" w:cs="宋体"/>
          <w:color w:val="auto"/>
          <w:spacing w:val="9"/>
          <w:sz w:val="21"/>
          <w:szCs w:val="21"/>
          <w:highlight w:val="none"/>
        </w:rPr>
        <w:t>给予扣分。维护期间，</w:t>
      </w:r>
      <w:r>
        <w:rPr>
          <w:rFonts w:hint="eastAsia" w:ascii="宋体" w:hAnsi="宋体" w:eastAsia="宋体" w:cs="宋体"/>
          <w:color w:val="auto"/>
          <w:spacing w:val="12"/>
          <w:sz w:val="21"/>
          <w:szCs w:val="21"/>
          <w:highlight w:val="none"/>
          <w:lang w:eastAsia="zh-CN"/>
        </w:rPr>
        <w:t>乙方</w:t>
      </w:r>
      <w:r>
        <w:rPr>
          <w:rFonts w:hint="eastAsia" w:ascii="宋体" w:hAnsi="宋体" w:eastAsia="宋体" w:cs="宋体"/>
          <w:color w:val="auto"/>
          <w:spacing w:val="9"/>
          <w:sz w:val="21"/>
          <w:szCs w:val="21"/>
          <w:highlight w:val="none"/>
        </w:rPr>
        <w:t>必须做好灯容灯貌的清洁及维护工作。对在本</w:t>
      </w:r>
      <w:r>
        <w:rPr>
          <w:rFonts w:hint="eastAsia" w:ascii="宋体" w:hAnsi="宋体" w:eastAsia="宋体" w:cs="宋体"/>
          <w:color w:val="auto"/>
          <w:spacing w:val="9"/>
          <w:sz w:val="21"/>
          <w:szCs w:val="21"/>
          <w:highlight w:val="none"/>
        </w:rPr>
        <w:t>标段区</w:t>
      </w:r>
      <w:r>
        <w:rPr>
          <w:rFonts w:hint="eastAsia" w:ascii="宋体" w:hAnsi="宋体" w:eastAsia="宋体" w:cs="宋体"/>
          <w:color w:val="auto"/>
          <w:spacing w:val="8"/>
          <w:sz w:val="21"/>
          <w:szCs w:val="21"/>
          <w:highlight w:val="none"/>
        </w:rPr>
        <w:t>域内灯杆</w:t>
      </w:r>
      <w:r>
        <w:rPr>
          <w:rFonts w:hint="eastAsia" w:ascii="宋体" w:hAnsi="宋体" w:eastAsia="宋体" w:cs="宋体"/>
          <w:color w:val="auto"/>
          <w:spacing w:val="9"/>
          <w:sz w:val="21"/>
          <w:szCs w:val="21"/>
          <w:highlight w:val="none"/>
        </w:rPr>
        <w:t>上未经过审批挂置广告牌及各类电线的，</w:t>
      </w:r>
      <w:r>
        <w:rPr>
          <w:rFonts w:hint="eastAsia" w:ascii="宋体" w:hAnsi="宋体" w:eastAsia="宋体" w:cs="宋体"/>
          <w:color w:val="auto"/>
          <w:spacing w:val="12"/>
          <w:sz w:val="21"/>
          <w:szCs w:val="21"/>
          <w:highlight w:val="none"/>
          <w:lang w:eastAsia="zh-CN"/>
        </w:rPr>
        <w:t>乙方</w:t>
      </w:r>
      <w:r>
        <w:rPr>
          <w:rFonts w:hint="eastAsia" w:ascii="宋体" w:hAnsi="宋体" w:eastAsia="宋体" w:cs="宋体"/>
          <w:color w:val="auto"/>
          <w:spacing w:val="9"/>
          <w:sz w:val="21"/>
          <w:szCs w:val="21"/>
          <w:highlight w:val="none"/>
        </w:rPr>
        <w:t>必须及时制止并拆除。</w:t>
      </w:r>
    </w:p>
    <w:p w14:paraId="4AC03D5E">
      <w:pPr>
        <w:keepNext w:val="0"/>
        <w:keepLines w:val="0"/>
        <w:pageBreakBefore w:val="0"/>
        <w:widowControl w:val="0"/>
        <w:kinsoku/>
        <w:wordWrap/>
        <w:overflowPunct/>
        <w:topLinePunct w:val="0"/>
        <w:autoSpaceDE/>
        <w:autoSpaceDN/>
        <w:bidi w:val="0"/>
        <w:adjustRightInd/>
        <w:spacing w:before="154" w:line="360" w:lineRule="auto"/>
        <w:ind w:left="2" w:right="2" w:firstLine="437"/>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16、在合同期内，</w:t>
      </w:r>
      <w:r>
        <w:rPr>
          <w:rFonts w:hint="eastAsia" w:ascii="宋体" w:hAnsi="宋体" w:eastAsia="宋体" w:cs="宋体"/>
          <w:color w:val="auto"/>
          <w:spacing w:val="12"/>
          <w:sz w:val="21"/>
          <w:szCs w:val="21"/>
          <w:highlight w:val="none"/>
          <w:lang w:eastAsia="zh-CN"/>
        </w:rPr>
        <w:t>乙方</w:t>
      </w:r>
      <w:r>
        <w:rPr>
          <w:rFonts w:hint="eastAsia" w:ascii="宋体" w:hAnsi="宋体" w:eastAsia="宋体" w:cs="宋体"/>
          <w:color w:val="auto"/>
          <w:spacing w:val="8"/>
          <w:sz w:val="21"/>
          <w:szCs w:val="21"/>
          <w:highlight w:val="none"/>
        </w:rPr>
        <w:t>对维护范围内的设施运行及安全状况负责。并按</w:t>
      </w:r>
      <w:r>
        <w:rPr>
          <w:rFonts w:hint="eastAsia" w:ascii="宋体" w:hAnsi="宋体" w:eastAsia="宋体" w:cs="宋体"/>
          <w:color w:val="auto"/>
          <w:spacing w:val="8"/>
          <w:sz w:val="21"/>
          <w:szCs w:val="21"/>
          <w:highlight w:val="none"/>
          <w:lang w:eastAsia="zh-CN"/>
        </w:rPr>
        <w:t>甲方</w:t>
      </w:r>
      <w:r>
        <w:rPr>
          <w:rFonts w:hint="eastAsia" w:ascii="宋体" w:hAnsi="宋体" w:eastAsia="宋体" w:cs="宋体"/>
          <w:color w:val="auto"/>
          <w:spacing w:val="8"/>
          <w:sz w:val="21"/>
          <w:szCs w:val="21"/>
          <w:highlight w:val="none"/>
        </w:rPr>
        <w:t>要求，保证每个电</w:t>
      </w:r>
      <w:r>
        <w:rPr>
          <w:rFonts w:hint="eastAsia" w:ascii="宋体" w:hAnsi="宋体" w:eastAsia="宋体" w:cs="宋体"/>
          <w:color w:val="auto"/>
          <w:spacing w:val="9"/>
          <w:sz w:val="21"/>
          <w:szCs w:val="21"/>
          <w:highlight w:val="none"/>
        </w:rPr>
        <w:t>箱的防漏电开关安全运行。定期对照明设施进行绝缘接地及漏电检测，每月至少一次</w:t>
      </w:r>
      <w:r>
        <w:rPr>
          <w:rFonts w:hint="eastAsia" w:ascii="宋体" w:hAnsi="宋体" w:eastAsia="宋体" w:cs="宋体"/>
          <w:color w:val="auto"/>
          <w:spacing w:val="8"/>
          <w:sz w:val="21"/>
          <w:szCs w:val="21"/>
          <w:highlight w:val="none"/>
        </w:rPr>
        <w:t>对本标段范围内的</w:t>
      </w:r>
      <w:r>
        <w:rPr>
          <w:rFonts w:hint="eastAsia" w:ascii="宋体" w:hAnsi="宋体" w:eastAsia="宋体" w:cs="宋体"/>
          <w:color w:val="auto"/>
          <w:spacing w:val="9"/>
          <w:sz w:val="21"/>
          <w:szCs w:val="21"/>
          <w:highlight w:val="none"/>
        </w:rPr>
        <w:t>路灯接地进行安全检查，检查存在的问题及整改情况据实详细记录并做好台账资料，</w:t>
      </w:r>
      <w:r>
        <w:rPr>
          <w:rFonts w:hint="eastAsia" w:ascii="宋体" w:hAnsi="宋体" w:eastAsia="宋体" w:cs="宋体"/>
          <w:color w:val="auto"/>
          <w:spacing w:val="8"/>
          <w:sz w:val="21"/>
          <w:szCs w:val="21"/>
          <w:highlight w:val="none"/>
        </w:rPr>
        <w:t>对易涝区域的照明</w:t>
      </w:r>
      <w:r>
        <w:rPr>
          <w:rFonts w:hint="eastAsia" w:ascii="宋体" w:hAnsi="宋体" w:eastAsia="宋体" w:cs="宋体"/>
          <w:color w:val="auto"/>
          <w:spacing w:val="9"/>
          <w:sz w:val="21"/>
          <w:szCs w:val="21"/>
          <w:highlight w:val="none"/>
        </w:rPr>
        <w:t>设施防控的统计情况，报</w:t>
      </w:r>
      <w:r>
        <w:rPr>
          <w:rFonts w:hint="eastAsia" w:ascii="宋体" w:hAnsi="宋体" w:eastAsia="宋体" w:cs="宋体"/>
          <w:color w:val="auto"/>
          <w:spacing w:val="9"/>
          <w:sz w:val="21"/>
          <w:szCs w:val="21"/>
          <w:highlight w:val="none"/>
          <w:lang w:eastAsia="zh-CN"/>
        </w:rPr>
        <w:t>甲方</w:t>
      </w:r>
      <w:r>
        <w:rPr>
          <w:rFonts w:hint="eastAsia" w:ascii="宋体" w:hAnsi="宋体" w:eastAsia="宋体" w:cs="宋体"/>
          <w:color w:val="auto"/>
          <w:spacing w:val="9"/>
          <w:sz w:val="21"/>
          <w:szCs w:val="21"/>
          <w:highlight w:val="none"/>
        </w:rPr>
        <w:t>存档备查。如因</w:t>
      </w:r>
      <w:r>
        <w:rPr>
          <w:rFonts w:hint="eastAsia" w:ascii="宋体" w:hAnsi="宋体" w:eastAsia="宋体" w:cs="宋体"/>
          <w:color w:val="auto"/>
          <w:spacing w:val="12"/>
          <w:sz w:val="21"/>
          <w:szCs w:val="21"/>
          <w:highlight w:val="none"/>
          <w:lang w:eastAsia="zh-CN"/>
        </w:rPr>
        <w:t>乙方</w:t>
      </w:r>
      <w:r>
        <w:rPr>
          <w:rFonts w:hint="eastAsia" w:ascii="宋体" w:hAnsi="宋体" w:eastAsia="宋体" w:cs="宋体"/>
          <w:color w:val="auto"/>
          <w:spacing w:val="9"/>
          <w:sz w:val="21"/>
          <w:szCs w:val="21"/>
          <w:highlight w:val="none"/>
        </w:rPr>
        <w:t>未履行合同及招标文件的约定条款</w:t>
      </w:r>
      <w:r>
        <w:rPr>
          <w:rFonts w:hint="eastAsia" w:ascii="宋体" w:hAnsi="宋体" w:eastAsia="宋体" w:cs="宋体"/>
          <w:color w:val="auto"/>
          <w:spacing w:val="8"/>
          <w:sz w:val="21"/>
          <w:szCs w:val="21"/>
          <w:highlight w:val="none"/>
        </w:rPr>
        <w:t>进行检测，造</w:t>
      </w:r>
      <w:r>
        <w:rPr>
          <w:rFonts w:hint="eastAsia" w:ascii="宋体" w:hAnsi="宋体" w:eastAsia="宋体" w:cs="宋体"/>
          <w:color w:val="auto"/>
          <w:spacing w:val="10"/>
          <w:sz w:val="21"/>
          <w:szCs w:val="21"/>
          <w:highlight w:val="none"/>
        </w:rPr>
        <w:t>成安</w:t>
      </w:r>
      <w:r>
        <w:rPr>
          <w:rFonts w:hint="eastAsia" w:ascii="宋体" w:hAnsi="宋体" w:eastAsia="宋体" w:cs="宋体"/>
          <w:color w:val="auto"/>
          <w:spacing w:val="10"/>
          <w:sz w:val="21"/>
          <w:szCs w:val="21"/>
          <w:highlight w:val="none"/>
        </w:rPr>
        <w:t>全事故发生，所产生的费用及法律责任</w:t>
      </w:r>
      <w:r>
        <w:rPr>
          <w:rFonts w:hint="eastAsia" w:ascii="宋体" w:hAnsi="宋体" w:eastAsia="宋体" w:cs="宋体"/>
          <w:color w:val="auto"/>
          <w:spacing w:val="9"/>
          <w:sz w:val="21"/>
          <w:szCs w:val="21"/>
          <w:highlight w:val="none"/>
        </w:rPr>
        <w:t>均由</w:t>
      </w:r>
      <w:r>
        <w:rPr>
          <w:rFonts w:hint="eastAsia" w:ascii="宋体" w:hAnsi="宋体" w:cs="宋体"/>
          <w:color w:val="auto"/>
          <w:spacing w:val="9"/>
          <w:sz w:val="21"/>
          <w:szCs w:val="21"/>
          <w:highlight w:val="none"/>
          <w:lang w:eastAsia="zh-CN"/>
        </w:rPr>
        <w:t>乙方</w:t>
      </w:r>
      <w:r>
        <w:rPr>
          <w:rFonts w:hint="eastAsia" w:ascii="宋体" w:hAnsi="宋体" w:eastAsia="宋体" w:cs="宋体"/>
          <w:color w:val="auto"/>
          <w:spacing w:val="9"/>
          <w:sz w:val="21"/>
          <w:szCs w:val="21"/>
          <w:highlight w:val="none"/>
        </w:rPr>
        <w:t>负责承担，且</w:t>
      </w:r>
      <w:r>
        <w:rPr>
          <w:rFonts w:hint="eastAsia" w:ascii="宋体" w:hAnsi="宋体" w:eastAsia="宋体" w:cs="宋体"/>
          <w:color w:val="auto"/>
          <w:spacing w:val="9"/>
          <w:sz w:val="21"/>
          <w:szCs w:val="21"/>
          <w:highlight w:val="none"/>
          <w:lang w:eastAsia="zh-CN"/>
        </w:rPr>
        <w:t>甲方</w:t>
      </w:r>
      <w:r>
        <w:rPr>
          <w:rFonts w:hint="eastAsia" w:ascii="宋体" w:hAnsi="宋体" w:eastAsia="宋体" w:cs="宋体"/>
          <w:color w:val="auto"/>
          <w:spacing w:val="9"/>
          <w:sz w:val="21"/>
          <w:szCs w:val="21"/>
          <w:highlight w:val="none"/>
        </w:rPr>
        <w:t>有权单方终止合同。</w:t>
      </w:r>
    </w:p>
    <w:p w14:paraId="327E50F7">
      <w:pPr>
        <w:keepNext w:val="0"/>
        <w:keepLines w:val="0"/>
        <w:pageBreakBefore w:val="0"/>
        <w:widowControl w:val="0"/>
        <w:kinsoku/>
        <w:wordWrap/>
        <w:overflowPunct/>
        <w:topLinePunct w:val="0"/>
        <w:autoSpaceDE/>
        <w:autoSpaceDN/>
        <w:bidi w:val="0"/>
        <w:adjustRightInd/>
        <w:spacing w:before="154" w:line="360" w:lineRule="auto"/>
        <w:ind w:left="2" w:right="2" w:firstLine="437"/>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17、如涉及</w:t>
      </w:r>
      <w:r>
        <w:rPr>
          <w:rFonts w:hint="eastAsia" w:ascii="宋体" w:hAnsi="宋体"/>
          <w:color w:val="auto"/>
          <w:szCs w:val="21"/>
          <w:highlight w:val="none"/>
          <w:lang w:eastAsia="zh-CN"/>
        </w:rPr>
        <w:t>防城港市城市照明监控系统与集控器及单灯控制器故障</w:t>
      </w:r>
      <w:r>
        <w:rPr>
          <w:rFonts w:hint="eastAsia" w:ascii="宋体" w:hAnsi="宋体" w:eastAsia="宋体" w:cs="宋体"/>
          <w:color w:val="auto"/>
          <w:spacing w:val="9"/>
          <w:sz w:val="21"/>
          <w:szCs w:val="21"/>
          <w:highlight w:val="none"/>
        </w:rPr>
        <w:t>问题未亮灯的，</w:t>
      </w:r>
      <w:r>
        <w:rPr>
          <w:rFonts w:hint="eastAsia" w:ascii="宋体" w:hAnsi="宋体" w:eastAsia="宋体" w:cs="宋体"/>
          <w:color w:val="auto"/>
          <w:spacing w:val="12"/>
          <w:sz w:val="21"/>
          <w:szCs w:val="21"/>
          <w:highlight w:val="none"/>
          <w:lang w:eastAsia="zh-CN"/>
        </w:rPr>
        <w:t>乙方</w:t>
      </w:r>
      <w:r>
        <w:rPr>
          <w:rFonts w:hint="eastAsia" w:ascii="宋体" w:hAnsi="宋体" w:eastAsia="宋体" w:cs="宋体"/>
          <w:color w:val="auto"/>
          <w:spacing w:val="9"/>
          <w:sz w:val="21"/>
          <w:szCs w:val="21"/>
          <w:highlight w:val="none"/>
        </w:rPr>
        <w:t>必须积极与</w:t>
      </w:r>
      <w:r>
        <w:rPr>
          <w:rFonts w:hint="eastAsia" w:ascii="宋体" w:hAnsi="宋体" w:eastAsia="宋体" w:cs="宋体"/>
          <w:color w:val="auto"/>
          <w:spacing w:val="9"/>
          <w:sz w:val="21"/>
          <w:szCs w:val="21"/>
          <w:highlight w:val="none"/>
          <w:lang w:eastAsia="zh-CN"/>
        </w:rPr>
        <w:t>甲方</w:t>
      </w:r>
      <w:r>
        <w:rPr>
          <w:rFonts w:hint="eastAsia" w:ascii="宋体" w:hAnsi="宋体" w:eastAsia="宋体" w:cs="宋体"/>
          <w:color w:val="auto"/>
          <w:spacing w:val="8"/>
          <w:sz w:val="21"/>
          <w:szCs w:val="21"/>
          <w:highlight w:val="none"/>
        </w:rPr>
        <w:t>联系并及时处理。</w:t>
      </w:r>
    </w:p>
    <w:p w14:paraId="44717E25">
      <w:pPr>
        <w:keepNext w:val="0"/>
        <w:keepLines w:val="0"/>
        <w:pageBreakBefore w:val="0"/>
        <w:widowControl w:val="0"/>
        <w:kinsoku/>
        <w:wordWrap/>
        <w:overflowPunct/>
        <w:topLinePunct w:val="0"/>
        <w:autoSpaceDE/>
        <w:autoSpaceDN/>
        <w:bidi w:val="0"/>
        <w:adjustRightInd/>
        <w:spacing w:before="154" w:line="360" w:lineRule="auto"/>
        <w:ind w:left="2" w:right="2" w:firstLine="437"/>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u w:val="none" w:color="auto"/>
        </w:rPr>
        <w:t>18</w:t>
      </w:r>
      <w:r>
        <w:rPr>
          <w:rFonts w:hint="eastAsia" w:ascii="宋体" w:hAnsi="宋体" w:eastAsia="宋体" w:cs="宋体"/>
          <w:color w:val="auto"/>
          <w:spacing w:val="8"/>
          <w:sz w:val="21"/>
          <w:szCs w:val="21"/>
          <w:highlight w:val="none"/>
          <w:u w:val="none" w:color="auto"/>
        </w:rPr>
        <w:t>、</w:t>
      </w:r>
      <w:r>
        <w:rPr>
          <w:rFonts w:hint="eastAsia" w:ascii="宋体" w:hAnsi="宋体" w:eastAsia="宋体" w:cs="宋体"/>
          <w:color w:val="auto"/>
          <w:spacing w:val="8"/>
          <w:sz w:val="21"/>
          <w:szCs w:val="21"/>
          <w:highlight w:val="none"/>
        </w:rPr>
        <w:t>维修、巡查、清洗及除草：对养护内容进行日常维修、巡查，对设备的运行情况及时记录并做</w:t>
      </w:r>
      <w:r>
        <w:rPr>
          <w:rFonts w:hint="eastAsia" w:ascii="宋体" w:hAnsi="宋体" w:eastAsia="宋体" w:cs="宋体"/>
          <w:color w:val="auto"/>
          <w:spacing w:val="7"/>
          <w:sz w:val="21"/>
          <w:szCs w:val="21"/>
          <w:highlight w:val="none"/>
        </w:rPr>
        <w:t>好台账资料备查。</w:t>
      </w:r>
    </w:p>
    <w:p w14:paraId="28C3EE1D">
      <w:pPr>
        <w:keepNext w:val="0"/>
        <w:keepLines w:val="0"/>
        <w:pageBreakBefore w:val="0"/>
        <w:widowControl w:val="0"/>
        <w:kinsoku/>
        <w:wordWrap/>
        <w:overflowPunct/>
        <w:topLinePunct w:val="0"/>
        <w:autoSpaceDE/>
        <w:autoSpaceDN/>
        <w:bidi w:val="0"/>
        <w:adjustRightInd/>
        <w:spacing w:before="154" w:line="360" w:lineRule="auto"/>
        <w:ind w:left="2" w:right="2" w:firstLine="437"/>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19、</w:t>
      </w:r>
      <w:r>
        <w:rPr>
          <w:rFonts w:hint="eastAsia" w:ascii="宋体" w:hAnsi="宋体" w:eastAsia="宋体" w:cs="宋体"/>
          <w:color w:val="auto"/>
          <w:spacing w:val="12"/>
          <w:sz w:val="21"/>
          <w:szCs w:val="21"/>
          <w:highlight w:val="none"/>
          <w:lang w:eastAsia="zh-CN"/>
        </w:rPr>
        <w:t>乙方</w:t>
      </w:r>
      <w:r>
        <w:rPr>
          <w:rFonts w:hint="eastAsia" w:ascii="宋体" w:hAnsi="宋体" w:eastAsia="宋体" w:cs="宋体"/>
          <w:color w:val="auto"/>
          <w:spacing w:val="8"/>
          <w:sz w:val="21"/>
          <w:szCs w:val="21"/>
          <w:highlight w:val="none"/>
        </w:rPr>
        <w:t>每个月对维护设施、外接用电设施进行漏电检测以及对路灯设施、箱式变电站周围的金</w:t>
      </w:r>
      <w:r>
        <w:rPr>
          <w:rFonts w:hint="eastAsia" w:ascii="宋体" w:hAnsi="宋体" w:eastAsia="宋体" w:cs="宋体"/>
          <w:color w:val="auto"/>
          <w:spacing w:val="9"/>
          <w:sz w:val="21"/>
          <w:szCs w:val="21"/>
          <w:highlight w:val="none"/>
        </w:rPr>
        <w:t>属构件进行检测，防止金属构件意外带电，所有的维护设施不得发生漏电事故，否则一切责任</w:t>
      </w:r>
      <w:r>
        <w:rPr>
          <w:rFonts w:hint="eastAsia" w:ascii="宋体" w:hAnsi="宋体" w:eastAsia="宋体" w:cs="宋体"/>
          <w:color w:val="auto"/>
          <w:spacing w:val="8"/>
          <w:sz w:val="21"/>
          <w:szCs w:val="21"/>
          <w:highlight w:val="none"/>
        </w:rPr>
        <w:t>及造成的</w:t>
      </w:r>
      <w:r>
        <w:rPr>
          <w:rFonts w:hint="eastAsia" w:ascii="宋体" w:hAnsi="宋体" w:eastAsia="宋体" w:cs="宋体"/>
          <w:color w:val="auto"/>
          <w:spacing w:val="9"/>
          <w:sz w:val="21"/>
          <w:szCs w:val="21"/>
          <w:highlight w:val="none"/>
        </w:rPr>
        <w:t>损失由</w:t>
      </w:r>
      <w:r>
        <w:rPr>
          <w:rFonts w:hint="eastAsia" w:ascii="宋体" w:hAnsi="宋体" w:cs="宋体"/>
          <w:color w:val="auto"/>
          <w:spacing w:val="9"/>
          <w:sz w:val="21"/>
          <w:szCs w:val="21"/>
          <w:highlight w:val="none"/>
          <w:lang w:eastAsia="zh-CN"/>
        </w:rPr>
        <w:t>乙方</w:t>
      </w:r>
      <w:r>
        <w:rPr>
          <w:rFonts w:hint="eastAsia" w:ascii="宋体" w:hAnsi="宋体" w:eastAsia="宋体" w:cs="宋体"/>
          <w:color w:val="auto"/>
          <w:spacing w:val="9"/>
          <w:sz w:val="21"/>
          <w:szCs w:val="21"/>
          <w:highlight w:val="none"/>
        </w:rPr>
        <w:t>负责。未按时完成的按照量化考核表扣除维护费用。</w:t>
      </w:r>
    </w:p>
    <w:p w14:paraId="531401CD">
      <w:pPr>
        <w:keepNext w:val="0"/>
        <w:keepLines w:val="0"/>
        <w:pageBreakBefore w:val="0"/>
        <w:widowControl w:val="0"/>
        <w:kinsoku/>
        <w:wordWrap/>
        <w:overflowPunct/>
        <w:topLinePunct w:val="0"/>
        <w:autoSpaceDE/>
        <w:autoSpaceDN/>
        <w:bidi w:val="0"/>
        <w:adjustRightInd/>
        <w:spacing w:before="154" w:line="360" w:lineRule="auto"/>
        <w:ind w:left="2" w:right="2" w:firstLine="437"/>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20、交通事故造成灯杆、灯具、基础等附属部件损坏的，</w:t>
      </w:r>
      <w:r>
        <w:rPr>
          <w:rFonts w:hint="eastAsia" w:ascii="宋体" w:hAnsi="宋体" w:eastAsia="宋体" w:cs="宋体"/>
          <w:color w:val="auto"/>
          <w:spacing w:val="12"/>
          <w:sz w:val="21"/>
          <w:szCs w:val="21"/>
          <w:highlight w:val="none"/>
          <w:lang w:eastAsia="zh-CN"/>
        </w:rPr>
        <w:t>乙方</w:t>
      </w:r>
      <w:r>
        <w:rPr>
          <w:rFonts w:hint="eastAsia" w:ascii="宋体" w:hAnsi="宋体" w:eastAsia="宋体" w:cs="宋体"/>
          <w:color w:val="auto"/>
          <w:spacing w:val="4"/>
          <w:sz w:val="21"/>
          <w:szCs w:val="21"/>
          <w:highlight w:val="none"/>
        </w:rPr>
        <w:t>在发现问题后1小时内通知</w:t>
      </w:r>
      <w:r>
        <w:rPr>
          <w:rFonts w:hint="eastAsia" w:ascii="宋体" w:hAnsi="宋体" w:eastAsia="宋体" w:cs="宋体"/>
          <w:color w:val="auto"/>
          <w:spacing w:val="4"/>
          <w:sz w:val="21"/>
          <w:szCs w:val="21"/>
          <w:highlight w:val="none"/>
          <w:lang w:eastAsia="zh-CN"/>
        </w:rPr>
        <w:t>甲方</w:t>
      </w:r>
      <w:r>
        <w:rPr>
          <w:rFonts w:hint="eastAsia" w:ascii="宋体" w:hAnsi="宋体" w:eastAsia="宋体" w:cs="宋体"/>
          <w:color w:val="auto"/>
          <w:spacing w:val="4"/>
          <w:sz w:val="21"/>
          <w:szCs w:val="21"/>
          <w:highlight w:val="none"/>
        </w:rPr>
        <w:t>，</w:t>
      </w:r>
      <w:r>
        <w:rPr>
          <w:rFonts w:hint="eastAsia" w:ascii="宋体" w:hAnsi="宋体" w:cs="宋体"/>
          <w:color w:val="auto"/>
          <w:spacing w:val="9"/>
          <w:sz w:val="21"/>
          <w:szCs w:val="21"/>
          <w:highlight w:val="none"/>
          <w:lang w:eastAsia="zh-CN"/>
        </w:rPr>
        <w:t>乙方</w:t>
      </w:r>
      <w:r>
        <w:rPr>
          <w:rFonts w:hint="eastAsia" w:ascii="宋体" w:hAnsi="宋体" w:eastAsia="宋体" w:cs="宋体"/>
          <w:color w:val="auto"/>
          <w:spacing w:val="9"/>
          <w:sz w:val="21"/>
          <w:szCs w:val="21"/>
          <w:highlight w:val="none"/>
        </w:rPr>
        <w:t>具体负责并保证责任认定理赔等事宜的正常开展，</w:t>
      </w:r>
      <w:r>
        <w:rPr>
          <w:rFonts w:hint="eastAsia" w:ascii="宋体" w:hAnsi="宋体" w:eastAsia="宋体" w:cs="宋体"/>
          <w:color w:val="auto"/>
          <w:spacing w:val="12"/>
          <w:sz w:val="21"/>
          <w:szCs w:val="21"/>
          <w:highlight w:val="none"/>
          <w:lang w:eastAsia="zh-CN"/>
        </w:rPr>
        <w:t>乙方</w:t>
      </w:r>
      <w:r>
        <w:rPr>
          <w:rFonts w:hint="eastAsia" w:ascii="宋体" w:hAnsi="宋体" w:eastAsia="宋体" w:cs="宋体"/>
          <w:color w:val="auto"/>
          <w:spacing w:val="9"/>
          <w:sz w:val="21"/>
          <w:szCs w:val="21"/>
          <w:highlight w:val="none"/>
        </w:rPr>
        <w:t>负责及时进行修复、更换或迁</w:t>
      </w:r>
      <w:r>
        <w:rPr>
          <w:rFonts w:hint="eastAsia" w:ascii="宋体" w:hAnsi="宋体" w:eastAsia="宋体" w:cs="宋体"/>
          <w:color w:val="auto"/>
          <w:spacing w:val="8"/>
          <w:sz w:val="21"/>
          <w:szCs w:val="21"/>
          <w:highlight w:val="none"/>
        </w:rPr>
        <w:t>移。</w:t>
      </w:r>
      <w:r>
        <w:rPr>
          <w:rFonts w:hint="eastAsia" w:ascii="宋体" w:hAnsi="宋体" w:eastAsia="宋体" w:cs="宋体"/>
          <w:color w:val="auto"/>
          <w:spacing w:val="12"/>
          <w:sz w:val="21"/>
          <w:szCs w:val="21"/>
          <w:highlight w:val="none"/>
          <w:lang w:eastAsia="zh-CN"/>
        </w:rPr>
        <w:t>乙方</w:t>
      </w:r>
      <w:r>
        <w:rPr>
          <w:rFonts w:hint="eastAsia" w:ascii="宋体" w:hAnsi="宋体" w:eastAsia="宋体" w:cs="宋体"/>
          <w:color w:val="auto"/>
          <w:spacing w:val="9"/>
          <w:sz w:val="21"/>
          <w:szCs w:val="21"/>
          <w:highlight w:val="none"/>
        </w:rPr>
        <w:t>每月需排查灯杆摇晃和基础螺丝松动现象并及时加固校正灯杆；因台风或大风等原因造</w:t>
      </w:r>
      <w:r>
        <w:rPr>
          <w:rFonts w:hint="eastAsia" w:ascii="宋体" w:hAnsi="宋体" w:eastAsia="宋体" w:cs="宋体"/>
          <w:color w:val="auto"/>
          <w:spacing w:val="8"/>
          <w:sz w:val="21"/>
          <w:szCs w:val="21"/>
          <w:highlight w:val="none"/>
        </w:rPr>
        <w:t>成灯具、灯臂</w:t>
      </w:r>
      <w:r>
        <w:rPr>
          <w:rFonts w:hint="eastAsia" w:ascii="宋体" w:hAnsi="宋体" w:eastAsia="宋体" w:cs="宋体"/>
          <w:color w:val="auto"/>
          <w:spacing w:val="9"/>
          <w:sz w:val="21"/>
          <w:szCs w:val="21"/>
          <w:highlight w:val="none"/>
        </w:rPr>
        <w:t>螺丝、螺母脱落造成的安全隐患，必须用配套的紧固件加固。</w:t>
      </w:r>
    </w:p>
    <w:p w14:paraId="6739B077">
      <w:pPr>
        <w:keepNext w:val="0"/>
        <w:keepLines w:val="0"/>
        <w:pageBreakBefore w:val="0"/>
        <w:widowControl w:val="0"/>
        <w:kinsoku/>
        <w:wordWrap/>
        <w:overflowPunct/>
        <w:topLinePunct w:val="0"/>
        <w:autoSpaceDE/>
        <w:autoSpaceDN/>
        <w:bidi w:val="0"/>
        <w:adjustRightInd/>
        <w:spacing w:before="154" w:line="360" w:lineRule="auto"/>
        <w:ind w:left="2" w:right="2" w:firstLine="437"/>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21、</w:t>
      </w:r>
      <w:bookmarkStart w:id="162" w:name="tip_risk_bookmark_18"/>
      <w:r>
        <w:rPr>
          <w:rFonts w:hint="eastAsia" w:ascii="宋体" w:hAnsi="宋体" w:eastAsia="宋体" w:cs="宋体"/>
          <w:color w:val="auto"/>
          <w:spacing w:val="9"/>
          <w:sz w:val="21"/>
          <w:szCs w:val="21"/>
          <w:highlight w:val="none"/>
        </w:rPr>
        <w:t>人为或施工损坏。</w:t>
      </w:r>
      <w:r>
        <w:rPr>
          <w:rFonts w:hint="eastAsia" w:ascii="宋体" w:hAnsi="宋体" w:cs="宋体"/>
          <w:color w:val="auto"/>
          <w:spacing w:val="9"/>
          <w:sz w:val="21"/>
          <w:szCs w:val="21"/>
          <w:highlight w:val="none"/>
          <w:lang w:eastAsia="zh-CN"/>
        </w:rPr>
        <w:t>乙方</w:t>
      </w:r>
      <w:r>
        <w:rPr>
          <w:rFonts w:hint="eastAsia" w:ascii="宋体" w:hAnsi="宋体" w:eastAsia="宋体" w:cs="宋体"/>
          <w:color w:val="auto"/>
          <w:spacing w:val="9"/>
          <w:sz w:val="21"/>
          <w:szCs w:val="21"/>
          <w:highlight w:val="none"/>
        </w:rPr>
        <w:t>人有义务随时巡查辖区，并上报、制</w:t>
      </w:r>
      <w:r>
        <w:rPr>
          <w:rFonts w:hint="eastAsia" w:ascii="宋体" w:hAnsi="宋体" w:eastAsia="宋体" w:cs="宋体"/>
          <w:color w:val="auto"/>
          <w:spacing w:val="8"/>
          <w:sz w:val="21"/>
          <w:szCs w:val="21"/>
          <w:highlight w:val="none"/>
        </w:rPr>
        <w:t>止辖区内未经</w:t>
      </w:r>
      <w:r>
        <w:rPr>
          <w:rFonts w:hint="eastAsia" w:ascii="宋体" w:hAnsi="宋体" w:eastAsia="宋体" w:cs="宋体"/>
          <w:color w:val="auto"/>
          <w:spacing w:val="8"/>
          <w:sz w:val="21"/>
          <w:szCs w:val="21"/>
          <w:highlight w:val="none"/>
          <w:lang w:eastAsia="zh-CN"/>
        </w:rPr>
        <w:t>甲方</w:t>
      </w:r>
      <w:r>
        <w:rPr>
          <w:rFonts w:hint="eastAsia" w:ascii="宋体" w:hAnsi="宋体" w:eastAsia="宋体" w:cs="宋体"/>
          <w:color w:val="auto"/>
          <w:spacing w:val="8"/>
          <w:sz w:val="21"/>
          <w:szCs w:val="21"/>
          <w:highlight w:val="none"/>
        </w:rPr>
        <w:t>同意的可能损</w:t>
      </w:r>
      <w:r>
        <w:rPr>
          <w:rFonts w:hint="eastAsia" w:ascii="宋体" w:hAnsi="宋体" w:eastAsia="宋体" w:cs="宋体"/>
          <w:color w:val="auto"/>
          <w:spacing w:val="9"/>
          <w:sz w:val="21"/>
          <w:szCs w:val="21"/>
          <w:highlight w:val="none"/>
        </w:rPr>
        <w:t>坏到路灯及设备的行为。出现该种情况造成路灯设施损坏的（先恢复后追赔的原则</w:t>
      </w:r>
      <w:r>
        <w:rPr>
          <w:rFonts w:hint="eastAsia" w:ascii="宋体" w:hAnsi="宋体" w:eastAsia="宋体" w:cs="宋体"/>
          <w:color w:val="auto"/>
          <w:spacing w:val="7"/>
          <w:sz w:val="21"/>
          <w:szCs w:val="21"/>
          <w:highlight w:val="none"/>
        </w:rPr>
        <w:t>），</w:t>
      </w:r>
      <w:r>
        <w:rPr>
          <w:rFonts w:hint="eastAsia" w:ascii="宋体" w:hAnsi="宋体" w:eastAsia="宋体" w:cs="宋体"/>
          <w:color w:val="auto"/>
          <w:spacing w:val="12"/>
          <w:sz w:val="21"/>
          <w:szCs w:val="21"/>
          <w:highlight w:val="none"/>
          <w:lang w:eastAsia="zh-CN"/>
        </w:rPr>
        <w:t>乙方</w:t>
      </w:r>
      <w:r>
        <w:rPr>
          <w:rFonts w:hint="eastAsia" w:ascii="宋体" w:hAnsi="宋体" w:eastAsia="宋体" w:cs="宋体"/>
          <w:color w:val="auto"/>
          <w:spacing w:val="9"/>
          <w:sz w:val="21"/>
          <w:szCs w:val="21"/>
          <w:highlight w:val="none"/>
        </w:rPr>
        <w:t>必须</w:t>
      </w:r>
      <w:r>
        <w:rPr>
          <w:rFonts w:hint="eastAsia" w:ascii="宋体" w:hAnsi="宋体" w:eastAsia="宋体" w:cs="宋体"/>
          <w:color w:val="auto"/>
          <w:spacing w:val="9"/>
          <w:sz w:val="21"/>
          <w:szCs w:val="21"/>
          <w:highlight w:val="none"/>
        </w:rPr>
        <w:t>及时按照</w:t>
      </w:r>
      <w:r>
        <w:rPr>
          <w:rFonts w:hint="eastAsia" w:ascii="宋体" w:hAnsi="宋体" w:eastAsia="宋体" w:cs="宋体"/>
          <w:color w:val="auto"/>
          <w:spacing w:val="9"/>
          <w:sz w:val="21"/>
          <w:szCs w:val="21"/>
          <w:highlight w:val="none"/>
          <w:lang w:eastAsia="zh-CN"/>
        </w:rPr>
        <w:t>甲方</w:t>
      </w:r>
      <w:r>
        <w:rPr>
          <w:rFonts w:hint="eastAsia" w:ascii="宋体" w:hAnsi="宋体" w:eastAsia="宋体" w:cs="宋体"/>
          <w:color w:val="auto"/>
          <w:spacing w:val="9"/>
          <w:sz w:val="21"/>
          <w:szCs w:val="21"/>
          <w:highlight w:val="none"/>
        </w:rPr>
        <w:t>要求恢复，在恢复完成后，</w:t>
      </w:r>
      <w:r>
        <w:rPr>
          <w:rFonts w:hint="eastAsia" w:ascii="宋体" w:hAnsi="宋体" w:eastAsia="宋体" w:cs="宋体"/>
          <w:color w:val="auto"/>
          <w:spacing w:val="12"/>
          <w:sz w:val="21"/>
          <w:szCs w:val="21"/>
          <w:highlight w:val="none"/>
          <w:lang w:eastAsia="zh-CN"/>
        </w:rPr>
        <w:t>乙方</w:t>
      </w:r>
      <w:r>
        <w:rPr>
          <w:rFonts w:hint="eastAsia" w:ascii="宋体" w:hAnsi="宋体" w:eastAsia="宋体" w:cs="宋体"/>
          <w:color w:val="auto"/>
          <w:spacing w:val="9"/>
          <w:sz w:val="21"/>
          <w:szCs w:val="21"/>
          <w:highlight w:val="none"/>
        </w:rPr>
        <w:t>编制恢复工程预算书，交</w:t>
      </w:r>
      <w:r>
        <w:rPr>
          <w:rFonts w:hint="eastAsia" w:ascii="宋体" w:hAnsi="宋体" w:eastAsia="宋体" w:cs="宋体"/>
          <w:color w:val="auto"/>
          <w:spacing w:val="9"/>
          <w:sz w:val="21"/>
          <w:szCs w:val="21"/>
          <w:highlight w:val="none"/>
          <w:lang w:eastAsia="zh-CN"/>
        </w:rPr>
        <w:t>甲方</w:t>
      </w:r>
      <w:r>
        <w:rPr>
          <w:rFonts w:hint="eastAsia" w:ascii="宋体" w:hAnsi="宋体" w:eastAsia="宋体" w:cs="宋体"/>
          <w:color w:val="auto"/>
          <w:spacing w:val="9"/>
          <w:sz w:val="21"/>
          <w:szCs w:val="21"/>
          <w:highlight w:val="none"/>
        </w:rPr>
        <w:t>审核，并由</w:t>
      </w:r>
      <w:r>
        <w:rPr>
          <w:rFonts w:hint="eastAsia" w:ascii="宋体" w:hAnsi="宋体" w:eastAsia="宋体" w:cs="宋体"/>
          <w:color w:val="auto"/>
          <w:spacing w:val="12"/>
          <w:sz w:val="21"/>
          <w:szCs w:val="21"/>
          <w:highlight w:val="none"/>
          <w:lang w:eastAsia="zh-CN"/>
        </w:rPr>
        <w:t>乙方</w:t>
      </w:r>
      <w:r>
        <w:rPr>
          <w:rFonts w:hint="eastAsia" w:ascii="宋体" w:hAnsi="宋体" w:eastAsia="宋体" w:cs="宋体"/>
          <w:color w:val="auto"/>
          <w:spacing w:val="9"/>
          <w:sz w:val="21"/>
          <w:szCs w:val="21"/>
          <w:highlight w:val="none"/>
        </w:rPr>
        <w:t>向</w:t>
      </w:r>
      <w:r>
        <w:rPr>
          <w:rFonts w:hint="eastAsia" w:ascii="宋体" w:hAnsi="宋体" w:eastAsia="宋体" w:cs="宋体"/>
          <w:color w:val="auto"/>
          <w:spacing w:val="8"/>
          <w:sz w:val="21"/>
          <w:szCs w:val="21"/>
          <w:highlight w:val="none"/>
        </w:rPr>
        <w:t>肇事</w:t>
      </w:r>
      <w:r>
        <w:rPr>
          <w:rFonts w:hint="eastAsia" w:ascii="宋体" w:hAnsi="宋体" w:eastAsia="宋体" w:cs="宋体"/>
          <w:color w:val="auto"/>
          <w:spacing w:val="6"/>
          <w:sz w:val="21"/>
          <w:szCs w:val="21"/>
          <w:highlight w:val="none"/>
        </w:rPr>
        <w:t>方追讨恢复所需费用，</w:t>
      </w:r>
      <w:r>
        <w:rPr>
          <w:rFonts w:hint="eastAsia" w:ascii="宋体" w:hAnsi="宋体" w:eastAsia="宋体" w:cs="宋体"/>
          <w:color w:val="auto"/>
          <w:spacing w:val="6"/>
          <w:sz w:val="21"/>
          <w:szCs w:val="21"/>
          <w:highlight w:val="none"/>
          <w:lang w:eastAsia="zh-CN"/>
        </w:rPr>
        <w:t>甲方</w:t>
      </w:r>
      <w:r>
        <w:rPr>
          <w:rFonts w:hint="eastAsia" w:ascii="宋体" w:hAnsi="宋体" w:eastAsia="宋体" w:cs="宋体"/>
          <w:color w:val="auto"/>
          <w:spacing w:val="6"/>
          <w:sz w:val="21"/>
          <w:szCs w:val="21"/>
          <w:highlight w:val="none"/>
        </w:rPr>
        <w:t>予以协助。但</w:t>
      </w:r>
      <w:r>
        <w:rPr>
          <w:rFonts w:hint="eastAsia" w:ascii="宋体" w:hAnsi="宋体" w:eastAsia="宋体" w:cs="宋体"/>
          <w:color w:val="auto"/>
          <w:spacing w:val="6"/>
          <w:sz w:val="21"/>
          <w:szCs w:val="21"/>
          <w:highlight w:val="none"/>
          <w:lang w:eastAsia="zh-CN"/>
        </w:rPr>
        <w:t>甲方</w:t>
      </w:r>
      <w:r>
        <w:rPr>
          <w:rFonts w:hint="eastAsia" w:ascii="宋体" w:hAnsi="宋体" w:eastAsia="宋体" w:cs="宋体"/>
          <w:color w:val="auto"/>
          <w:spacing w:val="6"/>
          <w:sz w:val="21"/>
          <w:szCs w:val="21"/>
          <w:highlight w:val="none"/>
        </w:rPr>
        <w:t>不确保</w:t>
      </w:r>
      <w:r>
        <w:rPr>
          <w:rFonts w:hint="eastAsia" w:ascii="宋体" w:hAnsi="宋体" w:eastAsia="宋体" w:cs="宋体"/>
          <w:color w:val="auto"/>
          <w:spacing w:val="5"/>
          <w:sz w:val="21"/>
          <w:szCs w:val="21"/>
          <w:highlight w:val="none"/>
        </w:rPr>
        <w:t>该笔费用能够追讨或全额追讨，出现该情况的，</w:t>
      </w:r>
      <w:r>
        <w:rPr>
          <w:rFonts w:hint="eastAsia" w:ascii="宋体" w:hAnsi="宋体" w:eastAsia="宋体" w:cs="宋体"/>
          <w:color w:val="auto"/>
          <w:spacing w:val="8"/>
          <w:sz w:val="21"/>
          <w:szCs w:val="21"/>
          <w:highlight w:val="none"/>
        </w:rPr>
        <w:t>由</w:t>
      </w:r>
      <w:r>
        <w:rPr>
          <w:rFonts w:hint="eastAsia" w:ascii="宋体" w:hAnsi="宋体" w:cs="宋体"/>
          <w:color w:val="auto"/>
          <w:spacing w:val="8"/>
          <w:sz w:val="21"/>
          <w:szCs w:val="21"/>
          <w:highlight w:val="none"/>
          <w:lang w:eastAsia="zh-CN"/>
        </w:rPr>
        <w:t>乙方</w:t>
      </w:r>
      <w:r>
        <w:rPr>
          <w:rFonts w:hint="eastAsia" w:ascii="宋体" w:hAnsi="宋体" w:eastAsia="宋体" w:cs="宋体"/>
          <w:color w:val="auto"/>
          <w:spacing w:val="8"/>
          <w:sz w:val="21"/>
          <w:szCs w:val="21"/>
          <w:highlight w:val="none"/>
        </w:rPr>
        <w:t>自行承担修复费用。</w:t>
      </w:r>
    </w:p>
    <w:p w14:paraId="2E542142">
      <w:pPr>
        <w:keepNext w:val="0"/>
        <w:keepLines w:val="0"/>
        <w:pageBreakBefore w:val="0"/>
        <w:widowControl w:val="0"/>
        <w:kinsoku/>
        <w:wordWrap/>
        <w:overflowPunct/>
        <w:topLinePunct w:val="0"/>
        <w:autoSpaceDE/>
        <w:autoSpaceDN/>
        <w:bidi w:val="0"/>
        <w:adjustRightInd/>
        <w:spacing w:before="154" w:line="360" w:lineRule="auto"/>
        <w:ind w:left="2" w:right="2" w:firstLine="437"/>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22、人力不可抗拒的自然灾害，</w:t>
      </w:r>
      <w:r>
        <w:rPr>
          <w:rFonts w:hint="eastAsia" w:ascii="宋体" w:hAnsi="宋体" w:eastAsia="宋体" w:cs="宋体"/>
          <w:color w:val="auto"/>
          <w:spacing w:val="12"/>
          <w:sz w:val="21"/>
          <w:szCs w:val="21"/>
          <w:highlight w:val="none"/>
          <w:lang w:eastAsia="zh-CN"/>
        </w:rPr>
        <w:t>乙方</w:t>
      </w:r>
      <w:r>
        <w:rPr>
          <w:rFonts w:hint="eastAsia" w:ascii="宋体" w:hAnsi="宋体" w:eastAsia="宋体" w:cs="宋体"/>
          <w:color w:val="auto"/>
          <w:spacing w:val="9"/>
          <w:sz w:val="21"/>
          <w:szCs w:val="21"/>
          <w:highlight w:val="none"/>
        </w:rPr>
        <w:t>需要制定方案，报送</w:t>
      </w:r>
      <w:r>
        <w:rPr>
          <w:rFonts w:hint="eastAsia" w:ascii="宋体" w:hAnsi="宋体" w:eastAsia="宋体" w:cs="宋体"/>
          <w:color w:val="auto"/>
          <w:spacing w:val="9"/>
          <w:sz w:val="21"/>
          <w:szCs w:val="21"/>
          <w:highlight w:val="none"/>
          <w:lang w:eastAsia="zh-CN"/>
        </w:rPr>
        <w:t>甲方</w:t>
      </w:r>
      <w:r>
        <w:rPr>
          <w:rFonts w:hint="eastAsia" w:ascii="宋体" w:hAnsi="宋体" w:eastAsia="宋体" w:cs="宋体"/>
          <w:color w:val="auto"/>
          <w:spacing w:val="8"/>
          <w:sz w:val="21"/>
          <w:szCs w:val="21"/>
          <w:highlight w:val="none"/>
        </w:rPr>
        <w:t>并及时修复受损设施，修复后按</w:t>
      </w:r>
      <w:r>
        <w:rPr>
          <w:rFonts w:hint="eastAsia" w:ascii="宋体" w:hAnsi="宋体" w:eastAsia="宋体" w:cs="宋体"/>
          <w:color w:val="auto"/>
          <w:spacing w:val="9"/>
          <w:sz w:val="21"/>
          <w:szCs w:val="21"/>
          <w:highlight w:val="none"/>
        </w:rPr>
        <w:t>照实际工程量编制结算书，向</w:t>
      </w:r>
      <w:r>
        <w:rPr>
          <w:rFonts w:hint="eastAsia" w:ascii="宋体" w:hAnsi="宋体" w:eastAsia="宋体" w:cs="宋体"/>
          <w:color w:val="auto"/>
          <w:spacing w:val="9"/>
          <w:sz w:val="21"/>
          <w:szCs w:val="21"/>
          <w:highlight w:val="none"/>
          <w:lang w:eastAsia="zh-CN"/>
        </w:rPr>
        <w:t>甲方</w:t>
      </w:r>
      <w:r>
        <w:rPr>
          <w:rFonts w:hint="eastAsia" w:ascii="宋体" w:hAnsi="宋体" w:eastAsia="宋体" w:cs="宋体"/>
          <w:color w:val="auto"/>
          <w:spacing w:val="9"/>
          <w:sz w:val="21"/>
          <w:szCs w:val="21"/>
          <w:highlight w:val="none"/>
        </w:rPr>
        <w:t>申报结算审核，费用另计。</w:t>
      </w:r>
      <w:bookmarkEnd w:id="162"/>
    </w:p>
    <w:p w14:paraId="5C634BB1">
      <w:pPr>
        <w:keepNext w:val="0"/>
        <w:keepLines w:val="0"/>
        <w:pageBreakBefore w:val="0"/>
        <w:widowControl w:val="0"/>
        <w:kinsoku/>
        <w:wordWrap/>
        <w:overflowPunct/>
        <w:topLinePunct w:val="0"/>
        <w:autoSpaceDE/>
        <w:autoSpaceDN/>
        <w:bidi w:val="0"/>
        <w:adjustRightInd/>
        <w:spacing w:before="154" w:line="360" w:lineRule="auto"/>
        <w:ind w:left="2" w:right="2" w:firstLine="437"/>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23、关于新接收设施的要求;</w:t>
      </w:r>
    </w:p>
    <w:p w14:paraId="4977ADBD">
      <w:pPr>
        <w:keepNext w:val="0"/>
        <w:keepLines w:val="0"/>
        <w:pageBreakBefore w:val="0"/>
        <w:widowControl w:val="0"/>
        <w:kinsoku/>
        <w:wordWrap/>
        <w:overflowPunct/>
        <w:topLinePunct w:val="0"/>
        <w:autoSpaceDE/>
        <w:autoSpaceDN/>
        <w:bidi w:val="0"/>
        <w:adjustRightInd/>
        <w:spacing w:before="154" w:line="360" w:lineRule="auto"/>
        <w:ind w:left="2" w:right="2" w:firstLine="437"/>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（1）已竣工验收合格但未正式移交的照明设施，</w:t>
      </w:r>
      <w:r>
        <w:rPr>
          <w:rFonts w:hint="eastAsia" w:ascii="宋体" w:hAnsi="宋体" w:cs="宋体"/>
          <w:color w:val="auto"/>
          <w:spacing w:val="10"/>
          <w:sz w:val="21"/>
          <w:szCs w:val="21"/>
          <w:highlight w:val="none"/>
          <w:lang w:eastAsia="zh-CN"/>
        </w:rPr>
        <w:t>乙方</w:t>
      </w:r>
      <w:r>
        <w:rPr>
          <w:rFonts w:hint="eastAsia" w:ascii="宋体" w:hAnsi="宋体" w:eastAsia="宋体" w:cs="宋体"/>
          <w:color w:val="auto"/>
          <w:spacing w:val="10"/>
          <w:sz w:val="21"/>
          <w:szCs w:val="21"/>
          <w:highlight w:val="none"/>
        </w:rPr>
        <w:t>只负责防盗巡查看护，不负责</w:t>
      </w:r>
      <w:r>
        <w:rPr>
          <w:rFonts w:hint="eastAsia" w:ascii="宋体" w:hAnsi="宋体" w:eastAsia="宋体" w:cs="宋体"/>
          <w:color w:val="auto"/>
          <w:spacing w:val="9"/>
          <w:sz w:val="21"/>
          <w:szCs w:val="21"/>
          <w:highlight w:val="none"/>
        </w:rPr>
        <w:t>设施的日常</w:t>
      </w:r>
      <w:r>
        <w:rPr>
          <w:rFonts w:hint="eastAsia" w:ascii="宋体" w:hAnsi="宋体" w:eastAsia="宋体" w:cs="宋体"/>
          <w:color w:val="auto"/>
          <w:spacing w:val="5"/>
          <w:sz w:val="21"/>
          <w:szCs w:val="21"/>
          <w:highlight w:val="none"/>
        </w:rPr>
        <w:t>维护维修。</w:t>
      </w:r>
    </w:p>
    <w:p w14:paraId="1200E96C">
      <w:pPr>
        <w:keepNext w:val="0"/>
        <w:keepLines w:val="0"/>
        <w:pageBreakBefore w:val="0"/>
        <w:widowControl w:val="0"/>
        <w:kinsoku/>
        <w:wordWrap/>
        <w:overflowPunct/>
        <w:topLinePunct w:val="0"/>
        <w:autoSpaceDE/>
        <w:autoSpaceDN/>
        <w:bidi w:val="0"/>
        <w:adjustRightInd/>
        <w:spacing w:before="154" w:line="360" w:lineRule="auto"/>
        <w:ind w:left="2" w:right="2" w:firstLine="437"/>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（2）</w:t>
      </w:r>
      <w:bookmarkStart w:id="163" w:name="auto_fouce_19"/>
      <w:r>
        <w:rPr>
          <w:rFonts w:hint="eastAsia" w:ascii="宋体" w:hAnsi="宋体" w:eastAsia="宋体" w:cs="宋体"/>
          <w:color w:val="auto"/>
          <w:spacing w:val="7"/>
          <w:sz w:val="21"/>
          <w:szCs w:val="21"/>
          <w:highlight w:val="none"/>
        </w:rPr>
        <w:t>对经验收合格的</w:t>
      </w:r>
      <w:r>
        <w:rPr>
          <w:rFonts w:hint="eastAsia" w:ascii="宋体" w:hAnsi="宋体" w:eastAsia="宋体" w:cs="宋体"/>
          <w:color w:val="auto"/>
          <w:spacing w:val="7"/>
          <w:sz w:val="21"/>
          <w:szCs w:val="21"/>
          <w:highlight w:val="none"/>
        </w:rPr>
        <w:t>道路照明（含亮化</w:t>
      </w:r>
      <w:r>
        <w:rPr>
          <w:rFonts w:hint="eastAsia" w:ascii="宋体" w:hAnsi="宋体" w:eastAsia="宋体" w:cs="宋体"/>
          <w:color w:val="auto"/>
          <w:spacing w:val="9"/>
          <w:sz w:val="21"/>
          <w:szCs w:val="21"/>
          <w:highlight w:val="none"/>
        </w:rPr>
        <w:t>），</w:t>
      </w:r>
      <w:r>
        <w:rPr>
          <w:rFonts w:hint="eastAsia" w:ascii="宋体" w:hAnsi="宋体" w:eastAsia="宋体" w:cs="宋体"/>
          <w:color w:val="auto"/>
          <w:spacing w:val="7"/>
          <w:sz w:val="21"/>
          <w:szCs w:val="21"/>
          <w:highlight w:val="none"/>
        </w:rPr>
        <w:t>未包含在当前市本级管理范围内的，路灯灯具3</w:t>
      </w:r>
      <w:r>
        <w:rPr>
          <w:rFonts w:hint="eastAsia" w:ascii="宋体" w:hAnsi="宋体" w:eastAsia="宋体" w:cs="宋体"/>
          <w:color w:val="auto"/>
          <w:spacing w:val="6"/>
          <w:sz w:val="21"/>
          <w:szCs w:val="21"/>
          <w:highlight w:val="none"/>
        </w:rPr>
        <w:t>00套、</w:t>
      </w:r>
      <w:r>
        <w:rPr>
          <w:rFonts w:hint="eastAsia" w:ascii="宋体" w:hAnsi="宋体" w:eastAsia="宋体" w:cs="宋体"/>
          <w:color w:val="auto"/>
          <w:spacing w:val="10"/>
          <w:sz w:val="21"/>
          <w:szCs w:val="21"/>
          <w:highlight w:val="none"/>
        </w:rPr>
        <w:t>景观照明灯具1000套以内的，</w:t>
      </w:r>
      <w:r>
        <w:rPr>
          <w:rFonts w:hint="eastAsia" w:ascii="宋体" w:hAnsi="宋体" w:eastAsia="宋体" w:cs="宋体"/>
          <w:color w:val="auto"/>
          <w:spacing w:val="12"/>
          <w:sz w:val="21"/>
          <w:szCs w:val="21"/>
          <w:highlight w:val="none"/>
          <w:lang w:eastAsia="zh-CN"/>
        </w:rPr>
        <w:t>乙方</w:t>
      </w:r>
      <w:r>
        <w:rPr>
          <w:rFonts w:hint="eastAsia" w:ascii="宋体" w:hAnsi="宋体" w:eastAsia="宋体" w:cs="宋体"/>
          <w:color w:val="auto"/>
          <w:spacing w:val="10"/>
          <w:sz w:val="21"/>
          <w:szCs w:val="21"/>
          <w:highlight w:val="none"/>
        </w:rPr>
        <w:t>必须无条件在规定的时间内纳入看护及维修，不再增加费用；超</w:t>
      </w:r>
      <w:r>
        <w:rPr>
          <w:rFonts w:hint="eastAsia" w:ascii="宋体" w:hAnsi="宋体" w:eastAsia="宋体" w:cs="宋体"/>
          <w:color w:val="auto"/>
          <w:spacing w:val="9"/>
          <w:sz w:val="21"/>
          <w:szCs w:val="21"/>
          <w:highlight w:val="none"/>
        </w:rPr>
        <w:t>过以上数据的，</w:t>
      </w:r>
      <w:r>
        <w:rPr>
          <w:rFonts w:hint="eastAsia" w:ascii="宋体" w:hAnsi="宋体" w:eastAsia="宋体" w:cs="宋体"/>
          <w:color w:val="auto"/>
          <w:spacing w:val="9"/>
          <w:sz w:val="21"/>
          <w:szCs w:val="21"/>
          <w:highlight w:val="none"/>
          <w:lang w:eastAsia="zh-CN"/>
        </w:rPr>
        <w:t>甲方</w:t>
      </w:r>
      <w:r>
        <w:rPr>
          <w:rFonts w:hint="eastAsia" w:ascii="宋体" w:hAnsi="宋体" w:eastAsia="宋体" w:cs="宋体"/>
          <w:color w:val="auto"/>
          <w:spacing w:val="9"/>
          <w:sz w:val="21"/>
          <w:szCs w:val="21"/>
          <w:highlight w:val="none"/>
        </w:rPr>
        <w:t>新接收的纳入</w:t>
      </w:r>
      <w:r>
        <w:rPr>
          <w:rFonts w:hint="eastAsia" w:ascii="宋体" w:hAnsi="宋体" w:eastAsia="宋体" w:cs="宋体"/>
          <w:color w:val="auto"/>
          <w:spacing w:val="9"/>
          <w:sz w:val="21"/>
          <w:szCs w:val="21"/>
          <w:highlight w:val="none"/>
          <w:lang w:val="en-US" w:eastAsia="zh-CN"/>
        </w:rPr>
        <w:t>市级城市管理区域</w:t>
      </w:r>
      <w:r>
        <w:rPr>
          <w:rFonts w:hint="eastAsia" w:ascii="宋体" w:hAnsi="宋体" w:cs="宋体"/>
          <w:color w:val="auto"/>
          <w:spacing w:val="9"/>
          <w:sz w:val="21"/>
          <w:szCs w:val="21"/>
          <w:highlight w:val="none"/>
          <w:lang w:val="en-US" w:eastAsia="zh-CN"/>
        </w:rPr>
        <w:t>内</w:t>
      </w:r>
      <w:r>
        <w:rPr>
          <w:rFonts w:hint="eastAsia" w:ascii="宋体" w:hAnsi="宋体" w:eastAsia="宋体" w:cs="宋体"/>
          <w:color w:val="auto"/>
          <w:spacing w:val="9"/>
          <w:sz w:val="21"/>
          <w:szCs w:val="21"/>
          <w:highlight w:val="none"/>
        </w:rPr>
        <w:t>的城市照明及附属配套设施可根据需求</w:t>
      </w:r>
      <w:r>
        <w:rPr>
          <w:rFonts w:hint="eastAsia" w:ascii="宋体" w:hAnsi="宋体" w:eastAsia="宋体" w:cs="宋体"/>
          <w:color w:val="auto"/>
          <w:spacing w:val="8"/>
          <w:sz w:val="21"/>
          <w:szCs w:val="21"/>
          <w:highlight w:val="none"/>
        </w:rPr>
        <w:t>委托</w:t>
      </w:r>
      <w:r>
        <w:rPr>
          <w:rFonts w:hint="eastAsia" w:ascii="宋体" w:hAnsi="宋体" w:eastAsia="宋体" w:cs="宋体"/>
          <w:color w:val="auto"/>
          <w:spacing w:val="12"/>
          <w:sz w:val="21"/>
          <w:szCs w:val="21"/>
          <w:highlight w:val="none"/>
          <w:lang w:eastAsia="zh-CN"/>
        </w:rPr>
        <w:t>乙方</w:t>
      </w:r>
      <w:r>
        <w:rPr>
          <w:rFonts w:hint="eastAsia" w:ascii="宋体" w:hAnsi="宋体" w:eastAsia="宋体" w:cs="宋体"/>
          <w:color w:val="auto"/>
          <w:spacing w:val="9"/>
          <w:sz w:val="21"/>
          <w:szCs w:val="21"/>
          <w:highlight w:val="none"/>
        </w:rPr>
        <w:t>维修，维修费用</w:t>
      </w:r>
      <w:r>
        <w:rPr>
          <w:rFonts w:hint="eastAsia" w:ascii="宋体" w:hAnsi="宋体" w:cs="宋体"/>
          <w:color w:val="auto"/>
          <w:spacing w:val="9"/>
          <w:sz w:val="21"/>
          <w:szCs w:val="21"/>
          <w:highlight w:val="none"/>
          <w:lang w:eastAsia="zh-CN"/>
        </w:rPr>
        <w:t>按双方协商确认的市场公允价</w:t>
      </w:r>
      <w:r>
        <w:rPr>
          <w:rFonts w:hint="eastAsia" w:ascii="宋体" w:hAnsi="宋体" w:eastAsia="宋体" w:cs="宋体"/>
          <w:color w:val="auto"/>
          <w:spacing w:val="9"/>
          <w:sz w:val="21"/>
          <w:szCs w:val="21"/>
          <w:highlight w:val="none"/>
          <w:lang w:eastAsia="zh-CN"/>
        </w:rPr>
        <w:t>另行结算</w:t>
      </w:r>
      <w:r>
        <w:rPr>
          <w:rFonts w:hint="eastAsia" w:ascii="宋体" w:hAnsi="宋体" w:eastAsia="宋体" w:cs="宋体"/>
          <w:color w:val="auto"/>
          <w:spacing w:val="8"/>
          <w:sz w:val="21"/>
          <w:szCs w:val="21"/>
          <w:highlight w:val="none"/>
        </w:rPr>
        <w:t>。</w:t>
      </w:r>
      <w:bookmarkEnd w:id="163"/>
    </w:p>
    <w:p w14:paraId="61CEDC78">
      <w:pPr>
        <w:keepNext w:val="0"/>
        <w:keepLines w:val="0"/>
        <w:pageBreakBefore w:val="0"/>
        <w:widowControl w:val="0"/>
        <w:kinsoku/>
        <w:wordWrap/>
        <w:overflowPunct/>
        <w:topLinePunct w:val="0"/>
        <w:autoSpaceDE/>
        <w:autoSpaceDN/>
        <w:bidi w:val="0"/>
        <w:adjustRightInd/>
        <w:spacing w:before="154" w:line="360" w:lineRule="auto"/>
        <w:ind w:left="2" w:right="2" w:firstLine="437"/>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24、本次招标中设施量书面统计与现场不符时，以现场为准。</w:t>
      </w:r>
      <w:r>
        <w:rPr>
          <w:rFonts w:hint="eastAsia" w:ascii="宋体" w:hAnsi="宋体" w:cs="宋体"/>
          <w:color w:val="auto"/>
          <w:spacing w:val="9"/>
          <w:sz w:val="21"/>
          <w:szCs w:val="21"/>
          <w:highlight w:val="none"/>
          <w:lang w:eastAsia="zh-CN"/>
        </w:rPr>
        <w:t>合同签订</w:t>
      </w:r>
      <w:r>
        <w:rPr>
          <w:rFonts w:hint="eastAsia" w:ascii="宋体" w:hAnsi="宋体" w:eastAsia="宋体" w:cs="宋体"/>
          <w:color w:val="auto"/>
          <w:spacing w:val="8"/>
          <w:sz w:val="21"/>
          <w:szCs w:val="21"/>
          <w:highlight w:val="none"/>
        </w:rPr>
        <w:t>后如在该路段有黑灯、被盗、被</w:t>
      </w:r>
      <w:r>
        <w:rPr>
          <w:rFonts w:hint="eastAsia" w:ascii="宋体" w:hAnsi="宋体" w:eastAsia="宋体" w:cs="宋体"/>
          <w:color w:val="auto"/>
          <w:spacing w:val="9"/>
          <w:sz w:val="21"/>
          <w:szCs w:val="21"/>
          <w:highlight w:val="none"/>
        </w:rPr>
        <w:t>损的属</w:t>
      </w:r>
      <w:r>
        <w:rPr>
          <w:rFonts w:hint="eastAsia" w:ascii="宋体" w:hAnsi="宋体" w:eastAsia="宋体" w:cs="宋体"/>
          <w:color w:val="auto"/>
          <w:spacing w:val="9"/>
          <w:sz w:val="21"/>
          <w:szCs w:val="21"/>
          <w:highlight w:val="none"/>
          <w:lang w:eastAsia="zh-CN"/>
        </w:rPr>
        <w:t>甲方</w:t>
      </w:r>
      <w:r>
        <w:rPr>
          <w:rFonts w:hint="eastAsia" w:ascii="宋体" w:hAnsi="宋体" w:eastAsia="宋体" w:cs="宋体"/>
          <w:color w:val="auto"/>
          <w:spacing w:val="9"/>
          <w:sz w:val="21"/>
          <w:szCs w:val="21"/>
          <w:highlight w:val="none"/>
        </w:rPr>
        <w:t>产权的照明设施，但在招标文件中未体现出来，均由</w:t>
      </w:r>
      <w:r>
        <w:rPr>
          <w:rFonts w:hint="eastAsia" w:ascii="宋体" w:hAnsi="宋体" w:eastAsia="宋体" w:cs="宋体"/>
          <w:color w:val="auto"/>
          <w:spacing w:val="12"/>
          <w:sz w:val="21"/>
          <w:szCs w:val="21"/>
          <w:highlight w:val="none"/>
          <w:lang w:eastAsia="zh-CN"/>
        </w:rPr>
        <w:t>乙方</w:t>
      </w:r>
      <w:r>
        <w:rPr>
          <w:rFonts w:hint="eastAsia" w:ascii="宋体" w:hAnsi="宋体" w:eastAsia="宋体" w:cs="宋体"/>
          <w:color w:val="auto"/>
          <w:spacing w:val="9"/>
          <w:sz w:val="21"/>
          <w:szCs w:val="21"/>
          <w:highlight w:val="none"/>
        </w:rPr>
        <w:t>负责修复或赔</w:t>
      </w:r>
      <w:r>
        <w:rPr>
          <w:rFonts w:hint="eastAsia" w:ascii="宋体" w:hAnsi="宋体" w:eastAsia="宋体" w:cs="宋体"/>
          <w:color w:val="auto"/>
          <w:spacing w:val="9"/>
          <w:sz w:val="21"/>
          <w:szCs w:val="21"/>
          <w:highlight w:val="none"/>
        </w:rPr>
        <w:t>偿。还</w:t>
      </w:r>
      <w:r>
        <w:rPr>
          <w:rFonts w:hint="eastAsia" w:ascii="宋体" w:hAnsi="宋体" w:eastAsia="宋体" w:cs="宋体"/>
          <w:color w:val="auto"/>
          <w:spacing w:val="8"/>
          <w:sz w:val="21"/>
          <w:szCs w:val="21"/>
          <w:highlight w:val="none"/>
        </w:rPr>
        <w:t>属于第三</w:t>
      </w:r>
      <w:r>
        <w:rPr>
          <w:rFonts w:hint="eastAsia" w:ascii="宋体" w:hAnsi="宋体" w:eastAsia="宋体" w:cs="宋体"/>
          <w:color w:val="auto"/>
          <w:spacing w:val="9"/>
          <w:sz w:val="21"/>
          <w:szCs w:val="21"/>
          <w:highlight w:val="none"/>
        </w:rPr>
        <w:t>方质保内的节点，经核实有未改造的旧设施，或存在争议，经核实属</w:t>
      </w:r>
      <w:r>
        <w:rPr>
          <w:rFonts w:hint="eastAsia" w:ascii="宋体" w:hAnsi="宋体" w:eastAsia="宋体" w:cs="宋体"/>
          <w:color w:val="auto"/>
          <w:spacing w:val="9"/>
          <w:sz w:val="21"/>
          <w:szCs w:val="21"/>
          <w:highlight w:val="none"/>
          <w:lang w:eastAsia="zh-CN"/>
        </w:rPr>
        <w:t>甲方</w:t>
      </w:r>
      <w:r>
        <w:rPr>
          <w:rFonts w:hint="eastAsia" w:ascii="宋体" w:hAnsi="宋体" w:eastAsia="宋体" w:cs="宋体"/>
          <w:color w:val="auto"/>
          <w:spacing w:val="9"/>
          <w:sz w:val="21"/>
          <w:szCs w:val="21"/>
          <w:highlight w:val="none"/>
        </w:rPr>
        <w:t>产权的照明设施，即使</w:t>
      </w:r>
      <w:r>
        <w:rPr>
          <w:rFonts w:hint="eastAsia" w:ascii="宋体" w:hAnsi="宋体" w:eastAsia="宋体" w:cs="宋体"/>
          <w:color w:val="auto"/>
          <w:spacing w:val="8"/>
          <w:sz w:val="21"/>
          <w:szCs w:val="21"/>
          <w:highlight w:val="none"/>
        </w:rPr>
        <w:t>在招</w:t>
      </w:r>
      <w:r>
        <w:rPr>
          <w:rFonts w:hint="eastAsia" w:ascii="宋体" w:hAnsi="宋体" w:eastAsia="宋体" w:cs="宋体"/>
          <w:color w:val="auto"/>
          <w:spacing w:val="9"/>
          <w:sz w:val="21"/>
          <w:szCs w:val="21"/>
          <w:highlight w:val="none"/>
        </w:rPr>
        <w:t>标文件中未体现出来，也应由</w:t>
      </w:r>
      <w:r>
        <w:rPr>
          <w:rFonts w:hint="eastAsia" w:ascii="宋体" w:hAnsi="宋体" w:eastAsia="宋体" w:cs="宋体"/>
          <w:color w:val="auto"/>
          <w:spacing w:val="12"/>
          <w:sz w:val="21"/>
          <w:szCs w:val="21"/>
          <w:highlight w:val="none"/>
          <w:lang w:eastAsia="zh-CN"/>
        </w:rPr>
        <w:t>乙方</w:t>
      </w:r>
      <w:r>
        <w:rPr>
          <w:rFonts w:hint="eastAsia" w:ascii="宋体" w:hAnsi="宋体" w:eastAsia="宋体" w:cs="宋体"/>
          <w:color w:val="auto"/>
          <w:spacing w:val="9"/>
          <w:sz w:val="21"/>
          <w:szCs w:val="21"/>
          <w:highlight w:val="none"/>
        </w:rPr>
        <w:t>负责维护。</w:t>
      </w:r>
    </w:p>
    <w:p w14:paraId="7A07DACD">
      <w:pPr>
        <w:keepNext w:val="0"/>
        <w:keepLines w:val="0"/>
        <w:pageBreakBefore w:val="0"/>
        <w:widowControl w:val="0"/>
        <w:kinsoku/>
        <w:wordWrap/>
        <w:overflowPunct/>
        <w:topLinePunct w:val="0"/>
        <w:autoSpaceDE/>
        <w:autoSpaceDN/>
        <w:bidi w:val="0"/>
        <w:adjustRightInd/>
        <w:spacing w:before="154" w:line="360" w:lineRule="auto"/>
        <w:ind w:left="2" w:right="2" w:firstLine="437"/>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25、本标段内</w:t>
      </w:r>
      <w:r>
        <w:rPr>
          <w:rFonts w:hint="eastAsia" w:ascii="宋体" w:hAnsi="宋体" w:eastAsia="宋体" w:cs="宋体"/>
          <w:color w:val="auto"/>
          <w:spacing w:val="9"/>
          <w:sz w:val="21"/>
          <w:szCs w:val="21"/>
          <w:highlight w:val="none"/>
        </w:rPr>
        <w:t>路灯灯具如属</w:t>
      </w:r>
      <w:r>
        <w:rPr>
          <w:rFonts w:hint="eastAsia" w:ascii="宋体" w:hAnsi="宋体" w:cs="宋体"/>
          <w:color w:val="auto"/>
          <w:spacing w:val="6"/>
          <w:sz w:val="21"/>
          <w:szCs w:val="21"/>
          <w:highlight w:val="none"/>
          <w:u w:val="none"/>
          <w:lang w:val="en-US" w:eastAsia="zh-CN"/>
        </w:rPr>
        <w:t>防城港市城市照明提升服务项目</w:t>
      </w:r>
      <w:r>
        <w:rPr>
          <w:rFonts w:hint="eastAsia" w:ascii="宋体" w:hAnsi="宋体" w:eastAsia="宋体" w:cs="宋体"/>
          <w:color w:val="auto"/>
          <w:spacing w:val="9"/>
          <w:sz w:val="21"/>
          <w:szCs w:val="21"/>
          <w:highlight w:val="none"/>
        </w:rPr>
        <w:t>的，维修不在本标段范围内。</w:t>
      </w:r>
    </w:p>
    <w:p w14:paraId="296E58E0">
      <w:pPr>
        <w:keepNext w:val="0"/>
        <w:keepLines w:val="0"/>
        <w:pageBreakBefore w:val="0"/>
        <w:widowControl w:val="0"/>
        <w:kinsoku/>
        <w:wordWrap/>
        <w:overflowPunct/>
        <w:topLinePunct w:val="0"/>
        <w:autoSpaceDE/>
        <w:autoSpaceDN/>
        <w:bidi w:val="0"/>
        <w:adjustRightInd/>
        <w:spacing w:before="154" w:line="360" w:lineRule="auto"/>
        <w:ind w:left="2" w:right="2" w:firstLine="437"/>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26、</w:t>
      </w:r>
      <w:r>
        <w:rPr>
          <w:rFonts w:hint="eastAsia" w:ascii="宋体" w:hAnsi="宋体" w:eastAsia="宋体" w:cs="宋体"/>
          <w:color w:val="auto"/>
          <w:spacing w:val="12"/>
          <w:sz w:val="21"/>
          <w:szCs w:val="21"/>
          <w:highlight w:val="none"/>
          <w:lang w:eastAsia="zh-CN"/>
        </w:rPr>
        <w:t>乙方</w:t>
      </w:r>
      <w:r>
        <w:rPr>
          <w:rFonts w:hint="eastAsia" w:ascii="宋体" w:hAnsi="宋体" w:eastAsia="宋体" w:cs="宋体"/>
          <w:color w:val="auto"/>
          <w:spacing w:val="9"/>
          <w:sz w:val="21"/>
          <w:szCs w:val="21"/>
          <w:highlight w:val="none"/>
        </w:rPr>
        <w:t>在维护期内需要对</w:t>
      </w:r>
      <w:r>
        <w:rPr>
          <w:rFonts w:hint="eastAsia" w:ascii="宋体" w:hAnsi="宋体" w:eastAsia="宋体" w:cs="宋体"/>
          <w:color w:val="auto"/>
          <w:spacing w:val="9"/>
          <w:sz w:val="21"/>
          <w:szCs w:val="21"/>
          <w:highlight w:val="none"/>
          <w:lang w:eastAsia="zh-CN"/>
        </w:rPr>
        <w:t>甲方</w:t>
      </w:r>
      <w:r>
        <w:rPr>
          <w:rFonts w:hint="eastAsia" w:ascii="宋体" w:hAnsi="宋体" w:eastAsia="宋体" w:cs="宋体"/>
          <w:color w:val="auto"/>
          <w:spacing w:val="9"/>
          <w:sz w:val="21"/>
          <w:szCs w:val="21"/>
          <w:highlight w:val="none"/>
        </w:rPr>
        <w:t>的照明设施、灯具数</w:t>
      </w:r>
      <w:r>
        <w:rPr>
          <w:rFonts w:hint="eastAsia" w:ascii="宋体" w:hAnsi="宋体" w:eastAsia="宋体" w:cs="宋体"/>
          <w:color w:val="auto"/>
          <w:spacing w:val="8"/>
          <w:sz w:val="21"/>
          <w:szCs w:val="21"/>
          <w:highlight w:val="none"/>
        </w:rPr>
        <w:t>量、型号、规格及电缆走向、长度等进行</w:t>
      </w:r>
      <w:r>
        <w:rPr>
          <w:rFonts w:hint="eastAsia" w:ascii="宋体" w:hAnsi="宋体" w:eastAsia="宋体" w:cs="宋体"/>
          <w:color w:val="auto"/>
          <w:spacing w:val="9"/>
          <w:sz w:val="21"/>
          <w:szCs w:val="21"/>
          <w:highlight w:val="none"/>
        </w:rPr>
        <w:t>普查，</w:t>
      </w:r>
      <w:r>
        <w:rPr>
          <w:rFonts w:hint="eastAsia" w:ascii="宋体" w:hAnsi="宋体" w:cs="宋体"/>
          <w:color w:val="auto"/>
          <w:spacing w:val="9"/>
          <w:sz w:val="21"/>
          <w:szCs w:val="21"/>
          <w:highlight w:val="none"/>
          <w:lang w:eastAsia="zh-CN"/>
        </w:rPr>
        <w:t>合同签订</w:t>
      </w:r>
      <w:r>
        <w:rPr>
          <w:rFonts w:hint="eastAsia" w:ascii="宋体" w:hAnsi="宋体" w:eastAsia="宋体" w:cs="宋体"/>
          <w:color w:val="auto"/>
          <w:spacing w:val="9"/>
          <w:sz w:val="21"/>
          <w:szCs w:val="21"/>
          <w:highlight w:val="none"/>
        </w:rPr>
        <w:t>后三个月内将标段范围内的照明设施量报</w:t>
      </w:r>
      <w:r>
        <w:rPr>
          <w:rFonts w:hint="eastAsia" w:ascii="宋体" w:hAnsi="宋体" w:eastAsia="宋体" w:cs="宋体"/>
          <w:color w:val="auto"/>
          <w:spacing w:val="9"/>
          <w:sz w:val="21"/>
          <w:szCs w:val="21"/>
          <w:highlight w:val="none"/>
          <w:lang w:eastAsia="zh-CN"/>
        </w:rPr>
        <w:t>甲方</w:t>
      </w:r>
      <w:r>
        <w:rPr>
          <w:rFonts w:hint="eastAsia" w:ascii="宋体" w:hAnsi="宋体" w:eastAsia="宋体" w:cs="宋体"/>
          <w:color w:val="auto"/>
          <w:spacing w:val="9"/>
          <w:sz w:val="21"/>
          <w:szCs w:val="21"/>
          <w:highlight w:val="none"/>
        </w:rPr>
        <w:t>备案。对在维护期内照明设施的</w:t>
      </w:r>
      <w:r>
        <w:rPr>
          <w:rFonts w:hint="eastAsia" w:ascii="宋体" w:hAnsi="宋体" w:eastAsia="宋体" w:cs="宋体"/>
          <w:color w:val="auto"/>
          <w:spacing w:val="8"/>
          <w:sz w:val="21"/>
          <w:szCs w:val="21"/>
          <w:highlight w:val="none"/>
        </w:rPr>
        <w:t>变化情况要</w:t>
      </w:r>
      <w:r>
        <w:rPr>
          <w:rFonts w:hint="eastAsia" w:ascii="宋体" w:hAnsi="宋体" w:eastAsia="宋体" w:cs="宋体"/>
          <w:color w:val="auto"/>
          <w:spacing w:val="9"/>
          <w:sz w:val="21"/>
          <w:szCs w:val="21"/>
          <w:highlight w:val="none"/>
        </w:rPr>
        <w:t>进行更新，在维护期满前一个月，将照明设施分布图、设施量统计表提交</w:t>
      </w:r>
      <w:r>
        <w:rPr>
          <w:rFonts w:hint="eastAsia" w:ascii="宋体" w:hAnsi="宋体" w:eastAsia="宋体" w:cs="宋体"/>
          <w:color w:val="auto"/>
          <w:spacing w:val="9"/>
          <w:sz w:val="21"/>
          <w:szCs w:val="21"/>
          <w:highlight w:val="none"/>
          <w:lang w:eastAsia="zh-CN"/>
        </w:rPr>
        <w:t>甲方</w:t>
      </w:r>
      <w:r>
        <w:rPr>
          <w:rFonts w:hint="eastAsia" w:ascii="宋体" w:hAnsi="宋体" w:eastAsia="宋体" w:cs="宋体"/>
          <w:color w:val="auto"/>
          <w:spacing w:val="9"/>
          <w:sz w:val="21"/>
          <w:szCs w:val="21"/>
          <w:highlight w:val="none"/>
        </w:rPr>
        <w:t>，作为与下一合同</w:t>
      </w:r>
      <w:r>
        <w:rPr>
          <w:rFonts w:hint="eastAsia" w:ascii="宋体" w:hAnsi="宋体" w:eastAsia="宋体" w:cs="宋体"/>
          <w:color w:val="auto"/>
          <w:spacing w:val="8"/>
          <w:sz w:val="21"/>
          <w:szCs w:val="21"/>
          <w:highlight w:val="none"/>
        </w:rPr>
        <w:t>年度</w:t>
      </w:r>
      <w:r>
        <w:rPr>
          <w:rFonts w:hint="eastAsia" w:ascii="宋体" w:hAnsi="宋体" w:cs="宋体"/>
          <w:color w:val="auto"/>
          <w:spacing w:val="7"/>
          <w:sz w:val="21"/>
          <w:szCs w:val="21"/>
          <w:highlight w:val="none"/>
          <w:lang w:eastAsia="zh-CN"/>
        </w:rPr>
        <w:t>乙方</w:t>
      </w:r>
      <w:r>
        <w:rPr>
          <w:rFonts w:hint="eastAsia" w:ascii="宋体" w:hAnsi="宋体" w:eastAsia="宋体" w:cs="宋体"/>
          <w:color w:val="auto"/>
          <w:spacing w:val="7"/>
          <w:sz w:val="21"/>
          <w:szCs w:val="21"/>
          <w:highlight w:val="none"/>
        </w:rPr>
        <w:t>交接的依据。</w:t>
      </w:r>
    </w:p>
    <w:p w14:paraId="6F752446">
      <w:pPr>
        <w:keepNext w:val="0"/>
        <w:keepLines w:val="0"/>
        <w:pageBreakBefore w:val="0"/>
        <w:widowControl w:val="0"/>
        <w:kinsoku/>
        <w:wordWrap/>
        <w:overflowPunct/>
        <w:topLinePunct w:val="0"/>
        <w:autoSpaceDE/>
        <w:autoSpaceDN/>
        <w:bidi w:val="0"/>
        <w:adjustRightInd/>
        <w:spacing w:before="154" w:line="360" w:lineRule="auto"/>
        <w:ind w:left="2" w:right="2" w:firstLine="437"/>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27、维护材料</w:t>
      </w:r>
    </w:p>
    <w:p w14:paraId="7684B22D">
      <w:pPr>
        <w:keepNext w:val="0"/>
        <w:keepLines w:val="0"/>
        <w:pageBreakBefore w:val="0"/>
        <w:widowControl w:val="0"/>
        <w:kinsoku/>
        <w:wordWrap/>
        <w:overflowPunct/>
        <w:topLinePunct w:val="0"/>
        <w:autoSpaceDE/>
        <w:autoSpaceDN/>
        <w:bidi w:val="0"/>
        <w:adjustRightInd/>
        <w:spacing w:before="154" w:line="360" w:lineRule="auto"/>
        <w:ind w:left="2" w:right="2" w:firstLine="437"/>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（1）</w:t>
      </w:r>
      <w:bookmarkStart w:id="164" w:name="auto_fouce_20"/>
      <w:r>
        <w:rPr>
          <w:rFonts w:hint="eastAsia" w:ascii="宋体" w:hAnsi="宋体" w:eastAsia="宋体" w:cs="宋体"/>
          <w:color w:val="auto"/>
          <w:spacing w:val="12"/>
          <w:sz w:val="21"/>
          <w:szCs w:val="21"/>
          <w:highlight w:val="none"/>
          <w:lang w:eastAsia="zh-CN"/>
        </w:rPr>
        <w:t>乙方</w:t>
      </w:r>
      <w:r>
        <w:rPr>
          <w:rFonts w:hint="eastAsia" w:ascii="宋体" w:hAnsi="宋体" w:eastAsia="宋体" w:cs="宋体"/>
          <w:color w:val="auto"/>
          <w:spacing w:val="10"/>
          <w:sz w:val="21"/>
          <w:szCs w:val="21"/>
          <w:highlight w:val="none"/>
        </w:rPr>
        <w:t>在更换灯具、光源、电器等材料时，品牌、外形、规格应与原材料一致，如市场上已</w:t>
      </w:r>
      <w:r>
        <w:rPr>
          <w:rFonts w:hint="eastAsia" w:ascii="宋体" w:hAnsi="宋体" w:eastAsia="宋体" w:cs="宋体"/>
          <w:color w:val="auto"/>
          <w:spacing w:val="9"/>
          <w:sz w:val="21"/>
          <w:szCs w:val="21"/>
          <w:highlight w:val="none"/>
        </w:rPr>
        <w:t>无原同品牌产品替换的，需采用</w:t>
      </w:r>
      <w:r>
        <w:rPr>
          <w:rFonts w:hint="eastAsia" w:ascii="宋体" w:hAnsi="宋体" w:cs="宋体"/>
          <w:color w:val="auto"/>
          <w:spacing w:val="9"/>
          <w:sz w:val="21"/>
          <w:szCs w:val="21"/>
          <w:highlight w:val="none"/>
          <w:lang w:eastAsia="zh-CN"/>
        </w:rPr>
        <w:t>不低于原产品性能参数的</w:t>
      </w:r>
      <w:r>
        <w:rPr>
          <w:rFonts w:hint="eastAsia" w:ascii="宋体" w:hAnsi="宋体" w:eastAsia="宋体" w:cs="宋体"/>
          <w:color w:val="auto"/>
          <w:spacing w:val="9"/>
          <w:sz w:val="21"/>
          <w:szCs w:val="21"/>
          <w:highlight w:val="none"/>
        </w:rPr>
        <w:t>合格产品进行替换（提供合</w:t>
      </w:r>
      <w:r>
        <w:rPr>
          <w:rFonts w:hint="eastAsia" w:ascii="宋体" w:hAnsi="宋体" w:eastAsia="宋体" w:cs="宋体"/>
          <w:color w:val="auto"/>
          <w:spacing w:val="8"/>
          <w:sz w:val="21"/>
          <w:szCs w:val="21"/>
          <w:highlight w:val="none"/>
        </w:rPr>
        <w:t>格证、检测报告</w:t>
      </w:r>
      <w:r>
        <w:rPr>
          <w:rFonts w:hint="eastAsia" w:ascii="宋体" w:hAnsi="宋体" w:eastAsia="宋体" w:cs="宋体"/>
          <w:color w:val="auto"/>
          <w:spacing w:val="16"/>
          <w:sz w:val="21"/>
          <w:szCs w:val="21"/>
          <w:highlight w:val="none"/>
        </w:rPr>
        <w:t>），</w:t>
      </w:r>
      <w:r>
        <w:rPr>
          <w:rFonts w:hint="eastAsia" w:ascii="宋体" w:hAnsi="宋体" w:eastAsia="宋体" w:cs="宋体"/>
          <w:color w:val="auto"/>
          <w:spacing w:val="8"/>
          <w:sz w:val="21"/>
          <w:szCs w:val="21"/>
          <w:highlight w:val="none"/>
        </w:rPr>
        <w:t>并报</w:t>
      </w:r>
      <w:r>
        <w:rPr>
          <w:rFonts w:hint="eastAsia" w:ascii="宋体" w:hAnsi="宋体" w:eastAsia="宋体" w:cs="宋体"/>
          <w:color w:val="auto"/>
          <w:spacing w:val="8"/>
          <w:sz w:val="21"/>
          <w:szCs w:val="21"/>
          <w:highlight w:val="none"/>
          <w:lang w:eastAsia="zh-CN"/>
        </w:rPr>
        <w:t>甲方</w:t>
      </w:r>
      <w:r>
        <w:rPr>
          <w:rFonts w:hint="eastAsia" w:ascii="宋体" w:hAnsi="宋体" w:eastAsia="宋体" w:cs="宋体"/>
          <w:color w:val="auto"/>
          <w:spacing w:val="8"/>
          <w:sz w:val="21"/>
          <w:szCs w:val="21"/>
          <w:highlight w:val="none"/>
        </w:rPr>
        <w:t>签证备案。</w:t>
      </w:r>
      <w:bookmarkEnd w:id="164"/>
    </w:p>
    <w:p w14:paraId="4B68E4AE">
      <w:pPr>
        <w:keepNext w:val="0"/>
        <w:keepLines w:val="0"/>
        <w:pageBreakBefore w:val="0"/>
        <w:widowControl w:val="0"/>
        <w:kinsoku/>
        <w:wordWrap/>
        <w:overflowPunct/>
        <w:topLinePunct w:val="0"/>
        <w:autoSpaceDE/>
        <w:autoSpaceDN/>
        <w:bidi w:val="0"/>
        <w:adjustRightInd/>
        <w:spacing w:before="154" w:line="360" w:lineRule="auto"/>
        <w:ind w:left="2" w:right="2" w:firstLine="437"/>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（2）各标段路灯、亮化维护涉及所有维护所用材料均由</w:t>
      </w:r>
      <w:r>
        <w:rPr>
          <w:rFonts w:hint="eastAsia" w:ascii="宋体" w:hAnsi="宋体" w:cs="宋体"/>
          <w:color w:val="auto"/>
          <w:spacing w:val="11"/>
          <w:sz w:val="21"/>
          <w:szCs w:val="21"/>
          <w:highlight w:val="none"/>
          <w:lang w:eastAsia="zh-CN"/>
        </w:rPr>
        <w:t>乙方</w:t>
      </w:r>
      <w:r>
        <w:rPr>
          <w:rFonts w:hint="eastAsia" w:ascii="宋体" w:hAnsi="宋体" w:eastAsia="宋体" w:cs="宋体"/>
          <w:color w:val="auto"/>
          <w:spacing w:val="11"/>
          <w:sz w:val="21"/>
          <w:szCs w:val="21"/>
          <w:highlight w:val="none"/>
        </w:rPr>
        <w:t>采购，</w:t>
      </w:r>
      <w:r>
        <w:rPr>
          <w:rFonts w:hint="eastAsia" w:ascii="宋体" w:hAnsi="宋体" w:cs="宋体"/>
          <w:color w:val="auto"/>
          <w:spacing w:val="11"/>
          <w:sz w:val="21"/>
          <w:szCs w:val="21"/>
          <w:highlight w:val="none"/>
          <w:lang w:eastAsia="zh-CN"/>
        </w:rPr>
        <w:t>乙方</w:t>
      </w:r>
      <w:r>
        <w:rPr>
          <w:rFonts w:hint="eastAsia" w:ascii="宋体" w:hAnsi="宋体" w:eastAsia="宋体" w:cs="宋体"/>
          <w:color w:val="auto"/>
          <w:spacing w:val="11"/>
          <w:sz w:val="21"/>
          <w:szCs w:val="21"/>
          <w:highlight w:val="none"/>
        </w:rPr>
        <w:t>要有相应的仓</w:t>
      </w:r>
      <w:r>
        <w:rPr>
          <w:rFonts w:hint="eastAsia" w:ascii="宋体" w:hAnsi="宋体" w:eastAsia="宋体" w:cs="宋体"/>
          <w:color w:val="auto"/>
          <w:spacing w:val="10"/>
          <w:sz w:val="21"/>
          <w:szCs w:val="21"/>
          <w:highlight w:val="none"/>
        </w:rPr>
        <w:t>库存放</w:t>
      </w:r>
      <w:r>
        <w:rPr>
          <w:rFonts w:hint="eastAsia" w:ascii="宋体" w:hAnsi="宋体" w:eastAsia="宋体" w:cs="宋体"/>
          <w:color w:val="auto"/>
          <w:spacing w:val="9"/>
          <w:sz w:val="21"/>
          <w:szCs w:val="21"/>
          <w:highlight w:val="none"/>
        </w:rPr>
        <w:t>灯杆、灯具、灯泡、电源、电缆等各类照明设施的维护材料及配件。</w:t>
      </w:r>
      <w:r>
        <w:rPr>
          <w:rFonts w:hint="eastAsia" w:ascii="宋体" w:hAnsi="宋体" w:eastAsia="宋体" w:cs="宋体"/>
          <w:color w:val="auto"/>
          <w:spacing w:val="9"/>
          <w:sz w:val="21"/>
          <w:szCs w:val="21"/>
          <w:highlight w:val="none"/>
          <w:lang w:eastAsia="zh-CN"/>
        </w:rPr>
        <w:t>甲方</w:t>
      </w:r>
      <w:r>
        <w:rPr>
          <w:rFonts w:hint="eastAsia" w:ascii="宋体" w:hAnsi="宋体" w:eastAsia="宋体" w:cs="宋体"/>
          <w:color w:val="auto"/>
          <w:spacing w:val="9"/>
          <w:sz w:val="21"/>
          <w:szCs w:val="21"/>
          <w:highlight w:val="none"/>
        </w:rPr>
        <w:t>采取不定期抽查方</w:t>
      </w:r>
      <w:r>
        <w:rPr>
          <w:rFonts w:hint="eastAsia" w:ascii="宋体" w:hAnsi="宋体" w:eastAsia="宋体" w:cs="宋体"/>
          <w:color w:val="auto"/>
          <w:spacing w:val="8"/>
          <w:sz w:val="21"/>
          <w:szCs w:val="21"/>
          <w:highlight w:val="none"/>
        </w:rPr>
        <w:t>式对维护</w:t>
      </w:r>
      <w:r>
        <w:rPr>
          <w:rFonts w:hint="eastAsia" w:ascii="宋体" w:hAnsi="宋体" w:eastAsia="宋体" w:cs="宋体"/>
          <w:color w:val="auto"/>
          <w:spacing w:val="9"/>
          <w:sz w:val="21"/>
          <w:szCs w:val="21"/>
          <w:highlight w:val="none"/>
        </w:rPr>
        <w:t>材料的库存及更换情况进行检查核对。</w:t>
      </w:r>
      <w:r>
        <w:rPr>
          <w:rFonts w:hint="eastAsia" w:ascii="宋体" w:hAnsi="宋体" w:eastAsia="宋体" w:cs="宋体"/>
          <w:color w:val="auto"/>
          <w:spacing w:val="9"/>
          <w:sz w:val="21"/>
          <w:szCs w:val="21"/>
          <w:highlight w:val="none"/>
          <w:lang w:eastAsia="zh-CN"/>
        </w:rPr>
        <w:t>甲方</w:t>
      </w:r>
      <w:r>
        <w:rPr>
          <w:rFonts w:hint="eastAsia" w:ascii="宋体" w:hAnsi="宋体" w:eastAsia="宋体" w:cs="宋体"/>
          <w:color w:val="auto"/>
          <w:spacing w:val="9"/>
          <w:sz w:val="21"/>
          <w:szCs w:val="21"/>
          <w:highlight w:val="none"/>
        </w:rPr>
        <w:t>对维护使用的零星材料提出质疑时，有权要求</w:t>
      </w:r>
      <w:r>
        <w:rPr>
          <w:rFonts w:hint="eastAsia" w:ascii="宋体" w:hAnsi="宋体" w:cs="宋体"/>
          <w:color w:val="auto"/>
          <w:spacing w:val="9"/>
          <w:sz w:val="21"/>
          <w:szCs w:val="21"/>
          <w:highlight w:val="none"/>
          <w:lang w:eastAsia="zh-CN"/>
        </w:rPr>
        <w:t>乙方</w:t>
      </w:r>
      <w:r>
        <w:rPr>
          <w:rFonts w:hint="eastAsia" w:ascii="宋体" w:hAnsi="宋体" w:eastAsia="宋体" w:cs="宋体"/>
          <w:color w:val="auto"/>
          <w:spacing w:val="8"/>
          <w:sz w:val="21"/>
          <w:szCs w:val="21"/>
          <w:highlight w:val="none"/>
        </w:rPr>
        <w:t>提供</w:t>
      </w:r>
      <w:r>
        <w:rPr>
          <w:rFonts w:hint="eastAsia" w:ascii="宋体" w:hAnsi="宋体" w:eastAsia="宋体" w:cs="宋体"/>
          <w:color w:val="auto"/>
          <w:spacing w:val="9"/>
          <w:sz w:val="21"/>
          <w:szCs w:val="21"/>
          <w:highlight w:val="none"/>
        </w:rPr>
        <w:t>未在招标文件中列出的零星材料的合格证或检测报告。</w:t>
      </w:r>
    </w:p>
    <w:p w14:paraId="1B6F36C6">
      <w:pPr>
        <w:keepNext w:val="0"/>
        <w:keepLines w:val="0"/>
        <w:pageBreakBefore w:val="0"/>
        <w:widowControl w:val="0"/>
        <w:kinsoku/>
        <w:wordWrap/>
        <w:overflowPunct/>
        <w:topLinePunct w:val="0"/>
        <w:autoSpaceDE/>
        <w:autoSpaceDN/>
        <w:bidi w:val="0"/>
        <w:adjustRightInd/>
        <w:spacing w:before="154" w:line="360" w:lineRule="auto"/>
        <w:ind w:left="2" w:right="2" w:firstLine="437"/>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（3）</w:t>
      </w:r>
      <w:r>
        <w:rPr>
          <w:rFonts w:hint="eastAsia" w:ascii="宋体" w:hAnsi="宋体" w:eastAsia="宋体" w:cs="宋体"/>
          <w:color w:val="auto"/>
          <w:spacing w:val="8"/>
          <w:sz w:val="21"/>
          <w:szCs w:val="21"/>
          <w:highlight w:val="none"/>
          <w:lang w:eastAsia="zh-CN"/>
        </w:rPr>
        <w:t>甲方</w:t>
      </w:r>
      <w:r>
        <w:rPr>
          <w:rFonts w:hint="eastAsia" w:ascii="宋体" w:hAnsi="宋体" w:eastAsia="宋体" w:cs="宋体"/>
          <w:color w:val="auto"/>
          <w:spacing w:val="8"/>
          <w:sz w:val="21"/>
          <w:szCs w:val="21"/>
          <w:highlight w:val="none"/>
        </w:rPr>
        <w:t>将在每期验收考核支付时，同时对</w:t>
      </w:r>
      <w:r>
        <w:rPr>
          <w:rFonts w:hint="eastAsia" w:ascii="宋体" w:hAnsi="宋体" w:eastAsia="宋体" w:cs="宋体"/>
          <w:color w:val="auto"/>
          <w:spacing w:val="12"/>
          <w:sz w:val="21"/>
          <w:szCs w:val="21"/>
          <w:highlight w:val="none"/>
          <w:lang w:eastAsia="zh-CN"/>
        </w:rPr>
        <w:t>乙方</w:t>
      </w:r>
      <w:r>
        <w:rPr>
          <w:rFonts w:hint="eastAsia" w:ascii="宋体" w:hAnsi="宋体" w:eastAsia="宋体" w:cs="宋体"/>
          <w:color w:val="auto"/>
          <w:spacing w:val="8"/>
          <w:sz w:val="21"/>
          <w:szCs w:val="21"/>
          <w:highlight w:val="none"/>
        </w:rPr>
        <w:t>库存的照明设施</w:t>
      </w:r>
      <w:r>
        <w:rPr>
          <w:rFonts w:hint="eastAsia" w:ascii="宋体" w:hAnsi="宋体" w:eastAsia="宋体" w:cs="宋体"/>
          <w:color w:val="auto"/>
          <w:spacing w:val="7"/>
          <w:sz w:val="21"/>
          <w:szCs w:val="21"/>
          <w:highlight w:val="none"/>
        </w:rPr>
        <w:t>维修材料进行检查验收工作。</w:t>
      </w:r>
    </w:p>
    <w:p w14:paraId="1454F725">
      <w:pPr>
        <w:keepNext w:val="0"/>
        <w:keepLines w:val="0"/>
        <w:pageBreakBefore w:val="0"/>
        <w:widowControl w:val="0"/>
        <w:kinsoku/>
        <w:wordWrap/>
        <w:overflowPunct/>
        <w:topLinePunct w:val="0"/>
        <w:autoSpaceDE/>
        <w:autoSpaceDN/>
        <w:bidi w:val="0"/>
        <w:adjustRightInd/>
        <w:spacing w:before="154" w:line="360" w:lineRule="auto"/>
        <w:ind w:left="2" w:right="2" w:firstLine="437"/>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（4）</w:t>
      </w:r>
      <w:r>
        <w:rPr>
          <w:rFonts w:hint="eastAsia" w:ascii="宋体" w:hAnsi="宋体" w:eastAsia="宋体" w:cs="宋体"/>
          <w:color w:val="auto"/>
          <w:spacing w:val="10"/>
          <w:sz w:val="21"/>
          <w:szCs w:val="21"/>
          <w:highlight w:val="none"/>
          <w:lang w:eastAsia="zh-CN"/>
        </w:rPr>
        <w:t>乙方</w:t>
      </w:r>
      <w:r>
        <w:rPr>
          <w:rFonts w:hint="eastAsia" w:ascii="宋体" w:hAnsi="宋体" w:eastAsia="宋体" w:cs="宋体"/>
          <w:color w:val="auto"/>
          <w:spacing w:val="10"/>
          <w:sz w:val="21"/>
          <w:szCs w:val="21"/>
          <w:highlight w:val="none"/>
        </w:rPr>
        <w:t>须对维修中更换的照明设施做好记录、照片等台账资料，并报</w:t>
      </w:r>
      <w:r>
        <w:rPr>
          <w:rFonts w:hint="eastAsia" w:ascii="宋体" w:hAnsi="宋体" w:eastAsia="宋体" w:cs="宋体"/>
          <w:color w:val="auto"/>
          <w:spacing w:val="10"/>
          <w:sz w:val="21"/>
          <w:szCs w:val="21"/>
          <w:highlight w:val="none"/>
          <w:lang w:eastAsia="zh-CN"/>
        </w:rPr>
        <w:t>甲方</w:t>
      </w:r>
      <w:r>
        <w:rPr>
          <w:rFonts w:hint="eastAsia" w:ascii="宋体" w:hAnsi="宋体" w:eastAsia="宋体" w:cs="宋体"/>
          <w:color w:val="auto"/>
          <w:spacing w:val="10"/>
          <w:sz w:val="21"/>
          <w:szCs w:val="21"/>
          <w:highlight w:val="none"/>
        </w:rPr>
        <w:t>备案，每季</w:t>
      </w:r>
      <w:r>
        <w:rPr>
          <w:rFonts w:hint="eastAsia" w:ascii="宋体" w:hAnsi="宋体" w:eastAsia="宋体" w:cs="宋体"/>
          <w:color w:val="auto"/>
          <w:spacing w:val="9"/>
          <w:sz w:val="21"/>
          <w:szCs w:val="21"/>
          <w:highlight w:val="none"/>
        </w:rPr>
        <w:t>度验收时，</w:t>
      </w:r>
      <w:r>
        <w:rPr>
          <w:rFonts w:hint="eastAsia" w:ascii="宋体" w:hAnsi="宋体" w:eastAsia="宋体" w:cs="宋体"/>
          <w:color w:val="auto"/>
          <w:spacing w:val="9"/>
          <w:sz w:val="21"/>
          <w:szCs w:val="21"/>
          <w:highlight w:val="none"/>
          <w:lang w:eastAsia="zh-CN"/>
        </w:rPr>
        <w:t>甲方</w:t>
      </w:r>
      <w:r>
        <w:rPr>
          <w:rFonts w:hint="eastAsia" w:ascii="宋体" w:hAnsi="宋体" w:eastAsia="宋体" w:cs="宋体"/>
          <w:color w:val="auto"/>
          <w:spacing w:val="9"/>
          <w:sz w:val="21"/>
          <w:szCs w:val="21"/>
          <w:highlight w:val="none"/>
        </w:rPr>
        <w:t>根据</w:t>
      </w:r>
      <w:r>
        <w:rPr>
          <w:rFonts w:hint="eastAsia" w:ascii="宋体" w:hAnsi="宋体" w:cs="宋体"/>
          <w:color w:val="auto"/>
          <w:spacing w:val="9"/>
          <w:sz w:val="21"/>
          <w:szCs w:val="21"/>
          <w:highlight w:val="none"/>
          <w:lang w:eastAsia="zh-CN"/>
        </w:rPr>
        <w:t>乙方</w:t>
      </w:r>
      <w:r>
        <w:rPr>
          <w:rFonts w:hint="eastAsia" w:ascii="宋体" w:hAnsi="宋体" w:eastAsia="宋体" w:cs="宋体"/>
          <w:color w:val="auto"/>
          <w:spacing w:val="9"/>
          <w:sz w:val="21"/>
          <w:szCs w:val="21"/>
          <w:highlight w:val="none"/>
        </w:rPr>
        <w:t>的维修台账资料进行现</w:t>
      </w:r>
      <w:r>
        <w:rPr>
          <w:rFonts w:hint="eastAsia" w:ascii="宋体" w:hAnsi="宋体" w:eastAsia="宋体" w:cs="宋体"/>
          <w:color w:val="auto"/>
          <w:spacing w:val="8"/>
          <w:sz w:val="21"/>
          <w:szCs w:val="21"/>
          <w:highlight w:val="none"/>
        </w:rPr>
        <w:t>场抽查。</w:t>
      </w:r>
    </w:p>
    <w:p w14:paraId="51C1C978">
      <w:pPr>
        <w:keepNext w:val="0"/>
        <w:keepLines w:val="0"/>
        <w:pageBreakBefore w:val="0"/>
        <w:widowControl w:val="0"/>
        <w:kinsoku/>
        <w:wordWrap/>
        <w:overflowPunct/>
        <w:topLinePunct w:val="0"/>
        <w:autoSpaceDE/>
        <w:autoSpaceDN/>
        <w:bidi w:val="0"/>
        <w:adjustRightInd/>
        <w:spacing w:before="155" w:line="360" w:lineRule="auto"/>
        <w:ind w:left="2" w:right="68" w:firstLine="421"/>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28、高杆灯维护的内容，每六个月检查一次（如遇台风预报，需</w:t>
      </w:r>
      <w:r>
        <w:rPr>
          <w:rFonts w:hint="eastAsia" w:ascii="宋体" w:hAnsi="宋体" w:eastAsia="宋体" w:cs="宋体"/>
          <w:color w:val="auto"/>
          <w:spacing w:val="8"/>
          <w:sz w:val="21"/>
          <w:szCs w:val="21"/>
          <w:highlight w:val="none"/>
        </w:rPr>
        <w:t>要提前全部检查一次），每支高杆</w:t>
      </w:r>
      <w:r>
        <w:rPr>
          <w:rFonts w:hint="eastAsia" w:ascii="宋体" w:hAnsi="宋体" w:eastAsia="宋体" w:cs="宋体"/>
          <w:color w:val="auto"/>
          <w:spacing w:val="9"/>
          <w:sz w:val="21"/>
          <w:szCs w:val="21"/>
          <w:highlight w:val="none"/>
        </w:rPr>
        <w:t>灯需要建立一个维护档案。未按时完成的按</w:t>
      </w:r>
      <w:r>
        <w:rPr>
          <w:rFonts w:hint="eastAsia" w:ascii="宋体" w:hAnsi="宋体" w:eastAsia="宋体" w:cs="宋体"/>
          <w:color w:val="auto"/>
          <w:spacing w:val="9"/>
          <w:sz w:val="21"/>
          <w:szCs w:val="21"/>
          <w:highlight w:val="none"/>
        </w:rPr>
        <w:t>照量化考核表扣除维护费用。</w:t>
      </w:r>
      <w:r>
        <w:rPr>
          <w:rFonts w:hint="eastAsia" w:ascii="宋体" w:hAnsi="宋体" w:eastAsia="宋体" w:cs="宋体"/>
          <w:color w:val="auto"/>
          <w:spacing w:val="11"/>
          <w:sz w:val="21"/>
          <w:szCs w:val="21"/>
          <w:highlight w:val="none"/>
        </w:rPr>
        <w:t>（1）检查高杆照明设施的所有金属构件（包括灯杆内壁）的热镀锌防腐情况、紧固件的防</w:t>
      </w:r>
      <w:r>
        <w:rPr>
          <w:rFonts w:hint="eastAsia" w:ascii="宋体" w:hAnsi="宋体" w:eastAsia="宋体" w:cs="宋体"/>
          <w:color w:val="auto"/>
          <w:spacing w:val="10"/>
          <w:sz w:val="21"/>
          <w:szCs w:val="21"/>
          <w:highlight w:val="none"/>
        </w:rPr>
        <w:t>松措施</w:t>
      </w:r>
      <w:r>
        <w:rPr>
          <w:rFonts w:hint="eastAsia" w:ascii="宋体" w:hAnsi="宋体" w:eastAsia="宋体" w:cs="宋体"/>
          <w:color w:val="auto"/>
          <w:spacing w:val="7"/>
          <w:sz w:val="21"/>
          <w:szCs w:val="21"/>
          <w:highlight w:val="none"/>
        </w:rPr>
        <w:t>是否符合要求（防腐质量应符合</w:t>
      </w:r>
      <w:r>
        <w:rPr>
          <w:rFonts w:hint="eastAsia" w:ascii="宋体" w:hAnsi="宋体" w:eastAsia="宋体" w:cs="宋体"/>
          <w:color w:val="auto"/>
          <w:sz w:val="21"/>
          <w:szCs w:val="21"/>
          <w:highlight w:val="none"/>
        </w:rPr>
        <w:t>GB</w:t>
      </w:r>
      <w:r>
        <w:rPr>
          <w:rFonts w:hint="eastAsia" w:ascii="宋体" w:hAnsi="宋体" w:eastAsia="宋体" w:cs="宋体"/>
          <w:color w:val="auto"/>
          <w:spacing w:val="7"/>
          <w:sz w:val="21"/>
          <w:szCs w:val="21"/>
          <w:highlight w:val="none"/>
        </w:rPr>
        <w:t>/T9790、</w:t>
      </w:r>
      <w:r>
        <w:rPr>
          <w:rFonts w:hint="eastAsia" w:ascii="宋体" w:hAnsi="宋体" w:eastAsia="宋体" w:cs="宋体"/>
          <w:color w:val="auto"/>
          <w:sz w:val="21"/>
          <w:szCs w:val="21"/>
          <w:highlight w:val="none"/>
        </w:rPr>
        <w:t>GBJ</w:t>
      </w:r>
      <w:r>
        <w:rPr>
          <w:rFonts w:hint="eastAsia" w:ascii="宋体" w:hAnsi="宋体" w:eastAsia="宋体" w:cs="宋体"/>
          <w:color w:val="auto"/>
          <w:spacing w:val="7"/>
          <w:sz w:val="21"/>
          <w:szCs w:val="21"/>
          <w:highlight w:val="none"/>
        </w:rPr>
        <w:t>36011</w:t>
      </w:r>
      <w:r>
        <w:rPr>
          <w:rFonts w:hint="eastAsia" w:ascii="宋体" w:hAnsi="宋体" w:eastAsia="宋体" w:cs="宋体"/>
          <w:color w:val="auto"/>
          <w:spacing w:val="6"/>
          <w:sz w:val="21"/>
          <w:szCs w:val="21"/>
          <w:highlight w:val="none"/>
        </w:rPr>
        <w:t>和</w:t>
      </w:r>
      <w:r>
        <w:rPr>
          <w:rFonts w:hint="eastAsia" w:ascii="宋体" w:hAnsi="宋体" w:eastAsia="宋体" w:cs="宋体"/>
          <w:color w:val="auto"/>
          <w:sz w:val="21"/>
          <w:szCs w:val="21"/>
          <w:highlight w:val="none"/>
        </w:rPr>
        <w:t>GB</w:t>
      </w:r>
      <w:r>
        <w:rPr>
          <w:rFonts w:hint="eastAsia" w:ascii="宋体" w:hAnsi="宋体" w:eastAsia="宋体" w:cs="宋体"/>
          <w:color w:val="auto"/>
          <w:spacing w:val="6"/>
          <w:sz w:val="21"/>
          <w:szCs w:val="21"/>
          <w:highlight w:val="none"/>
        </w:rPr>
        <w:t>/T11373的有关规定）。</w:t>
      </w:r>
    </w:p>
    <w:p w14:paraId="39131949">
      <w:pPr>
        <w:keepNext w:val="0"/>
        <w:keepLines w:val="0"/>
        <w:pageBreakBefore w:val="0"/>
        <w:widowControl w:val="0"/>
        <w:kinsoku/>
        <w:wordWrap/>
        <w:overflowPunct/>
        <w:topLinePunct w:val="0"/>
        <w:autoSpaceDE/>
        <w:autoSpaceDN/>
        <w:bidi w:val="0"/>
        <w:adjustRightInd/>
        <w:spacing w:before="155" w:line="360" w:lineRule="auto"/>
        <w:ind w:left="1" w:right="68" w:firstLine="430"/>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（2）确保正常亮灯的同时高杆灯的每组部件能够正常运行，保证升降传动系统完好并随时</w:t>
      </w:r>
      <w:r>
        <w:rPr>
          <w:rFonts w:hint="eastAsia" w:ascii="宋体" w:hAnsi="宋体" w:eastAsia="宋体" w:cs="宋体"/>
          <w:color w:val="auto"/>
          <w:spacing w:val="10"/>
          <w:sz w:val="21"/>
          <w:szCs w:val="21"/>
          <w:highlight w:val="none"/>
        </w:rPr>
        <w:t>能正常</w:t>
      </w:r>
      <w:r>
        <w:rPr>
          <w:rFonts w:hint="eastAsia" w:ascii="宋体" w:hAnsi="宋体" w:eastAsia="宋体" w:cs="宋体"/>
          <w:color w:val="auto"/>
          <w:spacing w:val="3"/>
          <w:sz w:val="21"/>
          <w:szCs w:val="21"/>
          <w:highlight w:val="none"/>
        </w:rPr>
        <w:t>运行。</w:t>
      </w:r>
    </w:p>
    <w:p w14:paraId="328866EF">
      <w:pPr>
        <w:keepNext w:val="0"/>
        <w:keepLines w:val="0"/>
        <w:pageBreakBefore w:val="0"/>
        <w:widowControl w:val="0"/>
        <w:kinsoku/>
        <w:wordWrap/>
        <w:overflowPunct/>
        <w:topLinePunct w:val="0"/>
        <w:autoSpaceDE/>
        <w:autoSpaceDN/>
        <w:bidi w:val="0"/>
        <w:adjustRightInd/>
        <w:spacing w:before="153" w:line="360" w:lineRule="auto"/>
        <w:ind w:left="431"/>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（3）电气安全性能检查</w:t>
      </w:r>
    </w:p>
    <w:p w14:paraId="35836C7E">
      <w:pPr>
        <w:keepNext w:val="0"/>
        <w:keepLines w:val="0"/>
        <w:pageBreakBefore w:val="0"/>
        <w:widowControl w:val="0"/>
        <w:kinsoku/>
        <w:wordWrap/>
        <w:overflowPunct/>
        <w:topLinePunct w:val="0"/>
        <w:autoSpaceDE/>
        <w:autoSpaceDN/>
        <w:bidi w:val="0"/>
        <w:adjustRightInd/>
        <w:spacing w:before="153" w:line="360" w:lineRule="auto"/>
        <w:ind w:left="2" w:right="68" w:firstLine="419"/>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检查电源进线与地之间绝缘电阻情况（不得小于10M欧</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8"/>
          <w:sz w:val="21"/>
          <w:szCs w:val="21"/>
          <w:highlight w:val="none"/>
        </w:rPr>
        <w:t>保护接地和避雷装置检查①金属</w:t>
      </w:r>
      <w:r>
        <w:rPr>
          <w:rFonts w:hint="eastAsia" w:ascii="宋体" w:hAnsi="宋体" w:eastAsia="宋体" w:cs="宋体"/>
          <w:color w:val="auto"/>
          <w:spacing w:val="7"/>
          <w:sz w:val="21"/>
          <w:szCs w:val="21"/>
          <w:highlight w:val="none"/>
        </w:rPr>
        <w:t>灯杆及</w:t>
      </w:r>
      <w:r>
        <w:rPr>
          <w:rFonts w:hint="eastAsia" w:ascii="宋体" w:hAnsi="宋体" w:eastAsia="宋体" w:cs="宋体"/>
          <w:color w:val="auto"/>
          <w:spacing w:val="8"/>
          <w:sz w:val="21"/>
          <w:szCs w:val="21"/>
          <w:highlight w:val="none"/>
        </w:rPr>
        <w:t>电气设备金属外壳应有良好的保护接地,用接地电阻仪测试接地电阻不应大于1</w:t>
      </w:r>
      <w:r>
        <w:rPr>
          <w:rFonts w:hint="eastAsia" w:ascii="宋体" w:hAnsi="宋体" w:eastAsia="宋体" w:cs="宋体"/>
          <w:color w:val="auto"/>
          <w:spacing w:val="7"/>
          <w:sz w:val="21"/>
          <w:szCs w:val="21"/>
          <w:highlight w:val="none"/>
        </w:rPr>
        <w:t>0欧；②检查避雷针固定</w:t>
      </w:r>
      <w:r>
        <w:rPr>
          <w:rFonts w:hint="eastAsia" w:ascii="宋体" w:hAnsi="宋体" w:eastAsia="宋体" w:cs="宋体"/>
          <w:color w:val="auto"/>
          <w:spacing w:val="11"/>
          <w:sz w:val="21"/>
          <w:szCs w:val="21"/>
          <w:highlight w:val="none"/>
        </w:rPr>
        <w:t>情况；③用水平尺测量基础面板的平面,结合灯杆垂直度的检查结果,分析基础的不均</w:t>
      </w:r>
      <w:r>
        <w:rPr>
          <w:rFonts w:hint="eastAsia" w:ascii="宋体" w:hAnsi="宋体" w:eastAsia="宋体" w:cs="宋体"/>
          <w:color w:val="auto"/>
          <w:spacing w:val="10"/>
          <w:sz w:val="21"/>
          <w:szCs w:val="21"/>
          <w:highlight w:val="none"/>
        </w:rPr>
        <w:t>匀沉降情况,并做</w:t>
      </w:r>
      <w:r>
        <w:rPr>
          <w:rFonts w:hint="eastAsia" w:ascii="宋体" w:hAnsi="宋体" w:eastAsia="宋体" w:cs="宋体"/>
          <w:color w:val="auto"/>
          <w:spacing w:val="6"/>
          <w:sz w:val="21"/>
          <w:szCs w:val="21"/>
          <w:highlight w:val="none"/>
        </w:rPr>
        <w:t>出相应处理。</w:t>
      </w:r>
    </w:p>
    <w:p w14:paraId="3E93B613">
      <w:pPr>
        <w:keepNext w:val="0"/>
        <w:keepLines w:val="0"/>
        <w:pageBreakBefore w:val="0"/>
        <w:widowControl w:val="0"/>
        <w:kinsoku/>
        <w:wordWrap/>
        <w:overflowPunct/>
        <w:topLinePunct w:val="0"/>
        <w:autoSpaceDE/>
        <w:autoSpaceDN/>
        <w:bidi w:val="0"/>
        <w:adjustRightInd/>
        <w:spacing w:before="154" w:line="360" w:lineRule="auto"/>
        <w:ind w:left="2" w:right="2" w:firstLine="437"/>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29、外接用电检查</w:t>
      </w:r>
    </w:p>
    <w:p w14:paraId="1B4A96C6">
      <w:pPr>
        <w:keepNext w:val="0"/>
        <w:keepLines w:val="0"/>
        <w:pageBreakBefore w:val="0"/>
        <w:widowControl w:val="0"/>
        <w:kinsoku/>
        <w:wordWrap/>
        <w:overflowPunct/>
        <w:topLinePunct w:val="0"/>
        <w:autoSpaceDE/>
        <w:autoSpaceDN/>
        <w:bidi w:val="0"/>
        <w:adjustRightInd/>
        <w:spacing w:before="155" w:line="360" w:lineRule="auto"/>
        <w:ind w:left="5" w:right="66" w:firstLine="416"/>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lang w:eastAsia="zh-CN"/>
        </w:rPr>
        <w:t>乙方</w:t>
      </w:r>
      <w:r>
        <w:rPr>
          <w:rFonts w:hint="eastAsia" w:ascii="宋体" w:hAnsi="宋体" w:eastAsia="宋体" w:cs="宋体"/>
          <w:color w:val="auto"/>
          <w:spacing w:val="10"/>
          <w:sz w:val="21"/>
          <w:szCs w:val="21"/>
          <w:highlight w:val="none"/>
        </w:rPr>
        <w:t>每月需对维护范围内的外接用电情况进</w:t>
      </w:r>
      <w:r>
        <w:rPr>
          <w:rFonts w:hint="eastAsia" w:ascii="宋体" w:hAnsi="宋体" w:eastAsia="宋体" w:cs="宋体"/>
          <w:color w:val="auto"/>
          <w:spacing w:val="9"/>
          <w:sz w:val="21"/>
          <w:szCs w:val="21"/>
          <w:highlight w:val="none"/>
        </w:rPr>
        <w:t>行检查（其中，每年</w:t>
      </w:r>
      <w:r>
        <w:rPr>
          <w:rFonts w:hint="eastAsia" w:ascii="宋体" w:hAnsi="宋体" w:eastAsia="宋体" w:cs="宋体"/>
          <w:color w:val="auto"/>
          <w:spacing w:val="9"/>
          <w:sz w:val="21"/>
          <w:szCs w:val="21"/>
          <w:highlight w:val="none"/>
          <w:lang w:val="en-US" w:eastAsia="zh-CN"/>
        </w:rPr>
        <w:t>4-10</w:t>
      </w:r>
      <w:r>
        <w:rPr>
          <w:rFonts w:hint="eastAsia" w:ascii="宋体" w:hAnsi="宋体" w:eastAsia="宋体" w:cs="宋体"/>
          <w:color w:val="auto"/>
          <w:spacing w:val="9"/>
          <w:sz w:val="21"/>
          <w:szCs w:val="21"/>
          <w:highlight w:val="none"/>
        </w:rPr>
        <w:t>月汛期应每半个月检查一次</w:t>
      </w:r>
      <w:r>
        <w:rPr>
          <w:rFonts w:hint="eastAsia" w:ascii="宋体" w:hAnsi="宋体" w:eastAsia="宋体" w:cs="宋体"/>
          <w:color w:val="auto"/>
          <w:spacing w:val="6"/>
          <w:sz w:val="21"/>
          <w:szCs w:val="21"/>
          <w:highlight w:val="none"/>
        </w:rPr>
        <w:t>），</w:t>
      </w:r>
      <w:r>
        <w:rPr>
          <w:rFonts w:hint="eastAsia" w:ascii="宋体" w:hAnsi="宋体" w:eastAsia="宋体" w:cs="宋体"/>
          <w:color w:val="auto"/>
          <w:spacing w:val="9"/>
          <w:sz w:val="21"/>
          <w:szCs w:val="21"/>
          <w:highlight w:val="none"/>
        </w:rPr>
        <w:t>包括电表核对、用电度数读抄、用电安全性检查。其它用电设施如广告、灯饰及其它非用于城市照明设施的用电未经</w:t>
      </w:r>
      <w:r>
        <w:rPr>
          <w:rFonts w:hint="eastAsia" w:ascii="宋体" w:hAnsi="宋体" w:eastAsia="宋体" w:cs="宋体"/>
          <w:color w:val="auto"/>
          <w:spacing w:val="9"/>
          <w:sz w:val="21"/>
          <w:szCs w:val="21"/>
          <w:highlight w:val="none"/>
          <w:lang w:eastAsia="zh-CN"/>
        </w:rPr>
        <w:t>甲方</w:t>
      </w:r>
      <w:r>
        <w:rPr>
          <w:rFonts w:hint="eastAsia" w:ascii="宋体" w:hAnsi="宋体" w:eastAsia="宋体" w:cs="宋体"/>
          <w:color w:val="auto"/>
          <w:spacing w:val="9"/>
          <w:sz w:val="21"/>
          <w:szCs w:val="21"/>
          <w:highlight w:val="none"/>
        </w:rPr>
        <w:t>同意，不得擅自接驳线路，</w:t>
      </w:r>
      <w:r>
        <w:rPr>
          <w:rFonts w:hint="eastAsia" w:ascii="宋体" w:hAnsi="宋体" w:eastAsia="宋体" w:cs="宋体"/>
          <w:color w:val="auto"/>
          <w:spacing w:val="12"/>
          <w:sz w:val="21"/>
          <w:szCs w:val="21"/>
          <w:highlight w:val="none"/>
          <w:lang w:eastAsia="zh-CN"/>
        </w:rPr>
        <w:t>乙方</w:t>
      </w:r>
      <w:r>
        <w:rPr>
          <w:rFonts w:hint="eastAsia" w:ascii="宋体" w:hAnsi="宋体" w:eastAsia="宋体" w:cs="宋体"/>
          <w:color w:val="auto"/>
          <w:spacing w:val="9"/>
          <w:sz w:val="21"/>
          <w:szCs w:val="21"/>
          <w:highlight w:val="none"/>
        </w:rPr>
        <w:t>需对维护范围内的所有线路</w:t>
      </w:r>
      <w:r>
        <w:rPr>
          <w:rFonts w:hint="eastAsia" w:ascii="宋体" w:hAnsi="宋体" w:eastAsia="宋体" w:cs="宋体"/>
          <w:color w:val="auto"/>
          <w:spacing w:val="8"/>
          <w:sz w:val="21"/>
          <w:szCs w:val="21"/>
          <w:highlight w:val="none"/>
        </w:rPr>
        <w:t>进行排查，</w:t>
      </w:r>
      <w:r>
        <w:rPr>
          <w:rFonts w:hint="eastAsia" w:ascii="宋体" w:hAnsi="宋体" w:eastAsia="宋体" w:cs="宋体"/>
          <w:color w:val="auto"/>
          <w:spacing w:val="9"/>
          <w:sz w:val="21"/>
          <w:szCs w:val="21"/>
          <w:highlight w:val="none"/>
        </w:rPr>
        <w:t>并及时处理。</w:t>
      </w:r>
      <w:r>
        <w:rPr>
          <w:rFonts w:hint="eastAsia" w:ascii="宋体" w:hAnsi="宋体" w:eastAsia="宋体" w:cs="宋体"/>
          <w:color w:val="auto"/>
          <w:spacing w:val="9"/>
          <w:sz w:val="21"/>
          <w:szCs w:val="21"/>
          <w:highlight w:val="none"/>
          <w:lang w:eastAsia="zh-CN"/>
        </w:rPr>
        <w:t>甲方</w:t>
      </w:r>
      <w:r>
        <w:rPr>
          <w:rFonts w:hint="eastAsia" w:ascii="宋体" w:hAnsi="宋体" w:eastAsia="宋体" w:cs="宋体"/>
          <w:color w:val="auto"/>
          <w:spacing w:val="9"/>
          <w:sz w:val="21"/>
          <w:szCs w:val="21"/>
          <w:highlight w:val="none"/>
        </w:rPr>
        <w:t>将随机抽查，一经发现，按偷电处理，并按规定对</w:t>
      </w:r>
      <w:r>
        <w:rPr>
          <w:rFonts w:hint="eastAsia" w:ascii="宋体" w:hAnsi="宋体" w:eastAsia="宋体" w:cs="宋体"/>
          <w:color w:val="auto"/>
          <w:spacing w:val="12"/>
          <w:sz w:val="21"/>
          <w:szCs w:val="21"/>
          <w:highlight w:val="none"/>
          <w:lang w:eastAsia="zh-CN"/>
        </w:rPr>
        <w:t>乙方</w:t>
      </w:r>
      <w:r>
        <w:rPr>
          <w:rFonts w:hint="eastAsia" w:ascii="宋体" w:hAnsi="宋体" w:eastAsia="宋体" w:cs="宋体"/>
          <w:color w:val="auto"/>
          <w:spacing w:val="9"/>
          <w:sz w:val="21"/>
          <w:szCs w:val="21"/>
          <w:highlight w:val="none"/>
        </w:rPr>
        <w:t>予以处理，情</w:t>
      </w:r>
      <w:r>
        <w:rPr>
          <w:rFonts w:hint="eastAsia" w:ascii="宋体" w:hAnsi="宋体" w:eastAsia="宋体" w:cs="宋体"/>
          <w:color w:val="auto"/>
          <w:spacing w:val="8"/>
          <w:sz w:val="21"/>
          <w:szCs w:val="21"/>
          <w:highlight w:val="none"/>
        </w:rPr>
        <w:t>况严重者，</w:t>
      </w:r>
      <w:r>
        <w:rPr>
          <w:rFonts w:hint="eastAsia" w:ascii="宋体" w:hAnsi="宋体" w:eastAsia="宋体" w:cs="宋体"/>
          <w:color w:val="auto"/>
          <w:spacing w:val="9"/>
          <w:sz w:val="21"/>
          <w:szCs w:val="21"/>
          <w:highlight w:val="none"/>
          <w:lang w:eastAsia="zh-CN"/>
        </w:rPr>
        <w:t>甲方</w:t>
      </w:r>
      <w:r>
        <w:rPr>
          <w:rFonts w:hint="eastAsia" w:ascii="宋体" w:hAnsi="宋体" w:eastAsia="宋体" w:cs="宋体"/>
          <w:color w:val="auto"/>
          <w:spacing w:val="9"/>
          <w:sz w:val="21"/>
          <w:szCs w:val="21"/>
          <w:highlight w:val="none"/>
        </w:rPr>
        <w:t>有权单方面终止合同。若经</w:t>
      </w:r>
      <w:r>
        <w:rPr>
          <w:rFonts w:hint="eastAsia" w:ascii="宋体" w:hAnsi="宋体" w:eastAsia="宋体" w:cs="宋体"/>
          <w:color w:val="auto"/>
          <w:spacing w:val="9"/>
          <w:sz w:val="21"/>
          <w:szCs w:val="21"/>
          <w:highlight w:val="none"/>
          <w:lang w:eastAsia="zh-CN"/>
        </w:rPr>
        <w:t>甲方</w:t>
      </w:r>
      <w:r>
        <w:rPr>
          <w:rFonts w:hint="eastAsia" w:ascii="宋体" w:hAnsi="宋体" w:eastAsia="宋体" w:cs="宋体"/>
          <w:color w:val="auto"/>
          <w:spacing w:val="9"/>
          <w:sz w:val="21"/>
          <w:szCs w:val="21"/>
          <w:highlight w:val="none"/>
        </w:rPr>
        <w:t>同意接驳的线路，</w:t>
      </w:r>
      <w:r>
        <w:rPr>
          <w:rFonts w:hint="eastAsia" w:ascii="宋体" w:hAnsi="宋体" w:eastAsia="宋体" w:cs="宋体"/>
          <w:color w:val="auto"/>
          <w:spacing w:val="12"/>
          <w:sz w:val="21"/>
          <w:szCs w:val="21"/>
          <w:highlight w:val="none"/>
          <w:lang w:eastAsia="zh-CN"/>
        </w:rPr>
        <w:t>乙方</w:t>
      </w:r>
      <w:r>
        <w:rPr>
          <w:rFonts w:hint="eastAsia" w:ascii="宋体" w:hAnsi="宋体" w:eastAsia="宋体" w:cs="宋体"/>
          <w:color w:val="auto"/>
          <w:spacing w:val="9"/>
          <w:sz w:val="21"/>
          <w:szCs w:val="21"/>
          <w:highlight w:val="none"/>
        </w:rPr>
        <w:t>必须认真配合。</w:t>
      </w:r>
    </w:p>
    <w:p w14:paraId="1815457F">
      <w:pPr>
        <w:keepNext w:val="0"/>
        <w:keepLines w:val="0"/>
        <w:pageBreakBefore w:val="0"/>
        <w:widowControl w:val="0"/>
        <w:kinsoku/>
        <w:wordWrap/>
        <w:overflowPunct/>
        <w:topLinePunct w:val="0"/>
        <w:autoSpaceDE/>
        <w:autoSpaceDN/>
        <w:bidi w:val="0"/>
        <w:adjustRightInd/>
        <w:spacing w:before="154" w:line="360" w:lineRule="auto"/>
        <w:ind w:left="2" w:right="2" w:firstLine="437"/>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30、</w:t>
      </w:r>
      <w:r>
        <w:rPr>
          <w:rFonts w:hint="eastAsia" w:ascii="宋体" w:hAnsi="宋体" w:eastAsia="宋体" w:cs="宋体"/>
          <w:color w:val="auto"/>
          <w:spacing w:val="12"/>
          <w:sz w:val="21"/>
          <w:szCs w:val="21"/>
          <w:highlight w:val="none"/>
          <w:lang w:eastAsia="zh-CN"/>
        </w:rPr>
        <w:t>乙方</w:t>
      </w:r>
      <w:r>
        <w:rPr>
          <w:rFonts w:hint="eastAsia" w:ascii="宋体" w:hAnsi="宋体" w:eastAsia="宋体" w:cs="宋体"/>
          <w:color w:val="auto"/>
          <w:spacing w:val="9"/>
          <w:sz w:val="21"/>
          <w:szCs w:val="21"/>
          <w:highlight w:val="none"/>
        </w:rPr>
        <w:t>负责本标段内所有照明设施安全检查及整改</w:t>
      </w:r>
      <w:r>
        <w:rPr>
          <w:rFonts w:hint="eastAsia" w:ascii="宋体" w:hAnsi="宋体" w:eastAsia="宋体" w:cs="宋体"/>
          <w:color w:val="auto"/>
          <w:spacing w:val="8"/>
          <w:sz w:val="21"/>
          <w:szCs w:val="21"/>
          <w:highlight w:val="none"/>
        </w:rPr>
        <w:t>，对出现或存在安全隐患的设施与行为，要</w:t>
      </w:r>
      <w:r>
        <w:rPr>
          <w:rFonts w:hint="eastAsia" w:ascii="宋体" w:hAnsi="宋体" w:eastAsia="宋体" w:cs="宋体"/>
          <w:color w:val="auto"/>
          <w:spacing w:val="9"/>
          <w:sz w:val="21"/>
          <w:szCs w:val="21"/>
          <w:highlight w:val="none"/>
        </w:rPr>
        <w:t>求在</w:t>
      </w:r>
      <w:r>
        <w:rPr>
          <w:rFonts w:hint="eastAsia" w:ascii="宋体" w:hAnsi="宋体" w:eastAsia="宋体" w:cs="宋体"/>
          <w:color w:val="auto"/>
          <w:spacing w:val="9"/>
          <w:sz w:val="21"/>
          <w:szCs w:val="21"/>
          <w:highlight w:val="none"/>
          <w:lang w:eastAsia="zh-CN"/>
        </w:rPr>
        <w:t>甲方</w:t>
      </w:r>
      <w:r>
        <w:rPr>
          <w:rFonts w:hint="eastAsia" w:ascii="宋体" w:hAnsi="宋体" w:eastAsia="宋体" w:cs="宋体"/>
          <w:color w:val="auto"/>
          <w:spacing w:val="9"/>
          <w:sz w:val="21"/>
          <w:szCs w:val="21"/>
          <w:highlight w:val="none"/>
        </w:rPr>
        <w:t>规定的响应时限内立即处置，并及时反馈给招标单位照明设施及附属供配电设施的安</w:t>
      </w:r>
      <w:r>
        <w:rPr>
          <w:rFonts w:hint="eastAsia" w:ascii="宋体" w:hAnsi="宋体" w:eastAsia="宋体" w:cs="宋体"/>
          <w:color w:val="auto"/>
          <w:spacing w:val="8"/>
          <w:sz w:val="21"/>
          <w:szCs w:val="21"/>
          <w:highlight w:val="none"/>
        </w:rPr>
        <w:t>全检查</w:t>
      </w:r>
      <w:r>
        <w:rPr>
          <w:rFonts w:hint="eastAsia" w:ascii="宋体" w:hAnsi="宋体" w:eastAsia="宋体" w:cs="宋体"/>
          <w:color w:val="auto"/>
          <w:spacing w:val="9"/>
          <w:sz w:val="21"/>
          <w:szCs w:val="21"/>
          <w:highlight w:val="none"/>
        </w:rPr>
        <w:t>情况及处理结果。若发生意外事故，</w:t>
      </w:r>
      <w:r>
        <w:rPr>
          <w:rFonts w:hint="eastAsia" w:ascii="宋体" w:hAnsi="宋体" w:eastAsia="宋体" w:cs="宋体"/>
          <w:color w:val="auto"/>
          <w:spacing w:val="12"/>
          <w:sz w:val="21"/>
          <w:szCs w:val="21"/>
          <w:highlight w:val="none"/>
          <w:lang w:eastAsia="zh-CN"/>
        </w:rPr>
        <w:t>乙方</w:t>
      </w:r>
      <w:r>
        <w:rPr>
          <w:rFonts w:hint="eastAsia" w:ascii="宋体" w:hAnsi="宋体" w:eastAsia="宋体" w:cs="宋体"/>
          <w:color w:val="auto"/>
          <w:spacing w:val="9"/>
          <w:sz w:val="21"/>
          <w:szCs w:val="21"/>
          <w:highlight w:val="none"/>
        </w:rPr>
        <w:t>应配合</w:t>
      </w:r>
      <w:r>
        <w:rPr>
          <w:rFonts w:hint="eastAsia" w:ascii="宋体" w:hAnsi="宋体" w:eastAsia="宋体" w:cs="宋体"/>
          <w:color w:val="auto"/>
          <w:spacing w:val="9"/>
          <w:sz w:val="21"/>
          <w:szCs w:val="21"/>
          <w:highlight w:val="none"/>
          <w:lang w:eastAsia="zh-CN"/>
        </w:rPr>
        <w:t>甲方</w:t>
      </w:r>
      <w:r>
        <w:rPr>
          <w:rFonts w:hint="eastAsia" w:ascii="宋体" w:hAnsi="宋体" w:eastAsia="宋体" w:cs="宋体"/>
          <w:color w:val="auto"/>
          <w:spacing w:val="9"/>
          <w:sz w:val="21"/>
          <w:szCs w:val="21"/>
          <w:highlight w:val="none"/>
        </w:rPr>
        <w:t>进行照明设施公众责任保险的报案、查勘</w:t>
      </w:r>
      <w:r>
        <w:rPr>
          <w:rFonts w:hint="eastAsia" w:ascii="宋体" w:hAnsi="宋体" w:eastAsia="宋体" w:cs="宋体"/>
          <w:color w:val="auto"/>
          <w:spacing w:val="8"/>
          <w:sz w:val="21"/>
          <w:szCs w:val="21"/>
          <w:highlight w:val="none"/>
        </w:rPr>
        <w:t>及处</w:t>
      </w:r>
      <w:r>
        <w:rPr>
          <w:rFonts w:hint="eastAsia" w:ascii="宋体" w:hAnsi="宋体" w:eastAsia="宋体" w:cs="宋体"/>
          <w:color w:val="auto"/>
          <w:spacing w:val="17"/>
          <w:sz w:val="21"/>
          <w:szCs w:val="21"/>
          <w:highlight w:val="none"/>
        </w:rPr>
        <w:t>置等相关工作。”</w:t>
      </w:r>
    </w:p>
    <w:p w14:paraId="62CB8019">
      <w:pPr>
        <w:keepNext w:val="0"/>
        <w:keepLines w:val="0"/>
        <w:pageBreakBefore w:val="0"/>
        <w:widowControl w:val="0"/>
        <w:kinsoku/>
        <w:wordWrap/>
        <w:overflowPunct/>
        <w:topLinePunct w:val="0"/>
        <w:autoSpaceDE/>
        <w:autoSpaceDN/>
        <w:bidi w:val="0"/>
        <w:adjustRightInd/>
        <w:spacing w:before="154" w:line="360" w:lineRule="auto"/>
        <w:ind w:left="2" w:right="2" w:firstLine="437"/>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31、</w:t>
      </w:r>
      <w:r>
        <w:rPr>
          <w:rFonts w:hint="eastAsia" w:ascii="宋体" w:hAnsi="宋体" w:eastAsia="宋体" w:cs="宋体"/>
          <w:color w:val="auto"/>
          <w:spacing w:val="12"/>
          <w:sz w:val="21"/>
          <w:szCs w:val="21"/>
          <w:highlight w:val="none"/>
          <w:lang w:eastAsia="zh-CN"/>
        </w:rPr>
        <w:t>乙方</w:t>
      </w:r>
      <w:r>
        <w:rPr>
          <w:rFonts w:hint="eastAsia" w:ascii="宋体" w:hAnsi="宋体" w:eastAsia="宋体" w:cs="宋体"/>
          <w:color w:val="auto"/>
          <w:spacing w:val="10"/>
          <w:sz w:val="21"/>
          <w:szCs w:val="21"/>
          <w:highlight w:val="none"/>
        </w:rPr>
        <w:t>提供服务的质量保证，对达不到约定技术指标要求的，根据实</w:t>
      </w:r>
      <w:r>
        <w:rPr>
          <w:rFonts w:hint="eastAsia" w:ascii="宋体" w:hAnsi="宋体" w:eastAsia="宋体" w:cs="宋体"/>
          <w:color w:val="auto"/>
          <w:spacing w:val="9"/>
          <w:sz w:val="21"/>
          <w:szCs w:val="21"/>
          <w:highlight w:val="none"/>
        </w:rPr>
        <w:t>际情况，经双方协商，</w:t>
      </w:r>
      <w:r>
        <w:rPr>
          <w:rFonts w:hint="eastAsia" w:ascii="宋体" w:hAnsi="宋体" w:eastAsia="宋体" w:cs="宋体"/>
          <w:color w:val="auto"/>
          <w:spacing w:val="7"/>
          <w:sz w:val="21"/>
          <w:szCs w:val="21"/>
          <w:highlight w:val="none"/>
        </w:rPr>
        <w:t>可按以下办法处理：</w:t>
      </w:r>
    </w:p>
    <w:p w14:paraId="3F751141">
      <w:pPr>
        <w:keepNext w:val="0"/>
        <w:keepLines w:val="0"/>
        <w:pageBreakBefore w:val="0"/>
        <w:widowControl w:val="0"/>
        <w:kinsoku/>
        <w:wordWrap/>
        <w:overflowPunct/>
        <w:topLinePunct w:val="0"/>
        <w:autoSpaceDE/>
        <w:autoSpaceDN/>
        <w:bidi w:val="0"/>
        <w:adjustRightInd/>
        <w:spacing w:before="154" w:line="360" w:lineRule="auto"/>
        <w:ind w:left="2" w:right="2" w:firstLine="437"/>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（1）责成整改：由</w:t>
      </w:r>
      <w:r>
        <w:rPr>
          <w:rFonts w:hint="eastAsia" w:ascii="宋体" w:hAnsi="宋体" w:eastAsia="宋体" w:cs="宋体"/>
          <w:color w:val="auto"/>
          <w:spacing w:val="12"/>
          <w:sz w:val="21"/>
          <w:szCs w:val="21"/>
          <w:highlight w:val="none"/>
          <w:lang w:eastAsia="zh-CN"/>
        </w:rPr>
        <w:t>乙方</w:t>
      </w:r>
      <w:r>
        <w:rPr>
          <w:rFonts w:hint="eastAsia" w:ascii="宋体" w:hAnsi="宋体" w:eastAsia="宋体" w:cs="宋体"/>
          <w:color w:val="auto"/>
          <w:spacing w:val="6"/>
          <w:sz w:val="21"/>
          <w:szCs w:val="21"/>
          <w:highlight w:val="none"/>
        </w:rPr>
        <w:t>承担所发生的全部费用；</w:t>
      </w:r>
    </w:p>
    <w:p w14:paraId="4FA3FA2D">
      <w:pPr>
        <w:keepNext w:val="0"/>
        <w:keepLines w:val="0"/>
        <w:pageBreakBefore w:val="0"/>
        <w:widowControl w:val="0"/>
        <w:kinsoku/>
        <w:wordWrap/>
        <w:overflowPunct/>
        <w:topLinePunct w:val="0"/>
        <w:autoSpaceDE/>
        <w:autoSpaceDN/>
        <w:bidi w:val="0"/>
        <w:adjustRightInd/>
        <w:spacing w:before="154" w:line="360" w:lineRule="auto"/>
        <w:ind w:left="2" w:right="2" w:firstLine="437"/>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（2）在合同有效期内，</w:t>
      </w:r>
      <w:r>
        <w:rPr>
          <w:rFonts w:hint="eastAsia" w:ascii="宋体" w:hAnsi="宋体" w:eastAsia="宋体" w:cs="宋体"/>
          <w:color w:val="auto"/>
          <w:spacing w:val="12"/>
          <w:sz w:val="21"/>
          <w:szCs w:val="21"/>
          <w:highlight w:val="none"/>
          <w:lang w:eastAsia="zh-CN"/>
        </w:rPr>
        <w:t>乙方</w:t>
      </w:r>
      <w:r>
        <w:rPr>
          <w:rFonts w:hint="eastAsia" w:ascii="宋体" w:hAnsi="宋体" w:eastAsia="宋体" w:cs="宋体"/>
          <w:color w:val="auto"/>
          <w:spacing w:val="11"/>
          <w:sz w:val="21"/>
          <w:szCs w:val="21"/>
          <w:highlight w:val="none"/>
        </w:rPr>
        <w:t>应对服务出现的质量及安全问题负责处理解决并承担一切责</w:t>
      </w:r>
      <w:r>
        <w:rPr>
          <w:rFonts w:hint="eastAsia" w:ascii="宋体" w:hAnsi="宋体" w:eastAsia="宋体" w:cs="宋体"/>
          <w:color w:val="auto"/>
          <w:spacing w:val="10"/>
          <w:sz w:val="21"/>
          <w:szCs w:val="21"/>
          <w:highlight w:val="none"/>
        </w:rPr>
        <w:t>任和费</w:t>
      </w:r>
      <w:r>
        <w:rPr>
          <w:rFonts w:hint="eastAsia" w:ascii="宋体" w:hAnsi="宋体" w:eastAsia="宋体" w:cs="宋体"/>
          <w:color w:val="auto"/>
          <w:spacing w:val="-1"/>
          <w:sz w:val="21"/>
          <w:szCs w:val="21"/>
          <w:highlight w:val="none"/>
        </w:rPr>
        <w:t>用。</w:t>
      </w:r>
    </w:p>
    <w:p w14:paraId="38D6CDD1">
      <w:pPr>
        <w:keepNext w:val="0"/>
        <w:keepLines w:val="0"/>
        <w:pageBreakBefore w:val="0"/>
        <w:widowControl w:val="0"/>
        <w:kinsoku/>
        <w:wordWrap/>
        <w:overflowPunct/>
        <w:topLinePunct w:val="0"/>
        <w:autoSpaceDE/>
        <w:autoSpaceDN/>
        <w:bidi w:val="0"/>
        <w:adjustRightInd/>
        <w:spacing w:before="154" w:line="360" w:lineRule="auto"/>
        <w:ind w:left="2" w:right="2" w:firstLine="437"/>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sz w:val="21"/>
          <w:szCs w:val="21"/>
          <w:highlight w:val="none"/>
        </w:rPr>
        <w:t>（3）</w:t>
      </w:r>
      <w:bookmarkStart w:id="165" w:name="auto_fouce_21"/>
      <w:r>
        <w:rPr>
          <w:rFonts w:hint="eastAsia" w:ascii="宋体" w:hAnsi="宋体" w:eastAsia="宋体" w:cs="宋体"/>
          <w:color w:val="auto"/>
          <w:spacing w:val="12"/>
          <w:sz w:val="21"/>
          <w:szCs w:val="21"/>
          <w:highlight w:val="none"/>
          <w:lang w:eastAsia="zh-CN"/>
        </w:rPr>
        <w:t>乙方</w:t>
      </w:r>
      <w:r>
        <w:rPr>
          <w:rFonts w:hint="eastAsia" w:ascii="宋体" w:hAnsi="宋体" w:eastAsia="宋体" w:cs="宋体"/>
          <w:color w:val="auto"/>
          <w:spacing w:val="3"/>
          <w:sz w:val="21"/>
          <w:szCs w:val="21"/>
          <w:highlight w:val="none"/>
        </w:rPr>
        <w:t>在服务期限内不</w:t>
      </w:r>
      <w:r>
        <w:rPr>
          <w:rFonts w:hint="eastAsia" w:ascii="宋体" w:hAnsi="宋体" w:cs="宋体"/>
          <w:color w:val="auto"/>
          <w:spacing w:val="3"/>
          <w:sz w:val="21"/>
          <w:szCs w:val="21"/>
          <w:highlight w:val="none"/>
          <w:lang w:eastAsia="zh-CN"/>
        </w:rPr>
        <w:t>得转包、分包本项目任何业务，不得</w:t>
      </w:r>
      <w:r>
        <w:rPr>
          <w:rFonts w:hint="eastAsia" w:ascii="宋体" w:hAnsi="宋体" w:eastAsia="宋体" w:cs="宋体"/>
          <w:color w:val="auto"/>
          <w:spacing w:val="3"/>
          <w:sz w:val="21"/>
          <w:szCs w:val="21"/>
          <w:highlight w:val="none"/>
        </w:rPr>
        <w:t>将</w:t>
      </w:r>
      <w:r>
        <w:rPr>
          <w:rFonts w:hint="eastAsia" w:ascii="宋体" w:hAnsi="宋体" w:cs="宋体"/>
          <w:color w:val="auto"/>
          <w:spacing w:val="3"/>
          <w:sz w:val="21"/>
          <w:szCs w:val="21"/>
          <w:highlight w:val="none"/>
          <w:lang w:eastAsia="zh-CN"/>
        </w:rPr>
        <w:t>本项目任何</w:t>
      </w:r>
      <w:r>
        <w:rPr>
          <w:rFonts w:hint="eastAsia" w:ascii="宋体" w:hAnsi="宋体" w:eastAsia="宋体" w:cs="宋体"/>
          <w:color w:val="auto"/>
          <w:spacing w:val="3"/>
          <w:sz w:val="21"/>
          <w:szCs w:val="21"/>
          <w:highlight w:val="none"/>
        </w:rPr>
        <w:t>业务、合同款收款、开票等</w:t>
      </w:r>
      <w:r>
        <w:rPr>
          <w:rFonts w:hint="eastAsia" w:ascii="宋体" w:hAnsi="宋体" w:cs="宋体"/>
          <w:color w:val="auto"/>
          <w:spacing w:val="3"/>
          <w:sz w:val="21"/>
          <w:szCs w:val="21"/>
          <w:highlight w:val="none"/>
          <w:lang w:eastAsia="zh-CN"/>
        </w:rPr>
        <w:t>事项</w:t>
      </w:r>
      <w:r>
        <w:rPr>
          <w:rFonts w:hint="eastAsia" w:ascii="宋体" w:hAnsi="宋体" w:eastAsia="宋体" w:cs="宋体"/>
          <w:color w:val="auto"/>
          <w:spacing w:val="3"/>
          <w:sz w:val="21"/>
          <w:szCs w:val="21"/>
          <w:highlight w:val="none"/>
        </w:rPr>
        <w:t>转给</w:t>
      </w:r>
      <w:r>
        <w:rPr>
          <w:rFonts w:hint="eastAsia" w:ascii="宋体" w:hAnsi="宋体" w:cs="宋体"/>
          <w:color w:val="auto"/>
          <w:spacing w:val="3"/>
          <w:sz w:val="21"/>
          <w:szCs w:val="21"/>
          <w:highlight w:val="none"/>
          <w:lang w:eastAsia="zh-CN"/>
        </w:rPr>
        <w:t>任何</w:t>
      </w:r>
      <w:r>
        <w:rPr>
          <w:rFonts w:hint="eastAsia" w:ascii="宋体" w:hAnsi="宋体" w:eastAsia="宋体" w:cs="宋体"/>
          <w:color w:val="auto"/>
          <w:spacing w:val="3"/>
          <w:sz w:val="21"/>
          <w:szCs w:val="21"/>
          <w:highlight w:val="none"/>
        </w:rPr>
        <w:t>第三方（含下属分公司）。</w:t>
      </w:r>
      <w:r>
        <w:rPr>
          <w:rFonts w:hint="eastAsia" w:ascii="宋体" w:hAnsi="宋体" w:cs="宋体"/>
          <w:color w:val="auto"/>
          <w:spacing w:val="3"/>
          <w:sz w:val="21"/>
          <w:szCs w:val="21"/>
          <w:highlight w:val="none"/>
          <w:lang w:eastAsia="zh-CN"/>
        </w:rPr>
        <w:t>若现场实际作业的关键岗位人员与报备名单严重不符且乙方无法作出合理解释的，甲方有权立即单方终止合同，并追究乙方违约责任。若发现乙方存在转包、分包本项目业务的情形，甲方有权立即解除合同，并要求乙方赔偿因此造成的全部损失。</w:t>
      </w:r>
      <w:bookmarkEnd w:id="165"/>
    </w:p>
    <w:p w14:paraId="07E9285D">
      <w:pPr>
        <w:keepNext w:val="0"/>
        <w:keepLines w:val="0"/>
        <w:pageBreakBefore w:val="0"/>
        <w:widowControl w:val="0"/>
        <w:kinsoku/>
        <w:wordWrap/>
        <w:overflowPunct/>
        <w:topLinePunct w:val="0"/>
        <w:autoSpaceDE/>
        <w:autoSpaceDN/>
        <w:bidi w:val="0"/>
        <w:adjustRightInd/>
        <w:spacing w:before="154" w:line="360" w:lineRule="auto"/>
        <w:ind w:left="2" w:right="2" w:firstLine="437"/>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32、</w:t>
      </w:r>
      <w:r>
        <w:rPr>
          <w:rFonts w:hint="eastAsia" w:ascii="宋体" w:hAnsi="宋体" w:eastAsia="宋体" w:cs="宋体"/>
          <w:color w:val="auto"/>
          <w:spacing w:val="12"/>
          <w:sz w:val="21"/>
          <w:szCs w:val="21"/>
          <w:highlight w:val="none"/>
          <w:lang w:eastAsia="zh-CN"/>
        </w:rPr>
        <w:t>乙方</w:t>
      </w:r>
      <w:r>
        <w:rPr>
          <w:rFonts w:hint="eastAsia" w:ascii="宋体" w:hAnsi="宋体" w:eastAsia="宋体" w:cs="宋体"/>
          <w:color w:val="auto"/>
          <w:spacing w:val="9"/>
          <w:sz w:val="21"/>
          <w:szCs w:val="21"/>
          <w:highlight w:val="none"/>
        </w:rPr>
        <w:t>必须提供安全事故承诺书，提供有关照明设施防盗损和维护的实施方案。</w:t>
      </w:r>
    </w:p>
    <w:p w14:paraId="02993FF3">
      <w:pPr>
        <w:keepNext w:val="0"/>
        <w:keepLines w:val="0"/>
        <w:pageBreakBefore w:val="0"/>
        <w:widowControl w:val="0"/>
        <w:kinsoku/>
        <w:wordWrap/>
        <w:overflowPunct/>
        <w:topLinePunct w:val="0"/>
        <w:autoSpaceDE/>
        <w:autoSpaceDN/>
        <w:bidi w:val="0"/>
        <w:adjustRightInd/>
        <w:spacing w:before="154" w:line="360" w:lineRule="auto"/>
        <w:ind w:left="2" w:right="2" w:firstLine="437"/>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33、汛期期间，遇暴风雨等极</w:t>
      </w:r>
      <w:r>
        <w:rPr>
          <w:rFonts w:hint="eastAsia" w:ascii="宋体" w:hAnsi="宋体" w:eastAsia="宋体" w:cs="宋体"/>
          <w:color w:val="auto"/>
          <w:spacing w:val="9"/>
          <w:sz w:val="21"/>
          <w:szCs w:val="21"/>
          <w:highlight w:val="none"/>
        </w:rPr>
        <w:t>端天气，</w:t>
      </w:r>
      <w:r>
        <w:rPr>
          <w:rFonts w:hint="eastAsia" w:ascii="宋体" w:hAnsi="宋体" w:cs="宋体"/>
          <w:color w:val="auto"/>
          <w:spacing w:val="9"/>
          <w:sz w:val="21"/>
          <w:szCs w:val="21"/>
          <w:highlight w:val="none"/>
          <w:lang w:eastAsia="zh-CN"/>
        </w:rPr>
        <w:t>乙方</w:t>
      </w:r>
      <w:r>
        <w:rPr>
          <w:rFonts w:hint="eastAsia" w:ascii="宋体" w:hAnsi="宋体" w:eastAsia="宋体" w:cs="宋体"/>
          <w:color w:val="auto"/>
          <w:spacing w:val="9"/>
          <w:sz w:val="21"/>
          <w:szCs w:val="21"/>
          <w:highlight w:val="none"/>
        </w:rPr>
        <w:t>需加强巡</w:t>
      </w:r>
      <w:r>
        <w:rPr>
          <w:rFonts w:hint="eastAsia" w:ascii="宋体" w:hAnsi="宋体" w:eastAsia="宋体" w:cs="宋体"/>
          <w:color w:val="auto"/>
          <w:spacing w:val="8"/>
          <w:sz w:val="21"/>
          <w:szCs w:val="21"/>
          <w:highlight w:val="none"/>
        </w:rPr>
        <w:t>查，对因暴雨形成内涝路段可能导致漏电及</w:t>
      </w:r>
      <w:r>
        <w:rPr>
          <w:rFonts w:hint="eastAsia" w:ascii="宋体" w:hAnsi="宋体" w:eastAsia="宋体" w:cs="宋体"/>
          <w:color w:val="auto"/>
          <w:spacing w:val="7"/>
          <w:sz w:val="21"/>
          <w:szCs w:val="21"/>
          <w:highlight w:val="none"/>
        </w:rPr>
        <w:t>时处置，并报</w:t>
      </w:r>
      <w:r>
        <w:rPr>
          <w:rFonts w:hint="eastAsia" w:ascii="宋体" w:hAnsi="宋体" w:eastAsia="宋体" w:cs="宋体"/>
          <w:color w:val="auto"/>
          <w:spacing w:val="7"/>
          <w:sz w:val="21"/>
          <w:szCs w:val="21"/>
          <w:highlight w:val="none"/>
          <w:lang w:eastAsia="zh-CN"/>
        </w:rPr>
        <w:t>甲方</w:t>
      </w:r>
      <w:r>
        <w:rPr>
          <w:rFonts w:hint="eastAsia" w:ascii="宋体" w:hAnsi="宋体" w:eastAsia="宋体" w:cs="宋体"/>
          <w:color w:val="auto"/>
          <w:spacing w:val="7"/>
          <w:sz w:val="21"/>
          <w:szCs w:val="21"/>
          <w:highlight w:val="none"/>
        </w:rPr>
        <w:t>。</w:t>
      </w:r>
    </w:p>
    <w:p w14:paraId="4649EB4C">
      <w:pPr>
        <w:keepNext w:val="0"/>
        <w:keepLines w:val="0"/>
        <w:pageBreakBefore w:val="0"/>
        <w:widowControl w:val="0"/>
        <w:kinsoku/>
        <w:wordWrap/>
        <w:overflowPunct/>
        <w:topLinePunct w:val="0"/>
        <w:autoSpaceDE/>
        <w:autoSpaceDN/>
        <w:bidi w:val="0"/>
        <w:adjustRightInd/>
        <w:spacing w:before="154" w:line="360" w:lineRule="auto"/>
        <w:ind w:left="2" w:right="2" w:firstLine="437"/>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34、发生应急抢修、临时照明增设、市民投诉或其他原因需对照明设施完善等服务范围之外的（注：</w:t>
      </w:r>
      <w:r>
        <w:rPr>
          <w:rFonts w:hint="eastAsia" w:ascii="宋体" w:hAnsi="宋体" w:eastAsia="宋体" w:cs="宋体"/>
          <w:color w:val="auto"/>
          <w:spacing w:val="9"/>
          <w:sz w:val="21"/>
          <w:szCs w:val="21"/>
          <w:highlight w:val="none"/>
        </w:rPr>
        <w:t>不包括列入改造计划，已安排经费的项目</w:t>
      </w:r>
      <w:r>
        <w:rPr>
          <w:rFonts w:hint="eastAsia" w:ascii="宋体" w:hAnsi="宋体" w:eastAsia="宋体" w:cs="宋体"/>
          <w:color w:val="auto"/>
          <w:spacing w:val="6"/>
          <w:sz w:val="21"/>
          <w:szCs w:val="21"/>
          <w:highlight w:val="none"/>
        </w:rPr>
        <w:t>），</w:t>
      </w:r>
      <w:r>
        <w:rPr>
          <w:rFonts w:hint="eastAsia" w:ascii="宋体" w:hAnsi="宋体" w:eastAsia="宋体" w:cs="宋体"/>
          <w:color w:val="auto"/>
          <w:spacing w:val="9"/>
          <w:sz w:val="21"/>
          <w:szCs w:val="21"/>
          <w:highlight w:val="none"/>
        </w:rPr>
        <w:t>额外增加的内容，经双方现场调查出具方案，如只是临时增设或采用架空等方式，后期材料还回收的，由</w:t>
      </w:r>
      <w:r>
        <w:rPr>
          <w:rFonts w:hint="eastAsia" w:ascii="宋体" w:hAnsi="宋体" w:eastAsia="宋体" w:cs="宋体"/>
          <w:color w:val="auto"/>
          <w:spacing w:val="12"/>
          <w:sz w:val="21"/>
          <w:szCs w:val="21"/>
          <w:highlight w:val="none"/>
          <w:lang w:eastAsia="zh-CN"/>
        </w:rPr>
        <w:t>乙方</w:t>
      </w:r>
      <w:r>
        <w:rPr>
          <w:rFonts w:hint="eastAsia" w:ascii="宋体" w:hAnsi="宋体" w:eastAsia="宋体" w:cs="宋体"/>
          <w:color w:val="auto"/>
          <w:spacing w:val="9"/>
          <w:sz w:val="21"/>
          <w:szCs w:val="21"/>
          <w:highlight w:val="none"/>
        </w:rPr>
        <w:t>提供相关材料并负责施工；如属于永</w:t>
      </w:r>
      <w:r>
        <w:rPr>
          <w:rFonts w:hint="eastAsia" w:ascii="宋体" w:hAnsi="宋体" w:eastAsia="宋体" w:cs="宋体"/>
          <w:color w:val="auto"/>
          <w:spacing w:val="8"/>
          <w:sz w:val="21"/>
          <w:szCs w:val="21"/>
          <w:highlight w:val="none"/>
        </w:rPr>
        <w:t>久保留设施</w:t>
      </w:r>
      <w:r>
        <w:rPr>
          <w:rFonts w:hint="eastAsia" w:ascii="宋体" w:hAnsi="宋体" w:eastAsia="宋体" w:cs="宋体"/>
          <w:color w:val="auto"/>
          <w:spacing w:val="9"/>
          <w:sz w:val="21"/>
          <w:szCs w:val="21"/>
          <w:highlight w:val="none"/>
        </w:rPr>
        <w:t>的，涉及需要增加照明设施的，所需主材（灯杆、灯具、电缆）由</w:t>
      </w:r>
      <w:r>
        <w:rPr>
          <w:rFonts w:hint="eastAsia" w:ascii="宋体" w:hAnsi="宋体" w:eastAsia="宋体" w:cs="宋体"/>
          <w:color w:val="auto"/>
          <w:spacing w:val="9"/>
          <w:sz w:val="21"/>
          <w:szCs w:val="21"/>
          <w:highlight w:val="none"/>
          <w:lang w:eastAsia="zh-CN"/>
        </w:rPr>
        <w:t>甲方</w:t>
      </w:r>
      <w:r>
        <w:rPr>
          <w:rFonts w:hint="eastAsia" w:ascii="宋体" w:hAnsi="宋体" w:eastAsia="宋体" w:cs="宋体"/>
          <w:color w:val="auto"/>
          <w:spacing w:val="9"/>
          <w:sz w:val="21"/>
          <w:szCs w:val="21"/>
          <w:highlight w:val="none"/>
        </w:rPr>
        <w:t>提供，</w:t>
      </w:r>
      <w:r>
        <w:rPr>
          <w:rFonts w:hint="eastAsia" w:ascii="宋体" w:hAnsi="宋体" w:eastAsia="宋体" w:cs="宋体"/>
          <w:color w:val="auto"/>
          <w:spacing w:val="12"/>
          <w:sz w:val="21"/>
          <w:szCs w:val="21"/>
          <w:highlight w:val="none"/>
          <w:lang w:eastAsia="zh-CN"/>
        </w:rPr>
        <w:t>乙方</w:t>
      </w:r>
      <w:r>
        <w:rPr>
          <w:rFonts w:hint="eastAsia" w:ascii="宋体" w:hAnsi="宋体" w:eastAsia="宋体" w:cs="宋体"/>
          <w:color w:val="auto"/>
          <w:spacing w:val="9"/>
          <w:sz w:val="21"/>
          <w:szCs w:val="21"/>
          <w:highlight w:val="none"/>
        </w:rPr>
        <w:t>需无条件配合，具体工作由</w:t>
      </w:r>
      <w:r>
        <w:rPr>
          <w:rFonts w:hint="eastAsia" w:ascii="宋体" w:hAnsi="宋体" w:eastAsia="宋体" w:cs="宋体"/>
          <w:color w:val="auto"/>
          <w:spacing w:val="12"/>
          <w:sz w:val="21"/>
          <w:szCs w:val="21"/>
          <w:highlight w:val="none"/>
          <w:lang w:eastAsia="zh-CN"/>
        </w:rPr>
        <w:t>乙方</w:t>
      </w:r>
      <w:r>
        <w:rPr>
          <w:rFonts w:hint="eastAsia" w:ascii="宋体" w:hAnsi="宋体" w:eastAsia="宋体" w:cs="宋体"/>
          <w:color w:val="auto"/>
          <w:spacing w:val="9"/>
          <w:sz w:val="21"/>
          <w:szCs w:val="21"/>
          <w:highlight w:val="none"/>
        </w:rPr>
        <w:t>实施，产生的配件材料费、机械费由</w:t>
      </w:r>
      <w:r>
        <w:rPr>
          <w:rFonts w:hint="eastAsia" w:ascii="宋体" w:hAnsi="宋体" w:eastAsia="宋体" w:cs="宋体"/>
          <w:color w:val="auto"/>
          <w:spacing w:val="9"/>
          <w:sz w:val="21"/>
          <w:szCs w:val="21"/>
          <w:highlight w:val="none"/>
          <w:lang w:eastAsia="zh-CN"/>
        </w:rPr>
        <w:t>甲方</w:t>
      </w:r>
      <w:r>
        <w:rPr>
          <w:rFonts w:hint="eastAsia" w:ascii="宋体" w:hAnsi="宋体" w:eastAsia="宋体" w:cs="宋体"/>
          <w:color w:val="auto"/>
          <w:spacing w:val="9"/>
          <w:sz w:val="21"/>
          <w:szCs w:val="21"/>
          <w:highlight w:val="none"/>
        </w:rPr>
        <w:t>承担，人工费由</w:t>
      </w:r>
      <w:r>
        <w:rPr>
          <w:rFonts w:hint="eastAsia" w:ascii="宋体" w:hAnsi="宋体" w:eastAsia="宋体" w:cs="宋体"/>
          <w:color w:val="auto"/>
          <w:spacing w:val="12"/>
          <w:sz w:val="21"/>
          <w:szCs w:val="21"/>
          <w:highlight w:val="none"/>
          <w:lang w:eastAsia="zh-CN"/>
        </w:rPr>
        <w:t>乙方</w:t>
      </w:r>
      <w:r>
        <w:rPr>
          <w:rFonts w:hint="eastAsia" w:ascii="宋体" w:hAnsi="宋体" w:eastAsia="宋体" w:cs="宋体"/>
          <w:color w:val="auto"/>
          <w:spacing w:val="9"/>
          <w:sz w:val="21"/>
          <w:szCs w:val="21"/>
          <w:highlight w:val="none"/>
        </w:rPr>
        <w:t>负责。</w:t>
      </w:r>
    </w:p>
    <w:p w14:paraId="195EC6E8">
      <w:pPr>
        <w:keepNext w:val="0"/>
        <w:keepLines w:val="0"/>
        <w:pageBreakBefore w:val="0"/>
        <w:widowControl w:val="0"/>
        <w:kinsoku/>
        <w:wordWrap/>
        <w:overflowPunct/>
        <w:topLinePunct w:val="0"/>
        <w:autoSpaceDE/>
        <w:autoSpaceDN/>
        <w:bidi w:val="0"/>
        <w:adjustRightInd/>
        <w:spacing w:before="154" w:line="360" w:lineRule="auto"/>
        <w:ind w:left="2" w:right="2" w:firstLine="437"/>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35、根据实际需要，</w:t>
      </w:r>
      <w:r>
        <w:rPr>
          <w:rFonts w:hint="eastAsia" w:ascii="宋体" w:hAnsi="宋体" w:eastAsia="宋体" w:cs="宋体"/>
          <w:color w:val="auto"/>
          <w:spacing w:val="12"/>
          <w:sz w:val="21"/>
          <w:szCs w:val="21"/>
          <w:highlight w:val="none"/>
          <w:lang w:eastAsia="zh-CN"/>
        </w:rPr>
        <w:t>乙方</w:t>
      </w:r>
      <w:r>
        <w:rPr>
          <w:rFonts w:hint="eastAsia" w:ascii="宋体" w:hAnsi="宋体" w:eastAsia="宋体" w:cs="宋体"/>
          <w:color w:val="auto"/>
          <w:spacing w:val="9"/>
          <w:sz w:val="21"/>
          <w:szCs w:val="21"/>
          <w:highlight w:val="none"/>
        </w:rPr>
        <w:t>需在本合同签订后及时一次</w:t>
      </w:r>
      <w:r>
        <w:rPr>
          <w:rFonts w:hint="eastAsia" w:ascii="宋体" w:hAnsi="宋体" w:eastAsia="宋体" w:cs="宋体"/>
          <w:color w:val="auto"/>
          <w:spacing w:val="8"/>
          <w:sz w:val="21"/>
          <w:szCs w:val="21"/>
          <w:highlight w:val="none"/>
        </w:rPr>
        <w:t>或分季度集中采购维修材料，确保维修材料满足日常维护需求，材料需办理统一进行验收，验收合格后方能进场使用，日常维护过程中，每处维修</w:t>
      </w:r>
      <w:r>
        <w:rPr>
          <w:rFonts w:hint="eastAsia" w:ascii="宋体" w:hAnsi="宋体" w:eastAsia="宋体" w:cs="宋体"/>
          <w:color w:val="auto"/>
          <w:spacing w:val="9"/>
          <w:sz w:val="21"/>
          <w:szCs w:val="21"/>
          <w:highlight w:val="none"/>
        </w:rPr>
        <w:t>点的材料使用情况及维修过程报</w:t>
      </w:r>
      <w:r>
        <w:rPr>
          <w:rFonts w:hint="eastAsia" w:ascii="宋体" w:hAnsi="宋体" w:eastAsia="宋体" w:cs="宋体"/>
          <w:color w:val="auto"/>
          <w:spacing w:val="9"/>
          <w:sz w:val="21"/>
          <w:szCs w:val="21"/>
          <w:highlight w:val="none"/>
          <w:lang w:eastAsia="zh-CN"/>
        </w:rPr>
        <w:t>甲方</w:t>
      </w:r>
      <w:r>
        <w:rPr>
          <w:rFonts w:hint="eastAsia" w:ascii="宋体" w:hAnsi="宋体" w:eastAsia="宋体" w:cs="宋体"/>
          <w:color w:val="auto"/>
          <w:spacing w:val="9"/>
          <w:sz w:val="21"/>
          <w:szCs w:val="21"/>
          <w:highlight w:val="none"/>
        </w:rPr>
        <w:t>备案，并随时接受</w:t>
      </w:r>
      <w:r>
        <w:rPr>
          <w:rFonts w:hint="eastAsia" w:ascii="宋体" w:hAnsi="宋体" w:eastAsia="宋体" w:cs="宋体"/>
          <w:color w:val="auto"/>
          <w:spacing w:val="9"/>
          <w:sz w:val="21"/>
          <w:szCs w:val="21"/>
          <w:highlight w:val="none"/>
          <w:lang w:eastAsia="zh-CN"/>
        </w:rPr>
        <w:t>甲方</w:t>
      </w:r>
      <w:r>
        <w:rPr>
          <w:rFonts w:hint="eastAsia" w:ascii="宋体" w:hAnsi="宋体" w:eastAsia="宋体" w:cs="宋体"/>
          <w:color w:val="auto"/>
          <w:spacing w:val="9"/>
          <w:sz w:val="21"/>
          <w:szCs w:val="21"/>
          <w:highlight w:val="none"/>
        </w:rPr>
        <w:t>的检查验收。对隐瞒不报、没</w:t>
      </w:r>
      <w:r>
        <w:rPr>
          <w:rFonts w:hint="eastAsia" w:ascii="宋体" w:hAnsi="宋体" w:eastAsia="宋体" w:cs="宋体"/>
          <w:color w:val="auto"/>
          <w:spacing w:val="8"/>
          <w:sz w:val="21"/>
          <w:szCs w:val="21"/>
          <w:highlight w:val="none"/>
        </w:rPr>
        <w:t>有按验收</w:t>
      </w:r>
      <w:r>
        <w:rPr>
          <w:rFonts w:hint="eastAsia" w:ascii="宋体" w:hAnsi="宋体" w:eastAsia="宋体" w:cs="宋体"/>
          <w:color w:val="auto"/>
          <w:spacing w:val="10"/>
          <w:sz w:val="21"/>
          <w:szCs w:val="21"/>
          <w:highlight w:val="none"/>
        </w:rPr>
        <w:t>通过的材料进行维修</w:t>
      </w:r>
      <w:r>
        <w:rPr>
          <w:rFonts w:hint="eastAsia" w:ascii="宋体" w:hAnsi="宋体" w:eastAsia="宋体" w:cs="宋体"/>
          <w:color w:val="auto"/>
          <w:spacing w:val="10"/>
          <w:sz w:val="21"/>
          <w:szCs w:val="21"/>
          <w:highlight w:val="none"/>
        </w:rPr>
        <w:t>的，</w:t>
      </w:r>
      <w:r>
        <w:rPr>
          <w:rFonts w:hint="eastAsia" w:ascii="宋体" w:hAnsi="宋体"/>
          <w:color w:val="auto"/>
          <w:szCs w:val="21"/>
          <w:highlight w:val="none"/>
          <w:lang w:eastAsia="zh-CN"/>
        </w:rPr>
        <w:t>采购单位有权</w:t>
      </w:r>
      <w:r>
        <w:rPr>
          <w:rFonts w:hint="eastAsia" w:ascii="宋体" w:hAnsi="宋体"/>
          <w:color w:val="auto"/>
          <w:szCs w:val="21"/>
          <w:highlight w:val="none"/>
        </w:rPr>
        <w:t>解除合同，</w:t>
      </w:r>
      <w:r>
        <w:rPr>
          <w:rFonts w:hint="eastAsia" w:ascii="宋体" w:hAnsi="宋体" w:eastAsia="宋体" w:cs="宋体"/>
          <w:color w:val="auto"/>
          <w:spacing w:val="9"/>
          <w:sz w:val="21"/>
          <w:szCs w:val="21"/>
          <w:highlight w:val="none"/>
        </w:rPr>
        <w:t>发生</w:t>
      </w:r>
      <w:r>
        <w:rPr>
          <w:rFonts w:hint="eastAsia" w:ascii="宋体" w:hAnsi="宋体" w:eastAsia="宋体" w:cs="宋体"/>
          <w:color w:val="auto"/>
          <w:spacing w:val="9"/>
          <w:sz w:val="21"/>
          <w:szCs w:val="21"/>
          <w:highlight w:val="none"/>
        </w:rPr>
        <w:t>的一切损失由</w:t>
      </w:r>
      <w:r>
        <w:rPr>
          <w:rFonts w:hint="eastAsia" w:ascii="宋体" w:hAnsi="宋体" w:eastAsia="宋体" w:cs="宋体"/>
          <w:color w:val="auto"/>
          <w:spacing w:val="12"/>
          <w:sz w:val="21"/>
          <w:szCs w:val="21"/>
          <w:highlight w:val="none"/>
          <w:lang w:eastAsia="zh-CN"/>
        </w:rPr>
        <w:t>乙方</w:t>
      </w:r>
      <w:r>
        <w:rPr>
          <w:rFonts w:hint="eastAsia" w:ascii="宋体" w:hAnsi="宋体" w:eastAsia="宋体" w:cs="宋体"/>
          <w:color w:val="auto"/>
          <w:spacing w:val="9"/>
          <w:sz w:val="21"/>
          <w:szCs w:val="21"/>
          <w:highlight w:val="none"/>
        </w:rPr>
        <w:t>承担。</w:t>
      </w:r>
    </w:p>
    <w:p w14:paraId="351AAF80">
      <w:pPr>
        <w:keepNext w:val="0"/>
        <w:keepLines w:val="0"/>
        <w:pageBreakBefore w:val="0"/>
        <w:widowControl w:val="0"/>
        <w:kinsoku/>
        <w:wordWrap/>
        <w:overflowPunct/>
        <w:topLinePunct w:val="0"/>
        <w:autoSpaceDE/>
        <w:autoSpaceDN/>
        <w:bidi w:val="0"/>
        <w:adjustRightInd/>
        <w:spacing w:before="154" w:line="360" w:lineRule="auto"/>
        <w:ind w:firstLine="425"/>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36、</w:t>
      </w:r>
      <w:r>
        <w:rPr>
          <w:rFonts w:hint="eastAsia" w:ascii="宋体" w:hAnsi="宋体" w:eastAsia="宋体" w:cs="宋体"/>
          <w:color w:val="auto"/>
          <w:spacing w:val="12"/>
          <w:sz w:val="21"/>
          <w:szCs w:val="21"/>
          <w:highlight w:val="none"/>
          <w:lang w:eastAsia="zh-CN"/>
        </w:rPr>
        <w:t>乙方</w:t>
      </w:r>
      <w:r>
        <w:rPr>
          <w:rFonts w:hint="eastAsia" w:ascii="宋体" w:hAnsi="宋体" w:eastAsia="宋体" w:cs="宋体"/>
          <w:color w:val="auto"/>
          <w:spacing w:val="9"/>
          <w:sz w:val="21"/>
          <w:szCs w:val="21"/>
          <w:highlight w:val="none"/>
        </w:rPr>
        <w:t>负责每季度对路灯箱变电力设备、设施进行一次</w:t>
      </w:r>
      <w:r>
        <w:rPr>
          <w:rFonts w:hint="eastAsia" w:ascii="宋体" w:hAnsi="宋体" w:eastAsia="宋体" w:cs="宋体"/>
          <w:color w:val="auto"/>
          <w:spacing w:val="8"/>
          <w:sz w:val="21"/>
          <w:szCs w:val="21"/>
          <w:highlight w:val="none"/>
        </w:rPr>
        <w:t>维护、检查、测试、保养，检查时若发</w:t>
      </w:r>
      <w:r>
        <w:rPr>
          <w:rFonts w:hint="eastAsia" w:ascii="宋体" w:hAnsi="宋体" w:eastAsia="宋体" w:cs="宋体"/>
          <w:color w:val="auto"/>
          <w:spacing w:val="9"/>
          <w:sz w:val="21"/>
          <w:szCs w:val="21"/>
          <w:highlight w:val="none"/>
        </w:rPr>
        <w:t>现故障隐患和管理漏洞，</w:t>
      </w:r>
      <w:r>
        <w:rPr>
          <w:rFonts w:hint="eastAsia" w:ascii="宋体" w:hAnsi="宋体" w:eastAsia="宋体" w:cs="宋体"/>
          <w:color w:val="auto"/>
          <w:spacing w:val="12"/>
          <w:sz w:val="21"/>
          <w:szCs w:val="21"/>
          <w:highlight w:val="none"/>
          <w:lang w:eastAsia="zh-CN"/>
        </w:rPr>
        <w:t>乙方</w:t>
      </w:r>
      <w:r>
        <w:rPr>
          <w:rFonts w:hint="eastAsia" w:ascii="宋体" w:hAnsi="宋体" w:eastAsia="宋体" w:cs="宋体"/>
          <w:color w:val="auto"/>
          <w:spacing w:val="9"/>
          <w:sz w:val="21"/>
          <w:szCs w:val="21"/>
          <w:highlight w:val="none"/>
        </w:rPr>
        <w:t>应及时给</w:t>
      </w:r>
      <w:r>
        <w:rPr>
          <w:rFonts w:hint="eastAsia" w:ascii="宋体" w:hAnsi="宋体" w:eastAsia="宋体" w:cs="宋体"/>
          <w:color w:val="auto"/>
          <w:spacing w:val="9"/>
          <w:sz w:val="21"/>
          <w:szCs w:val="21"/>
          <w:highlight w:val="none"/>
          <w:lang w:eastAsia="zh-CN"/>
        </w:rPr>
        <w:t>甲方</w:t>
      </w:r>
      <w:r>
        <w:rPr>
          <w:rFonts w:hint="eastAsia" w:ascii="宋体" w:hAnsi="宋体" w:eastAsia="宋体" w:cs="宋体"/>
          <w:color w:val="auto"/>
          <w:spacing w:val="9"/>
          <w:sz w:val="21"/>
          <w:szCs w:val="21"/>
          <w:highlight w:val="none"/>
        </w:rPr>
        <w:t>出具书面报告及处理意见，待</w:t>
      </w:r>
      <w:r>
        <w:rPr>
          <w:rFonts w:hint="eastAsia" w:ascii="宋体" w:hAnsi="宋体" w:eastAsia="宋体" w:cs="宋体"/>
          <w:color w:val="auto"/>
          <w:spacing w:val="9"/>
          <w:sz w:val="21"/>
          <w:szCs w:val="21"/>
          <w:highlight w:val="none"/>
          <w:lang w:eastAsia="zh-CN"/>
        </w:rPr>
        <w:t>甲方</w:t>
      </w:r>
      <w:r>
        <w:rPr>
          <w:rFonts w:hint="eastAsia" w:ascii="宋体" w:hAnsi="宋体" w:eastAsia="宋体" w:cs="宋体"/>
          <w:color w:val="auto"/>
          <w:spacing w:val="9"/>
          <w:sz w:val="21"/>
          <w:szCs w:val="21"/>
          <w:highlight w:val="none"/>
        </w:rPr>
        <w:t>确认</w:t>
      </w:r>
      <w:r>
        <w:rPr>
          <w:rFonts w:hint="eastAsia" w:ascii="宋体" w:hAnsi="宋体" w:eastAsia="宋体" w:cs="宋体"/>
          <w:color w:val="auto"/>
          <w:spacing w:val="8"/>
          <w:sz w:val="21"/>
          <w:szCs w:val="21"/>
          <w:highlight w:val="none"/>
        </w:rPr>
        <w:t>后立即采取措</w:t>
      </w:r>
      <w:r>
        <w:rPr>
          <w:rFonts w:hint="eastAsia" w:ascii="宋体" w:hAnsi="宋体" w:eastAsia="宋体" w:cs="宋体"/>
          <w:color w:val="auto"/>
          <w:spacing w:val="5"/>
          <w:sz w:val="21"/>
          <w:szCs w:val="21"/>
          <w:highlight w:val="none"/>
        </w:rPr>
        <w:t>施修复。</w:t>
      </w:r>
    </w:p>
    <w:p w14:paraId="774D76B4">
      <w:pPr>
        <w:keepNext w:val="0"/>
        <w:keepLines w:val="0"/>
        <w:pageBreakBefore w:val="0"/>
        <w:widowControl w:val="0"/>
        <w:kinsoku/>
        <w:wordWrap/>
        <w:overflowPunct/>
        <w:topLinePunct w:val="0"/>
        <w:autoSpaceDE/>
        <w:autoSpaceDN/>
        <w:bidi w:val="0"/>
        <w:adjustRightInd/>
        <w:spacing w:before="154" w:line="360" w:lineRule="auto"/>
        <w:ind w:left="2" w:right="2" w:firstLine="437"/>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37、合同期内，</w:t>
      </w:r>
      <w:r>
        <w:rPr>
          <w:rFonts w:hint="eastAsia" w:ascii="宋体" w:hAnsi="宋体" w:eastAsia="宋体" w:cs="宋体"/>
          <w:color w:val="auto"/>
          <w:spacing w:val="12"/>
          <w:sz w:val="21"/>
          <w:szCs w:val="21"/>
          <w:highlight w:val="none"/>
          <w:lang w:eastAsia="zh-CN"/>
        </w:rPr>
        <w:t>乙方</w:t>
      </w:r>
      <w:r>
        <w:rPr>
          <w:rFonts w:hint="eastAsia" w:ascii="宋体" w:hAnsi="宋体" w:eastAsia="宋体" w:cs="宋体"/>
          <w:color w:val="auto"/>
          <w:spacing w:val="9"/>
          <w:sz w:val="21"/>
          <w:szCs w:val="21"/>
          <w:highlight w:val="none"/>
        </w:rPr>
        <w:t>负责组织路灯箱变的故障维修工作，</w:t>
      </w:r>
      <w:r>
        <w:rPr>
          <w:rFonts w:hint="eastAsia" w:ascii="宋体" w:hAnsi="宋体" w:eastAsia="宋体" w:cs="宋体"/>
          <w:color w:val="auto"/>
          <w:spacing w:val="8"/>
          <w:sz w:val="21"/>
          <w:szCs w:val="21"/>
          <w:highlight w:val="none"/>
        </w:rPr>
        <w:t>包括设备维修、更换以及供电部门供电</w:t>
      </w:r>
      <w:r>
        <w:rPr>
          <w:rFonts w:hint="eastAsia" w:ascii="宋体" w:hAnsi="宋体" w:eastAsia="宋体" w:cs="宋体"/>
          <w:color w:val="auto"/>
          <w:spacing w:val="7"/>
          <w:sz w:val="21"/>
          <w:szCs w:val="21"/>
          <w:highlight w:val="none"/>
        </w:rPr>
        <w:t>报装手续等。</w:t>
      </w:r>
    </w:p>
    <w:p w14:paraId="4ED6A0BE">
      <w:pPr>
        <w:keepNext w:val="0"/>
        <w:keepLines w:val="0"/>
        <w:pageBreakBefore w:val="0"/>
        <w:widowControl w:val="0"/>
        <w:kinsoku/>
        <w:wordWrap/>
        <w:overflowPunct/>
        <w:topLinePunct w:val="0"/>
        <w:autoSpaceDE/>
        <w:autoSpaceDN/>
        <w:bidi w:val="0"/>
        <w:adjustRightInd/>
        <w:spacing w:before="154" w:line="360" w:lineRule="auto"/>
        <w:ind w:left="2" w:right="2" w:firstLine="437"/>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38、</w:t>
      </w:r>
      <w:bookmarkStart w:id="166" w:name="auto_fouce_22"/>
      <w:r>
        <w:rPr>
          <w:rFonts w:hint="eastAsia" w:ascii="宋体" w:hAnsi="宋体" w:eastAsia="宋体" w:cs="宋体"/>
          <w:color w:val="auto"/>
          <w:spacing w:val="9"/>
          <w:sz w:val="21"/>
          <w:szCs w:val="21"/>
          <w:highlight w:val="none"/>
        </w:rPr>
        <w:t>合同期内，</w:t>
      </w:r>
      <w:r>
        <w:rPr>
          <w:rFonts w:hint="eastAsia" w:ascii="宋体" w:hAnsi="宋体" w:eastAsia="宋体" w:cs="宋体"/>
          <w:color w:val="auto"/>
          <w:spacing w:val="12"/>
          <w:sz w:val="21"/>
          <w:szCs w:val="21"/>
          <w:highlight w:val="none"/>
          <w:lang w:eastAsia="zh-CN"/>
        </w:rPr>
        <w:t>乙方</w:t>
      </w:r>
      <w:r>
        <w:rPr>
          <w:rFonts w:hint="eastAsia" w:ascii="宋体" w:hAnsi="宋体" w:eastAsia="宋体" w:cs="宋体"/>
          <w:color w:val="auto"/>
          <w:spacing w:val="9"/>
          <w:sz w:val="21"/>
          <w:szCs w:val="21"/>
          <w:highlight w:val="none"/>
        </w:rPr>
        <w:t>负责公园广场音乐喷泉的维护与</w:t>
      </w:r>
      <w:r>
        <w:rPr>
          <w:rFonts w:hint="eastAsia" w:ascii="宋体" w:hAnsi="宋体" w:eastAsia="宋体" w:cs="宋体"/>
          <w:color w:val="auto"/>
          <w:spacing w:val="8"/>
          <w:sz w:val="21"/>
          <w:szCs w:val="21"/>
          <w:highlight w:val="none"/>
        </w:rPr>
        <w:t>管理，严格遵守</w:t>
      </w:r>
      <w:r>
        <w:rPr>
          <w:rFonts w:hint="eastAsia" w:ascii="宋体" w:hAnsi="宋体" w:eastAsia="宋体" w:cs="宋体"/>
          <w:color w:val="auto"/>
          <w:spacing w:val="8"/>
          <w:sz w:val="21"/>
          <w:szCs w:val="21"/>
          <w:highlight w:val="none"/>
          <w:lang w:eastAsia="zh-CN"/>
        </w:rPr>
        <w:t>甲方</w:t>
      </w:r>
      <w:r>
        <w:rPr>
          <w:rFonts w:hint="eastAsia" w:ascii="宋体" w:hAnsi="宋体" w:eastAsia="宋体" w:cs="宋体"/>
          <w:color w:val="auto"/>
          <w:spacing w:val="8"/>
          <w:sz w:val="21"/>
          <w:szCs w:val="21"/>
          <w:highlight w:val="none"/>
        </w:rPr>
        <w:t>在节假日期间对开放</w:t>
      </w:r>
      <w:r>
        <w:rPr>
          <w:rFonts w:hint="eastAsia" w:ascii="宋体" w:hAnsi="宋体" w:eastAsia="宋体" w:cs="宋体"/>
          <w:color w:val="auto"/>
          <w:spacing w:val="9"/>
          <w:sz w:val="21"/>
          <w:szCs w:val="21"/>
          <w:highlight w:val="none"/>
        </w:rPr>
        <w:t>喷泉的工作安排，安排专人值守开放喷泉，维持开放喷泉时的现场秩序，同时承担相应安全责任</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12"/>
          <w:sz w:val="21"/>
          <w:szCs w:val="21"/>
          <w:highlight w:val="none"/>
          <w:lang w:eastAsia="zh-CN"/>
        </w:rPr>
        <w:t>乙方</w:t>
      </w:r>
      <w:r>
        <w:rPr>
          <w:rFonts w:hint="eastAsia" w:ascii="宋体" w:hAnsi="宋体" w:eastAsia="宋体" w:cs="宋体"/>
          <w:color w:val="auto"/>
          <w:spacing w:val="9"/>
          <w:sz w:val="21"/>
          <w:szCs w:val="21"/>
          <w:highlight w:val="none"/>
        </w:rPr>
        <w:t>负责喷泉相关设施、设备的日常管理维修（彩灯、电气线路、电气配件、喷泉喷嘴、水泵、音</w:t>
      </w:r>
      <w:r>
        <w:rPr>
          <w:rFonts w:hint="eastAsia" w:ascii="宋体" w:hAnsi="宋体" w:eastAsia="宋体" w:cs="宋体"/>
          <w:color w:val="auto"/>
          <w:spacing w:val="8"/>
          <w:sz w:val="21"/>
          <w:szCs w:val="21"/>
          <w:highlight w:val="none"/>
        </w:rPr>
        <w:t>响设备</w:t>
      </w:r>
      <w:r>
        <w:rPr>
          <w:rFonts w:hint="eastAsia" w:ascii="宋体" w:hAnsi="宋体" w:eastAsia="宋体" w:cs="宋体"/>
          <w:color w:val="auto"/>
          <w:spacing w:val="10"/>
          <w:sz w:val="21"/>
          <w:szCs w:val="21"/>
          <w:highlight w:val="none"/>
        </w:rPr>
        <w:t>等）相关费用涵盖在</w:t>
      </w:r>
      <w:r>
        <w:rPr>
          <w:rFonts w:hint="eastAsia" w:ascii="宋体" w:hAnsi="宋体" w:eastAsia="宋体" w:cs="宋体"/>
          <w:color w:val="auto"/>
          <w:spacing w:val="10"/>
          <w:sz w:val="21"/>
          <w:szCs w:val="21"/>
          <w:highlight w:val="none"/>
          <w:lang w:eastAsia="zh-CN"/>
        </w:rPr>
        <w:t>此采购服务</w:t>
      </w:r>
      <w:r>
        <w:rPr>
          <w:rFonts w:hint="eastAsia" w:ascii="宋体" w:hAnsi="宋体" w:eastAsia="宋体" w:cs="宋体"/>
          <w:color w:val="auto"/>
          <w:spacing w:val="10"/>
          <w:sz w:val="21"/>
          <w:szCs w:val="21"/>
          <w:highlight w:val="none"/>
        </w:rPr>
        <w:t>照明设施管养费用中，由</w:t>
      </w:r>
      <w:r>
        <w:rPr>
          <w:rFonts w:hint="eastAsia" w:ascii="宋体" w:hAnsi="宋体" w:eastAsia="宋体" w:cs="宋体"/>
          <w:color w:val="auto"/>
          <w:spacing w:val="12"/>
          <w:sz w:val="21"/>
          <w:szCs w:val="21"/>
          <w:highlight w:val="none"/>
          <w:lang w:eastAsia="zh-CN"/>
        </w:rPr>
        <w:t>乙方</w:t>
      </w:r>
      <w:r>
        <w:rPr>
          <w:rFonts w:hint="eastAsia" w:ascii="宋体" w:hAnsi="宋体" w:eastAsia="宋体" w:cs="宋体"/>
          <w:color w:val="auto"/>
          <w:spacing w:val="10"/>
          <w:sz w:val="21"/>
          <w:szCs w:val="21"/>
          <w:highlight w:val="none"/>
        </w:rPr>
        <w:t>自行负责，</w:t>
      </w:r>
      <w:r>
        <w:rPr>
          <w:rFonts w:hint="eastAsia" w:ascii="宋体" w:hAnsi="宋体" w:eastAsia="宋体" w:cs="宋体"/>
          <w:color w:val="auto"/>
          <w:spacing w:val="10"/>
          <w:sz w:val="21"/>
          <w:szCs w:val="21"/>
          <w:highlight w:val="none"/>
          <w:lang w:eastAsia="zh-CN"/>
        </w:rPr>
        <w:t>不另行结算</w:t>
      </w:r>
      <w:r>
        <w:rPr>
          <w:rFonts w:hint="eastAsia" w:ascii="宋体" w:hAnsi="宋体" w:eastAsia="宋体" w:cs="宋体"/>
          <w:color w:val="auto"/>
          <w:spacing w:val="9"/>
          <w:sz w:val="21"/>
          <w:szCs w:val="21"/>
          <w:highlight w:val="none"/>
        </w:rPr>
        <w:t>。喷泉</w:t>
      </w:r>
      <w:r>
        <w:rPr>
          <w:rFonts w:hint="eastAsia" w:ascii="宋体" w:hAnsi="宋体" w:cs="宋体"/>
          <w:color w:val="auto"/>
          <w:spacing w:val="9"/>
          <w:sz w:val="21"/>
          <w:szCs w:val="21"/>
          <w:highlight w:val="none"/>
          <w:lang w:eastAsia="zh-CN"/>
        </w:rPr>
        <w:t>单次维修费用金额在</w:t>
      </w:r>
      <w:r>
        <w:rPr>
          <w:rFonts w:hint="eastAsia" w:ascii="宋体" w:hAnsi="宋体" w:cs="宋体"/>
          <w:color w:val="auto"/>
          <w:spacing w:val="9"/>
          <w:sz w:val="21"/>
          <w:szCs w:val="21"/>
          <w:highlight w:val="none"/>
          <w:lang w:val="en-US" w:eastAsia="zh-CN"/>
        </w:rPr>
        <w:t>5</w:t>
      </w:r>
      <w:r>
        <w:rPr>
          <w:rFonts w:hint="eastAsia" w:ascii="宋体" w:hAnsi="宋体" w:cs="宋体"/>
          <w:color w:val="auto"/>
          <w:spacing w:val="9"/>
          <w:sz w:val="21"/>
          <w:szCs w:val="21"/>
          <w:highlight w:val="none"/>
          <w:lang w:eastAsia="zh-CN"/>
        </w:rPr>
        <w:t>万元以内的日常维修，费用已包含在本项目包干服务费中，由乙方自</w:t>
      </w:r>
      <w:r>
        <w:rPr>
          <w:rFonts w:hint="eastAsia" w:ascii="宋体" w:hAnsi="宋体" w:eastAsia="宋体" w:cs="宋体"/>
          <w:color w:val="auto"/>
          <w:spacing w:val="9"/>
          <w:sz w:val="21"/>
          <w:szCs w:val="21"/>
          <w:highlight w:val="none"/>
        </w:rPr>
        <w:t>行</w:t>
      </w:r>
      <w:r>
        <w:rPr>
          <w:rFonts w:hint="eastAsia" w:ascii="宋体" w:hAnsi="宋体" w:cs="宋体"/>
          <w:color w:val="auto"/>
          <w:spacing w:val="9"/>
          <w:sz w:val="21"/>
          <w:szCs w:val="21"/>
          <w:highlight w:val="none"/>
          <w:lang w:eastAsia="zh-CN"/>
        </w:rPr>
        <w:t>承担；单次维修费用超过</w:t>
      </w:r>
      <w:r>
        <w:rPr>
          <w:rFonts w:hint="eastAsia" w:ascii="宋体" w:hAnsi="宋体" w:cs="宋体"/>
          <w:color w:val="auto"/>
          <w:spacing w:val="9"/>
          <w:sz w:val="21"/>
          <w:szCs w:val="21"/>
          <w:highlight w:val="none"/>
          <w:lang w:val="en-US" w:eastAsia="zh-CN"/>
        </w:rPr>
        <w:t>5</w:t>
      </w:r>
      <w:r>
        <w:rPr>
          <w:rFonts w:hint="eastAsia" w:ascii="宋体" w:hAnsi="宋体" w:cs="宋体"/>
          <w:color w:val="auto"/>
          <w:spacing w:val="9"/>
          <w:sz w:val="21"/>
          <w:szCs w:val="21"/>
          <w:highlight w:val="none"/>
          <w:lang w:eastAsia="zh-CN"/>
        </w:rPr>
        <w:t>元的</w:t>
      </w:r>
      <w:r>
        <w:rPr>
          <w:rFonts w:hint="eastAsia" w:ascii="宋体" w:hAnsi="宋体" w:eastAsia="宋体" w:cs="宋体"/>
          <w:color w:val="auto"/>
          <w:spacing w:val="9"/>
          <w:sz w:val="21"/>
          <w:szCs w:val="21"/>
          <w:highlight w:val="none"/>
        </w:rPr>
        <w:t>大型维修</w:t>
      </w:r>
      <w:r>
        <w:rPr>
          <w:rFonts w:hint="eastAsia" w:ascii="宋体" w:hAnsi="宋体" w:cs="宋体"/>
          <w:color w:val="auto"/>
          <w:spacing w:val="9"/>
          <w:sz w:val="21"/>
          <w:szCs w:val="21"/>
          <w:highlight w:val="none"/>
          <w:lang w:eastAsia="zh-CN"/>
        </w:rPr>
        <w:t>，经甲方审核确认后，</w:t>
      </w:r>
      <w:r>
        <w:rPr>
          <w:rFonts w:hint="eastAsia" w:ascii="宋体" w:hAnsi="宋体" w:eastAsia="宋体" w:cs="宋体"/>
          <w:color w:val="auto"/>
          <w:spacing w:val="9"/>
          <w:sz w:val="21"/>
          <w:szCs w:val="21"/>
          <w:highlight w:val="none"/>
        </w:rPr>
        <w:t>由</w:t>
      </w:r>
      <w:r>
        <w:rPr>
          <w:rFonts w:hint="eastAsia" w:ascii="宋体" w:hAnsi="宋体" w:eastAsia="宋体" w:cs="宋体"/>
          <w:color w:val="auto"/>
          <w:spacing w:val="9"/>
          <w:sz w:val="21"/>
          <w:szCs w:val="21"/>
          <w:highlight w:val="none"/>
          <w:lang w:eastAsia="zh-CN"/>
        </w:rPr>
        <w:t>甲方</w:t>
      </w:r>
      <w:r>
        <w:rPr>
          <w:rFonts w:hint="eastAsia" w:ascii="宋体" w:hAnsi="宋体" w:cs="宋体"/>
          <w:color w:val="auto"/>
          <w:spacing w:val="9"/>
          <w:sz w:val="21"/>
          <w:szCs w:val="21"/>
          <w:highlight w:val="none"/>
          <w:lang w:eastAsia="zh-CN"/>
        </w:rPr>
        <w:t>承担费用</w:t>
      </w:r>
      <w:r>
        <w:rPr>
          <w:rFonts w:hint="eastAsia" w:ascii="宋体" w:hAnsi="宋体" w:eastAsia="宋体" w:cs="宋体"/>
          <w:color w:val="auto"/>
          <w:spacing w:val="9"/>
          <w:sz w:val="21"/>
          <w:szCs w:val="21"/>
          <w:highlight w:val="none"/>
        </w:rPr>
        <w:t>。</w:t>
      </w:r>
      <w:bookmarkEnd w:id="166"/>
    </w:p>
    <w:p w14:paraId="14186165">
      <w:pPr>
        <w:keepNext w:val="0"/>
        <w:keepLines w:val="0"/>
        <w:pageBreakBefore w:val="0"/>
        <w:widowControl w:val="0"/>
        <w:kinsoku/>
        <w:wordWrap/>
        <w:overflowPunct/>
        <w:topLinePunct w:val="0"/>
        <w:autoSpaceDE/>
        <w:autoSpaceDN/>
        <w:bidi w:val="0"/>
        <w:adjustRightInd/>
        <w:spacing w:before="154" w:line="360" w:lineRule="auto"/>
        <w:ind w:left="2" w:right="2" w:firstLine="437"/>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lang w:val="en-US" w:eastAsia="zh-CN"/>
        </w:rPr>
        <w:t>39</w:t>
      </w:r>
      <w:r>
        <w:rPr>
          <w:rFonts w:hint="eastAsia" w:ascii="宋体" w:hAnsi="宋体" w:eastAsia="宋体" w:cs="宋体"/>
          <w:color w:val="auto"/>
          <w:spacing w:val="8"/>
          <w:sz w:val="21"/>
          <w:szCs w:val="21"/>
          <w:highlight w:val="none"/>
        </w:rPr>
        <w:t>、</w:t>
      </w:r>
      <w:bookmarkStart w:id="167" w:name="auto_fouce_23"/>
      <w:r>
        <w:rPr>
          <w:rFonts w:hint="eastAsia" w:ascii="宋体" w:hAnsi="宋体" w:eastAsia="宋体" w:cs="宋体"/>
          <w:color w:val="auto"/>
          <w:spacing w:val="12"/>
          <w:sz w:val="21"/>
          <w:szCs w:val="21"/>
          <w:highlight w:val="none"/>
          <w:lang w:eastAsia="zh-CN"/>
        </w:rPr>
        <w:t>乙方</w:t>
      </w:r>
      <w:r>
        <w:rPr>
          <w:rFonts w:hint="eastAsia" w:ascii="宋体" w:hAnsi="宋体" w:eastAsia="宋体" w:cs="宋体"/>
          <w:color w:val="auto"/>
          <w:spacing w:val="8"/>
          <w:sz w:val="21"/>
          <w:szCs w:val="21"/>
          <w:highlight w:val="none"/>
        </w:rPr>
        <w:t>需在第一合同年内委托专业机构对玉罗岭立交4座灯塔建筑结构安全进行检测</w:t>
      </w:r>
      <w:r>
        <w:rPr>
          <w:rFonts w:hint="eastAsia" w:ascii="宋体" w:hAnsi="宋体" w:cs="宋体"/>
          <w:color w:val="auto"/>
          <w:spacing w:val="8"/>
          <w:sz w:val="21"/>
          <w:szCs w:val="21"/>
          <w:highlight w:val="none"/>
          <w:lang w:eastAsia="zh-CN"/>
        </w:rPr>
        <w:t>，并出具相关检测报告</w:t>
      </w:r>
      <w:r>
        <w:rPr>
          <w:rFonts w:hint="eastAsia" w:ascii="宋体" w:hAnsi="宋体" w:eastAsia="宋体" w:cs="宋体"/>
          <w:color w:val="auto"/>
          <w:spacing w:val="8"/>
          <w:sz w:val="21"/>
          <w:szCs w:val="21"/>
          <w:highlight w:val="none"/>
        </w:rPr>
        <w:t>。</w:t>
      </w:r>
      <w:bookmarkEnd w:id="167"/>
    </w:p>
    <w:p w14:paraId="16EB1D73">
      <w:pPr>
        <w:keepNext w:val="0"/>
        <w:keepLines w:val="0"/>
        <w:pageBreakBefore w:val="0"/>
        <w:widowControl w:val="0"/>
        <w:kinsoku/>
        <w:wordWrap/>
        <w:overflowPunct/>
        <w:topLinePunct w:val="0"/>
        <w:autoSpaceDE/>
        <w:autoSpaceDN/>
        <w:bidi w:val="0"/>
        <w:adjustRightInd/>
        <w:spacing w:before="154" w:line="360" w:lineRule="auto"/>
        <w:ind w:left="2" w:right="2" w:firstLine="437"/>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4</w:t>
      </w:r>
      <w:r>
        <w:rPr>
          <w:rFonts w:hint="eastAsia" w:ascii="宋体" w:hAnsi="宋体" w:eastAsia="宋体" w:cs="宋体"/>
          <w:color w:val="auto"/>
          <w:spacing w:val="9"/>
          <w:sz w:val="21"/>
          <w:szCs w:val="21"/>
          <w:highlight w:val="none"/>
          <w:lang w:val="en-US" w:eastAsia="zh-CN"/>
        </w:rPr>
        <w:t>0</w:t>
      </w:r>
      <w:r>
        <w:rPr>
          <w:rFonts w:hint="eastAsia" w:ascii="宋体" w:hAnsi="宋体" w:eastAsia="宋体" w:cs="宋体"/>
          <w:color w:val="auto"/>
          <w:spacing w:val="9"/>
          <w:sz w:val="21"/>
          <w:szCs w:val="21"/>
          <w:highlight w:val="none"/>
        </w:rPr>
        <w:t>、</w:t>
      </w:r>
      <w:r>
        <w:rPr>
          <w:rFonts w:hint="eastAsia" w:ascii="宋体" w:hAnsi="宋体" w:eastAsia="宋体" w:cs="宋体"/>
          <w:color w:val="auto"/>
          <w:spacing w:val="12"/>
          <w:sz w:val="21"/>
          <w:szCs w:val="21"/>
          <w:highlight w:val="none"/>
          <w:lang w:eastAsia="zh-CN"/>
        </w:rPr>
        <w:t>乙方</w:t>
      </w:r>
      <w:r>
        <w:rPr>
          <w:rFonts w:hint="eastAsia" w:ascii="宋体" w:hAnsi="宋体" w:eastAsia="宋体" w:cs="宋体"/>
          <w:color w:val="auto"/>
          <w:spacing w:val="9"/>
          <w:sz w:val="21"/>
          <w:szCs w:val="21"/>
          <w:highlight w:val="none"/>
        </w:rPr>
        <w:t>需承担</w:t>
      </w:r>
      <w:r>
        <w:rPr>
          <w:rFonts w:hint="eastAsia" w:ascii="宋体" w:hAnsi="宋体" w:eastAsia="宋体" w:cs="宋体"/>
          <w:color w:val="auto"/>
          <w:spacing w:val="9"/>
          <w:sz w:val="21"/>
          <w:szCs w:val="21"/>
          <w:highlight w:val="none"/>
          <w:lang w:eastAsia="zh-CN"/>
        </w:rPr>
        <w:t>甲方</w:t>
      </w:r>
      <w:r>
        <w:rPr>
          <w:rFonts w:hint="eastAsia" w:ascii="宋体" w:hAnsi="宋体" w:eastAsia="宋体" w:cs="宋体"/>
          <w:color w:val="auto"/>
          <w:spacing w:val="9"/>
          <w:sz w:val="21"/>
          <w:szCs w:val="21"/>
          <w:highlight w:val="none"/>
        </w:rPr>
        <w:t>安装的路灯道旗广告的维护、修复工作，</w:t>
      </w:r>
      <w:r>
        <w:rPr>
          <w:rFonts w:hint="eastAsia" w:ascii="宋体" w:hAnsi="宋体" w:eastAsia="宋体" w:cs="宋体"/>
          <w:color w:val="auto"/>
          <w:spacing w:val="8"/>
          <w:sz w:val="21"/>
          <w:szCs w:val="21"/>
          <w:highlight w:val="none"/>
        </w:rPr>
        <w:t>合同期内</w:t>
      </w:r>
      <w:r>
        <w:rPr>
          <w:rFonts w:hint="eastAsia" w:ascii="宋体" w:hAnsi="宋体" w:eastAsia="宋体" w:cs="宋体"/>
          <w:color w:val="auto"/>
          <w:spacing w:val="8"/>
          <w:sz w:val="21"/>
          <w:szCs w:val="21"/>
          <w:highlight w:val="none"/>
          <w:lang w:eastAsia="zh-CN"/>
        </w:rPr>
        <w:t>甲方</w:t>
      </w:r>
      <w:r>
        <w:rPr>
          <w:rFonts w:hint="eastAsia" w:ascii="宋体" w:hAnsi="宋体" w:eastAsia="宋体" w:cs="宋体"/>
          <w:color w:val="auto"/>
          <w:spacing w:val="8"/>
          <w:sz w:val="21"/>
          <w:szCs w:val="21"/>
          <w:highlight w:val="none"/>
        </w:rPr>
        <w:t>新装道旗广告设</w:t>
      </w:r>
      <w:r>
        <w:rPr>
          <w:rFonts w:hint="eastAsia" w:ascii="宋体" w:hAnsi="宋体" w:eastAsia="宋体" w:cs="宋体"/>
          <w:color w:val="auto"/>
          <w:spacing w:val="9"/>
          <w:sz w:val="21"/>
          <w:szCs w:val="21"/>
          <w:highlight w:val="none"/>
        </w:rPr>
        <w:t>施的，可委托</w:t>
      </w:r>
      <w:r>
        <w:rPr>
          <w:rFonts w:hint="eastAsia" w:ascii="宋体" w:hAnsi="宋体" w:cs="宋体"/>
          <w:color w:val="auto"/>
          <w:spacing w:val="9"/>
          <w:sz w:val="21"/>
          <w:szCs w:val="21"/>
          <w:highlight w:val="none"/>
          <w:lang w:eastAsia="zh-CN"/>
        </w:rPr>
        <w:t>乙方</w:t>
      </w:r>
      <w:r>
        <w:rPr>
          <w:rFonts w:hint="eastAsia" w:ascii="宋体" w:hAnsi="宋体" w:eastAsia="宋体" w:cs="宋体"/>
          <w:color w:val="auto"/>
          <w:spacing w:val="9"/>
          <w:sz w:val="21"/>
          <w:szCs w:val="21"/>
          <w:highlight w:val="none"/>
        </w:rPr>
        <w:t>实施，相关费用由</w:t>
      </w:r>
      <w:r>
        <w:rPr>
          <w:rFonts w:hint="eastAsia" w:ascii="宋体" w:hAnsi="宋体" w:eastAsia="宋体" w:cs="宋体"/>
          <w:color w:val="auto"/>
          <w:spacing w:val="9"/>
          <w:sz w:val="21"/>
          <w:szCs w:val="21"/>
          <w:highlight w:val="none"/>
          <w:lang w:eastAsia="zh-CN"/>
        </w:rPr>
        <w:t>甲方</w:t>
      </w:r>
      <w:r>
        <w:rPr>
          <w:rFonts w:hint="eastAsia" w:ascii="宋体" w:hAnsi="宋体" w:eastAsia="宋体" w:cs="宋体"/>
          <w:color w:val="auto"/>
          <w:spacing w:val="9"/>
          <w:sz w:val="21"/>
          <w:szCs w:val="21"/>
          <w:highlight w:val="none"/>
        </w:rPr>
        <w:t>承担。</w:t>
      </w:r>
    </w:p>
    <w:p w14:paraId="0A051577">
      <w:pPr>
        <w:keepNext w:val="0"/>
        <w:keepLines w:val="0"/>
        <w:pageBreakBefore w:val="0"/>
        <w:widowControl w:val="0"/>
        <w:kinsoku/>
        <w:wordWrap/>
        <w:overflowPunct/>
        <w:topLinePunct w:val="0"/>
        <w:autoSpaceDE/>
        <w:autoSpaceDN/>
        <w:bidi w:val="0"/>
        <w:adjustRightInd/>
        <w:spacing w:before="154" w:line="360" w:lineRule="auto"/>
        <w:ind w:left="2" w:right="2" w:firstLine="437"/>
        <w:jc w:val="both"/>
        <w:textAlignment w:val="auto"/>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4</w:t>
      </w:r>
      <w:r>
        <w:rPr>
          <w:rFonts w:hint="eastAsia" w:ascii="宋体" w:hAnsi="宋体" w:eastAsia="宋体" w:cs="宋体"/>
          <w:color w:val="auto"/>
          <w:spacing w:val="9"/>
          <w:sz w:val="21"/>
          <w:szCs w:val="21"/>
          <w:highlight w:val="none"/>
          <w:lang w:val="en-US" w:eastAsia="zh-CN"/>
        </w:rPr>
        <w:t>1</w:t>
      </w:r>
      <w:r>
        <w:rPr>
          <w:rFonts w:hint="eastAsia" w:ascii="宋体" w:hAnsi="宋体" w:eastAsia="宋体" w:cs="宋体"/>
          <w:color w:val="auto"/>
          <w:spacing w:val="9"/>
          <w:sz w:val="21"/>
          <w:szCs w:val="21"/>
          <w:highlight w:val="none"/>
        </w:rPr>
        <w:t>、</w:t>
      </w:r>
      <w:r>
        <w:rPr>
          <w:rFonts w:hint="eastAsia" w:ascii="宋体" w:hAnsi="宋体" w:eastAsia="宋体" w:cs="宋体"/>
          <w:color w:val="auto"/>
          <w:spacing w:val="12"/>
          <w:sz w:val="21"/>
          <w:szCs w:val="21"/>
          <w:highlight w:val="none"/>
          <w:lang w:eastAsia="zh-CN"/>
        </w:rPr>
        <w:t>乙方</w:t>
      </w:r>
      <w:r>
        <w:rPr>
          <w:rFonts w:hint="eastAsia" w:ascii="宋体" w:hAnsi="宋体" w:eastAsia="宋体" w:cs="宋体"/>
          <w:color w:val="auto"/>
          <w:spacing w:val="9"/>
          <w:sz w:val="21"/>
          <w:szCs w:val="21"/>
          <w:highlight w:val="none"/>
        </w:rPr>
        <w:t>需全面检查管护范围内所有灯杆的检修孔盖板情况，如有缺失需按原规格补齐。</w:t>
      </w:r>
    </w:p>
    <w:p w14:paraId="08E9B2A3">
      <w:pPr>
        <w:keepNext w:val="0"/>
        <w:keepLines w:val="0"/>
        <w:pageBreakBefore w:val="0"/>
        <w:widowControl w:val="0"/>
        <w:kinsoku/>
        <w:wordWrap/>
        <w:overflowPunct/>
        <w:topLinePunct w:val="0"/>
        <w:autoSpaceDE/>
        <w:autoSpaceDN/>
        <w:bidi w:val="0"/>
        <w:adjustRightInd/>
        <w:spacing w:before="154" w:line="360" w:lineRule="auto"/>
        <w:ind w:left="2" w:right="2" w:firstLine="437"/>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4</w:t>
      </w:r>
      <w:r>
        <w:rPr>
          <w:rFonts w:hint="eastAsia" w:ascii="宋体" w:hAnsi="宋体" w:eastAsia="宋体" w:cs="宋体"/>
          <w:color w:val="auto"/>
          <w:spacing w:val="9"/>
          <w:sz w:val="21"/>
          <w:szCs w:val="21"/>
          <w:highlight w:val="none"/>
          <w:lang w:val="en-US" w:eastAsia="zh-CN"/>
        </w:rPr>
        <w:t>2</w:t>
      </w:r>
      <w:r>
        <w:rPr>
          <w:rFonts w:hint="eastAsia" w:ascii="宋体" w:hAnsi="宋体" w:eastAsia="宋体" w:cs="宋体"/>
          <w:color w:val="auto"/>
          <w:spacing w:val="9"/>
          <w:sz w:val="21"/>
          <w:szCs w:val="21"/>
          <w:highlight w:val="none"/>
        </w:rPr>
        <w:t>、</w:t>
      </w:r>
      <w:bookmarkStart w:id="168" w:name="auto_fouce_24"/>
      <w:r>
        <w:rPr>
          <w:rFonts w:hint="eastAsia" w:ascii="宋体" w:hAnsi="宋体" w:eastAsia="宋体" w:cs="宋体"/>
          <w:color w:val="auto"/>
          <w:spacing w:val="9"/>
          <w:sz w:val="21"/>
          <w:szCs w:val="21"/>
          <w:highlight w:val="none"/>
          <w:lang w:eastAsia="zh-CN"/>
        </w:rPr>
        <w:t>乙方应做好</w:t>
      </w:r>
      <w:r>
        <w:rPr>
          <w:rFonts w:hint="eastAsia" w:ascii="宋体" w:hAnsi="宋体" w:eastAsia="宋体" w:cs="宋体"/>
          <w:color w:val="auto"/>
          <w:spacing w:val="9"/>
          <w:sz w:val="21"/>
          <w:szCs w:val="21"/>
          <w:highlight w:val="none"/>
        </w:rPr>
        <w:t>应急处置响应工作，落实24小时值班制</w:t>
      </w:r>
      <w:r>
        <w:rPr>
          <w:rFonts w:hint="eastAsia" w:ascii="宋体" w:hAnsi="宋体" w:eastAsia="宋体" w:cs="宋体"/>
          <w:color w:val="auto"/>
          <w:spacing w:val="9"/>
          <w:sz w:val="21"/>
          <w:szCs w:val="21"/>
          <w:highlight w:val="none"/>
          <w:lang w:eastAsia="zh-CN"/>
        </w:rPr>
        <w:t>；</w:t>
      </w:r>
      <w:r>
        <w:rPr>
          <w:rFonts w:hint="eastAsia" w:ascii="宋体" w:hAnsi="宋体" w:cs="宋体"/>
          <w:color w:val="auto"/>
          <w:spacing w:val="9"/>
          <w:sz w:val="21"/>
          <w:szCs w:val="21"/>
          <w:highlight w:val="none"/>
          <w:lang w:eastAsia="zh-CN"/>
        </w:rPr>
        <w:t>接到甲方</w:t>
      </w:r>
      <w:r>
        <w:rPr>
          <w:rFonts w:hint="eastAsia" w:ascii="宋体" w:hAnsi="宋体" w:eastAsia="宋体" w:cs="宋体"/>
          <w:color w:val="auto"/>
          <w:spacing w:val="9"/>
          <w:sz w:val="21"/>
          <w:szCs w:val="21"/>
          <w:highlight w:val="none"/>
        </w:rPr>
        <w:t>应急</w:t>
      </w:r>
      <w:r>
        <w:rPr>
          <w:rFonts w:hint="eastAsia" w:ascii="宋体" w:hAnsi="宋体" w:cs="宋体"/>
          <w:color w:val="auto"/>
          <w:spacing w:val="9"/>
          <w:sz w:val="21"/>
          <w:szCs w:val="21"/>
          <w:highlight w:val="none"/>
          <w:lang w:eastAsia="zh-CN"/>
        </w:rPr>
        <w:t>通知后1小时内到达现场</w:t>
      </w:r>
      <w:r>
        <w:rPr>
          <w:rFonts w:hint="eastAsia" w:ascii="宋体" w:hAnsi="宋体" w:eastAsia="宋体" w:cs="宋体"/>
          <w:color w:val="auto"/>
          <w:spacing w:val="9"/>
          <w:sz w:val="21"/>
          <w:szCs w:val="21"/>
          <w:highlight w:val="none"/>
        </w:rPr>
        <w:t>，</w:t>
      </w:r>
      <w:r>
        <w:rPr>
          <w:rFonts w:hint="eastAsia" w:ascii="宋体" w:hAnsi="宋体" w:cs="宋体"/>
          <w:color w:val="auto"/>
          <w:spacing w:val="9"/>
          <w:sz w:val="21"/>
          <w:szCs w:val="21"/>
          <w:highlight w:val="none"/>
          <w:lang w:eastAsia="zh-CN"/>
        </w:rPr>
        <w:t>一般故障2小时内处置完毕，重大故障</w:t>
      </w:r>
      <w:r>
        <w:rPr>
          <w:rFonts w:hint="eastAsia" w:ascii="宋体" w:hAnsi="宋体" w:eastAsia="宋体" w:cs="宋体"/>
          <w:color w:val="auto"/>
          <w:spacing w:val="9"/>
          <w:sz w:val="21"/>
          <w:szCs w:val="21"/>
          <w:highlight w:val="none"/>
        </w:rPr>
        <w:t>应</w:t>
      </w:r>
      <w:r>
        <w:rPr>
          <w:rFonts w:hint="eastAsia" w:ascii="宋体" w:hAnsi="宋体" w:cs="宋体"/>
          <w:color w:val="auto"/>
          <w:spacing w:val="9"/>
          <w:sz w:val="21"/>
          <w:szCs w:val="21"/>
          <w:highlight w:val="none"/>
          <w:lang w:eastAsia="zh-CN"/>
        </w:rPr>
        <w:t>在</w:t>
      </w:r>
      <w:r>
        <w:rPr>
          <w:rFonts w:hint="eastAsia" w:ascii="宋体" w:hAnsi="宋体" w:eastAsia="宋体" w:cs="宋体"/>
          <w:color w:val="auto"/>
          <w:spacing w:val="9"/>
          <w:sz w:val="21"/>
          <w:szCs w:val="21"/>
          <w:highlight w:val="none"/>
          <w:lang w:eastAsia="zh-CN"/>
        </w:rPr>
        <w:t>甲方</w:t>
      </w:r>
      <w:r>
        <w:rPr>
          <w:rFonts w:hint="eastAsia" w:ascii="宋体" w:hAnsi="宋体" w:eastAsia="宋体" w:cs="宋体"/>
          <w:color w:val="auto"/>
          <w:spacing w:val="9"/>
          <w:sz w:val="21"/>
          <w:szCs w:val="21"/>
          <w:highlight w:val="none"/>
        </w:rPr>
        <w:t>要求</w:t>
      </w:r>
      <w:r>
        <w:rPr>
          <w:rFonts w:hint="eastAsia" w:ascii="宋体" w:hAnsi="宋体" w:cs="宋体"/>
          <w:color w:val="auto"/>
          <w:spacing w:val="9"/>
          <w:sz w:val="21"/>
          <w:szCs w:val="21"/>
          <w:highlight w:val="none"/>
          <w:lang w:eastAsia="zh-CN"/>
        </w:rPr>
        <w:t>的时限内完成处置，</w:t>
      </w:r>
      <w:r>
        <w:rPr>
          <w:rFonts w:hint="eastAsia" w:ascii="宋体" w:hAnsi="宋体" w:eastAsia="宋体" w:cs="宋体"/>
          <w:color w:val="auto"/>
          <w:spacing w:val="9"/>
          <w:sz w:val="21"/>
          <w:szCs w:val="21"/>
          <w:highlight w:val="none"/>
        </w:rPr>
        <w:t>确保城区道路的安全畅通。</w:t>
      </w:r>
      <w:bookmarkEnd w:id="168"/>
    </w:p>
    <w:p w14:paraId="4C663E2D">
      <w:pPr>
        <w:adjustRightInd/>
        <w:spacing w:before="154" w:line="360" w:lineRule="auto"/>
        <w:ind w:left="2" w:right="2" w:firstLine="437"/>
        <w:textAlignment w:val="auto"/>
        <w:rPr>
          <w:rFonts w:hint="eastAsia" w:ascii="宋体" w:hAnsi="宋体" w:cs="宋体"/>
          <w:color w:val="auto"/>
          <w:spacing w:val="9"/>
          <w:szCs w:val="21"/>
          <w:highlight w:val="none"/>
          <w:lang w:eastAsia="zh-CN"/>
        </w:rPr>
      </w:pPr>
      <w:r>
        <w:rPr>
          <w:rFonts w:hint="eastAsia" w:ascii="宋体" w:hAnsi="宋体" w:eastAsia="宋体" w:cs="宋体"/>
          <w:color w:val="auto"/>
          <w:spacing w:val="9"/>
          <w:sz w:val="21"/>
          <w:szCs w:val="21"/>
          <w:highlight w:val="none"/>
        </w:rPr>
        <w:t>4</w:t>
      </w:r>
      <w:r>
        <w:rPr>
          <w:rFonts w:hint="eastAsia" w:ascii="宋体" w:hAnsi="宋体" w:eastAsia="宋体" w:cs="宋体"/>
          <w:color w:val="auto"/>
          <w:spacing w:val="9"/>
          <w:sz w:val="21"/>
          <w:szCs w:val="21"/>
          <w:highlight w:val="none"/>
          <w:lang w:val="en-US" w:eastAsia="zh-CN"/>
        </w:rPr>
        <w:t>3</w:t>
      </w:r>
      <w:r>
        <w:rPr>
          <w:rFonts w:hint="eastAsia" w:ascii="宋体" w:hAnsi="宋体" w:eastAsia="宋体" w:cs="宋体"/>
          <w:color w:val="auto"/>
          <w:spacing w:val="9"/>
          <w:sz w:val="21"/>
          <w:szCs w:val="21"/>
          <w:highlight w:val="none"/>
        </w:rPr>
        <w:t>、除以上工作外</w:t>
      </w:r>
      <w:r>
        <w:rPr>
          <w:rFonts w:hint="eastAsia" w:ascii="宋体" w:hAnsi="宋体" w:eastAsia="宋体" w:cs="宋体"/>
          <w:color w:val="auto"/>
          <w:spacing w:val="9"/>
          <w:sz w:val="21"/>
          <w:szCs w:val="21"/>
          <w:highlight w:val="none"/>
          <w:lang w:eastAsia="zh-CN"/>
        </w:rPr>
        <w:t>甲方</w:t>
      </w:r>
      <w:r>
        <w:rPr>
          <w:rFonts w:hint="eastAsia" w:ascii="宋体" w:hAnsi="宋体" w:eastAsia="宋体" w:cs="宋体"/>
          <w:color w:val="auto"/>
          <w:spacing w:val="9"/>
          <w:sz w:val="21"/>
          <w:szCs w:val="21"/>
          <w:highlight w:val="none"/>
        </w:rPr>
        <w:t>安排的其他维护工作</w:t>
      </w:r>
      <w:r>
        <w:rPr>
          <w:rFonts w:hint="eastAsia" w:ascii="宋体" w:hAnsi="宋体" w:eastAsia="宋体" w:cs="宋体"/>
          <w:color w:val="auto"/>
          <w:spacing w:val="9"/>
          <w:sz w:val="21"/>
          <w:szCs w:val="21"/>
          <w:highlight w:val="none"/>
          <w:lang w:eastAsia="zh-CN"/>
        </w:rPr>
        <w:t>乙方</w:t>
      </w:r>
      <w:r>
        <w:rPr>
          <w:rFonts w:hint="eastAsia" w:ascii="宋体" w:hAnsi="宋体" w:eastAsia="宋体" w:cs="宋体"/>
          <w:color w:val="auto"/>
          <w:spacing w:val="9"/>
          <w:sz w:val="21"/>
          <w:szCs w:val="21"/>
          <w:highlight w:val="none"/>
        </w:rPr>
        <w:t>必须按时完成。</w:t>
      </w:r>
      <w:bookmarkStart w:id="169" w:name="auto_fouce_25"/>
      <w:r>
        <w:rPr>
          <w:rFonts w:hint="eastAsia" w:ascii="宋体" w:hAnsi="宋体" w:cs="宋体"/>
          <w:color w:val="auto"/>
          <w:spacing w:val="9"/>
          <w:sz w:val="21"/>
          <w:szCs w:val="21"/>
          <w:highlight w:val="none"/>
          <w:lang w:eastAsia="zh-CN"/>
        </w:rPr>
        <w:t>乙方承诺本合同约定配备的所有专职工作人员必须全程在岗服务，未经甲方书面同意，乙方不得擅自更换、调离关键岗位人员。甲方有权随机抽查工作人员到岗情况，月度累计抽查到岗率低于95%的，扣除当月5%的服务费用；擅自更换项目经理等关键岗位人员的，甲方有权单方终止合同。</w:t>
      </w:r>
      <w:bookmarkEnd w:id="169"/>
    </w:p>
    <w:p w14:paraId="7C204C75">
      <w:pPr>
        <w:keepNext w:val="0"/>
        <w:keepLines w:val="0"/>
        <w:pageBreakBefore w:val="0"/>
        <w:widowControl w:val="0"/>
        <w:kinsoku/>
        <w:wordWrap/>
        <w:overflowPunct/>
        <w:topLinePunct w:val="0"/>
        <w:autoSpaceDE/>
        <w:autoSpaceDN/>
        <w:bidi w:val="0"/>
        <w:adjustRightInd/>
        <w:spacing w:before="154" w:line="360" w:lineRule="auto"/>
        <w:ind w:left="2" w:right="2" w:firstLine="437"/>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（二）其他要求</w:t>
      </w:r>
    </w:p>
    <w:p w14:paraId="71A1AAD6">
      <w:pPr>
        <w:keepNext w:val="0"/>
        <w:keepLines w:val="0"/>
        <w:pageBreakBefore w:val="0"/>
        <w:widowControl w:val="0"/>
        <w:kinsoku/>
        <w:wordWrap/>
        <w:overflowPunct/>
        <w:topLinePunct w:val="0"/>
        <w:autoSpaceDE/>
        <w:autoSpaceDN/>
        <w:bidi w:val="0"/>
        <w:adjustRightInd/>
        <w:spacing w:before="154" w:line="360" w:lineRule="auto"/>
        <w:ind w:left="2" w:right="2" w:firstLine="437"/>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合同签定后，</w:t>
      </w:r>
      <w:r>
        <w:rPr>
          <w:rFonts w:hint="eastAsia" w:ascii="宋体" w:hAnsi="宋体" w:eastAsia="宋体" w:cs="宋体"/>
          <w:color w:val="auto"/>
          <w:spacing w:val="12"/>
          <w:sz w:val="21"/>
          <w:szCs w:val="21"/>
          <w:highlight w:val="none"/>
          <w:lang w:eastAsia="zh-CN"/>
        </w:rPr>
        <w:t>乙方</w:t>
      </w:r>
      <w:r>
        <w:rPr>
          <w:rFonts w:hint="eastAsia" w:ascii="宋体" w:hAnsi="宋体" w:eastAsia="宋体" w:cs="宋体"/>
          <w:color w:val="auto"/>
          <w:spacing w:val="11"/>
          <w:sz w:val="21"/>
          <w:szCs w:val="21"/>
          <w:highlight w:val="none"/>
        </w:rPr>
        <w:t>必须自有或租赁维护用车辆和设备，包括高空作业维护车辆、巡</w:t>
      </w:r>
      <w:r>
        <w:rPr>
          <w:rFonts w:hint="eastAsia" w:ascii="宋体" w:hAnsi="宋体" w:eastAsia="宋体" w:cs="宋体"/>
          <w:color w:val="auto"/>
          <w:spacing w:val="10"/>
          <w:sz w:val="21"/>
          <w:szCs w:val="21"/>
          <w:highlight w:val="none"/>
        </w:rPr>
        <w:t>查机动</w:t>
      </w:r>
      <w:r>
        <w:rPr>
          <w:rFonts w:hint="eastAsia" w:ascii="宋体" w:hAnsi="宋体" w:eastAsia="宋体" w:cs="宋体"/>
          <w:color w:val="auto"/>
          <w:spacing w:val="9"/>
          <w:sz w:val="21"/>
          <w:szCs w:val="21"/>
          <w:highlight w:val="none"/>
        </w:rPr>
        <w:t>车辆（皮卡或轻卡）、人行道巡查专用电动自行车、应急照明设备。</w:t>
      </w:r>
    </w:p>
    <w:p w14:paraId="19208E35">
      <w:pPr>
        <w:keepNext w:val="0"/>
        <w:keepLines w:val="0"/>
        <w:pageBreakBefore w:val="0"/>
        <w:widowControl w:val="0"/>
        <w:kinsoku/>
        <w:wordWrap/>
        <w:overflowPunct/>
        <w:topLinePunct w:val="0"/>
        <w:autoSpaceDE/>
        <w:autoSpaceDN/>
        <w:bidi w:val="0"/>
        <w:adjustRightInd/>
        <w:spacing w:before="154" w:line="360" w:lineRule="auto"/>
        <w:ind w:left="2" w:right="2" w:firstLine="437"/>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9"/>
          <w:sz w:val="21"/>
          <w:szCs w:val="21"/>
          <w:highlight w:val="none"/>
        </w:rPr>
        <w:t>十、</w:t>
      </w:r>
      <w:r>
        <w:rPr>
          <w:rFonts w:hint="eastAsia" w:ascii="宋体" w:hAnsi="宋体"/>
          <w:color w:val="auto"/>
          <w:szCs w:val="21"/>
          <w:highlight w:val="none"/>
          <w:lang w:eastAsia="zh-CN"/>
        </w:rPr>
        <w:t>《防城港市市管城市照明设施维修养护服务项目考核办法》</w:t>
      </w:r>
      <w:r>
        <w:rPr>
          <w:rFonts w:hint="eastAsia" w:ascii="宋体" w:hAnsi="宋体" w:eastAsia="宋体" w:cs="宋体"/>
          <w:color w:val="auto"/>
          <w:spacing w:val="9"/>
          <w:sz w:val="21"/>
          <w:szCs w:val="21"/>
          <w:highlight w:val="none"/>
        </w:rPr>
        <w:t>作为本合同</w:t>
      </w:r>
      <w:r>
        <w:rPr>
          <w:rFonts w:hint="eastAsia" w:ascii="宋体" w:hAnsi="宋体" w:eastAsia="宋体" w:cs="宋体"/>
          <w:color w:val="auto"/>
          <w:spacing w:val="8"/>
          <w:sz w:val="21"/>
          <w:szCs w:val="21"/>
          <w:highlight w:val="none"/>
        </w:rPr>
        <w:t>的附件，与主合同具有同</w:t>
      </w:r>
      <w:r>
        <w:rPr>
          <w:rFonts w:hint="eastAsia" w:ascii="宋体" w:hAnsi="宋体" w:eastAsia="宋体" w:cs="宋体"/>
          <w:color w:val="auto"/>
          <w:spacing w:val="6"/>
          <w:sz w:val="21"/>
          <w:szCs w:val="21"/>
          <w:highlight w:val="none"/>
        </w:rPr>
        <w:t>等法律效力。</w:t>
      </w:r>
    </w:p>
    <w:p w14:paraId="3372C32F">
      <w:pPr>
        <w:keepNext w:val="0"/>
        <w:keepLines w:val="0"/>
        <w:pageBreakBefore w:val="0"/>
        <w:widowControl w:val="0"/>
        <w:kinsoku/>
        <w:wordWrap/>
        <w:overflowPunct/>
        <w:topLinePunct w:val="0"/>
        <w:autoSpaceDE/>
        <w:autoSpaceDN/>
        <w:bidi w:val="0"/>
        <w:adjustRightInd/>
        <w:spacing w:before="154" w:line="360" w:lineRule="auto"/>
        <w:ind w:left="2" w:right="2" w:firstLine="437"/>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7"/>
          <w:sz w:val="21"/>
          <w:szCs w:val="21"/>
          <w:highlight w:val="none"/>
        </w:rPr>
        <w:t>十</w:t>
      </w:r>
      <w:r>
        <w:rPr>
          <w:rFonts w:hint="eastAsia" w:ascii="宋体" w:hAnsi="宋体" w:eastAsia="宋体" w:cs="宋体"/>
          <w:b/>
          <w:bCs/>
          <w:color w:val="auto"/>
          <w:spacing w:val="7"/>
          <w:sz w:val="21"/>
          <w:szCs w:val="21"/>
          <w:highlight w:val="none"/>
          <w:lang w:eastAsia="zh-CN"/>
        </w:rPr>
        <w:t>一</w:t>
      </w:r>
      <w:r>
        <w:rPr>
          <w:rFonts w:hint="eastAsia" w:ascii="宋体" w:hAnsi="宋体" w:eastAsia="宋体" w:cs="宋体"/>
          <w:b/>
          <w:bCs/>
          <w:color w:val="auto"/>
          <w:spacing w:val="7"/>
          <w:sz w:val="21"/>
          <w:szCs w:val="21"/>
          <w:highlight w:val="none"/>
        </w:rPr>
        <w:t>、项目经理</w:t>
      </w:r>
    </w:p>
    <w:p w14:paraId="0011053D">
      <w:pPr>
        <w:keepNext w:val="0"/>
        <w:keepLines w:val="0"/>
        <w:pageBreakBefore w:val="0"/>
        <w:widowControl w:val="0"/>
        <w:kinsoku/>
        <w:wordWrap/>
        <w:overflowPunct/>
        <w:topLinePunct w:val="0"/>
        <w:autoSpaceDE/>
        <w:autoSpaceDN/>
        <w:bidi w:val="0"/>
        <w:adjustRightInd/>
        <w:spacing w:before="154" w:line="360" w:lineRule="auto"/>
        <w:ind w:left="2" w:right="2" w:firstLine="437"/>
        <w:jc w:val="both"/>
        <w:textAlignment w:val="auto"/>
        <w:rPr>
          <w:rFonts w:hint="eastAsia" w:ascii="宋体" w:hAnsi="宋体" w:eastAsia="宋体" w:cs="宋体"/>
          <w:color w:val="auto"/>
          <w:sz w:val="21"/>
          <w:szCs w:val="21"/>
          <w:highlight w:val="none"/>
        </w:rPr>
      </w:pPr>
      <w:bookmarkStart w:id="170" w:name="tip_risk_bookmark_26"/>
      <w:r>
        <w:rPr>
          <w:rFonts w:hint="eastAsia" w:ascii="宋体" w:hAnsi="宋体" w:eastAsia="宋体" w:cs="宋体"/>
          <w:color w:val="auto"/>
          <w:spacing w:val="5"/>
          <w:sz w:val="21"/>
          <w:szCs w:val="21"/>
          <w:highlight w:val="none"/>
          <w:lang w:eastAsia="zh-CN"/>
        </w:rPr>
        <w:t>乙方</w:t>
      </w:r>
      <w:r>
        <w:rPr>
          <w:rFonts w:hint="eastAsia" w:ascii="宋体" w:hAnsi="宋体" w:eastAsia="宋体" w:cs="宋体"/>
          <w:color w:val="auto"/>
          <w:spacing w:val="5"/>
          <w:sz w:val="21"/>
          <w:szCs w:val="21"/>
          <w:highlight w:val="none"/>
        </w:rPr>
        <w:t>项目经理：</w:t>
      </w:r>
      <w:r>
        <w:rPr>
          <w:rFonts w:hint="eastAsia" w:ascii="宋体" w:hAnsi="宋体" w:cs="宋体"/>
          <w:color w:val="auto"/>
          <w:spacing w:val="7"/>
          <w:sz w:val="21"/>
          <w:szCs w:val="21"/>
          <w:highlight w:val="none"/>
          <w:u w:val="single" w:color="000000"/>
          <w:lang w:val="en-US" w:eastAsia="zh-CN"/>
        </w:rPr>
        <w:t>XX</w:t>
      </w:r>
      <w:r>
        <w:rPr>
          <w:rFonts w:hint="eastAsia" w:ascii="宋体" w:hAnsi="宋体" w:eastAsia="宋体" w:cs="宋体"/>
          <w:color w:val="auto"/>
          <w:spacing w:val="7"/>
          <w:sz w:val="21"/>
          <w:szCs w:val="21"/>
          <w:highlight w:val="none"/>
          <w:u w:val="single" w:color="000000"/>
          <w:lang w:val="en-US" w:eastAsia="zh-CN"/>
        </w:rPr>
        <w:t xml:space="preserve">  </w:t>
      </w:r>
      <w:r>
        <w:rPr>
          <w:rFonts w:hint="eastAsia" w:ascii="宋体" w:hAnsi="宋体" w:eastAsia="宋体" w:cs="宋体"/>
          <w:color w:val="auto"/>
          <w:spacing w:val="5"/>
          <w:sz w:val="21"/>
          <w:szCs w:val="21"/>
          <w:highlight w:val="none"/>
        </w:rPr>
        <w:t>。</w:t>
      </w:r>
      <w:bookmarkEnd w:id="170"/>
    </w:p>
    <w:p w14:paraId="4334EEDD">
      <w:pPr>
        <w:keepNext w:val="0"/>
        <w:keepLines w:val="0"/>
        <w:pageBreakBefore w:val="0"/>
        <w:widowControl w:val="0"/>
        <w:kinsoku/>
        <w:wordWrap/>
        <w:overflowPunct/>
        <w:topLinePunct w:val="0"/>
        <w:autoSpaceDE/>
        <w:autoSpaceDN/>
        <w:bidi w:val="0"/>
        <w:adjustRightInd/>
        <w:spacing w:before="154" w:line="360" w:lineRule="auto"/>
        <w:ind w:left="2" w:right="2" w:firstLine="437"/>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1"/>
          <w:sz w:val="21"/>
          <w:szCs w:val="21"/>
          <w:highlight w:val="none"/>
        </w:rPr>
        <w:t>十</w:t>
      </w:r>
      <w:r>
        <w:rPr>
          <w:rFonts w:hint="eastAsia" w:ascii="宋体" w:hAnsi="宋体" w:eastAsia="宋体" w:cs="宋体"/>
          <w:b/>
          <w:bCs/>
          <w:color w:val="auto"/>
          <w:spacing w:val="1"/>
          <w:sz w:val="21"/>
          <w:szCs w:val="21"/>
          <w:highlight w:val="none"/>
          <w:lang w:eastAsia="zh-CN"/>
        </w:rPr>
        <w:t>二</w:t>
      </w:r>
      <w:r>
        <w:rPr>
          <w:rFonts w:hint="eastAsia" w:ascii="宋体" w:hAnsi="宋体" w:eastAsia="宋体" w:cs="宋体"/>
          <w:b/>
          <w:bCs/>
          <w:color w:val="auto"/>
          <w:spacing w:val="1"/>
          <w:sz w:val="21"/>
          <w:szCs w:val="21"/>
          <w:highlight w:val="none"/>
        </w:rPr>
        <w:t>、发包代表：</w:t>
      </w:r>
      <w:r>
        <w:rPr>
          <w:rFonts w:hint="eastAsia" w:ascii="宋体" w:hAnsi="宋体" w:eastAsia="宋体" w:cs="宋体"/>
          <w:color w:val="auto"/>
          <w:spacing w:val="1"/>
          <w:sz w:val="21"/>
          <w:szCs w:val="21"/>
          <w:highlight w:val="none"/>
          <w:u w:val="single"/>
          <w:lang w:eastAsia="zh-CN"/>
        </w:rPr>
        <w:t>潘柳婷、李虹霖</w:t>
      </w:r>
      <w:r>
        <w:rPr>
          <w:rFonts w:hint="eastAsia" w:ascii="宋体" w:hAnsi="宋体" w:cs="宋体"/>
          <w:color w:val="auto"/>
          <w:spacing w:val="1"/>
          <w:sz w:val="21"/>
          <w:szCs w:val="21"/>
          <w:highlight w:val="none"/>
          <w:u w:val="single"/>
          <w:lang w:eastAsia="zh-CN"/>
        </w:rPr>
        <w:t>、王其兵、覃耐务、陈沁沁</w:t>
      </w:r>
      <w:r>
        <w:rPr>
          <w:rFonts w:hint="eastAsia" w:ascii="宋体" w:hAnsi="宋体" w:eastAsia="宋体" w:cs="宋体"/>
          <w:color w:val="auto"/>
          <w:spacing w:val="1"/>
          <w:sz w:val="21"/>
          <w:szCs w:val="21"/>
          <w:highlight w:val="none"/>
        </w:rPr>
        <w:t>。</w:t>
      </w:r>
    </w:p>
    <w:p w14:paraId="6A069686">
      <w:pPr>
        <w:keepNext w:val="0"/>
        <w:keepLines w:val="0"/>
        <w:pageBreakBefore w:val="0"/>
        <w:widowControl w:val="0"/>
        <w:kinsoku/>
        <w:wordWrap/>
        <w:overflowPunct/>
        <w:topLinePunct w:val="0"/>
        <w:autoSpaceDE/>
        <w:autoSpaceDN/>
        <w:bidi w:val="0"/>
        <w:adjustRightInd/>
        <w:spacing w:before="154" w:line="360" w:lineRule="auto"/>
        <w:ind w:left="2" w:right="2" w:firstLine="437"/>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7"/>
          <w:sz w:val="21"/>
          <w:szCs w:val="21"/>
          <w:highlight w:val="none"/>
        </w:rPr>
        <w:t>十</w:t>
      </w:r>
      <w:r>
        <w:rPr>
          <w:rFonts w:hint="eastAsia" w:ascii="宋体" w:hAnsi="宋体" w:eastAsia="宋体" w:cs="宋体"/>
          <w:b/>
          <w:bCs/>
          <w:color w:val="auto"/>
          <w:spacing w:val="7"/>
          <w:sz w:val="21"/>
          <w:szCs w:val="21"/>
          <w:highlight w:val="none"/>
          <w:lang w:eastAsia="zh-CN"/>
        </w:rPr>
        <w:t>三</w:t>
      </w:r>
      <w:r>
        <w:rPr>
          <w:rFonts w:hint="eastAsia" w:ascii="宋体" w:hAnsi="宋体" w:eastAsia="宋体" w:cs="宋体"/>
          <w:b/>
          <w:bCs/>
          <w:color w:val="auto"/>
          <w:spacing w:val="7"/>
          <w:sz w:val="21"/>
          <w:szCs w:val="21"/>
          <w:highlight w:val="none"/>
        </w:rPr>
        <w:t>、合同文件构成</w:t>
      </w:r>
    </w:p>
    <w:p w14:paraId="72CE0BC7">
      <w:pPr>
        <w:keepNext w:val="0"/>
        <w:keepLines w:val="0"/>
        <w:pageBreakBefore w:val="0"/>
        <w:widowControl w:val="0"/>
        <w:kinsoku/>
        <w:wordWrap/>
        <w:overflowPunct/>
        <w:topLinePunct w:val="0"/>
        <w:autoSpaceDE/>
        <w:autoSpaceDN/>
        <w:bidi w:val="0"/>
        <w:adjustRightInd/>
        <w:spacing w:before="154" w:line="360" w:lineRule="auto"/>
        <w:ind w:left="2" w:right="2" w:firstLine="437"/>
        <w:jc w:val="both"/>
        <w:textAlignment w:val="auto"/>
        <w:rPr>
          <w:rFonts w:hint="eastAsia" w:ascii="宋体" w:hAnsi="宋体" w:eastAsia="宋体" w:cs="宋体"/>
          <w:color w:val="auto"/>
          <w:sz w:val="21"/>
          <w:szCs w:val="21"/>
          <w:highlight w:val="none"/>
        </w:rPr>
      </w:pPr>
      <w:bookmarkStart w:id="171" w:name="auto_fouce_27"/>
      <w:r>
        <w:rPr>
          <w:rFonts w:hint="eastAsia" w:ascii="宋体" w:hAnsi="宋体" w:eastAsia="宋体" w:cs="宋体"/>
          <w:color w:val="auto"/>
          <w:spacing w:val="8"/>
          <w:sz w:val="21"/>
          <w:szCs w:val="21"/>
          <w:highlight w:val="none"/>
        </w:rPr>
        <w:t>本协议书与下列文件一起构成合同文件</w:t>
      </w:r>
      <w:r>
        <w:rPr>
          <w:rFonts w:hint="eastAsia" w:ascii="宋体" w:hAnsi="宋体" w:eastAsia="宋体" w:cs="宋体"/>
          <w:color w:val="auto"/>
          <w:spacing w:val="8"/>
          <w:sz w:val="21"/>
          <w:szCs w:val="21"/>
          <w:highlight w:val="none"/>
          <w:lang w:eastAsia="zh-CN"/>
        </w:rPr>
        <w:t>，按自上往下顺序确定文件解释的优先级</w:t>
      </w:r>
      <w:r>
        <w:rPr>
          <w:rFonts w:hint="eastAsia" w:ascii="宋体" w:hAnsi="宋体" w:eastAsia="宋体" w:cs="宋体"/>
          <w:color w:val="auto"/>
          <w:spacing w:val="8"/>
          <w:sz w:val="21"/>
          <w:szCs w:val="21"/>
          <w:highlight w:val="none"/>
        </w:rPr>
        <w:t>：</w:t>
      </w:r>
    </w:p>
    <w:p w14:paraId="2CD01C93">
      <w:pPr>
        <w:keepNext w:val="0"/>
        <w:keepLines w:val="0"/>
        <w:pageBreakBefore w:val="0"/>
        <w:widowControl w:val="0"/>
        <w:kinsoku/>
        <w:wordWrap/>
        <w:overflowPunct/>
        <w:topLinePunct w:val="0"/>
        <w:autoSpaceDE/>
        <w:autoSpaceDN/>
        <w:bidi w:val="0"/>
        <w:adjustRightInd/>
        <w:spacing w:before="154" w:line="360" w:lineRule="auto"/>
        <w:ind w:left="2" w:right="2" w:firstLine="437"/>
        <w:jc w:val="both"/>
        <w:textAlignment w:val="auto"/>
        <w:rPr>
          <w:rFonts w:hint="eastAsia" w:ascii="宋体" w:hAnsi="宋体" w:eastAsia="宋体" w:cs="宋体"/>
          <w:color w:val="auto"/>
          <w:spacing w:val="6"/>
          <w:sz w:val="21"/>
          <w:szCs w:val="21"/>
          <w:highlight w:val="none"/>
          <w:lang w:eastAsia="zh-CN"/>
        </w:rPr>
      </w:pPr>
      <w:r>
        <w:rPr>
          <w:rFonts w:hint="eastAsia" w:ascii="宋体" w:hAnsi="宋体" w:eastAsia="宋体" w:cs="宋体"/>
          <w:color w:val="auto"/>
          <w:spacing w:val="6"/>
          <w:sz w:val="21"/>
          <w:szCs w:val="21"/>
          <w:highlight w:val="none"/>
        </w:rPr>
        <w:t>1、</w:t>
      </w:r>
      <w:r>
        <w:rPr>
          <w:rFonts w:hint="eastAsia" w:ascii="宋体" w:hAnsi="宋体"/>
          <w:color w:val="auto"/>
          <w:szCs w:val="21"/>
          <w:highlight w:val="none"/>
          <w:lang w:eastAsia="zh-CN"/>
        </w:rPr>
        <w:t>本合同协议书；</w:t>
      </w:r>
    </w:p>
    <w:p w14:paraId="0A55FDA1">
      <w:pPr>
        <w:keepNext w:val="0"/>
        <w:keepLines w:val="0"/>
        <w:pageBreakBefore w:val="0"/>
        <w:widowControl w:val="0"/>
        <w:kinsoku/>
        <w:wordWrap/>
        <w:overflowPunct/>
        <w:topLinePunct w:val="0"/>
        <w:autoSpaceDE/>
        <w:autoSpaceDN/>
        <w:bidi w:val="0"/>
        <w:adjustRightInd/>
        <w:spacing w:before="154" w:line="360" w:lineRule="auto"/>
        <w:ind w:left="2" w:right="2" w:firstLine="437"/>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7"/>
          <w:sz w:val="21"/>
          <w:szCs w:val="21"/>
          <w:highlight w:val="none"/>
          <w:lang w:val="en-US" w:eastAsia="zh-CN"/>
        </w:rPr>
        <w:t>2</w:t>
      </w:r>
      <w:r>
        <w:rPr>
          <w:rFonts w:hint="eastAsia" w:ascii="宋体" w:hAnsi="宋体" w:eastAsia="宋体" w:cs="宋体"/>
          <w:color w:val="auto"/>
          <w:spacing w:val="7"/>
          <w:sz w:val="21"/>
          <w:szCs w:val="21"/>
          <w:highlight w:val="none"/>
        </w:rPr>
        <w:t>、</w:t>
      </w:r>
      <w:r>
        <w:rPr>
          <w:rFonts w:hint="eastAsia" w:ascii="宋体" w:hAnsi="宋体" w:eastAsia="宋体" w:cs="宋体"/>
          <w:color w:val="auto"/>
          <w:spacing w:val="6"/>
          <w:sz w:val="21"/>
          <w:szCs w:val="21"/>
          <w:highlight w:val="none"/>
        </w:rPr>
        <w:t>中标通知书</w:t>
      </w:r>
      <w:r>
        <w:rPr>
          <w:rFonts w:hint="eastAsia" w:ascii="宋体" w:hAnsi="宋体" w:cs="宋体"/>
          <w:color w:val="auto"/>
          <w:spacing w:val="6"/>
          <w:sz w:val="21"/>
          <w:szCs w:val="21"/>
          <w:highlight w:val="none"/>
          <w:lang w:eastAsia="zh-CN"/>
        </w:rPr>
        <w:t>；</w:t>
      </w:r>
    </w:p>
    <w:p w14:paraId="390E1EAA">
      <w:pPr>
        <w:keepNext w:val="0"/>
        <w:keepLines w:val="0"/>
        <w:pageBreakBefore w:val="0"/>
        <w:widowControl w:val="0"/>
        <w:kinsoku/>
        <w:wordWrap/>
        <w:overflowPunct/>
        <w:topLinePunct w:val="0"/>
        <w:autoSpaceDE/>
        <w:autoSpaceDN/>
        <w:bidi w:val="0"/>
        <w:adjustRightInd/>
        <w:spacing w:before="154" w:line="360" w:lineRule="auto"/>
        <w:ind w:left="2" w:right="2" w:firstLine="437"/>
        <w:jc w:val="both"/>
        <w:textAlignment w:val="auto"/>
        <w:rPr>
          <w:rFonts w:hint="eastAsia" w:ascii="宋体" w:hAnsi="宋体" w:eastAsia="宋体" w:cs="宋体"/>
          <w:color w:val="auto"/>
          <w:spacing w:val="6"/>
          <w:sz w:val="21"/>
          <w:szCs w:val="21"/>
          <w:highlight w:val="none"/>
          <w:lang w:eastAsia="zh-CN"/>
        </w:rPr>
      </w:pPr>
      <w:r>
        <w:rPr>
          <w:rFonts w:hint="eastAsia" w:ascii="宋体" w:hAnsi="宋体" w:eastAsia="宋体" w:cs="宋体"/>
          <w:color w:val="auto"/>
          <w:spacing w:val="7"/>
          <w:sz w:val="21"/>
          <w:szCs w:val="21"/>
          <w:highlight w:val="none"/>
          <w:lang w:val="en-US" w:eastAsia="zh-CN"/>
        </w:rPr>
        <w:t>3</w:t>
      </w:r>
      <w:r>
        <w:rPr>
          <w:rFonts w:hint="eastAsia" w:ascii="宋体" w:hAnsi="宋体" w:eastAsia="宋体" w:cs="宋体"/>
          <w:color w:val="auto"/>
          <w:spacing w:val="7"/>
          <w:sz w:val="21"/>
          <w:szCs w:val="21"/>
          <w:highlight w:val="none"/>
        </w:rPr>
        <w:t>、</w:t>
      </w:r>
      <w:r>
        <w:rPr>
          <w:rFonts w:hint="eastAsia" w:ascii="宋体" w:hAnsi="宋体" w:eastAsia="宋体" w:cs="宋体"/>
          <w:color w:val="auto"/>
          <w:spacing w:val="6"/>
          <w:sz w:val="21"/>
          <w:szCs w:val="21"/>
          <w:highlight w:val="none"/>
          <w:lang w:eastAsia="zh-CN"/>
        </w:rPr>
        <w:t>招标文件</w:t>
      </w:r>
      <w:r>
        <w:rPr>
          <w:rFonts w:hint="eastAsia" w:ascii="宋体" w:hAnsi="宋体" w:cs="宋体"/>
          <w:color w:val="auto"/>
          <w:spacing w:val="6"/>
          <w:sz w:val="21"/>
          <w:szCs w:val="21"/>
          <w:highlight w:val="none"/>
          <w:lang w:eastAsia="zh-CN"/>
        </w:rPr>
        <w:t>及其补充、澄清、修改文件；</w:t>
      </w:r>
    </w:p>
    <w:p w14:paraId="774BA1BC">
      <w:pPr>
        <w:keepNext w:val="0"/>
        <w:keepLines w:val="0"/>
        <w:pageBreakBefore w:val="0"/>
        <w:widowControl w:val="0"/>
        <w:kinsoku/>
        <w:wordWrap/>
        <w:overflowPunct/>
        <w:topLinePunct w:val="0"/>
        <w:autoSpaceDE/>
        <w:autoSpaceDN/>
        <w:bidi w:val="0"/>
        <w:adjustRightInd/>
        <w:spacing w:before="154" w:line="360" w:lineRule="auto"/>
        <w:ind w:left="2" w:right="2" w:firstLine="437"/>
        <w:jc w:val="both"/>
        <w:textAlignment w:val="auto"/>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4</w:t>
      </w:r>
      <w:r>
        <w:rPr>
          <w:rFonts w:hint="eastAsia" w:ascii="宋体" w:hAnsi="宋体" w:eastAsia="宋体" w:cs="宋体"/>
          <w:color w:val="auto"/>
          <w:spacing w:val="7"/>
          <w:sz w:val="21"/>
          <w:szCs w:val="21"/>
          <w:highlight w:val="none"/>
        </w:rPr>
        <w:t>、</w:t>
      </w:r>
      <w:r>
        <w:rPr>
          <w:rFonts w:hint="eastAsia" w:ascii="宋体" w:hAnsi="宋体" w:eastAsia="宋体" w:cs="宋体"/>
          <w:color w:val="auto"/>
          <w:spacing w:val="6"/>
          <w:sz w:val="21"/>
          <w:szCs w:val="21"/>
          <w:highlight w:val="none"/>
          <w:lang w:eastAsia="zh-CN"/>
        </w:rPr>
        <w:t>投标文件</w:t>
      </w:r>
      <w:r>
        <w:rPr>
          <w:rFonts w:hint="eastAsia" w:ascii="宋体" w:hAnsi="宋体" w:cs="宋体"/>
          <w:color w:val="auto"/>
          <w:spacing w:val="6"/>
          <w:sz w:val="21"/>
          <w:szCs w:val="21"/>
          <w:highlight w:val="none"/>
          <w:lang w:eastAsia="zh-CN"/>
        </w:rPr>
        <w:t>及其附件；</w:t>
      </w:r>
    </w:p>
    <w:p w14:paraId="4DAD6F4F">
      <w:pPr>
        <w:keepNext w:val="0"/>
        <w:keepLines w:val="0"/>
        <w:pageBreakBefore w:val="0"/>
        <w:widowControl w:val="0"/>
        <w:kinsoku/>
        <w:wordWrap/>
        <w:overflowPunct/>
        <w:topLinePunct w:val="0"/>
        <w:autoSpaceDE/>
        <w:autoSpaceDN/>
        <w:bidi w:val="0"/>
        <w:adjustRightInd/>
        <w:spacing w:before="154" w:line="360" w:lineRule="auto"/>
        <w:ind w:left="2" w:right="2" w:firstLine="437"/>
        <w:jc w:val="both"/>
        <w:textAlignment w:val="auto"/>
        <w:rPr>
          <w:rFonts w:hint="eastAsia" w:ascii="宋体" w:hAnsi="宋体" w:cs="宋体"/>
          <w:color w:val="auto"/>
          <w:spacing w:val="7"/>
          <w:sz w:val="21"/>
          <w:szCs w:val="21"/>
          <w:highlight w:val="none"/>
          <w:lang w:eastAsia="zh-CN"/>
        </w:rPr>
      </w:pPr>
      <w:r>
        <w:rPr>
          <w:rFonts w:hint="eastAsia" w:ascii="宋体" w:hAnsi="宋体" w:eastAsia="宋体" w:cs="宋体"/>
          <w:color w:val="auto"/>
          <w:spacing w:val="7"/>
          <w:sz w:val="21"/>
          <w:szCs w:val="21"/>
          <w:highlight w:val="none"/>
          <w:lang w:val="en-US" w:eastAsia="zh-CN"/>
        </w:rPr>
        <w:t>5</w:t>
      </w:r>
      <w:r>
        <w:rPr>
          <w:rFonts w:hint="eastAsia" w:ascii="宋体" w:hAnsi="宋体" w:eastAsia="宋体" w:cs="宋体"/>
          <w:color w:val="auto"/>
          <w:spacing w:val="7"/>
          <w:sz w:val="21"/>
          <w:szCs w:val="21"/>
          <w:highlight w:val="none"/>
        </w:rPr>
        <w:t>、其他相关</w:t>
      </w:r>
      <w:r>
        <w:rPr>
          <w:rFonts w:hint="eastAsia" w:ascii="宋体" w:hAnsi="宋体" w:cs="宋体"/>
          <w:color w:val="auto"/>
          <w:spacing w:val="7"/>
          <w:sz w:val="21"/>
          <w:szCs w:val="21"/>
          <w:highlight w:val="none"/>
          <w:lang w:eastAsia="zh-CN"/>
        </w:rPr>
        <w:t>合同文件。</w:t>
      </w:r>
    </w:p>
    <w:p w14:paraId="16765C2C">
      <w:pPr>
        <w:keepNext w:val="0"/>
        <w:keepLines w:val="0"/>
        <w:pageBreakBefore w:val="0"/>
        <w:widowControl w:val="0"/>
        <w:kinsoku/>
        <w:wordWrap/>
        <w:overflowPunct/>
        <w:topLinePunct w:val="0"/>
        <w:autoSpaceDE/>
        <w:autoSpaceDN/>
        <w:bidi w:val="0"/>
        <w:adjustRightInd/>
        <w:spacing w:before="154" w:line="360" w:lineRule="auto"/>
        <w:ind w:left="2" w:right="2" w:firstLine="437"/>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8"/>
          <w:kern w:val="2"/>
          <w:sz w:val="21"/>
          <w:szCs w:val="21"/>
          <w:highlight w:val="none"/>
          <w:lang w:eastAsia="zh-CN"/>
        </w:rPr>
        <w:t>就同一事项不同文件约定不一致的，以顺序在前的文件为准；约定不明的，甲方享有最终解释权。合同订立及履行过程中形成的与合同有关的文件均构成合同文件组成部分。上述各项合同文件包括合同当事人就该项合同文件所作出的补充和修改，属于同一类内容的文件，应以最新签署的为准。</w:t>
      </w:r>
      <w:bookmarkEnd w:id="171"/>
    </w:p>
    <w:p w14:paraId="02228ED9">
      <w:pPr>
        <w:keepNext w:val="0"/>
        <w:keepLines w:val="0"/>
        <w:pageBreakBefore w:val="0"/>
        <w:widowControl w:val="0"/>
        <w:kinsoku/>
        <w:wordWrap/>
        <w:overflowPunct/>
        <w:topLinePunct w:val="0"/>
        <w:autoSpaceDE/>
        <w:autoSpaceDN/>
        <w:bidi w:val="0"/>
        <w:adjustRightInd/>
        <w:spacing w:before="154" w:line="360" w:lineRule="auto"/>
        <w:ind w:left="4" w:firstLine="427"/>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6"/>
          <w:sz w:val="21"/>
          <w:szCs w:val="21"/>
          <w:highlight w:val="none"/>
        </w:rPr>
        <w:t>十</w:t>
      </w:r>
      <w:r>
        <w:rPr>
          <w:rFonts w:hint="eastAsia" w:ascii="宋体" w:hAnsi="宋体" w:eastAsia="宋体" w:cs="宋体"/>
          <w:b/>
          <w:bCs/>
          <w:color w:val="auto"/>
          <w:spacing w:val="6"/>
          <w:sz w:val="21"/>
          <w:szCs w:val="21"/>
          <w:highlight w:val="none"/>
          <w:lang w:eastAsia="zh-CN"/>
        </w:rPr>
        <w:t>四</w:t>
      </w:r>
      <w:r>
        <w:rPr>
          <w:rFonts w:hint="eastAsia" w:ascii="宋体" w:hAnsi="宋体" w:eastAsia="宋体" w:cs="宋体"/>
          <w:b/>
          <w:bCs/>
          <w:color w:val="auto"/>
          <w:spacing w:val="6"/>
          <w:sz w:val="21"/>
          <w:szCs w:val="21"/>
          <w:highlight w:val="none"/>
        </w:rPr>
        <w:t>、承诺</w:t>
      </w:r>
    </w:p>
    <w:p w14:paraId="4E32C497">
      <w:pPr>
        <w:keepNext w:val="0"/>
        <w:keepLines w:val="0"/>
        <w:pageBreakBefore w:val="0"/>
        <w:widowControl w:val="0"/>
        <w:kinsoku/>
        <w:wordWrap/>
        <w:overflowPunct/>
        <w:topLinePunct w:val="0"/>
        <w:autoSpaceDE/>
        <w:autoSpaceDN/>
        <w:bidi w:val="0"/>
        <w:adjustRightInd/>
        <w:spacing w:before="154" w:line="360" w:lineRule="auto"/>
        <w:ind w:left="2" w:right="2" w:firstLine="437"/>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1.</w:t>
      </w:r>
      <w:r>
        <w:rPr>
          <w:rFonts w:hint="eastAsia" w:ascii="宋体" w:hAnsi="宋体" w:eastAsia="宋体" w:cs="宋体"/>
          <w:color w:val="auto"/>
          <w:spacing w:val="8"/>
          <w:sz w:val="21"/>
          <w:szCs w:val="21"/>
          <w:highlight w:val="none"/>
          <w:lang w:eastAsia="zh-CN"/>
        </w:rPr>
        <w:t>甲方</w:t>
      </w:r>
      <w:r>
        <w:rPr>
          <w:rFonts w:hint="eastAsia" w:ascii="宋体" w:hAnsi="宋体" w:eastAsia="宋体" w:cs="宋体"/>
          <w:color w:val="auto"/>
          <w:spacing w:val="8"/>
          <w:sz w:val="21"/>
          <w:szCs w:val="21"/>
          <w:highlight w:val="none"/>
        </w:rPr>
        <w:t>承诺按照法律规定履行项目审批手续、</w:t>
      </w:r>
      <w:r>
        <w:rPr>
          <w:rFonts w:hint="eastAsia" w:ascii="宋体" w:hAnsi="宋体" w:eastAsia="宋体" w:cs="宋体"/>
          <w:color w:val="auto"/>
          <w:spacing w:val="8"/>
          <w:sz w:val="21"/>
          <w:szCs w:val="21"/>
          <w:highlight w:val="none"/>
          <w:lang w:eastAsia="zh-CN"/>
        </w:rPr>
        <w:t>确认</w:t>
      </w:r>
      <w:r>
        <w:rPr>
          <w:rFonts w:hint="eastAsia" w:ascii="宋体" w:hAnsi="宋体" w:eastAsia="宋体" w:cs="Times New Roman"/>
          <w:b w:val="0"/>
          <w:bCs/>
          <w:color w:val="auto"/>
          <w:szCs w:val="21"/>
          <w:highlight w:val="none"/>
          <w:lang w:eastAsia="zh-CN"/>
        </w:rPr>
        <w:t>城市照明设施维修养护服务资金来源</w:t>
      </w:r>
      <w:r>
        <w:rPr>
          <w:rFonts w:hint="eastAsia" w:ascii="宋体" w:hAnsi="宋体" w:eastAsia="宋体" w:cs="宋体"/>
          <w:color w:val="auto"/>
          <w:spacing w:val="8"/>
          <w:sz w:val="21"/>
          <w:szCs w:val="21"/>
          <w:highlight w:val="none"/>
        </w:rPr>
        <w:t>并按照合同约定的期限和方式支</w:t>
      </w:r>
      <w:r>
        <w:rPr>
          <w:rFonts w:hint="eastAsia" w:ascii="宋体" w:hAnsi="宋体" w:eastAsia="宋体" w:cs="宋体"/>
          <w:color w:val="auto"/>
          <w:spacing w:val="6"/>
          <w:sz w:val="21"/>
          <w:szCs w:val="21"/>
          <w:highlight w:val="none"/>
        </w:rPr>
        <w:t>付合同价款。</w:t>
      </w:r>
    </w:p>
    <w:p w14:paraId="2F5100C5">
      <w:pPr>
        <w:keepNext w:val="0"/>
        <w:keepLines w:val="0"/>
        <w:pageBreakBefore w:val="0"/>
        <w:widowControl w:val="0"/>
        <w:kinsoku/>
        <w:wordWrap/>
        <w:overflowPunct/>
        <w:topLinePunct w:val="0"/>
        <w:autoSpaceDE/>
        <w:autoSpaceDN/>
        <w:bidi w:val="0"/>
        <w:adjustRightInd/>
        <w:spacing w:before="154" w:line="360" w:lineRule="auto"/>
        <w:ind w:left="2" w:right="2" w:firstLine="437"/>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2.</w:t>
      </w:r>
      <w:r>
        <w:rPr>
          <w:rFonts w:hint="eastAsia" w:ascii="宋体" w:hAnsi="宋体" w:eastAsia="宋体" w:cs="宋体"/>
          <w:color w:val="auto"/>
          <w:spacing w:val="9"/>
          <w:sz w:val="21"/>
          <w:szCs w:val="21"/>
          <w:highlight w:val="none"/>
          <w:lang w:eastAsia="zh-CN"/>
        </w:rPr>
        <w:t>乙方</w:t>
      </w:r>
      <w:r>
        <w:rPr>
          <w:rFonts w:hint="eastAsia" w:ascii="宋体" w:hAnsi="宋体" w:eastAsia="宋体" w:cs="宋体"/>
          <w:color w:val="auto"/>
          <w:spacing w:val="9"/>
          <w:sz w:val="21"/>
          <w:szCs w:val="21"/>
          <w:highlight w:val="none"/>
        </w:rPr>
        <w:t>承诺按照法律规定及合同约定</w:t>
      </w:r>
      <w:r>
        <w:rPr>
          <w:rFonts w:hint="eastAsia" w:ascii="宋体" w:hAnsi="宋体" w:eastAsia="宋体" w:cs="宋体"/>
          <w:color w:val="auto"/>
          <w:spacing w:val="9"/>
          <w:sz w:val="21"/>
          <w:szCs w:val="21"/>
          <w:highlight w:val="none"/>
          <w:lang w:eastAsia="zh-CN"/>
        </w:rPr>
        <w:t>开展市管城市照明设施维修养护服务</w:t>
      </w:r>
      <w:r>
        <w:rPr>
          <w:rFonts w:hint="eastAsia" w:ascii="宋体" w:hAnsi="宋体" w:eastAsia="宋体" w:cs="宋体"/>
          <w:color w:val="auto"/>
          <w:spacing w:val="8"/>
          <w:sz w:val="21"/>
          <w:szCs w:val="21"/>
          <w:highlight w:val="none"/>
        </w:rPr>
        <w:t>，确保</w:t>
      </w:r>
      <w:r>
        <w:rPr>
          <w:rFonts w:hint="eastAsia" w:ascii="宋体" w:hAnsi="宋体" w:eastAsia="宋体" w:cs="宋体"/>
          <w:color w:val="auto"/>
          <w:spacing w:val="8"/>
          <w:sz w:val="21"/>
          <w:szCs w:val="21"/>
          <w:highlight w:val="none"/>
          <w:lang w:eastAsia="zh-CN"/>
        </w:rPr>
        <w:t>服务</w:t>
      </w:r>
      <w:r>
        <w:rPr>
          <w:rFonts w:hint="eastAsia" w:ascii="宋体" w:hAnsi="宋体" w:eastAsia="宋体" w:cs="宋体"/>
          <w:color w:val="auto"/>
          <w:spacing w:val="8"/>
          <w:sz w:val="21"/>
          <w:szCs w:val="21"/>
          <w:highlight w:val="none"/>
        </w:rPr>
        <w:t>质量</w:t>
      </w:r>
      <w:r>
        <w:rPr>
          <w:rFonts w:hint="eastAsia" w:ascii="宋体" w:hAnsi="宋体" w:eastAsia="宋体" w:cs="宋体"/>
          <w:color w:val="auto"/>
          <w:spacing w:val="8"/>
          <w:sz w:val="21"/>
          <w:szCs w:val="21"/>
          <w:highlight w:val="none"/>
          <w:lang w:eastAsia="zh-CN"/>
        </w:rPr>
        <w:t>、作业及设施</w:t>
      </w:r>
      <w:r>
        <w:rPr>
          <w:rFonts w:hint="eastAsia" w:ascii="宋体" w:hAnsi="宋体" w:eastAsia="宋体" w:cs="宋体"/>
          <w:color w:val="auto"/>
          <w:spacing w:val="8"/>
          <w:sz w:val="21"/>
          <w:szCs w:val="21"/>
          <w:highlight w:val="none"/>
        </w:rPr>
        <w:t>安全，不进行转包、分</w:t>
      </w:r>
      <w:r>
        <w:rPr>
          <w:rFonts w:hint="eastAsia" w:ascii="宋体" w:hAnsi="宋体" w:eastAsia="宋体" w:cs="宋体"/>
          <w:color w:val="auto"/>
          <w:spacing w:val="9"/>
          <w:sz w:val="21"/>
          <w:szCs w:val="21"/>
          <w:highlight w:val="none"/>
        </w:rPr>
        <w:t>包及其他违法行为，并在缺陷责任期及保修期内承担相应的工程维修责任。</w:t>
      </w:r>
    </w:p>
    <w:p w14:paraId="439AB463">
      <w:pPr>
        <w:keepNext w:val="0"/>
        <w:keepLines w:val="0"/>
        <w:pageBreakBefore w:val="0"/>
        <w:widowControl w:val="0"/>
        <w:kinsoku/>
        <w:wordWrap/>
        <w:overflowPunct/>
        <w:topLinePunct w:val="0"/>
        <w:autoSpaceDE/>
        <w:autoSpaceDN/>
        <w:bidi w:val="0"/>
        <w:adjustRightInd/>
        <w:spacing w:before="154" w:line="360" w:lineRule="auto"/>
        <w:ind w:left="2" w:right="2" w:firstLine="437"/>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6"/>
          <w:sz w:val="21"/>
          <w:szCs w:val="21"/>
          <w:highlight w:val="none"/>
          <w:lang w:eastAsia="zh-CN"/>
        </w:rPr>
        <w:t>十五</w:t>
      </w:r>
      <w:r>
        <w:rPr>
          <w:rFonts w:hint="eastAsia" w:ascii="宋体" w:hAnsi="宋体" w:eastAsia="宋体" w:cs="宋体"/>
          <w:b/>
          <w:bCs/>
          <w:color w:val="auto"/>
          <w:spacing w:val="6"/>
          <w:sz w:val="21"/>
          <w:szCs w:val="21"/>
          <w:highlight w:val="none"/>
        </w:rPr>
        <w:t>、补充协议</w:t>
      </w:r>
    </w:p>
    <w:p w14:paraId="4CCECC58">
      <w:pPr>
        <w:ind w:firstLine="456" w:firstLineChars="200"/>
        <w:rPr>
          <w:rFonts w:hint="eastAsia" w:ascii="宋体" w:hAnsi="宋体" w:cs="宋体"/>
          <w:color w:val="auto"/>
          <w:spacing w:val="9"/>
          <w:sz w:val="21"/>
          <w:szCs w:val="21"/>
          <w:highlight w:val="none"/>
          <w:lang w:eastAsia="zh-CN"/>
        </w:rPr>
      </w:pPr>
      <w:r>
        <w:rPr>
          <w:rFonts w:hint="eastAsia" w:ascii="宋体" w:hAnsi="宋体" w:cs="宋体"/>
          <w:color w:val="auto"/>
          <w:spacing w:val="9"/>
          <w:sz w:val="21"/>
          <w:szCs w:val="21"/>
          <w:highlight w:val="none"/>
          <w:lang w:eastAsia="zh-CN"/>
        </w:rPr>
        <w:t>合同未尽事宜，合同当事人另行签订补充协议，补充协议是合同的组成部分。</w:t>
      </w:r>
    </w:p>
    <w:p w14:paraId="07DB6126">
      <w:pPr>
        <w:keepNext w:val="0"/>
        <w:keepLines w:val="0"/>
        <w:pageBreakBefore w:val="0"/>
        <w:widowControl w:val="0"/>
        <w:kinsoku/>
        <w:wordWrap/>
        <w:overflowPunct/>
        <w:topLinePunct w:val="0"/>
        <w:autoSpaceDE/>
        <w:autoSpaceDN/>
        <w:bidi w:val="0"/>
        <w:adjustRightInd/>
        <w:spacing w:before="154" w:line="360" w:lineRule="auto"/>
        <w:ind w:left="2" w:right="2" w:firstLine="437"/>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6"/>
          <w:sz w:val="21"/>
          <w:szCs w:val="21"/>
          <w:highlight w:val="none"/>
          <w:lang w:eastAsia="zh-CN"/>
        </w:rPr>
        <w:t>十六</w:t>
      </w:r>
      <w:r>
        <w:rPr>
          <w:rFonts w:hint="eastAsia" w:ascii="宋体" w:hAnsi="宋体" w:eastAsia="宋体" w:cs="宋体"/>
          <w:b/>
          <w:bCs/>
          <w:color w:val="auto"/>
          <w:spacing w:val="7"/>
          <w:sz w:val="21"/>
          <w:szCs w:val="21"/>
          <w:highlight w:val="none"/>
        </w:rPr>
        <w:t>、合同生效</w:t>
      </w:r>
    </w:p>
    <w:p w14:paraId="55DC6E87">
      <w:pPr>
        <w:keepNext w:val="0"/>
        <w:keepLines w:val="0"/>
        <w:pageBreakBefore w:val="0"/>
        <w:widowControl w:val="0"/>
        <w:kinsoku/>
        <w:wordWrap/>
        <w:overflowPunct/>
        <w:topLinePunct w:val="0"/>
        <w:autoSpaceDE/>
        <w:autoSpaceDN/>
        <w:bidi w:val="0"/>
        <w:adjustRightInd/>
        <w:spacing w:before="154" w:line="360" w:lineRule="auto"/>
        <w:ind w:left="2" w:right="2" w:firstLine="437"/>
        <w:jc w:val="both"/>
        <w:textAlignment w:val="auto"/>
        <w:rPr>
          <w:rFonts w:hint="eastAsia" w:ascii="宋体" w:hAnsi="宋体" w:eastAsia="宋体" w:cs="宋体"/>
          <w:color w:val="auto"/>
          <w:spacing w:val="9"/>
          <w:sz w:val="21"/>
          <w:szCs w:val="21"/>
          <w:highlight w:val="none"/>
          <w:lang w:eastAsia="zh-CN"/>
        </w:rPr>
      </w:pPr>
      <w:r>
        <w:rPr>
          <w:rFonts w:hint="eastAsia" w:ascii="宋体" w:hAnsi="宋体" w:eastAsia="宋体" w:cs="宋体"/>
          <w:color w:val="auto"/>
          <w:spacing w:val="9"/>
          <w:sz w:val="21"/>
          <w:szCs w:val="21"/>
          <w:highlight w:val="none"/>
        </w:rPr>
        <w:t>本合同自</w:t>
      </w:r>
      <w:r>
        <w:rPr>
          <w:rFonts w:hint="eastAsia" w:ascii="宋体" w:hAnsi="宋体" w:eastAsia="宋体" w:cs="宋体"/>
          <w:color w:val="auto"/>
          <w:spacing w:val="9"/>
          <w:sz w:val="21"/>
          <w:szCs w:val="21"/>
          <w:highlight w:val="none"/>
          <w:u w:val="single" w:color="auto"/>
        </w:rPr>
        <w:t>双方法定代表人或其授权代理人签字或盖章并加盖单位公章后</w:t>
      </w:r>
      <w:r>
        <w:rPr>
          <w:rFonts w:hint="eastAsia" w:ascii="宋体" w:hAnsi="宋体" w:eastAsia="宋体" w:cs="宋体"/>
          <w:color w:val="auto"/>
          <w:spacing w:val="9"/>
          <w:sz w:val="21"/>
          <w:szCs w:val="21"/>
          <w:highlight w:val="none"/>
        </w:rPr>
        <w:t>生效。</w:t>
      </w:r>
      <w:bookmarkStart w:id="172" w:name="auto_fouce_28"/>
    </w:p>
    <w:bookmarkEnd w:id="172"/>
    <w:p w14:paraId="750B6A31">
      <w:pPr>
        <w:pStyle w:val="2"/>
        <w:ind w:left="0" w:leftChars="0" w:firstLine="446" w:firstLineChars="200"/>
        <w:rPr>
          <w:rFonts w:hint="eastAsia" w:ascii="宋体" w:hAnsi="宋体" w:eastAsia="宋体" w:cs="宋体"/>
          <w:b/>
          <w:bCs/>
          <w:color w:val="auto"/>
          <w:spacing w:val="6"/>
          <w:kern w:val="2"/>
          <w:sz w:val="21"/>
          <w:szCs w:val="21"/>
          <w:highlight w:val="none"/>
          <w:lang w:val="en-US" w:eastAsia="zh-CN" w:bidi="ar-SA"/>
        </w:rPr>
      </w:pPr>
      <w:bookmarkStart w:id="173" w:name="auto_fouce_29"/>
      <w:r>
        <w:rPr>
          <w:rFonts w:hint="eastAsia" w:ascii="宋体" w:hAnsi="宋体" w:eastAsia="宋体" w:cs="宋体"/>
          <w:b/>
          <w:bCs/>
          <w:color w:val="auto"/>
          <w:spacing w:val="6"/>
          <w:sz w:val="21"/>
          <w:szCs w:val="21"/>
          <w:highlight w:val="none"/>
          <w:lang w:eastAsia="zh-CN"/>
        </w:rPr>
        <w:t>十七</w:t>
      </w:r>
      <w:r>
        <w:rPr>
          <w:rFonts w:hint="eastAsia" w:ascii="宋体" w:hAnsi="宋体" w:eastAsia="宋体" w:cs="宋体"/>
          <w:b/>
          <w:bCs/>
          <w:color w:val="auto"/>
          <w:spacing w:val="7"/>
          <w:sz w:val="21"/>
          <w:szCs w:val="21"/>
          <w:highlight w:val="none"/>
        </w:rPr>
        <w:t>、</w:t>
      </w:r>
      <w:r>
        <w:rPr>
          <w:rFonts w:hint="eastAsia" w:ascii="宋体" w:hAnsi="宋体" w:eastAsia="宋体" w:cs="宋体"/>
          <w:b/>
          <w:bCs/>
          <w:color w:val="auto"/>
          <w:spacing w:val="6"/>
          <w:kern w:val="2"/>
          <w:sz w:val="21"/>
          <w:szCs w:val="21"/>
          <w:highlight w:val="none"/>
          <w:lang w:val="en-US" w:eastAsia="zh-CN" w:bidi="ar-SA"/>
        </w:rPr>
        <w:t>通知与送达</w:t>
      </w:r>
    </w:p>
    <w:p w14:paraId="50D1A344">
      <w:pPr>
        <w:keepNext w:val="0"/>
        <w:keepLines w:val="0"/>
        <w:pageBreakBefore w:val="0"/>
        <w:widowControl w:val="0"/>
        <w:kinsoku/>
        <w:wordWrap/>
        <w:overflowPunct/>
        <w:topLinePunct w:val="0"/>
        <w:autoSpaceDE/>
        <w:autoSpaceDN/>
        <w:bidi w:val="0"/>
        <w:adjustRightInd/>
        <w:spacing w:before="154" w:line="360" w:lineRule="auto"/>
        <w:ind w:left="2" w:right="2" w:firstLine="437"/>
        <w:jc w:val="both"/>
        <w:textAlignment w:val="auto"/>
        <w:rPr>
          <w:rFonts w:hint="eastAsia" w:ascii="宋体" w:hAnsi="宋体" w:eastAsia="宋体" w:cs="宋体"/>
          <w:color w:val="auto"/>
          <w:spacing w:val="9"/>
          <w:sz w:val="21"/>
          <w:szCs w:val="21"/>
          <w:highlight w:val="none"/>
          <w:lang w:eastAsia="zh-CN"/>
        </w:rPr>
      </w:pPr>
      <w:r>
        <w:rPr>
          <w:rFonts w:hint="eastAsia" w:ascii="宋体" w:hAnsi="宋体" w:eastAsia="宋体" w:cs="宋体"/>
          <w:color w:val="auto"/>
          <w:spacing w:val="9"/>
          <w:sz w:val="21"/>
          <w:szCs w:val="21"/>
          <w:highlight w:val="none"/>
          <w:lang w:eastAsia="zh-CN"/>
        </w:rPr>
        <w:t>双方确认本合同落款处载明的地址、联系电话为双方履行本合同的有效通知送达地址，任何与本合同有关的书面通知、函件按该地址寄送即视为有效送达；一方地址、联系方式变更的，应当及时书面通知对方，未及时通知的，按原地址寄送仍视为有效送达。</w:t>
      </w:r>
    </w:p>
    <w:p w14:paraId="38C6B18B">
      <w:pPr>
        <w:pStyle w:val="2"/>
        <w:ind w:left="0" w:leftChars="0" w:firstLine="446" w:firstLineChars="200"/>
        <w:rPr>
          <w:rFonts w:hint="eastAsia" w:ascii="宋体" w:hAnsi="宋体" w:eastAsia="宋体" w:cs="宋体"/>
          <w:b/>
          <w:bCs/>
          <w:color w:val="auto"/>
          <w:spacing w:val="6"/>
          <w:kern w:val="2"/>
          <w:sz w:val="21"/>
          <w:szCs w:val="21"/>
          <w:highlight w:val="none"/>
          <w:lang w:val="en-US" w:eastAsia="zh-CN" w:bidi="ar-SA"/>
        </w:rPr>
      </w:pPr>
      <w:r>
        <w:rPr>
          <w:rFonts w:hint="eastAsia" w:ascii="宋体" w:hAnsi="宋体" w:eastAsia="宋体" w:cs="宋体"/>
          <w:b/>
          <w:bCs/>
          <w:color w:val="auto"/>
          <w:spacing w:val="6"/>
          <w:kern w:val="2"/>
          <w:sz w:val="21"/>
          <w:szCs w:val="21"/>
          <w:highlight w:val="none"/>
          <w:lang w:val="en-US" w:eastAsia="zh-CN" w:bidi="ar-SA"/>
        </w:rPr>
        <w:t>十八、合同解除程序</w:t>
      </w:r>
    </w:p>
    <w:p w14:paraId="38C81EE7">
      <w:pPr>
        <w:keepNext w:val="0"/>
        <w:keepLines w:val="0"/>
        <w:pageBreakBefore w:val="0"/>
        <w:widowControl w:val="0"/>
        <w:kinsoku/>
        <w:wordWrap/>
        <w:overflowPunct/>
        <w:topLinePunct w:val="0"/>
        <w:autoSpaceDE/>
        <w:autoSpaceDN/>
        <w:bidi w:val="0"/>
        <w:adjustRightInd/>
        <w:spacing w:before="154" w:line="360" w:lineRule="auto"/>
        <w:ind w:left="2" w:right="2" w:firstLine="437"/>
        <w:jc w:val="both"/>
        <w:textAlignment w:val="auto"/>
        <w:rPr>
          <w:rFonts w:hint="eastAsia" w:ascii="宋体" w:hAnsi="宋体" w:eastAsia="宋体" w:cs="宋体"/>
          <w:color w:val="auto"/>
          <w:spacing w:val="9"/>
          <w:sz w:val="21"/>
          <w:szCs w:val="21"/>
          <w:highlight w:val="none"/>
          <w:lang w:eastAsia="zh-CN"/>
        </w:rPr>
      </w:pPr>
      <w:r>
        <w:rPr>
          <w:rFonts w:hint="eastAsia" w:ascii="宋体" w:hAnsi="宋体" w:eastAsia="宋体" w:cs="宋体"/>
          <w:color w:val="auto"/>
          <w:spacing w:val="9"/>
          <w:sz w:val="21"/>
          <w:szCs w:val="21"/>
          <w:highlight w:val="none"/>
          <w:lang w:eastAsia="zh-CN"/>
        </w:rPr>
        <w:t>一方依据本合同约定行使单方解除权的，应当向对方发出书面解除通知，通知到达对方时合同解除；对方对解除有异议的，可在收到通知后10日内按照本合同约定的争议解决方式提出异议，异议期间不停止解除通知的执行。</w:t>
      </w:r>
    </w:p>
    <w:p w14:paraId="2F0838AD">
      <w:pPr>
        <w:keepNext w:val="0"/>
        <w:keepLines w:val="0"/>
        <w:pageBreakBefore w:val="0"/>
        <w:widowControl w:val="0"/>
        <w:kinsoku/>
        <w:wordWrap/>
        <w:overflowPunct/>
        <w:topLinePunct w:val="0"/>
        <w:autoSpaceDE/>
        <w:autoSpaceDN/>
        <w:bidi w:val="0"/>
        <w:adjustRightInd/>
        <w:spacing w:line="360" w:lineRule="auto"/>
        <w:ind w:firstLine="460" w:firstLineChars="200"/>
        <w:textAlignment w:val="auto"/>
        <w:rPr>
          <w:rFonts w:hint="eastAsia" w:ascii="宋体" w:hAnsi="宋体" w:eastAsia="宋体" w:cs="宋体"/>
          <w:color w:val="auto"/>
          <w:spacing w:val="9"/>
          <w:sz w:val="21"/>
          <w:szCs w:val="21"/>
          <w:highlight w:val="none"/>
          <w:u w:val="single" w:color="auto"/>
        </w:rPr>
      </w:pPr>
      <w:r>
        <w:rPr>
          <w:rFonts w:hint="eastAsia" w:ascii="宋体" w:hAnsi="宋体" w:eastAsia="宋体" w:cs="宋体"/>
          <w:color w:val="auto"/>
          <w:spacing w:val="10"/>
          <w:sz w:val="21"/>
          <w:szCs w:val="21"/>
          <w:highlight w:val="none"/>
          <w:u w:val="single" w:color="auto"/>
        </w:rPr>
        <w:t>因合同及合同有关事项发生的争议，双方可向防城港仲裁委</w:t>
      </w:r>
      <w:r>
        <w:rPr>
          <w:rFonts w:hint="eastAsia" w:ascii="宋体" w:hAnsi="宋体" w:eastAsia="宋体" w:cs="宋体"/>
          <w:color w:val="auto"/>
          <w:spacing w:val="9"/>
          <w:sz w:val="21"/>
          <w:szCs w:val="21"/>
          <w:highlight w:val="none"/>
          <w:u w:val="single" w:color="auto"/>
        </w:rPr>
        <w:t>员会申请仲裁。</w:t>
      </w:r>
    </w:p>
    <w:p w14:paraId="6E220D02">
      <w:pPr>
        <w:keepNext w:val="0"/>
        <w:keepLines w:val="0"/>
        <w:pageBreakBefore w:val="0"/>
        <w:widowControl w:val="0"/>
        <w:kinsoku/>
        <w:wordWrap/>
        <w:overflowPunct/>
        <w:topLinePunct w:val="0"/>
        <w:autoSpaceDE/>
        <w:autoSpaceDN/>
        <w:bidi w:val="0"/>
        <w:adjustRightInd/>
        <w:spacing w:before="154" w:line="360" w:lineRule="auto"/>
        <w:ind w:left="2" w:right="2" w:firstLine="437"/>
        <w:jc w:val="both"/>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val="en-US" w:eastAsia="zh-CN"/>
        </w:rPr>
        <w:t>十</w:t>
      </w:r>
      <w:r>
        <w:rPr>
          <w:rFonts w:hint="eastAsia" w:ascii="宋体" w:hAnsi="宋体" w:cs="宋体"/>
          <w:b/>
          <w:color w:val="auto"/>
          <w:sz w:val="21"/>
          <w:szCs w:val="21"/>
          <w:highlight w:val="none"/>
          <w:lang w:val="en-US" w:eastAsia="zh-CN"/>
        </w:rPr>
        <w:t>九</w:t>
      </w:r>
      <w:r>
        <w:rPr>
          <w:rFonts w:hint="eastAsia" w:ascii="宋体" w:hAnsi="宋体" w:eastAsia="宋体" w:cs="宋体"/>
          <w:b/>
          <w:color w:val="auto"/>
          <w:sz w:val="21"/>
          <w:szCs w:val="21"/>
          <w:highlight w:val="none"/>
          <w:lang w:eastAsia="zh-CN"/>
        </w:rPr>
        <w:t>、</w:t>
      </w:r>
      <w:r>
        <w:rPr>
          <w:rFonts w:hint="eastAsia" w:ascii="宋体" w:hAnsi="宋体" w:eastAsia="宋体" w:cs="宋体"/>
          <w:color w:val="auto"/>
          <w:sz w:val="21"/>
          <w:szCs w:val="21"/>
          <w:highlight w:val="none"/>
        </w:rPr>
        <w:t>本合同一式</w:t>
      </w:r>
      <w:r>
        <w:rPr>
          <w:rFonts w:hint="eastAsia" w:ascii="宋体" w:hAnsi="宋体" w:cs="宋体"/>
          <w:color w:val="auto"/>
          <w:sz w:val="21"/>
          <w:szCs w:val="21"/>
          <w:highlight w:val="none"/>
          <w:lang w:eastAsia="zh-CN"/>
        </w:rPr>
        <w:t>肆</w:t>
      </w:r>
      <w:r>
        <w:rPr>
          <w:rFonts w:hint="eastAsia" w:ascii="宋体" w:hAnsi="宋体" w:eastAsia="宋体" w:cs="宋体"/>
          <w:color w:val="auto"/>
          <w:sz w:val="21"/>
          <w:szCs w:val="21"/>
          <w:highlight w:val="none"/>
        </w:rPr>
        <w:t>份，具有同等法律效力，甲乙双方各</w:t>
      </w:r>
      <w:r>
        <w:rPr>
          <w:rFonts w:hint="eastAsia" w:ascii="宋体" w:hAnsi="宋体" w:cs="宋体"/>
          <w:color w:val="auto"/>
          <w:sz w:val="21"/>
          <w:szCs w:val="21"/>
          <w:highlight w:val="none"/>
          <w:lang w:eastAsia="zh-CN"/>
        </w:rPr>
        <w:t>执</w:t>
      </w:r>
      <w:r>
        <w:rPr>
          <w:rFonts w:hint="eastAsia" w:ascii="宋体" w:hAnsi="宋体" w:eastAsia="宋体" w:cs="宋体"/>
          <w:color w:val="auto"/>
          <w:sz w:val="21"/>
          <w:szCs w:val="21"/>
          <w:highlight w:val="none"/>
          <w:lang w:eastAsia="zh-CN"/>
        </w:rPr>
        <w:t>贰</w:t>
      </w:r>
      <w:r>
        <w:rPr>
          <w:rFonts w:hint="eastAsia" w:ascii="宋体" w:hAnsi="宋体" w:eastAsia="宋体" w:cs="宋体"/>
          <w:color w:val="auto"/>
          <w:sz w:val="21"/>
          <w:szCs w:val="21"/>
          <w:highlight w:val="none"/>
        </w:rPr>
        <w:t>份。</w:t>
      </w:r>
      <w:bookmarkEnd w:id="173"/>
    </w:p>
    <w:p w14:paraId="3D26A7EE">
      <w:pPr>
        <w:pStyle w:val="2"/>
        <w:ind w:left="0" w:leftChars="0" w:firstLine="456" w:firstLineChars="200"/>
        <w:rPr>
          <w:rFonts w:hint="eastAsia" w:ascii="宋体" w:hAnsi="宋体" w:eastAsia="宋体" w:cs="宋体"/>
          <w:color w:val="auto"/>
          <w:spacing w:val="9"/>
          <w:kern w:val="2"/>
          <w:sz w:val="21"/>
          <w:szCs w:val="21"/>
          <w:highlight w:val="none"/>
          <w:lang w:val="en-US" w:eastAsia="zh-CN" w:bidi="ar-SA"/>
        </w:rPr>
      </w:pPr>
      <w:r>
        <w:rPr>
          <w:rFonts w:hint="eastAsia" w:ascii="宋体" w:hAnsi="宋体" w:eastAsia="宋体" w:cs="宋体"/>
          <w:color w:val="auto"/>
          <w:spacing w:val="9"/>
          <w:kern w:val="2"/>
          <w:sz w:val="21"/>
          <w:szCs w:val="21"/>
          <w:highlight w:val="none"/>
          <w:lang w:val="en-US" w:eastAsia="zh-CN" w:bidi="ar-SA"/>
        </w:rPr>
        <w:t>附：《防城港市市管城市照明设施维修养护服务项目考核办法》。</w:t>
      </w:r>
    </w:p>
    <w:tbl>
      <w:tblPr>
        <w:tblStyle w:val="48"/>
        <w:tblpPr w:leftFromText="180" w:rightFromText="180" w:vertAnchor="text" w:horzAnchor="margin" w:tblpY="2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4583"/>
      </w:tblGrid>
      <w:tr w14:paraId="36A5F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0" w:hRule="atLeast"/>
        </w:trPr>
        <w:tc>
          <w:tcPr>
            <w:tcW w:w="4582" w:type="dxa"/>
            <w:tcBorders>
              <w:top w:val="single" w:color="auto" w:sz="4" w:space="0"/>
              <w:left w:val="single" w:color="auto" w:sz="4" w:space="0"/>
              <w:bottom w:val="single" w:color="auto" w:sz="4" w:space="0"/>
              <w:right w:val="single" w:color="auto" w:sz="4" w:space="0"/>
            </w:tcBorders>
            <w:vAlign w:val="center"/>
          </w:tcPr>
          <w:p w14:paraId="7A5D18F1">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szCs w:val="21"/>
                <w:highlight w:val="none"/>
              </w:rPr>
              <w:t>：（章）</w:t>
            </w:r>
          </w:p>
          <w:p w14:paraId="78714654">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Cs w:val="21"/>
                <w:highlight w:val="none"/>
              </w:rPr>
            </w:pPr>
          </w:p>
          <w:p w14:paraId="0982D2AC">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Cs w:val="21"/>
                <w:highlight w:val="none"/>
              </w:rPr>
            </w:pPr>
          </w:p>
          <w:p w14:paraId="4FA8C617">
            <w:pPr>
              <w:keepNext w:val="0"/>
              <w:keepLines w:val="0"/>
              <w:pageBreakBefore w:val="0"/>
              <w:widowControl w:val="0"/>
              <w:kinsoku/>
              <w:wordWrap/>
              <w:overflowPunct/>
              <w:topLinePunct w:val="0"/>
              <w:autoSpaceDE/>
              <w:autoSpaceDN/>
              <w:bidi w:val="0"/>
              <w:adjustRightInd/>
              <w:snapToGrid w:val="0"/>
              <w:spacing w:line="360" w:lineRule="auto"/>
              <w:ind w:firstLine="945" w:firstLineChars="450"/>
              <w:jc w:val="right"/>
              <w:textAlignment w:val="auto"/>
              <w:rPr>
                <w:rFonts w:hint="eastAsia" w:ascii="宋体" w:hAnsi="宋体" w:eastAsia="宋体" w:cs="宋体"/>
                <w:color w:val="auto"/>
                <w:szCs w:val="21"/>
                <w:highlight w:val="none"/>
              </w:rPr>
            </w:pPr>
          </w:p>
          <w:p w14:paraId="4469CF35">
            <w:pPr>
              <w:keepNext w:val="0"/>
              <w:keepLines w:val="0"/>
              <w:pageBreakBefore w:val="0"/>
              <w:widowControl w:val="0"/>
              <w:kinsoku/>
              <w:wordWrap/>
              <w:overflowPunct/>
              <w:topLinePunct w:val="0"/>
              <w:autoSpaceDE/>
              <w:autoSpaceDN/>
              <w:bidi w:val="0"/>
              <w:adjustRightInd/>
              <w:snapToGrid w:val="0"/>
              <w:spacing w:line="360" w:lineRule="auto"/>
              <w:ind w:firstLine="945" w:firstLineChars="450"/>
              <w:jc w:val="righ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   月   日</w:t>
            </w:r>
          </w:p>
        </w:tc>
        <w:tc>
          <w:tcPr>
            <w:tcW w:w="4583" w:type="dxa"/>
            <w:tcBorders>
              <w:top w:val="single" w:color="auto" w:sz="4" w:space="0"/>
              <w:left w:val="single" w:color="auto" w:sz="4" w:space="0"/>
              <w:bottom w:val="single" w:color="auto" w:sz="4" w:space="0"/>
              <w:right w:val="single" w:color="auto" w:sz="4" w:space="0"/>
            </w:tcBorders>
            <w:vAlign w:val="center"/>
          </w:tcPr>
          <w:p w14:paraId="02200AF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乙方：（章）       </w:t>
            </w:r>
          </w:p>
          <w:p w14:paraId="60C911A8">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Cs w:val="21"/>
                <w:highlight w:val="none"/>
              </w:rPr>
            </w:pPr>
          </w:p>
          <w:p w14:paraId="578BEBB0">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26A919E9">
            <w:pPr>
              <w:keepNext w:val="0"/>
              <w:keepLines w:val="0"/>
              <w:pageBreakBefore w:val="0"/>
              <w:widowControl w:val="0"/>
              <w:kinsoku/>
              <w:wordWrap/>
              <w:overflowPunct/>
              <w:topLinePunct w:val="0"/>
              <w:autoSpaceDE/>
              <w:autoSpaceDN/>
              <w:bidi w:val="0"/>
              <w:adjustRightInd/>
              <w:snapToGrid w:val="0"/>
              <w:spacing w:line="360" w:lineRule="auto"/>
              <w:jc w:val="right"/>
              <w:textAlignment w:val="auto"/>
              <w:rPr>
                <w:rFonts w:hint="eastAsia" w:ascii="宋体" w:hAnsi="宋体" w:eastAsia="宋体" w:cs="宋体"/>
                <w:color w:val="auto"/>
                <w:szCs w:val="21"/>
                <w:highlight w:val="none"/>
              </w:rPr>
            </w:pPr>
          </w:p>
          <w:p w14:paraId="4437414C">
            <w:pPr>
              <w:keepNext w:val="0"/>
              <w:keepLines w:val="0"/>
              <w:pageBreakBefore w:val="0"/>
              <w:widowControl w:val="0"/>
              <w:kinsoku/>
              <w:wordWrap/>
              <w:overflowPunct/>
              <w:topLinePunct w:val="0"/>
              <w:autoSpaceDE/>
              <w:autoSpaceDN/>
              <w:bidi w:val="0"/>
              <w:adjustRightInd/>
              <w:snapToGrid w:val="0"/>
              <w:spacing w:line="360" w:lineRule="auto"/>
              <w:jc w:val="righ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年   月   日</w:t>
            </w:r>
          </w:p>
        </w:tc>
      </w:tr>
      <w:tr w14:paraId="70564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6" w:hRule="atLeast"/>
        </w:trPr>
        <w:tc>
          <w:tcPr>
            <w:tcW w:w="4582" w:type="dxa"/>
            <w:tcBorders>
              <w:top w:val="single" w:color="auto" w:sz="4" w:space="0"/>
              <w:left w:val="single" w:color="auto" w:sz="4" w:space="0"/>
              <w:bottom w:val="single" w:color="auto" w:sz="4" w:space="0"/>
              <w:right w:val="single" w:color="auto" w:sz="4" w:space="0"/>
            </w:tcBorders>
            <w:vAlign w:val="center"/>
          </w:tcPr>
          <w:p w14:paraId="55E6F5B4">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Cs w:val="21"/>
                <w:highlight w:val="none"/>
              </w:rPr>
            </w:pPr>
            <w:bookmarkStart w:id="174" w:name="tip_risk_bookmark_30"/>
            <w:r>
              <w:rPr>
                <w:rFonts w:hint="eastAsia" w:ascii="宋体" w:hAnsi="宋体" w:eastAsia="宋体" w:cs="宋体"/>
                <w:color w:val="auto"/>
                <w:szCs w:val="21"/>
                <w:highlight w:val="none"/>
              </w:rPr>
              <w:t xml:space="preserve">单位地址： </w:t>
            </w:r>
          </w:p>
        </w:tc>
        <w:tc>
          <w:tcPr>
            <w:tcW w:w="4583" w:type="dxa"/>
            <w:tcBorders>
              <w:top w:val="single" w:color="auto" w:sz="4" w:space="0"/>
              <w:left w:val="single" w:color="auto" w:sz="4" w:space="0"/>
              <w:bottom w:val="single" w:color="auto" w:sz="4" w:space="0"/>
              <w:right w:val="single" w:color="auto" w:sz="4" w:space="0"/>
            </w:tcBorders>
            <w:vAlign w:val="center"/>
          </w:tcPr>
          <w:p w14:paraId="0E9C1FB3">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单位地址： </w:t>
            </w:r>
          </w:p>
        </w:tc>
      </w:tr>
      <w:tr w14:paraId="182DB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4582" w:type="dxa"/>
            <w:tcBorders>
              <w:top w:val="single" w:color="auto" w:sz="4" w:space="0"/>
              <w:left w:val="single" w:color="auto" w:sz="4" w:space="0"/>
              <w:bottom w:val="single" w:color="auto" w:sz="4" w:space="0"/>
              <w:right w:val="single" w:color="auto" w:sz="4" w:space="0"/>
            </w:tcBorders>
            <w:vAlign w:val="center"/>
          </w:tcPr>
          <w:p w14:paraId="34E7F37A">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cs="宋体"/>
                <w:color w:val="auto"/>
                <w:szCs w:val="21"/>
                <w:highlight w:val="none"/>
                <w:lang w:eastAsia="zh-CN"/>
              </w:rPr>
              <w:t>或授权签约代表</w:t>
            </w:r>
            <w:r>
              <w:rPr>
                <w:rFonts w:hint="eastAsia" w:ascii="宋体" w:hAnsi="宋体" w:eastAsia="宋体" w:cs="宋体"/>
                <w:color w:val="auto"/>
                <w:szCs w:val="21"/>
                <w:highlight w:val="none"/>
              </w:rPr>
              <w:t>：</w:t>
            </w:r>
          </w:p>
        </w:tc>
        <w:tc>
          <w:tcPr>
            <w:tcW w:w="4583" w:type="dxa"/>
            <w:tcBorders>
              <w:top w:val="single" w:color="auto" w:sz="4" w:space="0"/>
              <w:left w:val="single" w:color="auto" w:sz="4" w:space="0"/>
              <w:bottom w:val="single" w:color="auto" w:sz="4" w:space="0"/>
              <w:right w:val="single" w:color="auto" w:sz="4" w:space="0"/>
            </w:tcBorders>
            <w:vAlign w:val="center"/>
          </w:tcPr>
          <w:p w14:paraId="42DCA8A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cs="宋体"/>
                <w:color w:val="auto"/>
                <w:szCs w:val="21"/>
                <w:highlight w:val="none"/>
                <w:lang w:eastAsia="zh-CN"/>
              </w:rPr>
              <w:t>或授权签约代表</w:t>
            </w:r>
            <w:r>
              <w:rPr>
                <w:rFonts w:hint="eastAsia" w:ascii="宋体" w:hAnsi="宋体" w:eastAsia="宋体" w:cs="宋体"/>
                <w:color w:val="auto"/>
                <w:szCs w:val="21"/>
                <w:highlight w:val="none"/>
              </w:rPr>
              <w:t>：</w:t>
            </w:r>
          </w:p>
        </w:tc>
      </w:tr>
      <w:tr w14:paraId="2827C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trPr>
        <w:tc>
          <w:tcPr>
            <w:tcW w:w="4582" w:type="dxa"/>
            <w:tcBorders>
              <w:top w:val="single" w:color="auto" w:sz="4" w:space="0"/>
              <w:left w:val="single" w:color="auto" w:sz="4" w:space="0"/>
              <w:bottom w:val="single" w:color="auto" w:sz="4" w:space="0"/>
              <w:right w:val="single" w:color="auto" w:sz="4" w:space="0"/>
            </w:tcBorders>
            <w:vAlign w:val="center"/>
          </w:tcPr>
          <w:p w14:paraId="2100C04C">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联系</w:t>
            </w:r>
            <w:r>
              <w:rPr>
                <w:rFonts w:hint="eastAsia" w:ascii="宋体" w:hAnsi="宋体" w:eastAsia="宋体" w:cs="宋体"/>
                <w:color w:val="auto"/>
                <w:szCs w:val="21"/>
                <w:highlight w:val="none"/>
              </w:rPr>
              <w:t>电话：</w:t>
            </w:r>
          </w:p>
        </w:tc>
        <w:tc>
          <w:tcPr>
            <w:tcW w:w="4583" w:type="dxa"/>
            <w:tcBorders>
              <w:top w:val="single" w:color="auto" w:sz="4" w:space="0"/>
              <w:left w:val="single" w:color="auto" w:sz="4" w:space="0"/>
              <w:bottom w:val="single" w:color="auto" w:sz="4" w:space="0"/>
              <w:right w:val="single" w:color="auto" w:sz="4" w:space="0"/>
            </w:tcBorders>
            <w:vAlign w:val="center"/>
          </w:tcPr>
          <w:p w14:paraId="49D021D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联系</w:t>
            </w:r>
            <w:r>
              <w:rPr>
                <w:rFonts w:hint="eastAsia" w:ascii="宋体" w:hAnsi="宋体" w:eastAsia="宋体" w:cs="宋体"/>
                <w:color w:val="auto"/>
                <w:szCs w:val="21"/>
                <w:highlight w:val="none"/>
              </w:rPr>
              <w:t>电话：</w:t>
            </w:r>
          </w:p>
        </w:tc>
      </w:tr>
      <w:tr w14:paraId="5EFA1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2" w:hRule="atLeast"/>
        </w:trPr>
        <w:tc>
          <w:tcPr>
            <w:tcW w:w="4582" w:type="dxa"/>
            <w:tcBorders>
              <w:top w:val="single" w:color="auto" w:sz="4" w:space="0"/>
              <w:left w:val="single" w:color="auto" w:sz="4" w:space="0"/>
              <w:bottom w:val="single" w:color="auto" w:sz="4" w:space="0"/>
              <w:right w:val="single" w:color="auto" w:sz="4" w:space="0"/>
            </w:tcBorders>
            <w:vAlign w:val="center"/>
          </w:tcPr>
          <w:p w14:paraId="22959AE4">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开户银行： </w:t>
            </w:r>
          </w:p>
        </w:tc>
        <w:tc>
          <w:tcPr>
            <w:tcW w:w="4583" w:type="dxa"/>
            <w:tcBorders>
              <w:top w:val="single" w:color="auto" w:sz="4" w:space="0"/>
              <w:left w:val="single" w:color="auto" w:sz="4" w:space="0"/>
              <w:bottom w:val="single" w:color="auto" w:sz="4" w:space="0"/>
              <w:right w:val="single" w:color="auto" w:sz="4" w:space="0"/>
            </w:tcBorders>
            <w:vAlign w:val="center"/>
          </w:tcPr>
          <w:p w14:paraId="78519665">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开户银行： </w:t>
            </w:r>
          </w:p>
        </w:tc>
      </w:tr>
      <w:tr w14:paraId="3EAB8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9" w:hRule="atLeast"/>
        </w:trPr>
        <w:tc>
          <w:tcPr>
            <w:tcW w:w="4582" w:type="dxa"/>
            <w:tcBorders>
              <w:top w:val="single" w:color="auto" w:sz="4" w:space="0"/>
              <w:left w:val="single" w:color="auto" w:sz="4" w:space="0"/>
              <w:bottom w:val="single" w:color="auto" w:sz="4" w:space="0"/>
              <w:right w:val="single" w:color="auto" w:sz="4" w:space="0"/>
            </w:tcBorders>
            <w:vAlign w:val="center"/>
          </w:tcPr>
          <w:p w14:paraId="04B2A54A">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账号：</w:t>
            </w:r>
          </w:p>
        </w:tc>
        <w:tc>
          <w:tcPr>
            <w:tcW w:w="4583" w:type="dxa"/>
            <w:tcBorders>
              <w:top w:val="single" w:color="auto" w:sz="4" w:space="0"/>
              <w:left w:val="single" w:color="auto" w:sz="4" w:space="0"/>
              <w:bottom w:val="single" w:color="auto" w:sz="4" w:space="0"/>
              <w:right w:val="single" w:color="auto" w:sz="4" w:space="0"/>
            </w:tcBorders>
            <w:vAlign w:val="center"/>
          </w:tcPr>
          <w:p w14:paraId="6AAD65C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账号：</w:t>
            </w:r>
          </w:p>
        </w:tc>
      </w:tr>
      <w:tr w14:paraId="49D6A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7" w:hRule="atLeast"/>
        </w:trPr>
        <w:tc>
          <w:tcPr>
            <w:tcW w:w="4582" w:type="dxa"/>
            <w:tcBorders>
              <w:top w:val="single" w:color="auto" w:sz="4" w:space="0"/>
              <w:left w:val="single" w:color="auto" w:sz="4" w:space="0"/>
              <w:bottom w:val="single" w:color="auto" w:sz="4" w:space="0"/>
              <w:right w:val="single" w:color="auto" w:sz="4" w:space="0"/>
            </w:tcBorders>
            <w:vAlign w:val="center"/>
          </w:tcPr>
          <w:p w14:paraId="4632A311">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p>
        </w:tc>
        <w:tc>
          <w:tcPr>
            <w:tcW w:w="4583" w:type="dxa"/>
            <w:tcBorders>
              <w:top w:val="single" w:color="auto" w:sz="4" w:space="0"/>
              <w:left w:val="single" w:color="auto" w:sz="4" w:space="0"/>
              <w:bottom w:val="single" w:color="auto" w:sz="4" w:space="0"/>
              <w:right w:val="single" w:color="auto" w:sz="4" w:space="0"/>
            </w:tcBorders>
            <w:vAlign w:val="center"/>
          </w:tcPr>
          <w:p w14:paraId="0C00C0E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p>
        </w:tc>
      </w:tr>
      <w:bookmarkEnd w:id="174"/>
    </w:tbl>
    <w:p w14:paraId="0728E380">
      <w:pPr>
        <w:spacing w:line="360" w:lineRule="exact"/>
        <w:ind w:firstLine="420" w:firstLineChars="200"/>
        <w:rPr>
          <w:rFonts w:hint="eastAsia" w:ascii="宋体" w:hAnsi="宋体"/>
          <w:color w:val="auto"/>
          <w:highlight w:val="none"/>
        </w:rPr>
      </w:pPr>
    </w:p>
    <w:p w14:paraId="40D898CC">
      <w:pPr>
        <w:spacing w:line="360" w:lineRule="exact"/>
        <w:ind w:firstLine="420" w:firstLineChars="200"/>
        <w:rPr>
          <w:rFonts w:hint="eastAsia" w:ascii="宋体" w:hAnsi="宋体"/>
          <w:color w:val="auto"/>
          <w:highlight w:val="none"/>
        </w:rPr>
      </w:pPr>
    </w:p>
    <w:p w14:paraId="1A741B57">
      <w:pPr>
        <w:spacing w:line="360" w:lineRule="exact"/>
        <w:ind w:firstLine="420" w:firstLineChars="200"/>
        <w:rPr>
          <w:rFonts w:hint="eastAsia" w:ascii="宋体" w:hAnsi="宋体"/>
          <w:color w:val="auto"/>
          <w:highlight w:val="none"/>
        </w:rPr>
      </w:pPr>
    </w:p>
    <w:p w14:paraId="35EF303D">
      <w:pPr>
        <w:spacing w:line="360" w:lineRule="exact"/>
        <w:ind w:firstLine="420" w:firstLineChars="200"/>
        <w:rPr>
          <w:rFonts w:hint="eastAsia" w:ascii="宋体" w:hAnsi="宋体"/>
          <w:color w:val="auto"/>
          <w:highlight w:val="none"/>
        </w:rPr>
      </w:pPr>
    </w:p>
    <w:p w14:paraId="33536552">
      <w:pPr>
        <w:spacing w:line="360" w:lineRule="exact"/>
        <w:ind w:firstLine="420" w:firstLineChars="200"/>
        <w:rPr>
          <w:rFonts w:hint="eastAsia" w:ascii="宋体" w:hAnsi="宋体"/>
          <w:color w:val="auto"/>
          <w:highlight w:val="none"/>
        </w:rPr>
      </w:pPr>
    </w:p>
    <w:p w14:paraId="1742859A">
      <w:pPr>
        <w:spacing w:line="360" w:lineRule="exact"/>
        <w:ind w:firstLine="420" w:firstLineChars="200"/>
        <w:rPr>
          <w:rFonts w:hint="eastAsia" w:ascii="宋体" w:hAnsi="宋体"/>
          <w:color w:val="auto"/>
          <w:highlight w:val="none"/>
        </w:rPr>
      </w:pPr>
    </w:p>
    <w:p w14:paraId="63AAD54E">
      <w:pPr>
        <w:spacing w:line="360" w:lineRule="exact"/>
        <w:ind w:firstLine="641" w:firstLineChars="200"/>
        <w:rPr>
          <w:rFonts w:hint="eastAsia" w:ascii="宋体" w:hAnsi="宋体"/>
          <w:color w:val="auto"/>
          <w:highlight w:val="none"/>
        </w:rPr>
      </w:pPr>
      <w:r>
        <w:rPr>
          <w:rFonts w:hint="eastAsia" w:ascii="华文中宋" w:hAnsi="华文中宋" w:eastAsia="华文中宋" w:cs="Times New Roman"/>
          <w:b/>
          <w:bCs/>
          <w:color w:val="auto"/>
          <w:sz w:val="32"/>
          <w:szCs w:val="36"/>
          <w:highlight w:val="none"/>
        </w:rPr>
        <w:br w:type="page"/>
      </w:r>
    </w:p>
    <w:p w14:paraId="047A2F17">
      <w:pPr>
        <w:pStyle w:val="3"/>
        <w:jc w:val="center"/>
        <w:rPr>
          <w:rFonts w:hint="eastAsia" w:ascii="宋体" w:hAnsi="宋体"/>
          <w:color w:val="auto"/>
          <w:highlight w:val="none"/>
        </w:rPr>
      </w:pPr>
      <w:bookmarkStart w:id="175" w:name="_Toc121503232"/>
      <w:r>
        <w:rPr>
          <w:rFonts w:hint="eastAsia" w:ascii="宋体" w:hAnsi="宋体"/>
          <w:color w:val="auto"/>
          <w:highlight w:val="none"/>
        </w:rPr>
        <w:t>第六章　投标文件格式</w:t>
      </w:r>
      <w:bookmarkEnd w:id="175"/>
    </w:p>
    <w:p w14:paraId="24D60D43">
      <w:pPr>
        <w:snapToGrid w:val="0"/>
        <w:spacing w:before="120" w:beforeLines="50" w:after="50"/>
        <w:jc w:val="center"/>
        <w:outlineLvl w:val="1"/>
        <w:rPr>
          <w:rFonts w:hint="eastAsia" w:ascii="宋体" w:hAnsi="宋体"/>
          <w:color w:val="auto"/>
          <w:highlight w:val="none"/>
        </w:rPr>
      </w:pPr>
    </w:p>
    <w:p w14:paraId="6F8B2147">
      <w:pPr>
        <w:rPr>
          <w:rFonts w:hint="eastAsia" w:ascii="宋体" w:hAnsi="宋体"/>
          <w:b/>
          <w:color w:val="auto"/>
          <w:sz w:val="28"/>
          <w:szCs w:val="28"/>
          <w:highlight w:val="none"/>
        </w:rPr>
      </w:pPr>
      <w:bookmarkStart w:id="176" w:name="_Toc19686836"/>
      <w:bookmarkStart w:id="177" w:name="_Toc254970698"/>
      <w:bookmarkStart w:id="178" w:name="_Toc254970557"/>
      <w:r>
        <w:rPr>
          <w:rFonts w:hint="eastAsia" w:ascii="宋体" w:hAnsi="宋体"/>
          <w:b/>
          <w:color w:val="auto"/>
          <w:sz w:val="28"/>
          <w:szCs w:val="28"/>
          <w:highlight w:val="none"/>
        </w:rPr>
        <w:t>一、报价文件格式</w:t>
      </w:r>
      <w:bookmarkEnd w:id="176"/>
    </w:p>
    <w:p w14:paraId="1DD94040">
      <w:pPr>
        <w:snapToGrid w:val="0"/>
        <w:spacing w:before="120" w:beforeLines="50" w:after="50" w:line="360" w:lineRule="auto"/>
        <w:ind w:left="142"/>
        <w:jc w:val="left"/>
        <w:rPr>
          <w:rFonts w:hint="eastAsia" w:ascii="宋体" w:hAnsi="宋体"/>
          <w:b/>
          <w:color w:val="auto"/>
          <w:sz w:val="24"/>
          <w:highlight w:val="none"/>
        </w:rPr>
      </w:pPr>
      <w:r>
        <w:rPr>
          <w:rFonts w:hint="eastAsia" w:ascii="宋体" w:hAnsi="宋体"/>
          <w:b/>
          <w:color w:val="auto"/>
          <w:sz w:val="24"/>
          <w:highlight w:val="none"/>
        </w:rPr>
        <w:t xml:space="preserve">1. 报价文件封面格式： </w:t>
      </w:r>
    </w:p>
    <w:p w14:paraId="14E49E71">
      <w:pPr>
        <w:snapToGrid w:val="0"/>
        <w:spacing w:before="120" w:beforeLines="50" w:after="50" w:line="360" w:lineRule="auto"/>
        <w:ind w:left="142"/>
        <w:jc w:val="center"/>
        <w:rPr>
          <w:rFonts w:hint="eastAsia" w:ascii="宋体" w:hAnsi="宋体"/>
          <w:bCs/>
          <w:color w:val="auto"/>
          <w:sz w:val="48"/>
          <w:szCs w:val="48"/>
          <w:highlight w:val="none"/>
        </w:rPr>
      </w:pPr>
      <w:r>
        <w:rPr>
          <w:rFonts w:hint="eastAsia" w:ascii="宋体" w:hAnsi="宋体"/>
          <w:bCs/>
          <w:color w:val="auto"/>
          <w:sz w:val="48"/>
          <w:szCs w:val="48"/>
          <w:highlight w:val="none"/>
        </w:rPr>
        <w:t>电子投标文件</w:t>
      </w:r>
    </w:p>
    <w:p w14:paraId="67C4E082">
      <w:pPr>
        <w:snapToGrid w:val="0"/>
        <w:spacing w:before="120" w:beforeLines="50" w:after="50" w:line="400" w:lineRule="exact"/>
        <w:jc w:val="left"/>
        <w:rPr>
          <w:rFonts w:hint="eastAsia" w:ascii="宋体" w:hAnsi="宋体"/>
          <w:bCs/>
          <w:color w:val="auto"/>
          <w:sz w:val="48"/>
          <w:szCs w:val="48"/>
          <w:highlight w:val="none"/>
        </w:rPr>
      </w:pPr>
    </w:p>
    <w:p w14:paraId="31772B65">
      <w:pPr>
        <w:snapToGrid w:val="0"/>
        <w:spacing w:before="120" w:beforeLines="50" w:after="50" w:line="400" w:lineRule="exact"/>
        <w:jc w:val="center"/>
        <w:rPr>
          <w:rFonts w:hint="eastAsia" w:ascii="宋体" w:hAnsi="宋体" w:cs="方正小标宋简体"/>
          <w:color w:val="auto"/>
          <w:sz w:val="44"/>
          <w:szCs w:val="44"/>
          <w:highlight w:val="none"/>
        </w:rPr>
      </w:pPr>
      <w:r>
        <w:rPr>
          <w:rFonts w:hint="eastAsia" w:ascii="宋体" w:hAnsi="宋体" w:cs="方正小标宋简体"/>
          <w:color w:val="auto"/>
          <w:sz w:val="44"/>
          <w:szCs w:val="44"/>
          <w:highlight w:val="none"/>
        </w:rPr>
        <w:t>报  价  文  件</w:t>
      </w:r>
    </w:p>
    <w:p w14:paraId="4EE5194A">
      <w:pPr>
        <w:snapToGrid w:val="0"/>
        <w:spacing w:before="120" w:beforeLines="50" w:after="50" w:line="400" w:lineRule="exact"/>
        <w:rPr>
          <w:rFonts w:hint="eastAsia" w:ascii="宋体" w:hAnsi="宋体"/>
          <w:bCs/>
          <w:color w:val="auto"/>
          <w:sz w:val="24"/>
          <w:szCs w:val="20"/>
          <w:highlight w:val="none"/>
        </w:rPr>
      </w:pPr>
    </w:p>
    <w:p w14:paraId="75E36EDD">
      <w:pPr>
        <w:snapToGrid w:val="0"/>
        <w:spacing w:before="120" w:beforeLines="50" w:after="50" w:line="400" w:lineRule="exact"/>
        <w:rPr>
          <w:rFonts w:hint="eastAsia" w:ascii="宋体" w:hAnsi="宋体"/>
          <w:bCs/>
          <w:color w:val="auto"/>
          <w:sz w:val="24"/>
          <w:szCs w:val="20"/>
          <w:highlight w:val="none"/>
        </w:rPr>
      </w:pPr>
    </w:p>
    <w:p w14:paraId="7DE8DE54">
      <w:pPr>
        <w:snapToGrid w:val="0"/>
        <w:spacing w:before="120" w:beforeLines="50" w:after="50" w:line="400" w:lineRule="exact"/>
        <w:rPr>
          <w:rFonts w:hint="eastAsia" w:ascii="宋体" w:hAnsi="宋体"/>
          <w:bCs/>
          <w:color w:val="auto"/>
          <w:sz w:val="24"/>
          <w:szCs w:val="20"/>
          <w:highlight w:val="none"/>
        </w:rPr>
      </w:pPr>
    </w:p>
    <w:p w14:paraId="1DF8E494">
      <w:pPr>
        <w:snapToGrid w:val="0"/>
        <w:spacing w:before="120" w:beforeLines="50" w:after="50" w:line="400" w:lineRule="exact"/>
        <w:rPr>
          <w:rFonts w:hint="eastAsia" w:ascii="宋体" w:hAnsi="宋体"/>
          <w:bCs/>
          <w:color w:val="auto"/>
          <w:sz w:val="24"/>
          <w:szCs w:val="20"/>
          <w:highlight w:val="none"/>
        </w:rPr>
      </w:pPr>
    </w:p>
    <w:p w14:paraId="4A3F9B9D">
      <w:pPr>
        <w:snapToGrid w:val="0"/>
        <w:spacing w:before="120"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 xml:space="preserve">项目名称： </w:t>
      </w:r>
    </w:p>
    <w:p w14:paraId="65388E41">
      <w:pPr>
        <w:snapToGrid w:val="0"/>
        <w:spacing w:before="120" w:beforeLines="50" w:after="50" w:line="400" w:lineRule="exact"/>
        <w:ind w:firstLine="360" w:firstLineChars="150"/>
        <w:rPr>
          <w:rFonts w:hint="eastAsia" w:ascii="宋体" w:hAnsi="宋体"/>
          <w:bCs/>
          <w:color w:val="auto"/>
          <w:sz w:val="24"/>
          <w:highlight w:val="none"/>
        </w:rPr>
      </w:pPr>
    </w:p>
    <w:p w14:paraId="62477874">
      <w:pPr>
        <w:snapToGrid w:val="0"/>
        <w:spacing w:before="120"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 xml:space="preserve">项目编号： </w:t>
      </w:r>
    </w:p>
    <w:p w14:paraId="5EEB097D">
      <w:pPr>
        <w:snapToGrid w:val="0"/>
        <w:spacing w:before="120" w:beforeLines="50" w:after="50" w:line="400" w:lineRule="exact"/>
        <w:rPr>
          <w:rFonts w:hint="eastAsia" w:ascii="宋体" w:hAnsi="宋体"/>
          <w:bCs/>
          <w:color w:val="auto"/>
          <w:sz w:val="24"/>
          <w:highlight w:val="none"/>
        </w:rPr>
      </w:pPr>
    </w:p>
    <w:p w14:paraId="21E95E14">
      <w:pPr>
        <w:snapToGrid w:val="0"/>
        <w:spacing w:before="120"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投标人名称：</w:t>
      </w:r>
    </w:p>
    <w:p w14:paraId="04FEF941">
      <w:pPr>
        <w:snapToGrid w:val="0"/>
        <w:spacing w:before="120" w:beforeLines="50" w:after="50" w:line="400" w:lineRule="exact"/>
        <w:ind w:firstLine="360" w:firstLineChars="150"/>
        <w:rPr>
          <w:rFonts w:hint="eastAsia" w:ascii="宋体" w:hAnsi="宋体"/>
          <w:bCs/>
          <w:color w:val="auto"/>
          <w:sz w:val="24"/>
          <w:highlight w:val="none"/>
        </w:rPr>
      </w:pPr>
    </w:p>
    <w:p w14:paraId="22BFB098">
      <w:pPr>
        <w:snapToGrid w:val="0"/>
        <w:spacing w:before="120"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投标人地址：</w:t>
      </w:r>
    </w:p>
    <w:p w14:paraId="0F3D285F">
      <w:pPr>
        <w:pStyle w:val="7"/>
        <w:snapToGrid w:val="0"/>
        <w:spacing w:before="50" w:after="50" w:line="400" w:lineRule="exact"/>
        <w:ind w:firstLine="960" w:firstLineChars="400"/>
        <w:rPr>
          <w:rFonts w:hint="eastAsia" w:ascii="宋体" w:hAnsi="宋体"/>
          <w:bCs/>
          <w:color w:val="auto"/>
          <w:sz w:val="24"/>
          <w:szCs w:val="24"/>
          <w:highlight w:val="none"/>
        </w:rPr>
      </w:pPr>
    </w:p>
    <w:p w14:paraId="379BCA8F">
      <w:pPr>
        <w:snapToGrid w:val="0"/>
        <w:spacing w:before="120" w:beforeLines="50" w:after="50" w:line="400" w:lineRule="exact"/>
        <w:rPr>
          <w:rFonts w:hint="eastAsia" w:ascii="宋体" w:hAnsi="宋体"/>
          <w:color w:val="auto"/>
          <w:sz w:val="30"/>
          <w:szCs w:val="20"/>
          <w:highlight w:val="none"/>
        </w:rPr>
      </w:pPr>
      <w:r>
        <w:rPr>
          <w:rFonts w:hint="eastAsia" w:ascii="宋体" w:hAnsi="宋体"/>
          <w:color w:val="auto"/>
          <w:sz w:val="24"/>
          <w:highlight w:val="none"/>
        </w:rPr>
        <w:t xml:space="preserve">                                   年  月  日</w:t>
      </w:r>
    </w:p>
    <w:p w14:paraId="57D07295">
      <w:pPr>
        <w:snapToGrid w:val="0"/>
        <w:spacing w:before="120" w:beforeLines="50" w:after="50" w:line="360" w:lineRule="auto"/>
        <w:jc w:val="left"/>
        <w:rPr>
          <w:rFonts w:hint="eastAsia" w:ascii="宋体" w:hAnsi="宋体"/>
          <w:color w:val="auto"/>
          <w:sz w:val="24"/>
          <w:szCs w:val="20"/>
          <w:highlight w:val="none"/>
        </w:rPr>
      </w:pPr>
      <w:r>
        <w:rPr>
          <w:rFonts w:ascii="宋体" w:hAnsi="宋体"/>
          <w:b/>
          <w:color w:val="auto"/>
          <w:sz w:val="24"/>
          <w:highlight w:val="none"/>
        </w:rPr>
        <w:br w:type="page"/>
      </w:r>
      <w:r>
        <w:rPr>
          <w:rFonts w:hint="eastAsia" w:ascii="宋体" w:hAnsi="宋体"/>
          <w:b/>
          <w:color w:val="auto"/>
          <w:sz w:val="24"/>
          <w:highlight w:val="none"/>
        </w:rPr>
        <w:t>2.</w:t>
      </w:r>
      <w:r>
        <w:rPr>
          <w:rFonts w:hint="eastAsia" w:ascii="宋体" w:hAnsi="宋体"/>
          <w:b/>
          <w:bCs/>
          <w:color w:val="auto"/>
          <w:sz w:val="24"/>
          <w:highlight w:val="none"/>
        </w:rPr>
        <w:t>报价文件目录</w:t>
      </w:r>
    </w:p>
    <w:p w14:paraId="74A2F5BF">
      <w:pPr>
        <w:snapToGrid w:val="0"/>
        <w:spacing w:before="50" w:after="120" w:afterLines="50" w:line="360" w:lineRule="auto"/>
        <w:jc w:val="left"/>
        <w:rPr>
          <w:rFonts w:ascii="宋体" w:hAnsi="宋体"/>
          <w:b/>
          <w:color w:val="auto"/>
          <w:sz w:val="24"/>
          <w:highlight w:val="none"/>
        </w:rPr>
      </w:pPr>
      <w:r>
        <w:rPr>
          <w:rFonts w:hint="eastAsia" w:ascii="宋体" w:hAnsi="宋体"/>
          <w:color w:val="auto"/>
          <w:szCs w:val="21"/>
          <w:highlight w:val="none"/>
        </w:rPr>
        <w:t>根据招标文件规定及投标人提供的材料自行编写目录。</w:t>
      </w:r>
    </w:p>
    <w:p w14:paraId="3B6291EE">
      <w:pPr>
        <w:snapToGrid w:val="0"/>
        <w:spacing w:before="120" w:beforeLines="50" w:after="50"/>
        <w:rPr>
          <w:rFonts w:hint="eastAsia" w:ascii="宋体" w:hAnsi="宋体"/>
          <w:b/>
          <w:color w:val="auto"/>
          <w:sz w:val="24"/>
          <w:highlight w:val="none"/>
        </w:rPr>
      </w:pPr>
    </w:p>
    <w:p w14:paraId="2BE00623">
      <w:pPr>
        <w:snapToGrid w:val="0"/>
        <w:spacing w:before="120" w:beforeLines="50" w:after="50"/>
        <w:rPr>
          <w:rFonts w:hint="eastAsia" w:ascii="宋体" w:hAnsi="宋体"/>
          <w:b/>
          <w:color w:val="auto"/>
          <w:sz w:val="24"/>
          <w:highlight w:val="none"/>
        </w:rPr>
      </w:pPr>
    </w:p>
    <w:p w14:paraId="3BED979A">
      <w:pPr>
        <w:snapToGrid w:val="0"/>
        <w:spacing w:before="120" w:beforeLines="50" w:after="50"/>
        <w:rPr>
          <w:rFonts w:hint="eastAsia" w:ascii="宋体" w:hAnsi="宋体"/>
          <w:b/>
          <w:color w:val="auto"/>
          <w:sz w:val="24"/>
          <w:highlight w:val="none"/>
        </w:rPr>
      </w:pPr>
    </w:p>
    <w:p w14:paraId="6008ADF9">
      <w:pPr>
        <w:snapToGrid w:val="0"/>
        <w:spacing w:before="120" w:beforeLines="50" w:after="50"/>
        <w:ind w:left="142"/>
        <w:jc w:val="left"/>
        <w:rPr>
          <w:rFonts w:hint="eastAsia"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3. 投标函格式：</w:t>
      </w:r>
    </w:p>
    <w:p w14:paraId="0A7B17D1">
      <w:pPr>
        <w:snapToGrid w:val="0"/>
        <w:spacing w:before="120" w:beforeLines="50" w:after="50" w:line="360" w:lineRule="auto"/>
        <w:jc w:val="center"/>
        <w:rPr>
          <w:rFonts w:hint="eastAsia" w:ascii="宋体" w:hAnsi="宋体" w:cs="方正小标宋简体"/>
          <w:bCs/>
          <w:color w:val="auto"/>
          <w:sz w:val="44"/>
          <w:szCs w:val="44"/>
          <w:highlight w:val="none"/>
        </w:rPr>
      </w:pPr>
      <w:r>
        <w:rPr>
          <w:rFonts w:hint="eastAsia" w:ascii="宋体" w:hAnsi="宋体" w:cs="方正小标宋简体"/>
          <w:bCs/>
          <w:color w:val="auto"/>
          <w:sz w:val="44"/>
          <w:szCs w:val="44"/>
          <w:highlight w:val="none"/>
        </w:rPr>
        <w:t>投 标 函</w:t>
      </w:r>
    </w:p>
    <w:p w14:paraId="1A1A2C0F">
      <w:pPr>
        <w:spacing w:line="360" w:lineRule="exact"/>
        <w:contextualSpacing/>
        <w:rPr>
          <w:rFonts w:hint="eastAsia" w:ascii="宋体" w:hAnsi="宋体"/>
          <w:color w:val="auto"/>
          <w:sz w:val="24"/>
          <w:highlight w:val="none"/>
        </w:rPr>
      </w:pPr>
      <w:r>
        <w:rPr>
          <w:rFonts w:hint="eastAsia" w:ascii="宋体" w:hAnsi="宋体"/>
          <w:color w:val="auto"/>
          <w:sz w:val="24"/>
          <w:highlight w:val="none"/>
        </w:rPr>
        <w:t>致：</w:t>
      </w:r>
      <w:r>
        <w:rPr>
          <w:rFonts w:hint="eastAsia" w:ascii="宋体" w:hAnsi="宋体"/>
          <w:color w:val="auto"/>
          <w:sz w:val="24"/>
          <w:highlight w:val="none"/>
          <w:u w:val="single"/>
        </w:rPr>
        <w:t>采购人名称</w:t>
      </w:r>
      <w:r>
        <w:rPr>
          <w:rFonts w:hint="eastAsia" w:ascii="宋体" w:hAnsi="宋体"/>
          <w:color w:val="auto"/>
          <w:sz w:val="24"/>
          <w:highlight w:val="none"/>
        </w:rPr>
        <w:t>：</w:t>
      </w:r>
    </w:p>
    <w:p w14:paraId="3008FC75">
      <w:pPr>
        <w:spacing w:line="360" w:lineRule="exact"/>
        <w:ind w:firstLine="480"/>
        <w:contextualSpacing/>
        <w:rPr>
          <w:rFonts w:hint="eastAsia" w:ascii="宋体" w:hAnsi="宋体"/>
          <w:color w:val="auto"/>
          <w:sz w:val="24"/>
          <w:highlight w:val="none"/>
        </w:rPr>
      </w:pPr>
      <w:r>
        <w:rPr>
          <w:rFonts w:hint="eastAsia" w:ascii="宋体" w:hAnsi="宋体"/>
          <w:color w:val="auto"/>
          <w:sz w:val="24"/>
          <w:highlight w:val="none"/>
        </w:rPr>
        <w:t>根据贵方</w:t>
      </w:r>
      <w:r>
        <w:rPr>
          <w:rFonts w:hint="eastAsia" w:ascii="宋体" w:hAnsi="宋体"/>
          <w:color w:val="auto"/>
          <w:sz w:val="24"/>
          <w:highlight w:val="none"/>
          <w:u w:val="single"/>
        </w:rPr>
        <w:t xml:space="preserve"> 项目名称</w:t>
      </w:r>
      <w:r>
        <w:rPr>
          <w:rFonts w:hint="eastAsia" w:ascii="宋体" w:hAnsi="宋体"/>
          <w:color w:val="auto"/>
          <w:sz w:val="24"/>
          <w:highlight w:val="none"/>
        </w:rPr>
        <w:t>（项目编号：</w:t>
      </w:r>
      <w:r>
        <w:rPr>
          <w:rFonts w:hint="eastAsia" w:ascii="宋体" w:hAnsi="宋体"/>
          <w:color w:val="auto"/>
          <w:sz w:val="24"/>
          <w:highlight w:val="none"/>
          <w:u w:val="single"/>
        </w:rPr>
        <w:t xml:space="preserve">        </w:t>
      </w:r>
      <w:r>
        <w:rPr>
          <w:rFonts w:hint="eastAsia" w:ascii="宋体" w:hAnsi="宋体"/>
          <w:color w:val="auto"/>
          <w:sz w:val="24"/>
          <w:highlight w:val="none"/>
        </w:rPr>
        <w:t>）的招标公告，签字代表______</w:t>
      </w:r>
      <w:r>
        <w:rPr>
          <w:rFonts w:hint="eastAsia" w:ascii="宋体" w:hAnsi="宋体"/>
          <w:color w:val="auto"/>
          <w:sz w:val="24"/>
          <w:highlight w:val="none"/>
          <w:u w:val="single"/>
        </w:rPr>
        <w:t xml:space="preserve">     </w:t>
      </w:r>
      <w:r>
        <w:rPr>
          <w:rFonts w:hint="eastAsia" w:ascii="宋体" w:hAnsi="宋体"/>
          <w:color w:val="auto"/>
          <w:sz w:val="24"/>
          <w:highlight w:val="none"/>
        </w:rPr>
        <w:t>（姓名）经正式授权并代表投标人</w:t>
      </w:r>
      <w:r>
        <w:rPr>
          <w:rFonts w:hint="eastAsia" w:ascii="宋体" w:hAnsi="宋体"/>
          <w:color w:val="auto"/>
          <w:sz w:val="24"/>
          <w:highlight w:val="none"/>
          <w:u w:val="single"/>
        </w:rPr>
        <w:t xml:space="preserve">                 </w:t>
      </w:r>
      <w:r>
        <w:rPr>
          <w:rFonts w:hint="eastAsia" w:ascii="宋体" w:hAnsi="宋体"/>
          <w:color w:val="auto"/>
          <w:sz w:val="24"/>
          <w:highlight w:val="none"/>
        </w:rPr>
        <w:t>（投标人名称）提交投标文件。</w:t>
      </w:r>
    </w:p>
    <w:p w14:paraId="3710C268">
      <w:pPr>
        <w:spacing w:line="360" w:lineRule="exact"/>
        <w:ind w:firstLine="480" w:firstLineChars="200"/>
        <w:contextualSpacing/>
        <w:rPr>
          <w:rFonts w:hint="eastAsia" w:ascii="宋体" w:hAnsi="宋体"/>
          <w:color w:val="auto"/>
          <w:sz w:val="24"/>
          <w:highlight w:val="none"/>
        </w:rPr>
      </w:pPr>
      <w:r>
        <w:rPr>
          <w:rFonts w:hint="eastAsia" w:ascii="宋体" w:hAnsi="宋体"/>
          <w:color w:val="auto"/>
          <w:sz w:val="24"/>
          <w:highlight w:val="none"/>
        </w:rPr>
        <w:t>据此函，我方宣布同意如下：</w:t>
      </w:r>
    </w:p>
    <w:p w14:paraId="6770CDCD">
      <w:pPr>
        <w:spacing w:line="360" w:lineRule="exact"/>
        <w:ind w:firstLine="480" w:firstLineChars="200"/>
        <w:contextualSpacing/>
        <w:rPr>
          <w:rFonts w:hint="eastAsia" w:ascii="宋体" w:hAnsi="宋体"/>
          <w:color w:val="auto"/>
          <w:sz w:val="24"/>
          <w:highlight w:val="none"/>
        </w:rPr>
      </w:pPr>
      <w:r>
        <w:rPr>
          <w:rFonts w:hint="eastAsia" w:ascii="宋体" w:hAnsi="宋体"/>
          <w:color w:val="auto"/>
          <w:sz w:val="24"/>
          <w:highlight w:val="none"/>
        </w:rPr>
        <w:t>1.我方已详细审查全部“招标文件”，包括修改文件（如有的话）以及全部参考资料和有关附件，已经了解我方对于招标文件、采购过程、采购结果有依法进行询问、质疑、投诉的权利及相关渠道和要求。</w:t>
      </w:r>
    </w:p>
    <w:p w14:paraId="1BE568C3">
      <w:pPr>
        <w:spacing w:line="360" w:lineRule="exact"/>
        <w:ind w:firstLine="480" w:firstLineChars="200"/>
        <w:contextualSpacing/>
        <w:rPr>
          <w:rFonts w:hint="eastAsia" w:ascii="宋体" w:hAnsi="宋体"/>
          <w:color w:val="auto"/>
          <w:sz w:val="24"/>
          <w:highlight w:val="none"/>
        </w:rPr>
      </w:pPr>
      <w:r>
        <w:rPr>
          <w:rFonts w:hint="eastAsia" w:ascii="宋体" w:hAnsi="宋体"/>
          <w:color w:val="auto"/>
          <w:sz w:val="24"/>
          <w:highlight w:val="none"/>
        </w:rPr>
        <w:t>2.我方在投标之前已经完全理解并接受招标文件的各项规定和要求，对招标文件的合理性、合法性不再有异议。</w:t>
      </w:r>
    </w:p>
    <w:p w14:paraId="07703B83">
      <w:pPr>
        <w:spacing w:line="360" w:lineRule="exact"/>
        <w:ind w:firstLine="480" w:firstLineChars="200"/>
        <w:contextualSpacing/>
        <w:rPr>
          <w:rFonts w:hint="eastAsia" w:ascii="宋体" w:hAnsi="宋体"/>
          <w:color w:val="auto"/>
          <w:sz w:val="24"/>
          <w:highlight w:val="none"/>
        </w:rPr>
      </w:pPr>
      <w:r>
        <w:rPr>
          <w:rFonts w:hint="eastAsia" w:ascii="宋体" w:hAnsi="宋体"/>
          <w:color w:val="auto"/>
          <w:sz w:val="24"/>
          <w:highlight w:val="none"/>
        </w:rPr>
        <w:t>3.本投标有效期自投标截止之日起</w:t>
      </w:r>
      <w:r>
        <w:rPr>
          <w:rFonts w:ascii="宋体" w:hAnsi="宋体"/>
          <w:color w:val="auto"/>
          <w:sz w:val="24"/>
          <w:highlight w:val="none"/>
          <w:u w:val="single"/>
        </w:rPr>
        <w:t xml:space="preserve">    </w:t>
      </w:r>
      <w:r>
        <w:rPr>
          <w:rFonts w:hint="eastAsia" w:ascii="宋体" w:hAnsi="宋体"/>
          <w:color w:val="auto"/>
          <w:sz w:val="24"/>
          <w:highlight w:val="none"/>
        </w:rPr>
        <w:t>日。</w:t>
      </w:r>
    </w:p>
    <w:p w14:paraId="7AABC672">
      <w:pPr>
        <w:spacing w:line="360" w:lineRule="exact"/>
        <w:ind w:firstLine="480" w:firstLineChars="200"/>
        <w:contextualSpacing/>
        <w:rPr>
          <w:rFonts w:hint="eastAsia" w:ascii="宋体" w:hAnsi="宋体"/>
          <w:color w:val="auto"/>
          <w:sz w:val="24"/>
          <w:highlight w:val="none"/>
        </w:rPr>
      </w:pPr>
      <w:r>
        <w:rPr>
          <w:rFonts w:hint="eastAsia" w:ascii="宋体" w:hAnsi="宋体"/>
          <w:color w:val="auto"/>
          <w:sz w:val="24"/>
          <w:highlight w:val="none"/>
        </w:rPr>
        <w:t>4.如中标，本投标文件至本项目合同履行完毕止均保持有效，我方将按“招标文件”及政府采购</w:t>
      </w:r>
      <w:r>
        <w:rPr>
          <w:rFonts w:hint="eastAsia" w:ascii="宋体" w:hAnsi="宋体"/>
          <w:color w:val="auto"/>
          <w:sz w:val="24"/>
          <w:highlight w:val="none"/>
          <w:lang w:eastAsia="zh-CN"/>
        </w:rPr>
        <w:t>法律法规</w:t>
      </w:r>
      <w:r>
        <w:rPr>
          <w:rFonts w:hint="eastAsia" w:ascii="宋体" w:hAnsi="宋体"/>
          <w:color w:val="auto"/>
          <w:sz w:val="24"/>
          <w:highlight w:val="none"/>
        </w:rPr>
        <w:t>的规定履行合同责任和义务。</w:t>
      </w:r>
    </w:p>
    <w:p w14:paraId="1108B5F5">
      <w:pPr>
        <w:spacing w:line="360" w:lineRule="exact"/>
        <w:ind w:firstLine="480" w:firstLineChars="200"/>
        <w:contextualSpacing/>
        <w:rPr>
          <w:rFonts w:hint="eastAsia" w:ascii="宋体" w:hAnsi="宋体"/>
          <w:color w:val="auto"/>
          <w:sz w:val="24"/>
          <w:highlight w:val="none"/>
        </w:rPr>
      </w:pPr>
      <w:r>
        <w:rPr>
          <w:rFonts w:hint="eastAsia" w:ascii="宋体" w:hAnsi="宋体"/>
          <w:color w:val="auto"/>
          <w:sz w:val="24"/>
          <w:highlight w:val="none"/>
        </w:rPr>
        <w:t>5.我方同意按照贵方要求提供与投标有关的一切数据或者资料。</w:t>
      </w:r>
    </w:p>
    <w:p w14:paraId="0938A444">
      <w:pPr>
        <w:spacing w:line="360" w:lineRule="exact"/>
        <w:ind w:firstLine="480" w:firstLineChars="200"/>
        <w:contextualSpacing/>
        <w:rPr>
          <w:rFonts w:hint="eastAsia" w:ascii="宋体" w:hAnsi="宋体"/>
          <w:color w:val="auto"/>
          <w:sz w:val="24"/>
          <w:highlight w:val="none"/>
        </w:rPr>
      </w:pPr>
      <w:r>
        <w:rPr>
          <w:rFonts w:hint="eastAsia" w:ascii="宋体" w:hAnsi="宋体"/>
          <w:color w:val="auto"/>
          <w:sz w:val="24"/>
          <w:highlight w:val="none"/>
        </w:rPr>
        <w:t>6.我方向贵方提交的所有投标文件、资料都是准确的和真实的。</w:t>
      </w:r>
    </w:p>
    <w:p w14:paraId="774F8A30">
      <w:pPr>
        <w:spacing w:line="360" w:lineRule="exact"/>
        <w:ind w:firstLine="480" w:firstLineChars="200"/>
        <w:contextualSpacing/>
        <w:rPr>
          <w:rFonts w:hint="eastAsia" w:ascii="宋体" w:hAnsi="宋体"/>
          <w:color w:val="auto"/>
          <w:sz w:val="24"/>
          <w:highlight w:val="none"/>
        </w:rPr>
      </w:pPr>
      <w:r>
        <w:rPr>
          <w:rFonts w:hint="eastAsia" w:ascii="宋体" w:hAnsi="宋体"/>
          <w:color w:val="auto"/>
          <w:sz w:val="24"/>
          <w:highlight w:val="none"/>
        </w:rPr>
        <w:t>7.以上事项如有虚假或者隐瞒，我方愿意承担一切后果，并不再寻求任何旨在减轻或者免除法律责任的辩解。</w:t>
      </w:r>
    </w:p>
    <w:p w14:paraId="423965DB">
      <w:pPr>
        <w:spacing w:line="360" w:lineRule="exact"/>
        <w:ind w:firstLine="480" w:firstLineChars="200"/>
        <w:contextualSpacing/>
        <w:rPr>
          <w:rFonts w:hint="eastAsia" w:ascii="宋体" w:hAnsi="宋体"/>
          <w:color w:val="auto"/>
          <w:sz w:val="24"/>
          <w:highlight w:val="none"/>
        </w:rPr>
      </w:pPr>
      <w:r>
        <w:rPr>
          <w:rFonts w:hint="eastAsia" w:ascii="宋体" w:hAnsi="宋体"/>
          <w:color w:val="auto"/>
          <w:sz w:val="24"/>
          <w:highlight w:val="none"/>
        </w:rPr>
        <w:t>8.根据</w:t>
      </w:r>
      <w:r>
        <w:rPr>
          <w:rFonts w:ascii="宋体" w:hAnsi="宋体"/>
          <w:color w:val="auto"/>
          <w:sz w:val="24"/>
          <w:highlight w:val="none"/>
        </w:rPr>
        <w:t>《中华人民共和国政府采购法实施条例》第五十条要求对政府采购合同进行公告</w:t>
      </w:r>
      <w:r>
        <w:rPr>
          <w:rFonts w:hint="eastAsia" w:ascii="宋体" w:hAnsi="宋体"/>
          <w:color w:val="auto"/>
          <w:sz w:val="24"/>
          <w:highlight w:val="none"/>
        </w:rPr>
        <w:t>，</w:t>
      </w:r>
      <w:r>
        <w:rPr>
          <w:rFonts w:ascii="宋体" w:hAnsi="宋体"/>
          <w:color w:val="auto"/>
          <w:sz w:val="24"/>
          <w:highlight w:val="none"/>
        </w:rPr>
        <w:t>但政府采购合同中涉及国家秘密、商业秘密的内容除外。</w:t>
      </w:r>
      <w:r>
        <w:rPr>
          <w:rFonts w:hint="eastAsia" w:ascii="宋体" w:hAnsi="宋体"/>
          <w:color w:val="auto"/>
          <w:sz w:val="24"/>
          <w:highlight w:val="none"/>
        </w:rPr>
        <w:t>我方就对本次投标文件进行注明如下：（两项内容中必须选择一项）</w:t>
      </w:r>
    </w:p>
    <w:p w14:paraId="48A7BD3D">
      <w:pPr>
        <w:spacing w:line="360" w:lineRule="exact"/>
        <w:ind w:firstLine="480" w:firstLineChars="200"/>
        <w:contextualSpacing/>
        <w:rPr>
          <w:rFonts w:hint="eastAsia" w:ascii="宋体" w:hAnsi="宋体"/>
          <w:color w:val="auto"/>
          <w:sz w:val="24"/>
          <w:highlight w:val="none"/>
        </w:rPr>
      </w:pPr>
      <w:r>
        <w:rPr>
          <w:rFonts w:hint="eastAsia" w:ascii="宋体" w:hAnsi="宋体"/>
          <w:color w:val="auto"/>
          <w:sz w:val="24"/>
          <w:highlight w:val="none"/>
        </w:rPr>
        <w:t>□我方本次投标文件</w:t>
      </w:r>
      <w:r>
        <w:rPr>
          <w:rFonts w:ascii="宋体" w:hAnsi="宋体" w:cs="宋体"/>
          <w:color w:val="auto"/>
          <w:kern w:val="0"/>
          <w:sz w:val="24"/>
          <w:highlight w:val="none"/>
        </w:rPr>
        <w:t>内容中</w:t>
      </w:r>
      <w:r>
        <w:rPr>
          <w:rFonts w:hint="eastAsia" w:ascii="宋体" w:hAnsi="宋体"/>
          <w:color w:val="auto"/>
          <w:sz w:val="24"/>
          <w:highlight w:val="none"/>
        </w:rPr>
        <w:t>未</w:t>
      </w:r>
      <w:r>
        <w:rPr>
          <w:rFonts w:ascii="宋体" w:hAnsi="宋体" w:cs="宋体"/>
          <w:color w:val="auto"/>
          <w:kern w:val="0"/>
          <w:sz w:val="24"/>
          <w:highlight w:val="none"/>
        </w:rPr>
        <w:t>涉及商业秘密</w:t>
      </w:r>
      <w:r>
        <w:rPr>
          <w:rFonts w:hint="eastAsia" w:ascii="宋体" w:hAnsi="宋体" w:cs="宋体"/>
          <w:color w:val="auto"/>
          <w:kern w:val="0"/>
          <w:sz w:val="24"/>
          <w:highlight w:val="none"/>
        </w:rPr>
        <w:t>；</w:t>
      </w:r>
    </w:p>
    <w:p w14:paraId="17C83FA5">
      <w:pPr>
        <w:spacing w:line="360" w:lineRule="exact"/>
        <w:ind w:firstLine="480" w:firstLineChars="200"/>
        <w:contextualSpacing/>
        <w:rPr>
          <w:rFonts w:hint="eastAsia" w:ascii="宋体" w:hAnsi="宋体"/>
          <w:color w:val="auto"/>
          <w:sz w:val="24"/>
          <w:highlight w:val="none"/>
        </w:rPr>
      </w:pPr>
      <w:r>
        <w:rPr>
          <w:rFonts w:hint="eastAsia" w:ascii="宋体" w:hAnsi="宋体"/>
          <w:color w:val="auto"/>
          <w:sz w:val="24"/>
          <w:highlight w:val="none"/>
        </w:rPr>
        <w:t>□我方本次投标文件</w:t>
      </w:r>
      <w:r>
        <w:rPr>
          <w:rFonts w:ascii="宋体" w:hAnsi="宋体" w:cs="宋体"/>
          <w:color w:val="auto"/>
          <w:kern w:val="0"/>
          <w:sz w:val="24"/>
          <w:highlight w:val="none"/>
        </w:rPr>
        <w:t>涉及商业秘密</w:t>
      </w:r>
      <w:r>
        <w:rPr>
          <w:rFonts w:hint="eastAsia" w:ascii="宋体" w:hAnsi="宋体" w:cs="宋体"/>
          <w:color w:val="auto"/>
          <w:kern w:val="0"/>
          <w:sz w:val="24"/>
          <w:highlight w:val="none"/>
        </w:rPr>
        <w:t>的</w:t>
      </w:r>
      <w:r>
        <w:rPr>
          <w:rFonts w:ascii="宋体" w:hAnsi="宋体" w:cs="宋体"/>
          <w:color w:val="auto"/>
          <w:kern w:val="0"/>
          <w:sz w:val="24"/>
          <w:highlight w:val="none"/>
        </w:rPr>
        <w:t>内容</w:t>
      </w:r>
      <w:r>
        <w:rPr>
          <w:rFonts w:hint="eastAsia" w:ascii="宋体" w:hAnsi="宋体" w:cs="宋体"/>
          <w:color w:val="auto"/>
          <w:kern w:val="0"/>
          <w:sz w:val="24"/>
          <w:highlight w:val="none"/>
        </w:rPr>
        <w:t>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62AB523A">
      <w:pPr>
        <w:spacing w:line="360" w:lineRule="exact"/>
        <w:ind w:firstLine="480" w:firstLineChars="200"/>
        <w:contextualSpacing/>
        <w:rPr>
          <w:rFonts w:hint="eastAsia" w:ascii="宋体" w:hAnsi="宋体"/>
          <w:color w:val="auto"/>
          <w:sz w:val="24"/>
          <w:highlight w:val="none"/>
        </w:rPr>
      </w:pPr>
      <w:r>
        <w:rPr>
          <w:rFonts w:hint="eastAsia" w:ascii="宋体" w:hAnsi="宋体"/>
          <w:color w:val="auto"/>
          <w:sz w:val="24"/>
          <w:highlight w:val="none"/>
        </w:rPr>
        <w:t>9.与</w:t>
      </w:r>
      <w:r>
        <w:rPr>
          <w:rFonts w:hint="eastAsia" w:ascii="宋体" w:hAnsi="宋体"/>
          <w:color w:val="auto"/>
          <w:sz w:val="24"/>
          <w:highlight w:val="none"/>
          <w:lang w:eastAsia="zh-CN"/>
        </w:rPr>
        <w:t>本次</w:t>
      </w:r>
      <w:r>
        <w:rPr>
          <w:rFonts w:hint="eastAsia" w:ascii="宋体" w:hAnsi="宋体"/>
          <w:color w:val="auto"/>
          <w:sz w:val="24"/>
          <w:highlight w:val="none"/>
        </w:rPr>
        <w:t>投标有关的一切正式往来信函请寄：</w:t>
      </w:r>
    </w:p>
    <w:p w14:paraId="6C7B8A9A">
      <w:pPr>
        <w:spacing w:line="360" w:lineRule="exact"/>
        <w:ind w:firstLine="480" w:firstLineChars="200"/>
        <w:contextualSpacing/>
        <w:rPr>
          <w:rFonts w:hint="eastAsia" w:ascii="宋体" w:hAnsi="宋体"/>
          <w:color w:val="auto"/>
          <w:sz w:val="24"/>
          <w:highlight w:val="none"/>
          <w:u w:val="single"/>
        </w:rPr>
      </w:pPr>
      <w:r>
        <w:rPr>
          <w:rFonts w:hint="eastAsia" w:ascii="宋体" w:hAnsi="宋体"/>
          <w:color w:val="auto"/>
          <w:sz w:val="24"/>
          <w:highlight w:val="none"/>
        </w:rPr>
        <w:t>地址：</w:t>
      </w:r>
      <w:r>
        <w:rPr>
          <w:rFonts w:hint="eastAsia" w:ascii="宋体" w:hAnsi="宋体"/>
          <w:color w:val="auto"/>
          <w:sz w:val="24"/>
          <w:highlight w:val="none"/>
          <w:u w:val="single"/>
        </w:rPr>
        <w:t xml:space="preserve">          </w:t>
      </w:r>
      <w:r>
        <w:rPr>
          <w:rFonts w:hint="eastAsia" w:ascii="宋体" w:hAnsi="宋体"/>
          <w:color w:val="auto"/>
          <w:sz w:val="24"/>
          <w:highlight w:val="none"/>
        </w:rPr>
        <w:t>邮编：</w:t>
      </w:r>
      <w:r>
        <w:rPr>
          <w:rFonts w:hint="eastAsia" w:ascii="宋体" w:hAnsi="宋体"/>
          <w:color w:val="auto"/>
          <w:sz w:val="24"/>
          <w:highlight w:val="none"/>
          <w:u w:val="single"/>
        </w:rPr>
        <w:t xml:space="preserve">            </w:t>
      </w:r>
    </w:p>
    <w:p w14:paraId="218826B1">
      <w:pPr>
        <w:spacing w:line="360" w:lineRule="exact"/>
        <w:ind w:firstLine="480" w:firstLineChars="200"/>
        <w:contextualSpacing/>
        <w:rPr>
          <w:rFonts w:hint="eastAsia" w:ascii="宋体" w:hAnsi="宋体"/>
          <w:color w:val="auto"/>
          <w:sz w:val="24"/>
          <w:highlight w:val="none"/>
        </w:rPr>
      </w:pPr>
      <w:r>
        <w:rPr>
          <w:rFonts w:hint="eastAsia" w:ascii="宋体" w:hAnsi="宋体"/>
          <w:color w:val="auto"/>
          <w:sz w:val="24"/>
          <w:highlight w:val="none"/>
        </w:rPr>
        <w:t>电话：</w:t>
      </w:r>
      <w:r>
        <w:rPr>
          <w:rFonts w:hint="eastAsia" w:ascii="宋体" w:hAnsi="宋体"/>
          <w:color w:val="auto"/>
          <w:sz w:val="24"/>
          <w:highlight w:val="none"/>
          <w:u w:val="single"/>
        </w:rPr>
        <w:t xml:space="preserve">        </w:t>
      </w:r>
      <w:r>
        <w:rPr>
          <w:rFonts w:hint="eastAsia" w:ascii="宋体" w:hAnsi="宋体"/>
          <w:color w:val="auto"/>
          <w:sz w:val="24"/>
          <w:highlight w:val="none"/>
        </w:rPr>
        <w:t>传真：</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电子邮箱：</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14:paraId="25A3039D">
      <w:pPr>
        <w:spacing w:line="360" w:lineRule="exact"/>
        <w:ind w:firstLine="480" w:firstLineChars="200"/>
        <w:contextualSpacing/>
        <w:rPr>
          <w:rFonts w:hint="eastAsia" w:ascii="宋体" w:hAnsi="宋体"/>
          <w:color w:val="auto"/>
          <w:sz w:val="24"/>
          <w:highlight w:val="none"/>
        </w:rPr>
      </w:pPr>
      <w:r>
        <w:rPr>
          <w:rFonts w:hint="eastAsia" w:ascii="宋体" w:hAnsi="宋体"/>
          <w:color w:val="auto"/>
          <w:sz w:val="24"/>
          <w:highlight w:val="none"/>
        </w:rPr>
        <w:t>投标人名称</w:t>
      </w:r>
      <w:r>
        <w:rPr>
          <w:rFonts w:hint="eastAsia" w:ascii="宋体" w:hAnsi="宋体"/>
          <w:color w:val="auto"/>
          <w:sz w:val="24"/>
          <w:highlight w:val="none"/>
          <w:lang w:eastAsia="zh-CN"/>
        </w:rPr>
        <w:t>：</w:t>
      </w:r>
      <w:r>
        <w:rPr>
          <w:rFonts w:hint="eastAsia" w:ascii="宋体" w:hAnsi="宋体"/>
          <w:color w:val="auto"/>
          <w:sz w:val="24"/>
          <w:highlight w:val="none"/>
          <w:u w:val="single"/>
        </w:rPr>
        <w:t xml:space="preserve">                </w:t>
      </w:r>
    </w:p>
    <w:p w14:paraId="3269C438">
      <w:pPr>
        <w:spacing w:line="36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开户银行：</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r>
        <w:rPr>
          <w:rFonts w:hint="eastAsia" w:ascii="宋体" w:hAnsi="宋体"/>
          <w:color w:val="auto"/>
          <w:sz w:val="24"/>
          <w:highlight w:val="none"/>
          <w:lang w:eastAsia="zh-CN"/>
        </w:rPr>
        <w:t>银行账号</w:t>
      </w:r>
      <w:r>
        <w:rPr>
          <w:rFonts w:hint="eastAsia" w:ascii="宋体" w:hAnsi="宋体"/>
          <w:color w:val="auto"/>
          <w:sz w:val="24"/>
          <w:highlight w:val="none"/>
        </w:rPr>
        <w:t>：</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38906192">
      <w:pPr>
        <w:pStyle w:val="18"/>
        <w:spacing w:line="360" w:lineRule="exact"/>
        <w:rPr>
          <w:rFonts w:hint="eastAsia" w:ascii="宋体" w:hAnsi="宋体"/>
          <w:color w:val="auto"/>
          <w:highlight w:val="none"/>
        </w:rPr>
      </w:pPr>
    </w:p>
    <w:p w14:paraId="160E9445">
      <w:pPr>
        <w:spacing w:line="36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 xml:space="preserve">              法定代表人或者委托代理人（签字或者电子签名）</w:t>
      </w:r>
      <w:r>
        <w:rPr>
          <w:rFonts w:hint="eastAsia" w:ascii="宋体" w:hAnsi="宋体"/>
          <w:color w:val="auto"/>
          <w:sz w:val="24"/>
          <w:highlight w:val="none"/>
          <w:lang w:eastAsia="zh-CN"/>
        </w:rPr>
        <w:t>：</w:t>
      </w:r>
      <w:r>
        <w:rPr>
          <w:rFonts w:hint="eastAsia" w:ascii="宋体" w:hAnsi="宋体"/>
          <w:color w:val="auto"/>
          <w:sz w:val="24"/>
          <w:highlight w:val="none"/>
        </w:rPr>
        <w:t xml:space="preserve">_______ </w:t>
      </w:r>
    </w:p>
    <w:p w14:paraId="3852C86F">
      <w:pPr>
        <w:pStyle w:val="25"/>
        <w:spacing w:line="360" w:lineRule="exact"/>
        <w:contextualSpacing/>
        <w:jc w:val="center"/>
        <w:rPr>
          <w:rFonts w:hint="eastAsia" w:hAnsi="宋体"/>
          <w:color w:val="auto"/>
          <w:sz w:val="24"/>
          <w:szCs w:val="24"/>
          <w:highlight w:val="none"/>
          <w:u w:val="single"/>
        </w:rPr>
      </w:pPr>
      <w:r>
        <w:rPr>
          <w:rFonts w:hint="eastAsia" w:hAnsi="宋体"/>
          <w:color w:val="auto"/>
          <w:sz w:val="24"/>
          <w:highlight w:val="none"/>
        </w:rPr>
        <w:t xml:space="preserve"> </w:t>
      </w:r>
      <w:r>
        <w:rPr>
          <w:rFonts w:hAnsi="宋体"/>
          <w:color w:val="auto"/>
          <w:sz w:val="24"/>
          <w:highlight w:val="none"/>
        </w:rPr>
        <w:t xml:space="preserve">                                   </w:t>
      </w:r>
      <w:r>
        <w:rPr>
          <w:rFonts w:hint="eastAsia" w:hAnsi="宋体"/>
          <w:color w:val="auto"/>
          <w:sz w:val="24"/>
          <w:highlight w:val="none"/>
        </w:rPr>
        <w:t>投标人名称（</w:t>
      </w:r>
      <w:r>
        <w:rPr>
          <w:rFonts w:hint="eastAsia" w:hAnsi="宋体"/>
          <w:color w:val="auto"/>
          <w:sz w:val="24"/>
          <w:highlight w:val="none"/>
          <w:lang w:eastAsia="zh-CN"/>
        </w:rPr>
        <w:t>公章或电子签章</w:t>
      </w:r>
      <w:r>
        <w:rPr>
          <w:rFonts w:hint="eastAsia" w:hAnsi="宋体"/>
          <w:color w:val="auto"/>
          <w:sz w:val="24"/>
          <w:highlight w:val="none"/>
        </w:rPr>
        <w:t>）：</w:t>
      </w:r>
    </w:p>
    <w:p w14:paraId="0D9D6D86">
      <w:pPr>
        <w:pStyle w:val="25"/>
        <w:spacing w:line="360" w:lineRule="exact"/>
        <w:contextualSpacing/>
        <w:rPr>
          <w:rFonts w:hint="eastAsia" w:hAnsi="宋体"/>
          <w:color w:val="auto"/>
          <w:sz w:val="24"/>
          <w:highlight w:val="none"/>
        </w:rPr>
      </w:pPr>
      <w:r>
        <w:rPr>
          <w:rFonts w:hint="eastAsia" w:hAnsi="宋体"/>
          <w:color w:val="auto"/>
          <w:sz w:val="24"/>
          <w:szCs w:val="24"/>
          <w:highlight w:val="none"/>
        </w:rPr>
        <w:t xml:space="preserve">                                                </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w:t>
      </w:r>
    </w:p>
    <w:p w14:paraId="1EF9EE57">
      <w:pPr>
        <w:snapToGrid w:val="0"/>
        <w:spacing w:before="120" w:beforeLines="50" w:after="50"/>
        <w:jc w:val="left"/>
        <w:rPr>
          <w:rFonts w:hint="eastAsia" w:ascii="宋体" w:hAnsi="宋体"/>
          <w:b/>
          <w:color w:val="auto"/>
          <w:sz w:val="24"/>
          <w:szCs w:val="20"/>
          <w:highlight w:val="none"/>
        </w:rPr>
      </w:pPr>
      <w:r>
        <w:rPr>
          <w:rFonts w:ascii="宋体" w:hAnsi="宋体"/>
          <w:color w:val="auto"/>
          <w:highlight w:val="none"/>
          <w:u w:val="single"/>
        </w:rPr>
        <w:br w:type="page"/>
      </w:r>
      <w:r>
        <w:rPr>
          <w:rFonts w:hint="eastAsia" w:ascii="宋体" w:hAnsi="宋体"/>
          <w:b/>
          <w:color w:val="auto"/>
          <w:sz w:val="24"/>
          <w:highlight w:val="none"/>
        </w:rPr>
        <w:t>4. 开标一览表</w:t>
      </w:r>
    </w:p>
    <w:p w14:paraId="61B0BEB0">
      <w:pPr>
        <w:snapToGrid w:val="0"/>
        <w:spacing w:before="50" w:after="50"/>
        <w:jc w:val="center"/>
        <w:rPr>
          <w:rFonts w:hint="eastAsia" w:ascii="宋体" w:hAnsi="宋体"/>
          <w:b/>
          <w:color w:val="auto"/>
          <w:sz w:val="30"/>
          <w:highlight w:val="none"/>
        </w:rPr>
      </w:pPr>
      <w:r>
        <w:rPr>
          <w:rFonts w:hint="eastAsia" w:ascii="宋体" w:hAnsi="宋体"/>
          <w:b/>
          <w:color w:val="auto"/>
          <w:sz w:val="30"/>
          <w:highlight w:val="none"/>
        </w:rPr>
        <w:t>开标一览表</w:t>
      </w:r>
    </w:p>
    <w:p w14:paraId="342A62A9">
      <w:pPr>
        <w:snapToGrid w:val="0"/>
        <w:spacing w:before="50" w:after="50"/>
        <w:jc w:val="center"/>
        <w:rPr>
          <w:rFonts w:hint="eastAsia" w:ascii="宋体" w:hAnsi="宋体"/>
          <w:b/>
          <w:color w:val="auto"/>
          <w:sz w:val="30"/>
          <w:szCs w:val="20"/>
          <w:highlight w:val="none"/>
        </w:rPr>
      </w:pPr>
    </w:p>
    <w:p w14:paraId="7D8476AD">
      <w:pPr>
        <w:snapToGrid w:val="0"/>
        <w:spacing w:before="50" w:after="50" w:line="360" w:lineRule="auto"/>
        <w:rPr>
          <w:rFonts w:hint="eastAsia" w:ascii="宋体" w:hAnsi="宋体"/>
          <w:color w:val="auto"/>
          <w:sz w:val="24"/>
          <w:highlight w:val="none"/>
          <w:u w:val="single"/>
        </w:rPr>
      </w:pPr>
      <w:r>
        <w:rPr>
          <w:rFonts w:hint="eastAsia" w:ascii="宋体" w:hAnsi="宋体"/>
          <w:color w:val="auto"/>
          <w:sz w:val="24"/>
          <w:highlight w:val="none"/>
        </w:rPr>
        <w:t>项目名称：</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rPr>
        <w:t>项目编号：</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4D65E05B">
      <w:pPr>
        <w:snapToGrid w:val="0"/>
        <w:spacing w:before="50" w:after="50" w:line="360" w:lineRule="auto"/>
        <w:rPr>
          <w:rFonts w:hint="eastAsia" w:ascii="宋体" w:hAnsi="宋体"/>
          <w:color w:val="auto"/>
          <w:sz w:val="24"/>
          <w:highlight w:val="none"/>
        </w:rPr>
      </w:pPr>
      <w:r>
        <w:rPr>
          <w:rFonts w:hint="eastAsia" w:ascii="宋体" w:hAnsi="宋体"/>
          <w:color w:val="auto"/>
          <w:sz w:val="24"/>
          <w:highlight w:val="none"/>
        </w:rPr>
        <w:t>投标人名称：</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单位：元</w:t>
      </w:r>
    </w:p>
    <w:tbl>
      <w:tblPr>
        <w:tblStyle w:val="48"/>
        <w:tblW w:w="5133"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16"/>
        <w:gridCol w:w="3698"/>
        <w:gridCol w:w="1031"/>
        <w:gridCol w:w="1031"/>
        <w:gridCol w:w="3629"/>
      </w:tblGrid>
      <w:tr w14:paraId="5AE8E8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400" w:type="pct"/>
            <w:tcBorders>
              <w:top w:val="single" w:color="auto" w:sz="4" w:space="0"/>
              <w:left w:val="single" w:color="auto" w:sz="4" w:space="0"/>
              <w:bottom w:val="single" w:color="auto" w:sz="4" w:space="0"/>
              <w:right w:val="single" w:color="auto" w:sz="4" w:space="0"/>
            </w:tcBorders>
            <w:vAlign w:val="center"/>
          </w:tcPr>
          <w:p w14:paraId="2A924BBC">
            <w:pPr>
              <w:snapToGrid w:val="0"/>
              <w:spacing w:before="50" w:after="50" w:line="360" w:lineRule="auto"/>
              <w:jc w:val="center"/>
              <w:rPr>
                <w:rFonts w:hint="eastAsia" w:ascii="宋体" w:hAnsi="宋体"/>
                <w:b/>
                <w:color w:val="auto"/>
                <w:sz w:val="24"/>
                <w:highlight w:val="none"/>
              </w:rPr>
            </w:pPr>
            <w:r>
              <w:rPr>
                <w:rFonts w:hint="eastAsia" w:ascii="宋体" w:hAnsi="宋体"/>
                <w:b/>
                <w:color w:val="auto"/>
                <w:sz w:val="24"/>
                <w:highlight w:val="none"/>
              </w:rPr>
              <w:t>序号</w:t>
            </w:r>
          </w:p>
        </w:tc>
        <w:tc>
          <w:tcPr>
            <w:tcW w:w="1812" w:type="pct"/>
            <w:tcBorders>
              <w:top w:val="single" w:color="auto" w:sz="4" w:space="0"/>
              <w:left w:val="single" w:color="auto" w:sz="4" w:space="0"/>
              <w:bottom w:val="single" w:color="auto" w:sz="4" w:space="0"/>
              <w:right w:val="single" w:color="auto" w:sz="4" w:space="0"/>
            </w:tcBorders>
            <w:vAlign w:val="center"/>
          </w:tcPr>
          <w:p w14:paraId="48CA3154">
            <w:pPr>
              <w:snapToGrid w:val="0"/>
              <w:spacing w:before="50" w:after="50" w:line="360" w:lineRule="auto"/>
              <w:jc w:val="center"/>
              <w:rPr>
                <w:rFonts w:ascii="宋体" w:hAnsi="宋体"/>
                <w:b/>
                <w:color w:val="auto"/>
                <w:sz w:val="24"/>
                <w:highlight w:val="none"/>
              </w:rPr>
            </w:pPr>
            <w:r>
              <w:rPr>
                <w:rFonts w:hint="eastAsia" w:ascii="宋体" w:hAnsi="宋体"/>
                <w:b/>
                <w:color w:val="auto"/>
                <w:sz w:val="24"/>
                <w:highlight w:val="none"/>
              </w:rPr>
              <w:t>标的的名称</w:t>
            </w:r>
          </w:p>
        </w:tc>
        <w:tc>
          <w:tcPr>
            <w:tcW w:w="505" w:type="pct"/>
            <w:tcBorders>
              <w:top w:val="single" w:color="auto" w:sz="4" w:space="0"/>
              <w:left w:val="single" w:color="auto" w:sz="4" w:space="0"/>
              <w:bottom w:val="single" w:color="auto" w:sz="4" w:space="0"/>
              <w:right w:val="single" w:color="auto" w:sz="4" w:space="0"/>
            </w:tcBorders>
            <w:vAlign w:val="center"/>
          </w:tcPr>
          <w:p w14:paraId="50604C85">
            <w:pPr>
              <w:snapToGrid w:val="0"/>
              <w:spacing w:before="50" w:after="50" w:line="360" w:lineRule="auto"/>
              <w:jc w:val="center"/>
              <w:rPr>
                <w:rFonts w:hint="eastAsia" w:ascii="宋体" w:hAnsi="宋体"/>
                <w:b/>
                <w:color w:val="auto"/>
                <w:sz w:val="24"/>
                <w:highlight w:val="none"/>
              </w:rPr>
            </w:pPr>
            <w:r>
              <w:rPr>
                <w:rFonts w:hint="eastAsia" w:ascii="宋体" w:hAnsi="宋体"/>
                <w:b/>
                <w:color w:val="auto"/>
                <w:sz w:val="24"/>
                <w:highlight w:val="none"/>
              </w:rPr>
              <w:t>数量及单位①</w:t>
            </w:r>
          </w:p>
        </w:tc>
        <w:tc>
          <w:tcPr>
            <w:tcW w:w="505" w:type="pct"/>
            <w:tcBorders>
              <w:top w:val="single" w:color="auto" w:sz="4" w:space="0"/>
              <w:left w:val="single" w:color="auto" w:sz="4" w:space="0"/>
              <w:bottom w:val="single" w:color="auto" w:sz="4" w:space="0"/>
              <w:right w:val="single" w:color="auto" w:sz="4" w:space="0"/>
            </w:tcBorders>
            <w:vAlign w:val="center"/>
          </w:tcPr>
          <w:p w14:paraId="42F0DC32">
            <w:pPr>
              <w:snapToGrid w:val="0"/>
              <w:spacing w:before="50" w:after="50" w:line="360" w:lineRule="auto"/>
              <w:jc w:val="center"/>
              <w:rPr>
                <w:rFonts w:ascii="宋体" w:hAnsi="宋体"/>
                <w:b/>
                <w:color w:val="auto"/>
                <w:sz w:val="24"/>
                <w:highlight w:val="none"/>
              </w:rPr>
            </w:pPr>
            <w:r>
              <w:rPr>
                <w:rFonts w:hint="eastAsia" w:ascii="宋体" w:hAnsi="宋体"/>
                <w:b/>
                <w:color w:val="auto"/>
                <w:sz w:val="24"/>
                <w:highlight w:val="none"/>
              </w:rPr>
              <w:t>单价</w:t>
            </w:r>
          </w:p>
          <w:p w14:paraId="1FBC7E5B">
            <w:pPr>
              <w:snapToGrid w:val="0"/>
              <w:spacing w:before="50" w:after="50" w:line="360" w:lineRule="auto"/>
              <w:jc w:val="center"/>
              <w:rPr>
                <w:rFonts w:hint="eastAsia" w:ascii="宋体" w:hAnsi="宋体"/>
                <w:b/>
                <w:color w:val="auto"/>
                <w:sz w:val="24"/>
                <w:highlight w:val="none"/>
              </w:rPr>
            </w:pPr>
            <w:r>
              <w:rPr>
                <w:rFonts w:hint="eastAsia" w:ascii="宋体" w:hAnsi="宋体"/>
                <w:b/>
                <w:color w:val="auto"/>
                <w:sz w:val="24"/>
                <w:highlight w:val="none"/>
              </w:rPr>
              <w:t>②</w:t>
            </w:r>
          </w:p>
        </w:tc>
        <w:tc>
          <w:tcPr>
            <w:tcW w:w="1778" w:type="pct"/>
            <w:tcBorders>
              <w:top w:val="single" w:color="auto" w:sz="4" w:space="0"/>
              <w:left w:val="single" w:color="auto" w:sz="4" w:space="0"/>
              <w:bottom w:val="single" w:color="auto" w:sz="4" w:space="0"/>
              <w:right w:val="single" w:color="auto" w:sz="4" w:space="0"/>
            </w:tcBorders>
            <w:vAlign w:val="center"/>
          </w:tcPr>
          <w:p w14:paraId="5E900FCF">
            <w:pPr>
              <w:snapToGrid w:val="0"/>
              <w:spacing w:before="50" w:after="50" w:line="360" w:lineRule="auto"/>
              <w:jc w:val="center"/>
              <w:rPr>
                <w:rFonts w:hint="eastAsia" w:ascii="宋体" w:hAnsi="宋体"/>
                <w:b/>
                <w:color w:val="auto"/>
                <w:sz w:val="24"/>
                <w:highlight w:val="none"/>
              </w:rPr>
            </w:pPr>
            <w:r>
              <w:rPr>
                <w:rFonts w:hint="eastAsia" w:ascii="宋体" w:hAnsi="宋体"/>
                <w:b/>
                <w:color w:val="auto"/>
                <w:sz w:val="24"/>
                <w:highlight w:val="none"/>
              </w:rPr>
              <w:t>投标报价</w:t>
            </w:r>
          </w:p>
          <w:p w14:paraId="6BABB865">
            <w:pPr>
              <w:snapToGrid w:val="0"/>
              <w:spacing w:before="50" w:after="50" w:line="360" w:lineRule="auto"/>
              <w:jc w:val="center"/>
              <w:rPr>
                <w:rFonts w:hint="eastAsia" w:ascii="宋体" w:hAnsi="宋体"/>
                <w:b/>
                <w:color w:val="auto"/>
                <w:sz w:val="24"/>
                <w:highlight w:val="none"/>
              </w:rPr>
            </w:pPr>
            <w:r>
              <w:rPr>
                <w:rFonts w:ascii="宋体" w:hAnsi="宋体"/>
                <w:b/>
                <w:color w:val="auto"/>
                <w:sz w:val="24"/>
                <w:highlight w:val="none"/>
              </w:rPr>
              <w:t>③</w:t>
            </w:r>
            <w:r>
              <w:rPr>
                <w:rFonts w:hint="eastAsia" w:ascii="宋体" w:hAnsi="宋体"/>
                <w:b/>
                <w:color w:val="auto"/>
                <w:sz w:val="24"/>
                <w:highlight w:val="none"/>
              </w:rPr>
              <w:t>=①×②</w:t>
            </w:r>
          </w:p>
        </w:tc>
      </w:tr>
      <w:tr w14:paraId="5139F8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400" w:type="pct"/>
            <w:tcBorders>
              <w:top w:val="single" w:color="auto" w:sz="4" w:space="0"/>
              <w:left w:val="single" w:color="auto" w:sz="4" w:space="0"/>
              <w:bottom w:val="single" w:color="auto" w:sz="4" w:space="0"/>
              <w:right w:val="single" w:color="auto" w:sz="4" w:space="0"/>
            </w:tcBorders>
            <w:vAlign w:val="center"/>
          </w:tcPr>
          <w:p w14:paraId="4F6772CE">
            <w:pPr>
              <w:snapToGrid w:val="0"/>
              <w:spacing w:before="50" w:after="50" w:line="360" w:lineRule="auto"/>
              <w:jc w:val="center"/>
              <w:rPr>
                <w:rFonts w:hint="eastAsia" w:ascii="宋体" w:hAnsi="宋体"/>
                <w:b/>
                <w:color w:val="auto"/>
                <w:sz w:val="24"/>
                <w:highlight w:val="none"/>
              </w:rPr>
            </w:pPr>
            <w:r>
              <w:rPr>
                <w:rFonts w:hint="eastAsia" w:ascii="宋体" w:hAnsi="宋体"/>
                <w:b/>
                <w:color w:val="auto"/>
                <w:sz w:val="24"/>
                <w:highlight w:val="none"/>
              </w:rPr>
              <w:t>1</w:t>
            </w:r>
          </w:p>
        </w:tc>
        <w:tc>
          <w:tcPr>
            <w:tcW w:w="1812" w:type="pct"/>
            <w:tcBorders>
              <w:top w:val="single" w:color="auto" w:sz="4" w:space="0"/>
              <w:left w:val="single" w:color="auto" w:sz="4" w:space="0"/>
              <w:bottom w:val="single" w:color="auto" w:sz="4" w:space="0"/>
              <w:right w:val="single" w:color="auto" w:sz="4" w:space="0"/>
            </w:tcBorders>
            <w:vAlign w:val="center"/>
          </w:tcPr>
          <w:p w14:paraId="2CA7902A">
            <w:pPr>
              <w:snapToGrid w:val="0"/>
              <w:spacing w:before="50" w:after="50" w:line="360" w:lineRule="auto"/>
              <w:jc w:val="center"/>
              <w:rPr>
                <w:rFonts w:hint="eastAsia" w:ascii="宋体" w:hAnsi="宋体" w:eastAsia="宋体"/>
                <w:b/>
                <w:color w:val="auto"/>
                <w:sz w:val="24"/>
                <w:highlight w:val="none"/>
                <w:lang w:eastAsia="zh-CN"/>
              </w:rPr>
            </w:pPr>
            <w:r>
              <w:rPr>
                <w:rFonts w:hint="eastAsia" w:ascii="宋体" w:hAnsi="宋体"/>
                <w:b/>
                <w:color w:val="auto"/>
                <w:sz w:val="24"/>
                <w:highlight w:val="none"/>
                <w:lang w:eastAsia="zh-CN"/>
              </w:rPr>
              <w:t>2026-2028年市管城市照明设施维修养护服务采购项目</w:t>
            </w:r>
          </w:p>
        </w:tc>
        <w:tc>
          <w:tcPr>
            <w:tcW w:w="505" w:type="pct"/>
            <w:tcBorders>
              <w:top w:val="single" w:color="auto" w:sz="4" w:space="0"/>
              <w:left w:val="single" w:color="auto" w:sz="4" w:space="0"/>
              <w:bottom w:val="single" w:color="auto" w:sz="4" w:space="0"/>
              <w:right w:val="single" w:color="auto" w:sz="4" w:space="0"/>
            </w:tcBorders>
            <w:vAlign w:val="center"/>
          </w:tcPr>
          <w:p w14:paraId="2D9B64E8">
            <w:pPr>
              <w:snapToGrid w:val="0"/>
              <w:spacing w:before="50" w:after="50" w:line="360" w:lineRule="auto"/>
              <w:jc w:val="center"/>
              <w:rPr>
                <w:rFonts w:ascii="宋体" w:hAnsi="宋体"/>
                <w:b/>
                <w:color w:val="auto"/>
                <w:sz w:val="24"/>
                <w:highlight w:val="none"/>
              </w:rPr>
            </w:pPr>
            <w:r>
              <w:rPr>
                <w:rFonts w:ascii="宋体" w:hAnsi="宋体"/>
                <w:b/>
                <w:color w:val="auto"/>
                <w:sz w:val="24"/>
                <w:highlight w:val="none"/>
              </w:rPr>
              <w:t>3</w:t>
            </w:r>
            <w:r>
              <w:rPr>
                <w:rFonts w:hint="eastAsia" w:ascii="宋体" w:hAnsi="宋体"/>
                <w:b/>
                <w:color w:val="auto"/>
                <w:sz w:val="24"/>
                <w:highlight w:val="none"/>
              </w:rPr>
              <w:t>年</w:t>
            </w:r>
          </w:p>
        </w:tc>
        <w:tc>
          <w:tcPr>
            <w:tcW w:w="505" w:type="pct"/>
            <w:tcBorders>
              <w:top w:val="single" w:color="auto" w:sz="4" w:space="0"/>
              <w:left w:val="single" w:color="auto" w:sz="4" w:space="0"/>
              <w:bottom w:val="single" w:color="auto" w:sz="4" w:space="0"/>
              <w:right w:val="single" w:color="auto" w:sz="4" w:space="0"/>
            </w:tcBorders>
            <w:vAlign w:val="center"/>
          </w:tcPr>
          <w:p w14:paraId="285067A6">
            <w:pPr>
              <w:snapToGrid w:val="0"/>
              <w:spacing w:before="50" w:after="50" w:line="360" w:lineRule="auto"/>
              <w:rPr>
                <w:rFonts w:hint="eastAsia" w:ascii="宋体" w:hAnsi="宋体"/>
                <w:color w:val="auto"/>
                <w:sz w:val="24"/>
                <w:highlight w:val="none"/>
              </w:rPr>
            </w:pPr>
          </w:p>
        </w:tc>
        <w:tc>
          <w:tcPr>
            <w:tcW w:w="1778" w:type="pct"/>
            <w:tcBorders>
              <w:top w:val="single" w:color="auto" w:sz="4" w:space="0"/>
              <w:left w:val="single" w:color="auto" w:sz="4" w:space="0"/>
              <w:bottom w:val="single" w:color="auto" w:sz="4" w:space="0"/>
              <w:right w:val="single" w:color="auto" w:sz="4" w:space="0"/>
            </w:tcBorders>
            <w:vAlign w:val="center"/>
          </w:tcPr>
          <w:p w14:paraId="796AAFC1">
            <w:pPr>
              <w:snapToGrid w:val="0"/>
              <w:spacing w:before="50" w:after="50" w:line="360" w:lineRule="auto"/>
              <w:rPr>
                <w:rFonts w:hint="eastAsia" w:ascii="宋体" w:hAnsi="宋体"/>
                <w:color w:val="auto"/>
                <w:sz w:val="24"/>
                <w:highlight w:val="none"/>
              </w:rPr>
            </w:pPr>
          </w:p>
        </w:tc>
      </w:tr>
      <w:tr w14:paraId="030AF3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5000" w:type="pct"/>
            <w:gridSpan w:val="5"/>
            <w:tcBorders>
              <w:top w:val="single" w:color="auto" w:sz="4" w:space="0"/>
              <w:left w:val="single" w:color="auto" w:sz="4" w:space="0"/>
              <w:bottom w:val="single" w:color="auto" w:sz="4" w:space="0"/>
              <w:right w:val="single" w:color="auto" w:sz="4" w:space="0"/>
            </w:tcBorders>
            <w:vAlign w:val="center"/>
          </w:tcPr>
          <w:p w14:paraId="58A3584E">
            <w:pPr>
              <w:snapToGrid w:val="0"/>
              <w:spacing w:before="50" w:after="50" w:line="360" w:lineRule="auto"/>
              <w:rPr>
                <w:rFonts w:hint="eastAsia" w:ascii="宋体" w:hAnsi="宋体"/>
                <w:color w:val="auto"/>
                <w:sz w:val="24"/>
                <w:highlight w:val="none"/>
              </w:rPr>
            </w:pPr>
            <w:r>
              <w:rPr>
                <w:rFonts w:hint="eastAsia" w:ascii="宋体" w:hAnsi="宋体" w:cs="仿宋_GB2312"/>
                <w:color w:val="auto"/>
                <w:sz w:val="24"/>
                <w:highlight w:val="none"/>
              </w:rPr>
              <w:t>合计金额大写：人民币</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p>
        </w:tc>
      </w:tr>
    </w:tbl>
    <w:p w14:paraId="69E8CE41">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注</w:t>
      </w:r>
      <w:r>
        <w:rPr>
          <w:rFonts w:hint="eastAsia" w:ascii="宋体" w:hAnsi="宋体"/>
          <w:color w:val="auto"/>
          <w:sz w:val="24"/>
          <w:highlight w:val="none"/>
          <w:lang w:eastAsia="zh-CN"/>
        </w:rPr>
        <w:t>：</w:t>
      </w:r>
      <w:r>
        <w:rPr>
          <w:rFonts w:hint="eastAsia" w:ascii="宋体" w:hAnsi="宋体"/>
          <w:color w:val="auto"/>
          <w:sz w:val="24"/>
          <w:highlight w:val="none"/>
        </w:rPr>
        <w:t xml:space="preserve"> </w:t>
      </w:r>
    </w:p>
    <w:p w14:paraId="33CDD1E8">
      <w:pPr>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1.投标人的开标一览表必须加盖投标人</w:t>
      </w:r>
      <w:r>
        <w:rPr>
          <w:rFonts w:hint="eastAsia" w:ascii="宋体" w:hAnsi="宋体"/>
          <w:color w:val="auto"/>
          <w:sz w:val="24"/>
          <w:highlight w:val="none"/>
          <w:lang w:eastAsia="zh-CN"/>
        </w:rPr>
        <w:t>公章或电子签章</w:t>
      </w:r>
      <w:r>
        <w:rPr>
          <w:rFonts w:hint="eastAsia" w:ascii="宋体" w:hAnsi="宋体"/>
          <w:color w:val="auto"/>
          <w:sz w:val="24"/>
          <w:highlight w:val="none"/>
        </w:rPr>
        <w:t>并由</w:t>
      </w:r>
      <w:r>
        <w:rPr>
          <w:rFonts w:ascii="宋体" w:hAnsi="宋体"/>
          <w:color w:val="auto"/>
          <w:sz w:val="24"/>
          <w:highlight w:val="none"/>
        </w:rPr>
        <w:t>法定代表人或者委托代理人</w:t>
      </w:r>
      <w:r>
        <w:rPr>
          <w:rFonts w:hint="eastAsia" w:ascii="宋体" w:hAnsi="宋体"/>
          <w:color w:val="auto"/>
          <w:sz w:val="24"/>
          <w:highlight w:val="none"/>
        </w:rPr>
        <w:t>签字或者电子签名，</w:t>
      </w:r>
      <w:r>
        <w:rPr>
          <w:rFonts w:hint="eastAsia" w:ascii="宋体" w:hAnsi="宋体"/>
          <w:b/>
          <w:color w:val="auto"/>
          <w:sz w:val="24"/>
          <w:highlight w:val="none"/>
        </w:rPr>
        <w:t>否则其投标作无效标处理</w:t>
      </w:r>
      <w:r>
        <w:rPr>
          <w:rFonts w:hint="eastAsia" w:ascii="宋体" w:hAnsi="宋体"/>
          <w:color w:val="auto"/>
          <w:sz w:val="24"/>
          <w:highlight w:val="none"/>
        </w:rPr>
        <w:t>。</w:t>
      </w:r>
    </w:p>
    <w:p w14:paraId="5AE23D26">
      <w:pPr>
        <w:snapToGrid w:val="0"/>
        <w:spacing w:line="360" w:lineRule="auto"/>
        <w:ind w:firstLine="480" w:firstLineChars="200"/>
        <w:jc w:val="left"/>
        <w:rPr>
          <w:rFonts w:hint="eastAsia" w:ascii="宋体" w:hAnsi="宋体"/>
          <w:b/>
          <w:color w:val="auto"/>
          <w:sz w:val="24"/>
          <w:highlight w:val="none"/>
        </w:rPr>
      </w:pPr>
      <w:r>
        <w:rPr>
          <w:rFonts w:hint="eastAsia" w:ascii="宋体" w:hAnsi="宋体"/>
          <w:bCs/>
          <w:color w:val="auto"/>
          <w:sz w:val="24"/>
          <w:highlight w:val="none"/>
        </w:rPr>
        <w:t>2.</w:t>
      </w:r>
      <w:r>
        <w:rPr>
          <w:rFonts w:hint="eastAsia" w:ascii="宋体" w:hAnsi="宋体"/>
          <w:color w:val="auto"/>
          <w:sz w:val="24"/>
          <w:highlight w:val="none"/>
        </w:rPr>
        <w:t>报价一经涂改，应在涂改处加盖投标人公章</w:t>
      </w:r>
      <w:r>
        <w:rPr>
          <w:rFonts w:hint="eastAsia" w:ascii="宋体" w:hAnsi="宋体" w:cs="仿宋_GB2312"/>
          <w:color w:val="auto"/>
          <w:sz w:val="24"/>
          <w:highlight w:val="none"/>
        </w:rPr>
        <w:t>或者加盖电子签章</w:t>
      </w:r>
      <w:r>
        <w:rPr>
          <w:rFonts w:hint="eastAsia" w:ascii="宋体" w:hAnsi="宋体"/>
          <w:color w:val="auto"/>
          <w:sz w:val="24"/>
          <w:highlight w:val="none"/>
        </w:rPr>
        <w:t>或者由法定代表人或者委托代理人签字（或者电子签名）</w:t>
      </w:r>
      <w:r>
        <w:rPr>
          <w:rFonts w:hint="eastAsia" w:ascii="宋体" w:hAnsi="宋体"/>
          <w:b/>
          <w:color w:val="auto"/>
          <w:sz w:val="24"/>
          <w:highlight w:val="none"/>
        </w:rPr>
        <w:t>，否则其投标作无效标处理。</w:t>
      </w:r>
    </w:p>
    <w:p w14:paraId="2F63BE94">
      <w:pPr>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3.招标文件中列明采购专用耗材的，应按招标文件规定的耗材量或者按耗材的常规试用量提供报价。</w:t>
      </w:r>
    </w:p>
    <w:p w14:paraId="721DCD67">
      <w:pPr>
        <w:snapToGrid w:val="0"/>
        <w:spacing w:line="360" w:lineRule="auto"/>
        <w:ind w:left="-2" w:leftChars="-1" w:right="-817" w:rightChars="-389"/>
        <w:rPr>
          <w:rFonts w:hint="eastAsia" w:ascii="宋体" w:hAnsi="宋体"/>
          <w:color w:val="auto"/>
          <w:sz w:val="24"/>
          <w:highlight w:val="none"/>
        </w:rPr>
      </w:pPr>
      <w:r>
        <w:rPr>
          <w:rFonts w:hint="eastAsia" w:ascii="宋体" w:hAnsi="宋体"/>
          <w:color w:val="auto"/>
          <w:sz w:val="24"/>
          <w:highlight w:val="none"/>
        </w:rPr>
        <w:t xml:space="preserve">                            法定代表人或者委托代理人（签字或者电子签名）： </w:t>
      </w:r>
    </w:p>
    <w:p w14:paraId="1228ED6F">
      <w:pPr>
        <w:snapToGrid w:val="0"/>
        <w:spacing w:line="360" w:lineRule="auto"/>
        <w:ind w:left="-3" w:leftChars="-15" w:right="-817" w:rightChars="-389" w:hanging="28" w:hangingChars="12"/>
        <w:rPr>
          <w:rFonts w:hint="eastAsia" w:ascii="宋体" w:hAnsi="宋体"/>
          <w:color w:val="auto"/>
          <w:sz w:val="24"/>
          <w:highlight w:val="none"/>
        </w:rPr>
      </w:pPr>
      <w:r>
        <w:rPr>
          <w:rFonts w:hint="eastAsia" w:ascii="宋体" w:hAnsi="宋体"/>
          <w:color w:val="auto"/>
          <w:sz w:val="24"/>
          <w:highlight w:val="none"/>
        </w:rPr>
        <w:t xml:space="preserve">                                  投标人名称（</w:t>
      </w:r>
      <w:r>
        <w:rPr>
          <w:rFonts w:hint="eastAsia" w:ascii="宋体" w:hAnsi="宋体"/>
          <w:color w:val="auto"/>
          <w:sz w:val="24"/>
          <w:highlight w:val="none"/>
          <w:lang w:eastAsia="zh-CN"/>
        </w:rPr>
        <w:t>公章或电子签章</w:t>
      </w:r>
      <w:r>
        <w:rPr>
          <w:rFonts w:hint="eastAsia" w:ascii="宋体" w:hAnsi="宋体"/>
          <w:color w:val="auto"/>
          <w:sz w:val="24"/>
          <w:highlight w:val="none"/>
        </w:rPr>
        <w:t>）：</w:t>
      </w:r>
    </w:p>
    <w:p w14:paraId="7B45DBF3">
      <w:pPr>
        <w:snapToGrid w:val="0"/>
        <w:spacing w:line="360" w:lineRule="auto"/>
        <w:ind w:left="-3" w:leftChars="-15" w:right="-817" w:rightChars="-389" w:hanging="28" w:hangingChars="12"/>
        <w:rPr>
          <w:rFonts w:hint="eastAsia" w:ascii="宋体" w:hAnsi="宋体"/>
          <w:color w:val="auto"/>
          <w:sz w:val="24"/>
          <w:highlight w:val="none"/>
        </w:rPr>
      </w:pPr>
      <w:r>
        <w:rPr>
          <w:rFonts w:hint="eastAsia" w:ascii="宋体" w:hAnsi="宋体"/>
          <w:color w:val="auto"/>
          <w:sz w:val="24"/>
          <w:highlight w:val="none"/>
        </w:rPr>
        <w:t xml:space="preserve">                                  日期：    年   月   日</w:t>
      </w:r>
    </w:p>
    <w:p w14:paraId="38B01E6F">
      <w:pPr>
        <w:snapToGrid w:val="0"/>
        <w:spacing w:before="120" w:beforeLines="50" w:after="50"/>
        <w:jc w:val="left"/>
        <w:rPr>
          <w:rFonts w:hint="eastAsia" w:ascii="宋体" w:hAnsi="宋体"/>
          <w:b/>
          <w:color w:val="auto"/>
          <w:sz w:val="24"/>
          <w:highlight w:val="none"/>
        </w:rPr>
      </w:pPr>
    </w:p>
    <w:p w14:paraId="037DAB0F">
      <w:pPr>
        <w:snapToGrid w:val="0"/>
        <w:spacing w:before="120" w:beforeLines="50" w:after="50"/>
        <w:jc w:val="left"/>
        <w:rPr>
          <w:rFonts w:hint="eastAsia" w:ascii="宋体" w:hAnsi="宋体"/>
          <w:b/>
          <w:color w:val="auto"/>
          <w:sz w:val="24"/>
          <w:highlight w:val="none"/>
        </w:rPr>
      </w:pPr>
    </w:p>
    <w:p w14:paraId="51F7371A">
      <w:pPr>
        <w:snapToGrid w:val="0"/>
        <w:spacing w:before="120" w:beforeLines="50" w:after="50"/>
        <w:jc w:val="left"/>
        <w:rPr>
          <w:rFonts w:hint="eastAsia" w:ascii="宋体" w:hAnsi="宋体"/>
          <w:b/>
          <w:color w:val="auto"/>
          <w:sz w:val="24"/>
          <w:highlight w:val="none"/>
        </w:rPr>
      </w:pPr>
    </w:p>
    <w:p w14:paraId="312CC987">
      <w:pPr>
        <w:snapToGrid w:val="0"/>
        <w:spacing w:before="120" w:beforeLines="50" w:after="50"/>
        <w:jc w:val="left"/>
        <w:rPr>
          <w:rFonts w:hint="eastAsia" w:ascii="宋体" w:hAnsi="宋体"/>
          <w:b/>
          <w:color w:val="auto"/>
          <w:sz w:val="24"/>
          <w:highlight w:val="none"/>
        </w:rPr>
      </w:pPr>
    </w:p>
    <w:p w14:paraId="4B909C89">
      <w:pPr>
        <w:snapToGrid w:val="0"/>
        <w:spacing w:before="120" w:beforeLines="50" w:after="50"/>
        <w:jc w:val="left"/>
        <w:rPr>
          <w:rFonts w:hint="eastAsia" w:ascii="宋体" w:hAnsi="宋体"/>
          <w:b/>
          <w:color w:val="auto"/>
          <w:sz w:val="24"/>
          <w:highlight w:val="none"/>
        </w:rPr>
      </w:pPr>
    </w:p>
    <w:p w14:paraId="13936C55">
      <w:pPr>
        <w:snapToGrid w:val="0"/>
        <w:spacing w:before="120" w:beforeLines="50" w:after="50"/>
        <w:jc w:val="left"/>
        <w:rPr>
          <w:rFonts w:hint="eastAsia" w:ascii="宋体" w:hAnsi="宋体"/>
          <w:b/>
          <w:color w:val="auto"/>
          <w:sz w:val="24"/>
          <w:highlight w:val="none"/>
        </w:rPr>
      </w:pPr>
    </w:p>
    <w:p w14:paraId="54D13100">
      <w:pPr>
        <w:snapToGrid w:val="0"/>
        <w:spacing w:before="120" w:beforeLines="50" w:after="50"/>
        <w:jc w:val="left"/>
        <w:rPr>
          <w:rFonts w:hint="eastAsia" w:ascii="宋体" w:hAnsi="宋体"/>
          <w:b/>
          <w:color w:val="auto"/>
          <w:sz w:val="24"/>
          <w:highlight w:val="none"/>
        </w:rPr>
      </w:pPr>
    </w:p>
    <w:p w14:paraId="5135D67F">
      <w:pPr>
        <w:snapToGrid w:val="0"/>
        <w:spacing w:before="120" w:beforeLines="50" w:after="50"/>
        <w:jc w:val="left"/>
        <w:rPr>
          <w:rFonts w:hint="eastAsia" w:ascii="宋体" w:hAnsi="宋体"/>
          <w:b/>
          <w:color w:val="auto"/>
          <w:sz w:val="24"/>
          <w:highlight w:val="none"/>
        </w:rPr>
      </w:pPr>
    </w:p>
    <w:p w14:paraId="09A6CA9C">
      <w:pPr>
        <w:snapToGrid w:val="0"/>
        <w:spacing w:before="120" w:beforeLines="50" w:after="50"/>
        <w:jc w:val="left"/>
        <w:rPr>
          <w:rFonts w:hint="eastAsia" w:ascii="宋体" w:hAnsi="宋体"/>
          <w:b/>
          <w:color w:val="auto"/>
          <w:sz w:val="24"/>
          <w:highlight w:val="none"/>
        </w:rPr>
      </w:pPr>
    </w:p>
    <w:p w14:paraId="55AB0D81">
      <w:pPr>
        <w:snapToGrid w:val="0"/>
        <w:spacing w:before="120" w:beforeLines="50" w:after="50"/>
        <w:jc w:val="left"/>
        <w:rPr>
          <w:rFonts w:hint="eastAsia" w:ascii="宋体" w:hAnsi="宋体"/>
          <w:b/>
          <w:color w:val="auto"/>
          <w:sz w:val="24"/>
          <w:highlight w:val="none"/>
        </w:rPr>
      </w:pPr>
    </w:p>
    <w:p w14:paraId="7F7AFB95">
      <w:pPr>
        <w:snapToGrid w:val="0"/>
        <w:spacing w:before="120" w:beforeLines="50" w:after="50"/>
        <w:jc w:val="left"/>
        <w:rPr>
          <w:rFonts w:hint="eastAsia" w:ascii="宋体" w:hAnsi="宋体"/>
          <w:b/>
          <w:color w:val="auto"/>
          <w:sz w:val="24"/>
          <w:highlight w:val="none"/>
        </w:rPr>
      </w:pPr>
    </w:p>
    <w:p w14:paraId="0ED9739F">
      <w:pPr>
        <w:snapToGrid w:val="0"/>
        <w:spacing w:before="120" w:beforeLines="50" w:after="50"/>
        <w:jc w:val="left"/>
        <w:rPr>
          <w:rFonts w:hint="eastAsia" w:ascii="宋体" w:hAnsi="宋体"/>
          <w:b/>
          <w:color w:val="auto"/>
          <w:sz w:val="24"/>
          <w:highlight w:val="none"/>
        </w:rPr>
      </w:pPr>
    </w:p>
    <w:p w14:paraId="590A7284">
      <w:pPr>
        <w:snapToGrid w:val="0"/>
        <w:spacing w:line="360" w:lineRule="auto"/>
        <w:ind w:left="3" w:leftChars="-15" w:right="-817" w:rightChars="-389" w:hanging="34" w:hangingChars="12"/>
        <w:rPr>
          <w:rFonts w:hint="eastAsia" w:ascii="宋体" w:hAnsi="宋体"/>
          <w:b/>
          <w:color w:val="auto"/>
          <w:sz w:val="28"/>
          <w:szCs w:val="28"/>
          <w:highlight w:val="none"/>
        </w:rPr>
      </w:pPr>
      <w:bookmarkStart w:id="179" w:name="_Toc19686837"/>
      <w:r>
        <w:rPr>
          <w:rFonts w:hint="eastAsia" w:ascii="宋体" w:hAnsi="宋体"/>
          <w:b/>
          <w:color w:val="auto"/>
          <w:sz w:val="28"/>
          <w:szCs w:val="28"/>
          <w:highlight w:val="none"/>
        </w:rPr>
        <w:t>二、资格证明文件格式</w:t>
      </w:r>
      <w:bookmarkEnd w:id="177"/>
      <w:bookmarkEnd w:id="178"/>
      <w:bookmarkEnd w:id="179"/>
    </w:p>
    <w:p w14:paraId="2616B5B4">
      <w:pPr>
        <w:numPr>
          <w:ilvl w:val="2"/>
          <w:numId w:val="15"/>
        </w:numPr>
        <w:snapToGrid w:val="0"/>
        <w:spacing w:before="120" w:beforeLines="50" w:after="50" w:line="360" w:lineRule="auto"/>
        <w:ind w:left="0" w:firstLine="0"/>
        <w:jc w:val="left"/>
        <w:rPr>
          <w:rFonts w:hint="eastAsia" w:ascii="宋体" w:hAnsi="宋体"/>
          <w:b/>
          <w:color w:val="auto"/>
          <w:sz w:val="24"/>
          <w:highlight w:val="none"/>
        </w:rPr>
      </w:pPr>
      <w:r>
        <w:rPr>
          <w:rFonts w:hint="eastAsia" w:ascii="宋体" w:hAnsi="宋体"/>
          <w:b/>
          <w:color w:val="auto"/>
          <w:sz w:val="24"/>
          <w:highlight w:val="none"/>
        </w:rPr>
        <w:t xml:space="preserve">资格证明文件封面格式： </w:t>
      </w:r>
    </w:p>
    <w:p w14:paraId="696EECDE">
      <w:pPr>
        <w:snapToGrid w:val="0"/>
        <w:spacing w:before="120" w:beforeLines="50" w:after="50"/>
        <w:jc w:val="center"/>
        <w:rPr>
          <w:rFonts w:hint="eastAsia" w:ascii="宋体" w:hAnsi="宋体"/>
          <w:bCs/>
          <w:color w:val="auto"/>
          <w:sz w:val="48"/>
          <w:szCs w:val="48"/>
          <w:highlight w:val="none"/>
        </w:rPr>
      </w:pPr>
      <w:r>
        <w:rPr>
          <w:rFonts w:hint="eastAsia" w:ascii="宋体" w:hAnsi="宋体"/>
          <w:bCs/>
          <w:color w:val="auto"/>
          <w:sz w:val="48"/>
          <w:szCs w:val="48"/>
          <w:highlight w:val="none"/>
        </w:rPr>
        <w:t>电子投标文件</w:t>
      </w:r>
    </w:p>
    <w:p w14:paraId="7BE405AC">
      <w:pPr>
        <w:snapToGrid w:val="0"/>
        <w:spacing w:before="120" w:beforeLines="50" w:after="50"/>
        <w:jc w:val="center"/>
        <w:rPr>
          <w:rFonts w:hint="eastAsia" w:ascii="宋体" w:hAnsi="宋体"/>
          <w:b/>
          <w:color w:val="auto"/>
          <w:sz w:val="24"/>
          <w:szCs w:val="20"/>
          <w:highlight w:val="none"/>
        </w:rPr>
      </w:pPr>
      <w:r>
        <w:rPr>
          <w:rFonts w:hint="eastAsia" w:ascii="宋体" w:hAnsi="宋体"/>
          <w:b/>
          <w:color w:val="auto"/>
          <w:sz w:val="32"/>
          <w:szCs w:val="32"/>
          <w:highlight w:val="none"/>
        </w:rPr>
        <w:t>资格证明文件</w:t>
      </w:r>
    </w:p>
    <w:p w14:paraId="59546256">
      <w:pPr>
        <w:snapToGrid w:val="0"/>
        <w:spacing w:before="120" w:beforeLines="50" w:after="50"/>
        <w:rPr>
          <w:rFonts w:ascii="宋体" w:hAnsi="宋体"/>
          <w:bCs/>
          <w:color w:val="auto"/>
          <w:sz w:val="24"/>
          <w:szCs w:val="20"/>
          <w:highlight w:val="none"/>
        </w:rPr>
      </w:pPr>
    </w:p>
    <w:p w14:paraId="609FB668">
      <w:pPr>
        <w:snapToGrid w:val="0"/>
        <w:spacing w:before="120" w:beforeLines="50" w:after="50"/>
        <w:rPr>
          <w:rFonts w:ascii="宋体" w:hAnsi="宋体"/>
          <w:bCs/>
          <w:color w:val="auto"/>
          <w:sz w:val="24"/>
          <w:szCs w:val="20"/>
          <w:highlight w:val="none"/>
        </w:rPr>
      </w:pPr>
    </w:p>
    <w:p w14:paraId="35C5956D">
      <w:pPr>
        <w:snapToGrid w:val="0"/>
        <w:spacing w:before="120" w:beforeLines="50" w:after="50"/>
        <w:rPr>
          <w:rFonts w:ascii="宋体" w:hAnsi="宋体"/>
          <w:bCs/>
          <w:color w:val="auto"/>
          <w:sz w:val="24"/>
          <w:szCs w:val="20"/>
          <w:highlight w:val="none"/>
        </w:rPr>
      </w:pPr>
    </w:p>
    <w:p w14:paraId="04BCA894">
      <w:pPr>
        <w:snapToGrid w:val="0"/>
        <w:spacing w:before="120" w:beforeLines="50" w:after="50"/>
        <w:rPr>
          <w:rFonts w:ascii="宋体" w:hAnsi="宋体"/>
          <w:bCs/>
          <w:color w:val="auto"/>
          <w:sz w:val="24"/>
          <w:szCs w:val="20"/>
          <w:highlight w:val="none"/>
        </w:rPr>
      </w:pPr>
    </w:p>
    <w:p w14:paraId="74786883">
      <w:pPr>
        <w:snapToGrid w:val="0"/>
        <w:spacing w:before="120" w:beforeLines="50" w:after="50"/>
        <w:rPr>
          <w:rFonts w:ascii="宋体" w:hAnsi="宋体"/>
          <w:bCs/>
          <w:color w:val="auto"/>
          <w:sz w:val="24"/>
          <w:szCs w:val="20"/>
          <w:highlight w:val="none"/>
        </w:rPr>
      </w:pPr>
    </w:p>
    <w:p w14:paraId="69424954">
      <w:pPr>
        <w:snapToGrid w:val="0"/>
        <w:spacing w:before="120" w:beforeLines="50" w:after="50"/>
        <w:rPr>
          <w:rFonts w:ascii="宋体" w:hAnsi="宋体"/>
          <w:bCs/>
          <w:color w:val="auto"/>
          <w:sz w:val="24"/>
          <w:szCs w:val="20"/>
          <w:highlight w:val="none"/>
        </w:rPr>
      </w:pPr>
    </w:p>
    <w:p w14:paraId="67478E0E">
      <w:pPr>
        <w:snapToGrid w:val="0"/>
        <w:spacing w:before="120" w:beforeLines="50" w:after="50"/>
        <w:rPr>
          <w:rFonts w:hint="eastAsia" w:ascii="宋体" w:hAnsi="宋体"/>
          <w:bCs/>
          <w:color w:val="auto"/>
          <w:sz w:val="24"/>
          <w:szCs w:val="20"/>
          <w:highlight w:val="none"/>
        </w:rPr>
      </w:pPr>
    </w:p>
    <w:p w14:paraId="50EBC47E">
      <w:pPr>
        <w:snapToGrid w:val="0"/>
        <w:spacing w:before="120"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项目名称：</w:t>
      </w:r>
    </w:p>
    <w:p w14:paraId="0754BEFA">
      <w:pPr>
        <w:snapToGrid w:val="0"/>
        <w:spacing w:before="120" w:beforeLines="50" w:after="50"/>
        <w:ind w:firstLine="540" w:firstLineChars="225"/>
        <w:rPr>
          <w:rFonts w:hint="eastAsia" w:ascii="宋体" w:hAnsi="宋体"/>
          <w:bCs/>
          <w:color w:val="auto"/>
          <w:sz w:val="24"/>
          <w:szCs w:val="20"/>
          <w:highlight w:val="none"/>
        </w:rPr>
      </w:pPr>
    </w:p>
    <w:p w14:paraId="30F1D15D">
      <w:pPr>
        <w:snapToGrid w:val="0"/>
        <w:spacing w:before="120"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项目编号：</w:t>
      </w:r>
    </w:p>
    <w:p w14:paraId="79B2C2D2">
      <w:pPr>
        <w:snapToGrid w:val="0"/>
        <w:spacing w:before="120" w:beforeLines="50" w:after="50"/>
        <w:ind w:firstLine="540" w:firstLineChars="225"/>
        <w:rPr>
          <w:rFonts w:hint="eastAsia" w:ascii="宋体" w:hAnsi="宋体"/>
          <w:bCs/>
          <w:color w:val="auto"/>
          <w:sz w:val="24"/>
          <w:szCs w:val="20"/>
          <w:highlight w:val="none"/>
        </w:rPr>
      </w:pPr>
      <w:r>
        <w:rPr>
          <w:rFonts w:hint="eastAsia" w:ascii="宋体" w:hAnsi="宋体"/>
          <w:bCs/>
          <w:color w:val="auto"/>
          <w:sz w:val="24"/>
          <w:highlight w:val="none"/>
        </w:rPr>
        <w:t xml:space="preserve"> </w:t>
      </w:r>
    </w:p>
    <w:p w14:paraId="145AA65C">
      <w:pPr>
        <w:pStyle w:val="7"/>
        <w:snapToGrid w:val="0"/>
        <w:spacing w:before="50" w:after="50"/>
        <w:ind w:firstLine="540" w:firstLineChars="225"/>
        <w:rPr>
          <w:rFonts w:hint="eastAsia" w:ascii="宋体" w:hAnsi="宋体"/>
          <w:bCs/>
          <w:color w:val="auto"/>
          <w:sz w:val="24"/>
          <w:szCs w:val="24"/>
          <w:highlight w:val="none"/>
        </w:rPr>
      </w:pPr>
      <w:r>
        <w:rPr>
          <w:rFonts w:hint="eastAsia" w:ascii="宋体" w:hAnsi="宋体"/>
          <w:bCs/>
          <w:color w:val="auto"/>
          <w:sz w:val="24"/>
          <w:szCs w:val="24"/>
          <w:highlight w:val="none"/>
        </w:rPr>
        <w:t>投标人名称：</w:t>
      </w:r>
    </w:p>
    <w:p w14:paraId="6C2FF7DE">
      <w:pPr>
        <w:pStyle w:val="7"/>
        <w:snapToGrid w:val="0"/>
        <w:spacing w:before="50" w:after="50"/>
        <w:ind w:firstLine="540" w:firstLineChars="225"/>
        <w:rPr>
          <w:rFonts w:hint="eastAsia" w:ascii="宋体" w:hAnsi="宋体"/>
          <w:bCs/>
          <w:color w:val="auto"/>
          <w:sz w:val="24"/>
          <w:szCs w:val="24"/>
          <w:highlight w:val="none"/>
        </w:rPr>
      </w:pPr>
    </w:p>
    <w:p w14:paraId="590762CF">
      <w:pPr>
        <w:pStyle w:val="7"/>
        <w:snapToGrid w:val="0"/>
        <w:spacing w:before="50" w:after="50"/>
        <w:ind w:firstLine="540" w:firstLineChars="225"/>
        <w:rPr>
          <w:rFonts w:hint="eastAsia" w:ascii="宋体" w:hAnsi="宋体"/>
          <w:bCs/>
          <w:color w:val="auto"/>
          <w:sz w:val="24"/>
          <w:szCs w:val="24"/>
          <w:highlight w:val="none"/>
        </w:rPr>
      </w:pPr>
      <w:r>
        <w:rPr>
          <w:rFonts w:hint="eastAsia" w:ascii="宋体" w:hAnsi="宋体"/>
          <w:bCs/>
          <w:color w:val="auto"/>
          <w:sz w:val="24"/>
          <w:szCs w:val="24"/>
          <w:highlight w:val="none"/>
        </w:rPr>
        <w:t>投标人地址：</w:t>
      </w:r>
    </w:p>
    <w:p w14:paraId="79613A8E">
      <w:pPr>
        <w:pStyle w:val="7"/>
        <w:snapToGrid w:val="0"/>
        <w:spacing w:before="50" w:after="50"/>
        <w:ind w:firstLine="540" w:firstLineChars="225"/>
        <w:rPr>
          <w:rFonts w:hint="eastAsia" w:ascii="宋体" w:hAnsi="宋体"/>
          <w:bCs/>
          <w:color w:val="auto"/>
          <w:sz w:val="24"/>
          <w:szCs w:val="24"/>
          <w:highlight w:val="none"/>
        </w:rPr>
      </w:pPr>
    </w:p>
    <w:p w14:paraId="7BBC919E">
      <w:pPr>
        <w:pStyle w:val="7"/>
        <w:snapToGrid w:val="0"/>
        <w:spacing w:before="50" w:after="50"/>
        <w:ind w:firstLine="960" w:firstLineChars="400"/>
        <w:rPr>
          <w:rFonts w:hint="eastAsia" w:ascii="宋体" w:hAnsi="宋体"/>
          <w:bCs/>
          <w:color w:val="auto"/>
          <w:sz w:val="24"/>
          <w:szCs w:val="24"/>
          <w:highlight w:val="none"/>
        </w:rPr>
      </w:pPr>
    </w:p>
    <w:p w14:paraId="1D1BB54F">
      <w:pPr>
        <w:snapToGrid w:val="0"/>
        <w:spacing w:before="120" w:beforeLines="50" w:after="50"/>
        <w:ind w:firstLine="645"/>
        <w:jc w:val="center"/>
        <w:rPr>
          <w:rFonts w:ascii="宋体" w:hAnsi="宋体"/>
          <w:color w:val="auto"/>
          <w:sz w:val="24"/>
          <w:highlight w:val="none"/>
        </w:rPr>
      </w:pPr>
      <w:r>
        <w:rPr>
          <w:rFonts w:hint="eastAsia" w:ascii="宋体" w:hAnsi="宋体"/>
          <w:color w:val="auto"/>
          <w:sz w:val="24"/>
          <w:highlight w:val="none"/>
        </w:rPr>
        <w:t>年  月  日</w:t>
      </w:r>
    </w:p>
    <w:p w14:paraId="6FB33717">
      <w:pPr>
        <w:snapToGrid w:val="0"/>
        <w:spacing w:before="120" w:beforeLines="50" w:after="50"/>
        <w:rPr>
          <w:rFonts w:ascii="宋体" w:hAnsi="宋体"/>
          <w:color w:val="auto"/>
          <w:sz w:val="24"/>
          <w:szCs w:val="20"/>
          <w:highlight w:val="none"/>
        </w:rPr>
      </w:pPr>
      <w:r>
        <w:rPr>
          <w:rFonts w:ascii="宋体" w:hAnsi="宋体"/>
          <w:color w:val="auto"/>
          <w:sz w:val="24"/>
          <w:szCs w:val="20"/>
          <w:highlight w:val="none"/>
        </w:rPr>
        <w:t xml:space="preserve"> </w:t>
      </w:r>
    </w:p>
    <w:p w14:paraId="18519F51">
      <w:pPr>
        <w:snapToGrid w:val="0"/>
        <w:spacing w:before="120" w:beforeLines="50" w:after="50"/>
        <w:rPr>
          <w:rFonts w:hint="eastAsia" w:ascii="宋体" w:hAnsi="宋体"/>
          <w:color w:val="auto"/>
          <w:sz w:val="24"/>
          <w:szCs w:val="20"/>
          <w:highlight w:val="none"/>
        </w:rPr>
      </w:pPr>
    </w:p>
    <w:p w14:paraId="1DB93C64">
      <w:pPr>
        <w:numPr>
          <w:ilvl w:val="2"/>
          <w:numId w:val="15"/>
        </w:numPr>
        <w:snapToGrid w:val="0"/>
        <w:spacing w:before="120" w:beforeLines="50" w:after="50" w:line="360" w:lineRule="auto"/>
        <w:ind w:left="0" w:firstLine="0"/>
        <w:jc w:val="left"/>
        <w:rPr>
          <w:rFonts w:hint="eastAsia" w:ascii="宋体" w:hAnsi="宋体"/>
          <w:color w:val="auto"/>
          <w:sz w:val="24"/>
          <w:szCs w:val="20"/>
          <w:highlight w:val="none"/>
        </w:rPr>
      </w:pPr>
      <w:r>
        <w:rPr>
          <w:rFonts w:ascii="宋体" w:hAnsi="宋体"/>
          <w:b/>
          <w:bCs/>
          <w:color w:val="auto"/>
          <w:sz w:val="24"/>
          <w:highlight w:val="none"/>
        </w:rPr>
        <w:br w:type="page"/>
      </w:r>
      <w:r>
        <w:rPr>
          <w:rFonts w:hint="eastAsia" w:ascii="宋体" w:hAnsi="宋体"/>
          <w:b/>
          <w:bCs/>
          <w:color w:val="auto"/>
          <w:sz w:val="24"/>
          <w:highlight w:val="none"/>
        </w:rPr>
        <w:t>资格证明文件目录</w:t>
      </w:r>
    </w:p>
    <w:p w14:paraId="3F90038C">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根据招标文件规定及投标人提供的材料自行编写目录。</w:t>
      </w:r>
    </w:p>
    <w:p w14:paraId="69D888E5">
      <w:pPr>
        <w:snapToGrid w:val="0"/>
        <w:spacing w:before="50" w:after="120" w:afterLines="50"/>
        <w:jc w:val="left"/>
        <w:rPr>
          <w:rFonts w:hint="eastAsia" w:ascii="宋体" w:hAnsi="宋体"/>
          <w:color w:val="auto"/>
          <w:sz w:val="24"/>
          <w:highlight w:val="none"/>
        </w:rPr>
      </w:pPr>
    </w:p>
    <w:p w14:paraId="6A5118DC">
      <w:pPr>
        <w:snapToGrid w:val="0"/>
        <w:spacing w:before="50" w:after="120" w:afterLines="50"/>
        <w:jc w:val="left"/>
        <w:rPr>
          <w:rFonts w:hint="eastAsia" w:ascii="宋体" w:hAnsi="宋体"/>
          <w:color w:val="auto"/>
          <w:sz w:val="24"/>
          <w:highlight w:val="none"/>
        </w:rPr>
      </w:pPr>
    </w:p>
    <w:p w14:paraId="04498371">
      <w:pPr>
        <w:numPr>
          <w:ilvl w:val="2"/>
          <w:numId w:val="15"/>
        </w:numPr>
        <w:snapToGrid w:val="0"/>
        <w:spacing w:before="120" w:beforeLines="50" w:after="50"/>
        <w:ind w:left="0" w:firstLine="0"/>
        <w:jc w:val="left"/>
        <w:rPr>
          <w:rFonts w:hint="eastAsia"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8"/>
          <w:szCs w:val="28"/>
          <w:highlight w:val="none"/>
        </w:rPr>
        <w:t>投标人直接控股、管理关系信息表</w:t>
      </w:r>
    </w:p>
    <w:p w14:paraId="0F4C5958">
      <w:pPr>
        <w:snapToGrid w:val="0"/>
        <w:spacing w:before="50" w:after="120" w:afterLines="50"/>
        <w:jc w:val="center"/>
        <w:rPr>
          <w:rFonts w:hint="eastAsia" w:ascii="宋体" w:hAnsi="宋体"/>
          <w:b/>
          <w:color w:val="auto"/>
          <w:sz w:val="28"/>
          <w:szCs w:val="28"/>
          <w:highlight w:val="none"/>
        </w:rPr>
      </w:pPr>
    </w:p>
    <w:p w14:paraId="571002E1">
      <w:pPr>
        <w:snapToGrid w:val="0"/>
        <w:spacing w:before="50" w:after="120" w:afterLines="50"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投标人直接控股股东信息表</w:t>
      </w:r>
    </w:p>
    <w:tbl>
      <w:tblPr>
        <w:tblStyle w:val="48"/>
        <w:tblW w:w="0" w:type="auto"/>
        <w:jc w:val="center"/>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605BC4F7">
        <w:tblPrEx>
          <w:shd w:val="clear" w:color="auto" w:fill="FBFBFB"/>
          <w:tblCellMar>
            <w:top w:w="0" w:type="dxa"/>
            <w:left w:w="0" w:type="dxa"/>
            <w:bottom w:w="0" w:type="dxa"/>
            <w:right w:w="0" w:type="dxa"/>
          </w:tblCellMar>
        </w:tblPrEx>
        <w:trPr>
          <w:tblHeader/>
          <w:jc w:val="cent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44A5C9F">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EE7E1D4">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68467EF">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44EFEA0">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944202A">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1216759A">
        <w:tblPrEx>
          <w:tblCellMar>
            <w:top w:w="0" w:type="dxa"/>
            <w:left w:w="0" w:type="dxa"/>
            <w:bottom w:w="0" w:type="dxa"/>
            <w:right w:w="0" w:type="dxa"/>
          </w:tblCellMar>
        </w:tblPrEx>
        <w:trPr>
          <w:jc w:val="center"/>
        </w:trPr>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1E91F75">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EEF2748">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A092FA5">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513E809">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B90EE3A">
            <w:pPr>
              <w:spacing w:line="360" w:lineRule="auto"/>
              <w:jc w:val="center"/>
              <w:rPr>
                <w:rFonts w:ascii="宋体" w:hAnsi="宋体" w:cs="宋体"/>
                <w:color w:val="auto"/>
                <w:kern w:val="0"/>
                <w:sz w:val="24"/>
                <w:highlight w:val="none"/>
              </w:rPr>
            </w:pPr>
          </w:p>
        </w:tc>
      </w:tr>
      <w:tr w14:paraId="51C048BC">
        <w:tblPrEx>
          <w:tblCellMar>
            <w:top w:w="0" w:type="dxa"/>
            <w:left w:w="0" w:type="dxa"/>
            <w:bottom w:w="0" w:type="dxa"/>
            <w:right w:w="0" w:type="dxa"/>
          </w:tblCellMar>
        </w:tblPrEx>
        <w:trPr>
          <w:jc w:val="center"/>
        </w:trPr>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0A59BE1">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0E4E8B8">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637D875">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786B1C1">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16F9E2F">
            <w:pPr>
              <w:spacing w:line="360" w:lineRule="auto"/>
              <w:jc w:val="center"/>
              <w:rPr>
                <w:rFonts w:ascii="宋体" w:hAnsi="宋体" w:cs="宋体"/>
                <w:color w:val="auto"/>
                <w:kern w:val="0"/>
                <w:sz w:val="24"/>
                <w:highlight w:val="none"/>
              </w:rPr>
            </w:pPr>
          </w:p>
        </w:tc>
      </w:tr>
      <w:tr w14:paraId="05C6FEE2">
        <w:tblPrEx>
          <w:tblCellMar>
            <w:top w:w="0" w:type="dxa"/>
            <w:left w:w="0" w:type="dxa"/>
            <w:bottom w:w="0" w:type="dxa"/>
            <w:right w:w="0" w:type="dxa"/>
          </w:tblCellMar>
        </w:tblPrEx>
        <w:trPr>
          <w:jc w:val="center"/>
        </w:trPr>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3A1AEC9">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722EFB4">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9D013D0">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6E8083E">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66F7197">
            <w:pPr>
              <w:spacing w:line="360" w:lineRule="auto"/>
              <w:jc w:val="center"/>
              <w:rPr>
                <w:rFonts w:ascii="宋体" w:hAnsi="宋体" w:cs="宋体"/>
                <w:color w:val="auto"/>
                <w:kern w:val="0"/>
                <w:sz w:val="24"/>
                <w:highlight w:val="none"/>
              </w:rPr>
            </w:pPr>
          </w:p>
        </w:tc>
      </w:tr>
      <w:tr w14:paraId="47D83A1F">
        <w:tblPrEx>
          <w:tblCellMar>
            <w:top w:w="0" w:type="dxa"/>
            <w:left w:w="0" w:type="dxa"/>
            <w:bottom w:w="0" w:type="dxa"/>
            <w:right w:w="0" w:type="dxa"/>
          </w:tblCellMar>
        </w:tblPrEx>
        <w:trPr>
          <w:jc w:val="center"/>
        </w:trPr>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A3123A7">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0D3F131">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BFA4ADE">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F62DDDD">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46930BB">
            <w:pPr>
              <w:spacing w:line="360" w:lineRule="auto"/>
              <w:jc w:val="center"/>
              <w:rPr>
                <w:rFonts w:ascii="宋体" w:hAnsi="宋体" w:cs="宋体"/>
                <w:color w:val="auto"/>
                <w:kern w:val="0"/>
                <w:sz w:val="24"/>
                <w:highlight w:val="none"/>
              </w:rPr>
            </w:pPr>
          </w:p>
        </w:tc>
      </w:tr>
    </w:tbl>
    <w:p w14:paraId="19051A08">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注：</w:t>
      </w:r>
    </w:p>
    <w:p w14:paraId="7C091A4B">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B70692E">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2.本表所指的控股关系仅限于直接控股关系，不包括间接的控股关系。公司实际控制人与公司之间的关系不属于本表所指的直接控股关系。</w:t>
      </w:r>
    </w:p>
    <w:p w14:paraId="1211669B">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3.供应商不存在直接控股股东的，则在“</w:t>
      </w:r>
      <w:r>
        <w:rPr>
          <w:rFonts w:hint="eastAsia" w:ascii="宋体" w:hAnsi="宋体" w:cs="宋体"/>
          <w:b/>
          <w:bCs/>
          <w:color w:val="auto"/>
          <w:kern w:val="0"/>
          <w:sz w:val="24"/>
          <w:highlight w:val="none"/>
        </w:rPr>
        <w:t>直接控股股东名称</w:t>
      </w:r>
      <w:r>
        <w:rPr>
          <w:rFonts w:hint="eastAsia" w:ascii="宋体" w:hAnsi="宋体"/>
          <w:color w:val="auto"/>
          <w:sz w:val="24"/>
          <w:highlight w:val="none"/>
        </w:rPr>
        <w:t>”中填“无”。</w:t>
      </w:r>
    </w:p>
    <w:p w14:paraId="1ED78ACD">
      <w:pPr>
        <w:snapToGrid w:val="0"/>
        <w:spacing w:line="360" w:lineRule="auto"/>
        <w:jc w:val="left"/>
        <w:rPr>
          <w:rFonts w:hint="eastAsia" w:ascii="宋体" w:hAnsi="宋体"/>
          <w:color w:val="auto"/>
          <w:sz w:val="24"/>
          <w:highlight w:val="none"/>
        </w:rPr>
      </w:pPr>
    </w:p>
    <w:p w14:paraId="1D9BCBF8">
      <w:pPr>
        <w:snapToGrid w:val="0"/>
        <w:spacing w:line="360" w:lineRule="auto"/>
        <w:jc w:val="left"/>
        <w:rPr>
          <w:rFonts w:hint="eastAsia" w:ascii="宋体" w:hAnsi="宋体"/>
          <w:color w:val="auto"/>
          <w:sz w:val="24"/>
          <w:highlight w:val="none"/>
        </w:rPr>
      </w:pPr>
    </w:p>
    <w:p w14:paraId="411DE462">
      <w:pPr>
        <w:snapToGrid w:val="0"/>
        <w:spacing w:line="360" w:lineRule="auto"/>
        <w:jc w:val="left"/>
        <w:rPr>
          <w:rFonts w:hint="eastAsia" w:ascii="宋体" w:hAnsi="宋体"/>
          <w:color w:val="auto"/>
          <w:sz w:val="24"/>
          <w:highlight w:val="none"/>
        </w:rPr>
      </w:pPr>
    </w:p>
    <w:p w14:paraId="721A6D70">
      <w:pPr>
        <w:snapToGrid w:val="0"/>
        <w:spacing w:line="360" w:lineRule="auto"/>
        <w:ind w:left="-2" w:leftChars="-1" w:right="-817" w:rightChars="-389"/>
        <w:rPr>
          <w:rFonts w:hint="eastAsia" w:ascii="宋体" w:hAnsi="宋体"/>
          <w:color w:val="auto"/>
          <w:sz w:val="24"/>
          <w:highlight w:val="none"/>
        </w:rPr>
      </w:pPr>
      <w:r>
        <w:rPr>
          <w:rFonts w:hint="eastAsia" w:ascii="宋体" w:hAnsi="宋体"/>
          <w:color w:val="auto"/>
          <w:sz w:val="24"/>
          <w:highlight w:val="none"/>
        </w:rPr>
        <w:t xml:space="preserve">                               法定代表人或者委托代理人（签字或者电子签名）： </w:t>
      </w:r>
    </w:p>
    <w:p w14:paraId="2A94F053">
      <w:pPr>
        <w:snapToGrid w:val="0"/>
        <w:spacing w:line="360" w:lineRule="auto"/>
        <w:ind w:left="-3" w:leftChars="-15" w:right="-817" w:rightChars="-389" w:hanging="28" w:hangingChars="12"/>
        <w:rPr>
          <w:rFonts w:hint="eastAsia" w:ascii="宋体" w:hAnsi="宋体"/>
          <w:color w:val="auto"/>
          <w:sz w:val="24"/>
          <w:highlight w:val="none"/>
        </w:rPr>
      </w:pPr>
      <w:r>
        <w:rPr>
          <w:rFonts w:hint="eastAsia" w:ascii="宋体" w:hAnsi="宋体"/>
          <w:color w:val="auto"/>
          <w:sz w:val="24"/>
          <w:highlight w:val="none"/>
        </w:rPr>
        <w:t xml:space="preserve">                                    投标人名称（</w:t>
      </w:r>
      <w:r>
        <w:rPr>
          <w:rFonts w:hint="eastAsia" w:ascii="宋体" w:hAnsi="宋体"/>
          <w:color w:val="auto"/>
          <w:sz w:val="24"/>
          <w:highlight w:val="none"/>
          <w:lang w:eastAsia="zh-CN"/>
        </w:rPr>
        <w:t>公章或电子签章</w:t>
      </w:r>
      <w:r>
        <w:rPr>
          <w:rFonts w:hint="eastAsia" w:ascii="宋体" w:hAnsi="宋体"/>
          <w:color w:val="auto"/>
          <w:sz w:val="24"/>
          <w:highlight w:val="none"/>
        </w:rPr>
        <w:t>）：</w:t>
      </w:r>
    </w:p>
    <w:p w14:paraId="511B01E9">
      <w:pPr>
        <w:snapToGrid w:val="0"/>
        <w:spacing w:line="360" w:lineRule="auto"/>
        <w:jc w:val="left"/>
        <w:rPr>
          <w:rFonts w:hint="eastAsia" w:ascii="宋体" w:hAnsi="宋体"/>
          <w:color w:val="auto"/>
          <w:szCs w:val="21"/>
          <w:highlight w:val="none"/>
        </w:rPr>
      </w:pPr>
      <w:r>
        <w:rPr>
          <w:rFonts w:hint="eastAsia" w:ascii="宋体" w:hAnsi="宋体"/>
          <w:color w:val="auto"/>
          <w:sz w:val="24"/>
          <w:highlight w:val="none"/>
        </w:rPr>
        <w:t xml:space="preserve">                                    日期：    年   月   日</w:t>
      </w:r>
    </w:p>
    <w:p w14:paraId="1955FBB8">
      <w:pPr>
        <w:snapToGrid w:val="0"/>
        <w:jc w:val="center"/>
        <w:rPr>
          <w:rFonts w:hint="eastAsia" w:ascii="宋体" w:hAnsi="宋体"/>
          <w:b/>
          <w:color w:val="auto"/>
          <w:sz w:val="28"/>
          <w:szCs w:val="28"/>
          <w:highlight w:val="none"/>
        </w:rPr>
      </w:pPr>
    </w:p>
    <w:p w14:paraId="44813AC9">
      <w:pPr>
        <w:snapToGrid w:val="0"/>
        <w:spacing w:line="360" w:lineRule="auto"/>
        <w:jc w:val="center"/>
        <w:rPr>
          <w:rFonts w:hint="eastAsia" w:ascii="宋体" w:hAnsi="宋体"/>
          <w:color w:val="auto"/>
          <w:sz w:val="32"/>
          <w:szCs w:val="32"/>
          <w:highlight w:val="none"/>
        </w:rPr>
      </w:pPr>
      <w:r>
        <w:rPr>
          <w:rFonts w:ascii="宋体" w:hAnsi="宋体"/>
          <w:b/>
          <w:color w:val="auto"/>
          <w:sz w:val="32"/>
          <w:szCs w:val="32"/>
          <w:highlight w:val="none"/>
        </w:rPr>
        <w:br w:type="page"/>
      </w:r>
      <w:r>
        <w:rPr>
          <w:rFonts w:hint="eastAsia" w:ascii="宋体" w:hAnsi="宋体"/>
          <w:b/>
          <w:color w:val="auto"/>
          <w:sz w:val="32"/>
          <w:szCs w:val="32"/>
          <w:highlight w:val="none"/>
        </w:rPr>
        <w:t>投标人直接管理关系信息表</w:t>
      </w:r>
    </w:p>
    <w:tbl>
      <w:tblPr>
        <w:tblStyle w:val="48"/>
        <w:tblW w:w="0" w:type="auto"/>
        <w:jc w:val="center"/>
        <w:shd w:val="clear" w:color="auto" w:fill="FBFBFB"/>
        <w:tblLayout w:type="fixed"/>
        <w:tblCellMar>
          <w:top w:w="0" w:type="dxa"/>
          <w:left w:w="0" w:type="dxa"/>
          <w:bottom w:w="0" w:type="dxa"/>
          <w:right w:w="0" w:type="dxa"/>
        </w:tblCellMar>
      </w:tblPr>
      <w:tblGrid>
        <w:gridCol w:w="1005"/>
        <w:gridCol w:w="2659"/>
        <w:gridCol w:w="3924"/>
        <w:gridCol w:w="2064"/>
      </w:tblGrid>
      <w:tr w14:paraId="2FBA145C">
        <w:tblPrEx>
          <w:shd w:val="clear" w:color="auto" w:fill="FBFBFB"/>
          <w:tblCellMar>
            <w:top w:w="0" w:type="dxa"/>
            <w:left w:w="0" w:type="dxa"/>
            <w:bottom w:w="0" w:type="dxa"/>
            <w:right w:w="0" w:type="dxa"/>
          </w:tblCellMar>
        </w:tblPrEx>
        <w:trPr>
          <w:tblHeader/>
          <w:jc w:val="cent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19653FC">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866C361">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21B7D95">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274213A">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138176E2">
        <w:tblPrEx>
          <w:tblCellMar>
            <w:top w:w="0" w:type="dxa"/>
            <w:left w:w="0" w:type="dxa"/>
            <w:bottom w:w="0" w:type="dxa"/>
            <w:right w:w="0" w:type="dxa"/>
          </w:tblCellMar>
        </w:tblPrEx>
        <w:trPr>
          <w:jc w:val="center"/>
        </w:trPr>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D704990">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47418F3">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CFDD04E">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9AA4F66">
            <w:pPr>
              <w:spacing w:line="360" w:lineRule="auto"/>
              <w:jc w:val="center"/>
              <w:rPr>
                <w:rFonts w:ascii="宋体" w:hAnsi="宋体" w:cs="宋体"/>
                <w:color w:val="auto"/>
                <w:kern w:val="0"/>
                <w:sz w:val="24"/>
                <w:highlight w:val="none"/>
              </w:rPr>
            </w:pPr>
          </w:p>
        </w:tc>
      </w:tr>
      <w:tr w14:paraId="274563EF">
        <w:tblPrEx>
          <w:shd w:val="clear" w:color="auto" w:fill="FBFBFB"/>
          <w:tblCellMar>
            <w:top w:w="0" w:type="dxa"/>
            <w:left w:w="0" w:type="dxa"/>
            <w:bottom w:w="0" w:type="dxa"/>
            <w:right w:w="0" w:type="dxa"/>
          </w:tblCellMar>
        </w:tblPrEx>
        <w:trPr>
          <w:jc w:val="center"/>
        </w:trPr>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3EA1516">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9D9E88C">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230A446">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FD8A9FB">
            <w:pPr>
              <w:spacing w:line="360" w:lineRule="auto"/>
              <w:jc w:val="center"/>
              <w:rPr>
                <w:rFonts w:ascii="宋体" w:hAnsi="宋体" w:cs="宋体"/>
                <w:color w:val="auto"/>
                <w:kern w:val="0"/>
                <w:sz w:val="24"/>
                <w:highlight w:val="none"/>
              </w:rPr>
            </w:pPr>
          </w:p>
        </w:tc>
      </w:tr>
      <w:tr w14:paraId="33E1A2D3">
        <w:tblPrEx>
          <w:shd w:val="clear" w:color="auto" w:fill="FBFBFB"/>
          <w:tblCellMar>
            <w:top w:w="0" w:type="dxa"/>
            <w:left w:w="0" w:type="dxa"/>
            <w:bottom w:w="0" w:type="dxa"/>
            <w:right w:w="0" w:type="dxa"/>
          </w:tblCellMar>
        </w:tblPrEx>
        <w:trPr>
          <w:jc w:val="center"/>
        </w:trPr>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D481E05">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EC221DF">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8ECC1AC">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D866EC4">
            <w:pPr>
              <w:spacing w:line="360" w:lineRule="auto"/>
              <w:jc w:val="center"/>
              <w:rPr>
                <w:rFonts w:ascii="宋体" w:hAnsi="宋体" w:cs="宋体"/>
                <w:color w:val="auto"/>
                <w:kern w:val="0"/>
                <w:sz w:val="24"/>
                <w:highlight w:val="none"/>
              </w:rPr>
            </w:pPr>
          </w:p>
        </w:tc>
      </w:tr>
      <w:tr w14:paraId="6E48D8AB">
        <w:tblPrEx>
          <w:tblCellMar>
            <w:top w:w="0" w:type="dxa"/>
            <w:left w:w="0" w:type="dxa"/>
            <w:bottom w:w="0" w:type="dxa"/>
            <w:right w:w="0" w:type="dxa"/>
          </w:tblCellMar>
        </w:tblPrEx>
        <w:trPr>
          <w:jc w:val="center"/>
        </w:trPr>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71DB9AF">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B06CB17">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4A5FB2C">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1052C5F">
            <w:pPr>
              <w:spacing w:line="360" w:lineRule="auto"/>
              <w:jc w:val="center"/>
              <w:rPr>
                <w:rFonts w:ascii="宋体" w:hAnsi="宋体" w:cs="宋体"/>
                <w:color w:val="auto"/>
                <w:kern w:val="0"/>
                <w:sz w:val="24"/>
                <w:highlight w:val="none"/>
              </w:rPr>
            </w:pPr>
          </w:p>
        </w:tc>
      </w:tr>
    </w:tbl>
    <w:p w14:paraId="3A3E3BFD">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注：</w:t>
      </w:r>
    </w:p>
    <w:p w14:paraId="523B70EF">
      <w:pPr>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2EBDCEA6">
      <w:pPr>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47A7053A">
      <w:pPr>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3.供应商不存在直接管理关系的，则在“</w:t>
      </w:r>
      <w:r>
        <w:rPr>
          <w:rFonts w:hint="eastAsia" w:ascii="宋体" w:hAnsi="宋体" w:cs="宋体"/>
          <w:b/>
          <w:bCs/>
          <w:color w:val="auto"/>
          <w:kern w:val="0"/>
          <w:sz w:val="24"/>
          <w:highlight w:val="none"/>
        </w:rPr>
        <w:t>直接管理关系单位名称</w:t>
      </w:r>
      <w:r>
        <w:rPr>
          <w:rFonts w:hint="eastAsia" w:ascii="宋体" w:hAnsi="宋体"/>
          <w:color w:val="auto"/>
          <w:sz w:val="24"/>
          <w:highlight w:val="none"/>
        </w:rPr>
        <w:t>”中填“无”。</w:t>
      </w:r>
    </w:p>
    <w:p w14:paraId="0148BFA1">
      <w:pPr>
        <w:snapToGrid w:val="0"/>
        <w:spacing w:line="360" w:lineRule="auto"/>
        <w:jc w:val="left"/>
        <w:rPr>
          <w:rFonts w:hint="eastAsia" w:ascii="宋体" w:hAnsi="宋体"/>
          <w:color w:val="auto"/>
          <w:sz w:val="24"/>
          <w:highlight w:val="none"/>
        </w:rPr>
      </w:pPr>
    </w:p>
    <w:p w14:paraId="546DE8C8">
      <w:pPr>
        <w:snapToGrid w:val="0"/>
        <w:spacing w:line="360" w:lineRule="auto"/>
        <w:jc w:val="left"/>
        <w:rPr>
          <w:rFonts w:hint="eastAsia" w:ascii="宋体" w:hAnsi="宋体"/>
          <w:color w:val="auto"/>
          <w:sz w:val="24"/>
          <w:highlight w:val="none"/>
        </w:rPr>
      </w:pPr>
    </w:p>
    <w:p w14:paraId="5FC23D65">
      <w:pPr>
        <w:snapToGrid w:val="0"/>
        <w:spacing w:line="360" w:lineRule="auto"/>
        <w:jc w:val="left"/>
        <w:rPr>
          <w:rFonts w:hint="eastAsia" w:ascii="宋体" w:hAnsi="宋体"/>
          <w:color w:val="auto"/>
          <w:sz w:val="24"/>
          <w:highlight w:val="none"/>
        </w:rPr>
      </w:pPr>
    </w:p>
    <w:p w14:paraId="749901D9">
      <w:pPr>
        <w:snapToGrid w:val="0"/>
        <w:spacing w:line="360" w:lineRule="auto"/>
        <w:jc w:val="left"/>
        <w:rPr>
          <w:rFonts w:hint="eastAsia" w:ascii="宋体" w:hAnsi="宋体"/>
          <w:color w:val="auto"/>
          <w:sz w:val="24"/>
          <w:highlight w:val="none"/>
        </w:rPr>
      </w:pPr>
    </w:p>
    <w:p w14:paraId="3C3353A9">
      <w:pPr>
        <w:snapToGrid w:val="0"/>
        <w:spacing w:line="360" w:lineRule="auto"/>
        <w:ind w:left="-2" w:leftChars="-1" w:right="-817" w:rightChars="-389"/>
        <w:rPr>
          <w:rFonts w:hint="eastAsia" w:ascii="宋体" w:hAnsi="宋体"/>
          <w:color w:val="auto"/>
          <w:sz w:val="24"/>
          <w:highlight w:val="none"/>
        </w:rPr>
      </w:pPr>
      <w:r>
        <w:rPr>
          <w:rFonts w:hint="eastAsia" w:ascii="宋体" w:hAnsi="宋体"/>
          <w:color w:val="auto"/>
          <w:sz w:val="24"/>
          <w:highlight w:val="none"/>
        </w:rPr>
        <w:t xml:space="preserve">                               法定代表人或者委托代理人（签字或者电子签名）： </w:t>
      </w:r>
    </w:p>
    <w:p w14:paraId="44613819">
      <w:pPr>
        <w:snapToGrid w:val="0"/>
        <w:spacing w:line="360" w:lineRule="auto"/>
        <w:ind w:left="-3" w:leftChars="-15" w:right="-817" w:rightChars="-389" w:hanging="28" w:hangingChars="12"/>
        <w:rPr>
          <w:rFonts w:hint="eastAsia" w:ascii="宋体" w:hAnsi="宋体"/>
          <w:color w:val="auto"/>
          <w:sz w:val="24"/>
          <w:highlight w:val="none"/>
        </w:rPr>
      </w:pPr>
      <w:r>
        <w:rPr>
          <w:rFonts w:hint="eastAsia" w:ascii="宋体" w:hAnsi="宋体"/>
          <w:color w:val="auto"/>
          <w:sz w:val="24"/>
          <w:highlight w:val="none"/>
        </w:rPr>
        <w:t xml:space="preserve">                                  投标人名称（</w:t>
      </w:r>
      <w:r>
        <w:rPr>
          <w:rFonts w:hint="eastAsia" w:ascii="宋体" w:hAnsi="宋体"/>
          <w:color w:val="auto"/>
          <w:sz w:val="24"/>
          <w:highlight w:val="none"/>
          <w:lang w:eastAsia="zh-CN"/>
        </w:rPr>
        <w:t>公章或电子签章</w:t>
      </w:r>
      <w:r>
        <w:rPr>
          <w:rFonts w:hint="eastAsia" w:ascii="宋体" w:hAnsi="宋体"/>
          <w:color w:val="auto"/>
          <w:sz w:val="24"/>
          <w:highlight w:val="none"/>
        </w:rPr>
        <w:t>）：</w:t>
      </w:r>
    </w:p>
    <w:p w14:paraId="4B41298E">
      <w:pPr>
        <w:snapToGrid w:val="0"/>
        <w:spacing w:line="360" w:lineRule="auto"/>
        <w:ind w:right="480" w:firstLine="240" w:firstLineChars="100"/>
        <w:jc w:val="left"/>
        <w:rPr>
          <w:rFonts w:hint="eastAsia" w:ascii="宋体" w:hAnsi="宋体"/>
          <w:color w:val="auto"/>
          <w:szCs w:val="21"/>
          <w:highlight w:val="none"/>
        </w:rPr>
      </w:pPr>
      <w:r>
        <w:rPr>
          <w:rFonts w:hint="eastAsia" w:ascii="宋体" w:hAnsi="宋体"/>
          <w:color w:val="auto"/>
          <w:sz w:val="24"/>
          <w:highlight w:val="none"/>
        </w:rPr>
        <w:t xml:space="preserve">                                日期：    年   月   日</w:t>
      </w:r>
    </w:p>
    <w:p w14:paraId="757C5238">
      <w:pPr>
        <w:snapToGrid w:val="0"/>
        <w:spacing w:before="120" w:beforeLines="50" w:after="50"/>
        <w:jc w:val="left"/>
        <w:rPr>
          <w:rFonts w:hint="eastAsia" w:ascii="宋体" w:hAnsi="宋体"/>
          <w:b/>
          <w:color w:val="auto"/>
          <w:sz w:val="24"/>
          <w:szCs w:val="20"/>
          <w:highlight w:val="none"/>
        </w:rPr>
      </w:pPr>
    </w:p>
    <w:p w14:paraId="114EBE17">
      <w:pPr>
        <w:numPr>
          <w:ilvl w:val="2"/>
          <w:numId w:val="15"/>
        </w:numPr>
        <w:snapToGrid w:val="0"/>
        <w:spacing w:before="120" w:beforeLines="50" w:after="50"/>
        <w:ind w:left="0" w:firstLine="0"/>
        <w:jc w:val="left"/>
        <w:rPr>
          <w:rFonts w:hint="eastAsia" w:ascii="宋体" w:hAnsi="宋体"/>
          <w:b/>
          <w:color w:val="auto"/>
          <w:sz w:val="24"/>
          <w:szCs w:val="20"/>
          <w:highlight w:val="none"/>
        </w:rPr>
      </w:pPr>
      <w:r>
        <w:rPr>
          <w:rFonts w:ascii="宋体" w:hAnsi="宋体"/>
          <w:b/>
          <w:color w:val="auto"/>
          <w:sz w:val="24"/>
          <w:highlight w:val="none"/>
        </w:rPr>
        <w:br w:type="page"/>
      </w:r>
      <w:r>
        <w:rPr>
          <w:rFonts w:hint="eastAsia" w:ascii="宋体" w:hAnsi="宋体"/>
          <w:b/>
          <w:color w:val="auto"/>
          <w:sz w:val="24"/>
          <w:highlight w:val="none"/>
        </w:rPr>
        <w:t>投标声明</w:t>
      </w:r>
    </w:p>
    <w:p w14:paraId="74812359">
      <w:pPr>
        <w:snapToGrid w:val="0"/>
        <w:spacing w:before="50" w:after="120" w:afterLines="50"/>
        <w:jc w:val="left"/>
        <w:rPr>
          <w:rFonts w:hint="eastAsia" w:ascii="宋体" w:hAnsi="宋体"/>
          <w:color w:val="auto"/>
          <w:highlight w:val="none"/>
        </w:rPr>
      </w:pPr>
    </w:p>
    <w:p w14:paraId="20AAD283">
      <w:pPr>
        <w:snapToGrid w:val="0"/>
        <w:spacing w:before="50" w:after="120" w:afterLines="50"/>
        <w:jc w:val="center"/>
        <w:rPr>
          <w:rFonts w:hint="eastAsia" w:ascii="宋体" w:hAnsi="宋体" w:cs="方正小标宋简体"/>
          <w:bCs/>
          <w:color w:val="auto"/>
          <w:sz w:val="44"/>
          <w:szCs w:val="44"/>
          <w:highlight w:val="none"/>
        </w:rPr>
      </w:pPr>
      <w:r>
        <w:rPr>
          <w:rFonts w:hint="eastAsia" w:ascii="宋体" w:hAnsi="宋体" w:cs="方正小标宋简体"/>
          <w:bCs/>
          <w:color w:val="auto"/>
          <w:sz w:val="44"/>
          <w:szCs w:val="44"/>
          <w:highlight w:val="none"/>
        </w:rPr>
        <w:t>投标声明</w:t>
      </w:r>
    </w:p>
    <w:p w14:paraId="1D6DB500">
      <w:pPr>
        <w:spacing w:line="400" w:lineRule="exact"/>
        <w:contextualSpacing/>
        <w:jc w:val="left"/>
        <w:rPr>
          <w:rFonts w:hint="eastAsia" w:ascii="宋体" w:hAnsi="宋体"/>
          <w:color w:val="auto"/>
          <w:sz w:val="24"/>
          <w:highlight w:val="none"/>
        </w:rPr>
      </w:pPr>
      <w:r>
        <w:rPr>
          <w:rFonts w:hint="eastAsia" w:ascii="宋体" w:hAnsi="宋体"/>
          <w:color w:val="auto"/>
          <w:sz w:val="24"/>
          <w:highlight w:val="none"/>
        </w:rPr>
        <w:t>（采购人名称）：</w:t>
      </w:r>
    </w:p>
    <w:p w14:paraId="4535B77F">
      <w:pPr>
        <w:spacing w:line="400" w:lineRule="exact"/>
        <w:ind w:firstLine="523" w:firstLineChars="218"/>
        <w:contextualSpacing/>
        <w:jc w:val="left"/>
        <w:rPr>
          <w:rFonts w:hint="eastAsia" w:ascii="宋体" w:hAnsi="宋体"/>
          <w:color w:val="auto"/>
          <w:sz w:val="24"/>
          <w:highlight w:val="none"/>
        </w:rPr>
      </w:pPr>
      <w:r>
        <w:rPr>
          <w:rFonts w:hint="eastAsia" w:ascii="宋体" w:hAnsi="宋体"/>
          <w:color w:val="auto"/>
          <w:sz w:val="24"/>
          <w:highlight w:val="none"/>
        </w:rPr>
        <w:t>我方参加贵单位组织</w:t>
      </w:r>
      <w:r>
        <w:rPr>
          <w:rFonts w:hint="eastAsia" w:ascii="宋体" w:hAnsi="宋体"/>
          <w:color w:val="auto"/>
          <w:sz w:val="24"/>
          <w:highlight w:val="none"/>
          <w:u w:val="single"/>
        </w:rPr>
        <w:t xml:space="preserve">             </w:t>
      </w:r>
      <w:r>
        <w:rPr>
          <w:rFonts w:hint="eastAsia" w:ascii="宋体" w:hAnsi="宋体"/>
          <w:color w:val="auto"/>
          <w:sz w:val="24"/>
          <w:highlight w:val="none"/>
        </w:rPr>
        <w:t>项目（项目编号：</w:t>
      </w:r>
      <w:r>
        <w:rPr>
          <w:rFonts w:hint="eastAsia" w:ascii="宋体" w:hAnsi="宋体"/>
          <w:color w:val="auto"/>
          <w:sz w:val="24"/>
          <w:highlight w:val="none"/>
          <w:u w:val="single"/>
        </w:rPr>
        <w:t xml:space="preserve">       </w:t>
      </w:r>
      <w:r>
        <w:rPr>
          <w:rFonts w:hint="eastAsia" w:ascii="宋体" w:hAnsi="宋体"/>
          <w:color w:val="auto"/>
          <w:sz w:val="24"/>
          <w:highlight w:val="none"/>
        </w:rPr>
        <w:t>）的政府采购活动。我方在此郑重声明：</w:t>
      </w:r>
    </w:p>
    <w:p w14:paraId="2A588CF1">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6AF48C40">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2.我方不是为本次采购项目提供整体设计、规范编制或者项目管理、监理、检测等服务的供应商。</w:t>
      </w:r>
    </w:p>
    <w:p w14:paraId="2B115B83">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3. 我方承诺符合《中华人民共和国政府采购法》第二十二条规定：</w:t>
      </w:r>
    </w:p>
    <w:p w14:paraId="2CC52672">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（一）具有独立承担民事责任的能力；</w:t>
      </w:r>
    </w:p>
    <w:p w14:paraId="38C6EF90">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（二）具有良好的商业信誉和健全的财务会计制度；</w:t>
      </w:r>
    </w:p>
    <w:p w14:paraId="7AB6A2E2">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（三）具有履行合同所必需的设备和专业技术能力；</w:t>
      </w:r>
    </w:p>
    <w:p w14:paraId="1F95CF57">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（四）有依法缴纳税收和社会保障资金的良好记录；</w:t>
      </w:r>
    </w:p>
    <w:p w14:paraId="65A9D937">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（五）参加政府采购活动前三年内，在经营活动中没有重大违法记录；</w:t>
      </w:r>
    </w:p>
    <w:p w14:paraId="30D15853">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（六）法律、行政法规规定的其他条件。</w:t>
      </w:r>
    </w:p>
    <w:p w14:paraId="6DAA1DAC">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4.以上事项如有虚假或者隐瞒，我方愿意承担一切后果，并不再寻求任何旨在减轻或者免除法律责任的辩解。</w:t>
      </w:r>
    </w:p>
    <w:p w14:paraId="24F41299">
      <w:pPr>
        <w:spacing w:line="400" w:lineRule="exact"/>
        <w:contextualSpacing/>
        <w:jc w:val="left"/>
        <w:rPr>
          <w:rFonts w:ascii="宋体" w:hAnsi="宋体"/>
          <w:color w:val="auto"/>
          <w:sz w:val="24"/>
          <w:highlight w:val="none"/>
        </w:rPr>
      </w:pPr>
      <w:r>
        <w:rPr>
          <w:rFonts w:hint="eastAsia" w:ascii="宋体" w:hAnsi="宋体"/>
          <w:color w:val="auto"/>
          <w:sz w:val="24"/>
          <w:highlight w:val="none"/>
        </w:rPr>
        <w:t xml:space="preserve">    特此承诺。</w:t>
      </w:r>
    </w:p>
    <w:p w14:paraId="47C9D7F2">
      <w:pPr>
        <w:spacing w:line="400" w:lineRule="exact"/>
        <w:contextualSpacing/>
        <w:jc w:val="left"/>
        <w:rPr>
          <w:rFonts w:hint="eastAsia" w:ascii="宋体" w:hAnsi="宋体"/>
          <w:color w:val="auto"/>
          <w:sz w:val="24"/>
          <w:highlight w:val="none"/>
        </w:rPr>
      </w:pPr>
      <w:r>
        <w:rPr>
          <w:rFonts w:hint="eastAsia" w:ascii="宋体" w:hAnsi="宋体"/>
          <w:b/>
          <w:color w:val="auto"/>
          <w:sz w:val="24"/>
          <w:highlight w:val="none"/>
        </w:rPr>
        <w:t xml:space="preserve">    </w:t>
      </w:r>
      <w:r>
        <w:rPr>
          <w:rFonts w:hint="eastAsia" w:ascii="宋体" w:hAnsi="宋体"/>
          <w:color w:val="auto"/>
          <w:sz w:val="24"/>
          <w:highlight w:val="none"/>
        </w:rPr>
        <w:t xml:space="preserve">            法定代表人（签字或者盖章或者电子签名）：</w:t>
      </w:r>
      <w:r>
        <w:rPr>
          <w:rFonts w:hint="eastAsia" w:ascii="宋体" w:hAnsi="宋体"/>
          <w:color w:val="auto"/>
          <w:sz w:val="24"/>
          <w:highlight w:val="none"/>
          <w:u w:val="single"/>
        </w:rPr>
        <w:t xml:space="preserve">             </w:t>
      </w:r>
    </w:p>
    <w:p w14:paraId="156AFEF0">
      <w:pPr>
        <w:spacing w:line="400" w:lineRule="exact"/>
        <w:contextualSpacing/>
        <w:jc w:val="left"/>
        <w:rPr>
          <w:rFonts w:hint="eastAsia" w:ascii="宋体" w:hAnsi="宋体"/>
          <w:color w:val="auto"/>
          <w:sz w:val="24"/>
          <w:highlight w:val="none"/>
        </w:rPr>
      </w:pPr>
      <w:r>
        <w:rPr>
          <w:rFonts w:hint="eastAsia" w:ascii="宋体" w:hAnsi="宋体"/>
          <w:color w:val="auto"/>
          <w:sz w:val="24"/>
          <w:highlight w:val="none"/>
        </w:rPr>
        <w:t xml:space="preserve">                           投标人名称（</w:t>
      </w:r>
      <w:r>
        <w:rPr>
          <w:rFonts w:hint="eastAsia" w:ascii="宋体" w:hAnsi="宋体"/>
          <w:color w:val="auto"/>
          <w:sz w:val="24"/>
          <w:highlight w:val="none"/>
          <w:lang w:eastAsia="zh-CN"/>
        </w:rPr>
        <w:t>公章或电子签章</w:t>
      </w:r>
      <w:r>
        <w:rPr>
          <w:rFonts w:hint="eastAsia" w:ascii="宋体" w:hAnsi="宋体"/>
          <w:color w:val="auto"/>
          <w:sz w:val="24"/>
          <w:highlight w:val="none"/>
        </w:rPr>
        <w:t>）：</w:t>
      </w:r>
      <w:r>
        <w:rPr>
          <w:rFonts w:hint="eastAsia" w:ascii="宋体" w:hAnsi="宋体"/>
          <w:color w:val="auto"/>
          <w:sz w:val="24"/>
          <w:highlight w:val="none"/>
          <w:u w:val="single"/>
        </w:rPr>
        <w:t xml:space="preserve">                 </w:t>
      </w:r>
    </w:p>
    <w:p w14:paraId="61011EA0">
      <w:pPr>
        <w:spacing w:line="400" w:lineRule="exact"/>
        <w:contextualSpacing/>
        <w:jc w:val="left"/>
        <w:rPr>
          <w:rFonts w:ascii="宋体" w:hAnsi="宋体"/>
          <w:color w:val="auto"/>
          <w:sz w:val="24"/>
          <w:highlight w:val="none"/>
        </w:rPr>
      </w:pPr>
      <w:r>
        <w:rPr>
          <w:rFonts w:hint="eastAsia" w:ascii="宋体" w:hAnsi="宋体"/>
          <w:color w:val="auto"/>
          <w:sz w:val="24"/>
          <w:highlight w:val="none"/>
        </w:rPr>
        <w:t xml:space="preserve">                                                  年    月    日</w:t>
      </w:r>
    </w:p>
    <w:p w14:paraId="27DC77AC">
      <w:pPr>
        <w:spacing w:line="400" w:lineRule="exact"/>
        <w:contextualSpacing/>
        <w:jc w:val="left"/>
        <w:rPr>
          <w:rFonts w:ascii="宋体" w:hAnsi="宋体"/>
          <w:color w:val="auto"/>
          <w:sz w:val="24"/>
          <w:highlight w:val="none"/>
        </w:rPr>
      </w:pPr>
    </w:p>
    <w:p w14:paraId="7C4851E1">
      <w:pPr>
        <w:spacing w:line="400" w:lineRule="exact"/>
        <w:contextualSpacing/>
        <w:jc w:val="left"/>
        <w:rPr>
          <w:rFonts w:ascii="宋体" w:hAnsi="宋体"/>
          <w:color w:val="auto"/>
          <w:sz w:val="24"/>
          <w:highlight w:val="none"/>
        </w:rPr>
      </w:pPr>
    </w:p>
    <w:p w14:paraId="2DC4A837">
      <w:pPr>
        <w:spacing w:line="400" w:lineRule="exact"/>
        <w:contextualSpacing/>
        <w:jc w:val="left"/>
        <w:rPr>
          <w:rFonts w:ascii="宋体" w:hAnsi="宋体"/>
          <w:color w:val="auto"/>
          <w:sz w:val="24"/>
          <w:highlight w:val="none"/>
        </w:rPr>
      </w:pPr>
    </w:p>
    <w:p w14:paraId="26C7E262">
      <w:pPr>
        <w:spacing w:line="400" w:lineRule="exact"/>
        <w:contextualSpacing/>
        <w:jc w:val="left"/>
        <w:rPr>
          <w:rFonts w:ascii="宋体" w:hAnsi="宋体"/>
          <w:color w:val="auto"/>
          <w:sz w:val="24"/>
          <w:highlight w:val="none"/>
        </w:rPr>
      </w:pPr>
    </w:p>
    <w:p w14:paraId="4231640D">
      <w:pPr>
        <w:spacing w:line="400" w:lineRule="exact"/>
        <w:contextualSpacing/>
        <w:jc w:val="left"/>
        <w:rPr>
          <w:rFonts w:ascii="宋体" w:hAnsi="宋体"/>
          <w:color w:val="auto"/>
          <w:sz w:val="24"/>
          <w:highlight w:val="none"/>
        </w:rPr>
      </w:pPr>
    </w:p>
    <w:p w14:paraId="4133F83E">
      <w:pPr>
        <w:spacing w:line="400" w:lineRule="exact"/>
        <w:contextualSpacing/>
        <w:jc w:val="left"/>
        <w:rPr>
          <w:rFonts w:ascii="宋体" w:hAnsi="宋体"/>
          <w:color w:val="auto"/>
          <w:sz w:val="24"/>
          <w:highlight w:val="none"/>
        </w:rPr>
      </w:pPr>
    </w:p>
    <w:p w14:paraId="26FD208B">
      <w:pPr>
        <w:spacing w:line="400" w:lineRule="exact"/>
        <w:contextualSpacing/>
        <w:jc w:val="left"/>
        <w:rPr>
          <w:rFonts w:ascii="宋体" w:hAnsi="宋体"/>
          <w:color w:val="auto"/>
          <w:sz w:val="24"/>
          <w:highlight w:val="none"/>
        </w:rPr>
      </w:pPr>
    </w:p>
    <w:p w14:paraId="34E232D6">
      <w:pPr>
        <w:spacing w:line="400" w:lineRule="exact"/>
        <w:contextualSpacing/>
        <w:jc w:val="left"/>
        <w:rPr>
          <w:rFonts w:ascii="宋体" w:hAnsi="宋体"/>
          <w:color w:val="auto"/>
          <w:sz w:val="24"/>
          <w:highlight w:val="none"/>
        </w:rPr>
      </w:pPr>
    </w:p>
    <w:p w14:paraId="4087A5E2">
      <w:pPr>
        <w:spacing w:line="400" w:lineRule="exact"/>
        <w:contextualSpacing/>
        <w:jc w:val="left"/>
        <w:rPr>
          <w:rFonts w:ascii="宋体" w:hAnsi="宋体"/>
          <w:color w:val="auto"/>
          <w:sz w:val="24"/>
          <w:highlight w:val="none"/>
        </w:rPr>
      </w:pPr>
    </w:p>
    <w:p w14:paraId="3C4B8B80">
      <w:pPr>
        <w:spacing w:line="400" w:lineRule="exact"/>
        <w:contextualSpacing/>
        <w:jc w:val="left"/>
        <w:rPr>
          <w:rFonts w:ascii="宋体" w:hAnsi="宋体"/>
          <w:color w:val="auto"/>
          <w:sz w:val="24"/>
          <w:highlight w:val="none"/>
        </w:rPr>
      </w:pPr>
    </w:p>
    <w:p w14:paraId="4BA8CD86">
      <w:pPr>
        <w:spacing w:line="400" w:lineRule="exact"/>
        <w:contextualSpacing/>
        <w:jc w:val="left"/>
        <w:rPr>
          <w:rFonts w:ascii="宋体" w:hAnsi="宋体"/>
          <w:color w:val="auto"/>
          <w:sz w:val="24"/>
          <w:highlight w:val="none"/>
        </w:rPr>
      </w:pPr>
    </w:p>
    <w:p w14:paraId="0453643F">
      <w:pPr>
        <w:numPr>
          <w:ilvl w:val="0"/>
          <w:numId w:val="0"/>
        </w:numPr>
        <w:snapToGrid w:val="0"/>
        <w:spacing w:before="120" w:beforeLines="50" w:after="50"/>
        <w:ind w:leftChars="0"/>
        <w:jc w:val="left"/>
        <w:rPr>
          <w:rFonts w:hint="eastAsia" w:ascii="宋体" w:hAnsi="宋体" w:eastAsia="宋体" w:cs="Times New Roman"/>
          <w:b/>
          <w:color w:val="auto"/>
          <w:sz w:val="24"/>
          <w:highlight w:val="none"/>
        </w:rPr>
      </w:pPr>
      <w:r>
        <w:rPr>
          <w:rFonts w:hint="eastAsia" w:ascii="宋体" w:hAnsi="宋体" w:eastAsia="宋体" w:cs="Times New Roman"/>
          <w:b/>
          <w:color w:val="auto"/>
          <w:sz w:val="24"/>
          <w:highlight w:val="none"/>
          <w:lang w:val="en-US" w:eastAsia="zh-CN"/>
        </w:rPr>
        <w:t>5.</w:t>
      </w:r>
      <w:r>
        <w:rPr>
          <w:rFonts w:hint="eastAsia" w:ascii="宋体" w:hAnsi="宋体" w:eastAsia="宋体" w:cs="Times New Roman"/>
          <w:b/>
          <w:color w:val="auto"/>
          <w:sz w:val="24"/>
          <w:highlight w:val="none"/>
        </w:rPr>
        <w:t xml:space="preserve"> 防城港市政府采购供应商信用承诺函（格式）</w:t>
      </w:r>
    </w:p>
    <w:p w14:paraId="670AED28">
      <w:pPr>
        <w:pStyle w:val="18"/>
        <w:spacing w:before="317" w:line="219" w:lineRule="auto"/>
        <w:jc w:val="center"/>
        <w:rPr>
          <w:rFonts w:hint="eastAsia" w:ascii="宋体" w:hAnsi="宋体" w:eastAsia="宋体" w:cs="Times New Roman"/>
          <w:b/>
          <w:color w:val="auto"/>
          <w:sz w:val="36"/>
          <w:szCs w:val="36"/>
          <w:highlight w:val="none"/>
        </w:rPr>
      </w:pPr>
    </w:p>
    <w:p w14:paraId="0B848493">
      <w:pPr>
        <w:pStyle w:val="18"/>
        <w:spacing w:before="317" w:line="219" w:lineRule="auto"/>
        <w:jc w:val="center"/>
        <w:rPr>
          <w:color w:val="auto"/>
          <w:spacing w:val="-1"/>
          <w:sz w:val="36"/>
          <w:szCs w:val="36"/>
          <w:highlight w:val="none"/>
        </w:rPr>
      </w:pPr>
      <w:r>
        <w:rPr>
          <w:rFonts w:hint="eastAsia" w:ascii="宋体" w:hAnsi="宋体" w:eastAsia="宋体" w:cs="Times New Roman"/>
          <w:b/>
          <w:color w:val="auto"/>
          <w:sz w:val="36"/>
          <w:szCs w:val="36"/>
          <w:highlight w:val="none"/>
        </w:rPr>
        <w:t>防城港市政府采购供应商信用承诺函</w:t>
      </w:r>
    </w:p>
    <w:p w14:paraId="14383ED9">
      <w:pPr>
        <w:pStyle w:val="18"/>
        <w:spacing w:before="317" w:line="219" w:lineRule="auto"/>
        <w:rPr>
          <w:color w:val="auto"/>
          <w:sz w:val="24"/>
          <w:szCs w:val="24"/>
          <w:highlight w:val="none"/>
        </w:rPr>
      </w:pPr>
      <w:r>
        <w:rPr>
          <w:color w:val="auto"/>
          <w:spacing w:val="-1"/>
          <w:sz w:val="24"/>
          <w:szCs w:val="24"/>
          <w:highlight w:val="none"/>
        </w:rPr>
        <w:t>致（采购人或采购代理机构</w:t>
      </w:r>
      <w:r>
        <w:rPr>
          <w:color w:val="auto"/>
          <w:sz w:val="24"/>
          <w:szCs w:val="24"/>
          <w:highlight w:val="none"/>
        </w:rPr>
        <w:t>）</w:t>
      </w:r>
      <w:r>
        <w:rPr>
          <w:color w:val="auto"/>
          <w:spacing w:val="1"/>
          <w:sz w:val="24"/>
          <w:szCs w:val="24"/>
          <w:highlight w:val="none"/>
        </w:rPr>
        <w:t xml:space="preserve"> </w:t>
      </w:r>
      <w:r>
        <w:rPr>
          <w:color w:val="auto"/>
          <w:sz w:val="24"/>
          <w:szCs w:val="24"/>
          <w:highlight w:val="none"/>
        </w:rPr>
        <w:t>：</w:t>
      </w:r>
    </w:p>
    <w:p w14:paraId="1ED36535">
      <w:pPr>
        <w:pStyle w:val="18"/>
        <w:spacing w:before="182" w:line="359" w:lineRule="auto"/>
        <w:ind w:left="1" w:right="51" w:firstLine="480"/>
        <w:jc w:val="both"/>
        <w:rPr>
          <w:color w:val="auto"/>
          <w:sz w:val="24"/>
          <w:szCs w:val="24"/>
          <w:highlight w:val="none"/>
        </w:rPr>
      </w:pPr>
      <w:r>
        <w:rPr>
          <w:color w:val="auto"/>
          <w:spacing w:val="-1"/>
          <w:sz w:val="24"/>
          <w:szCs w:val="24"/>
          <w:highlight w:val="none"/>
        </w:rPr>
        <w:t>我方自愿参加</w:t>
      </w:r>
      <w:r>
        <w:rPr>
          <w:color w:val="auto"/>
          <w:spacing w:val="-1"/>
          <w:sz w:val="24"/>
          <w:szCs w:val="24"/>
          <w:highlight w:val="none"/>
          <w:u w:val="single" w:color="auto"/>
        </w:rPr>
        <w:t xml:space="preserve"> （项目名称） </w:t>
      </w:r>
      <w:r>
        <w:rPr>
          <w:color w:val="auto"/>
          <w:spacing w:val="-106"/>
          <w:sz w:val="24"/>
          <w:szCs w:val="24"/>
          <w:highlight w:val="none"/>
        </w:rPr>
        <w:t xml:space="preserve"> </w:t>
      </w:r>
      <w:r>
        <w:rPr>
          <w:color w:val="auto"/>
          <w:spacing w:val="-1"/>
          <w:sz w:val="24"/>
          <w:szCs w:val="24"/>
          <w:highlight w:val="none"/>
        </w:rPr>
        <w:t>项目（</w:t>
      </w:r>
      <w:r>
        <w:rPr>
          <w:color w:val="auto"/>
          <w:spacing w:val="-1"/>
          <w:sz w:val="24"/>
          <w:szCs w:val="24"/>
          <w:highlight w:val="none"/>
          <w:u w:val="single" w:color="auto"/>
        </w:rPr>
        <w:t>项目编号</w:t>
      </w:r>
      <w:r>
        <w:rPr>
          <w:color w:val="auto"/>
          <w:spacing w:val="-2"/>
          <w:sz w:val="24"/>
          <w:szCs w:val="24"/>
          <w:highlight w:val="none"/>
          <w:u w:val="single" w:color="auto"/>
        </w:rPr>
        <w:t>：</w:t>
      </w:r>
      <w:r>
        <w:rPr>
          <w:color w:val="auto"/>
          <w:spacing w:val="15"/>
          <w:sz w:val="24"/>
          <w:szCs w:val="24"/>
          <w:highlight w:val="none"/>
          <w:u w:val="single" w:color="auto"/>
        </w:rPr>
        <w:t xml:space="preserve">        </w:t>
      </w:r>
      <w:r>
        <w:rPr>
          <w:color w:val="auto"/>
          <w:spacing w:val="-85"/>
          <w:sz w:val="24"/>
          <w:szCs w:val="24"/>
          <w:highlight w:val="none"/>
        </w:rPr>
        <w:t xml:space="preserve"> </w:t>
      </w:r>
      <w:r>
        <w:rPr>
          <w:color w:val="auto"/>
          <w:spacing w:val="-2"/>
          <w:sz w:val="24"/>
          <w:szCs w:val="24"/>
          <w:highlight w:val="none"/>
        </w:rPr>
        <w:t>）</w:t>
      </w:r>
      <w:r>
        <w:rPr>
          <w:color w:val="auto"/>
          <w:spacing w:val="-1"/>
          <w:sz w:val="24"/>
          <w:szCs w:val="24"/>
          <w:highlight w:val="none"/>
        </w:rPr>
        <w:t>的政府采购活动，</w:t>
      </w:r>
      <w:r>
        <w:rPr>
          <w:color w:val="auto"/>
          <w:spacing w:val="-3"/>
          <w:sz w:val="24"/>
          <w:szCs w:val="24"/>
          <w:highlight w:val="none"/>
        </w:rPr>
        <w:t>严格遵守《中华人民共和国政府采购法》及相关法律法规，依法诚信经营，无条件遵</w:t>
      </w:r>
      <w:r>
        <w:rPr>
          <w:color w:val="auto"/>
          <w:spacing w:val="-1"/>
          <w:sz w:val="24"/>
          <w:szCs w:val="24"/>
          <w:highlight w:val="none"/>
        </w:rPr>
        <w:t>守本次政府采购活动的各项规定，并郑重承诺：</w:t>
      </w:r>
    </w:p>
    <w:p w14:paraId="54998113">
      <w:pPr>
        <w:pStyle w:val="18"/>
        <w:spacing w:before="182" w:line="359" w:lineRule="auto"/>
        <w:ind w:left="1" w:right="51" w:firstLine="480"/>
        <w:jc w:val="both"/>
        <w:rPr>
          <w:rFonts w:ascii="Times New Roman" w:hAnsi="Times New Roman" w:eastAsia="宋体" w:cs="Times New Roman"/>
          <w:color w:val="auto"/>
          <w:spacing w:val="-1"/>
          <w:sz w:val="24"/>
          <w:szCs w:val="24"/>
          <w:highlight w:val="none"/>
        </w:rPr>
      </w:pPr>
      <w:r>
        <w:rPr>
          <w:rFonts w:ascii="Times New Roman" w:hAnsi="Times New Roman" w:eastAsia="宋体" w:cs="Times New Roman"/>
          <w:color w:val="auto"/>
          <w:spacing w:val="-1"/>
          <w:sz w:val="24"/>
          <w:szCs w:val="24"/>
          <w:highlight w:val="none"/>
        </w:rPr>
        <w:t>1.我方具有符合招标文件资格要求的财务状况报告。</w:t>
      </w:r>
    </w:p>
    <w:p w14:paraId="4B318BE5">
      <w:pPr>
        <w:pStyle w:val="18"/>
        <w:spacing w:before="182" w:line="359" w:lineRule="auto"/>
        <w:ind w:left="1" w:right="51" w:firstLine="480"/>
        <w:jc w:val="both"/>
        <w:rPr>
          <w:rFonts w:ascii="Times New Roman" w:hAnsi="Times New Roman" w:eastAsia="宋体" w:cs="Times New Roman"/>
          <w:color w:val="auto"/>
          <w:spacing w:val="-1"/>
          <w:sz w:val="24"/>
          <w:szCs w:val="24"/>
          <w:highlight w:val="none"/>
        </w:rPr>
      </w:pPr>
      <w:r>
        <w:rPr>
          <w:rFonts w:ascii="Times New Roman" w:hAnsi="Times New Roman" w:eastAsia="宋体" w:cs="Times New Roman"/>
          <w:color w:val="auto"/>
          <w:spacing w:val="-1"/>
          <w:sz w:val="24"/>
          <w:szCs w:val="24"/>
          <w:highlight w:val="none"/>
        </w:rPr>
        <w:t>2.我方具有符合招标文件资格要求的依法缴纳税收和社会保障资金的良好记录。</w:t>
      </w:r>
    </w:p>
    <w:p w14:paraId="509894C6">
      <w:pPr>
        <w:pStyle w:val="18"/>
        <w:spacing w:before="182" w:line="359" w:lineRule="auto"/>
        <w:ind w:left="1" w:right="51" w:firstLine="480"/>
        <w:jc w:val="both"/>
        <w:rPr>
          <w:rFonts w:ascii="Times New Roman" w:hAnsi="Times New Roman" w:eastAsia="宋体" w:cs="Times New Roman"/>
          <w:color w:val="auto"/>
          <w:spacing w:val="-1"/>
          <w:sz w:val="24"/>
          <w:szCs w:val="24"/>
          <w:highlight w:val="none"/>
        </w:rPr>
      </w:pPr>
      <w:r>
        <w:rPr>
          <w:rFonts w:ascii="Times New Roman" w:hAnsi="Times New Roman" w:eastAsia="宋体" w:cs="Times New Roman"/>
          <w:color w:val="auto"/>
          <w:spacing w:val="-1"/>
          <w:sz w:val="24"/>
          <w:szCs w:val="24"/>
          <w:highlight w:val="none"/>
        </w:rPr>
        <w:t>3.我方参加政府采购活动前三年内在经营活动中没有重大违法记录。</w:t>
      </w:r>
    </w:p>
    <w:p w14:paraId="76F24E9E">
      <w:pPr>
        <w:pStyle w:val="18"/>
        <w:spacing w:before="182" w:line="359" w:lineRule="auto"/>
        <w:ind w:left="1" w:right="51" w:firstLine="480"/>
        <w:jc w:val="both"/>
        <w:rPr>
          <w:color w:val="auto"/>
          <w:sz w:val="24"/>
          <w:szCs w:val="24"/>
          <w:highlight w:val="none"/>
        </w:rPr>
      </w:pPr>
      <w:r>
        <w:rPr>
          <w:rFonts w:ascii="Times New Roman" w:hAnsi="Times New Roman" w:eastAsia="宋体" w:cs="Times New Roman"/>
          <w:color w:val="auto"/>
          <w:spacing w:val="-1"/>
          <w:sz w:val="24"/>
          <w:szCs w:val="24"/>
          <w:highlight w:val="none"/>
        </w:rPr>
        <w:t>我方对以上承诺内容的真实性负责。如有虚假，将依法承担相应责任。</w:t>
      </w:r>
    </w:p>
    <w:p w14:paraId="37104805">
      <w:pPr>
        <w:spacing w:line="258" w:lineRule="auto"/>
        <w:rPr>
          <w:rFonts w:ascii="Arial"/>
          <w:color w:val="auto"/>
          <w:sz w:val="21"/>
          <w:highlight w:val="none"/>
        </w:rPr>
      </w:pPr>
    </w:p>
    <w:p w14:paraId="7112C82B">
      <w:pPr>
        <w:spacing w:line="258" w:lineRule="auto"/>
        <w:rPr>
          <w:rFonts w:ascii="Arial"/>
          <w:color w:val="auto"/>
          <w:sz w:val="21"/>
          <w:highlight w:val="none"/>
        </w:rPr>
      </w:pPr>
    </w:p>
    <w:p w14:paraId="0864C6A9">
      <w:pPr>
        <w:spacing w:line="258" w:lineRule="auto"/>
        <w:rPr>
          <w:rFonts w:ascii="Arial"/>
          <w:color w:val="auto"/>
          <w:sz w:val="21"/>
          <w:highlight w:val="none"/>
        </w:rPr>
      </w:pPr>
    </w:p>
    <w:p w14:paraId="12032BEB">
      <w:pPr>
        <w:spacing w:line="258" w:lineRule="auto"/>
        <w:rPr>
          <w:rFonts w:ascii="Arial"/>
          <w:color w:val="auto"/>
          <w:sz w:val="21"/>
          <w:highlight w:val="none"/>
        </w:rPr>
      </w:pPr>
    </w:p>
    <w:p w14:paraId="539298CA">
      <w:pPr>
        <w:pStyle w:val="18"/>
        <w:spacing w:before="78" w:line="219" w:lineRule="auto"/>
        <w:rPr>
          <w:color w:val="auto"/>
          <w:sz w:val="24"/>
          <w:szCs w:val="24"/>
          <w:highlight w:val="none"/>
        </w:rPr>
      </w:pPr>
      <w:r>
        <w:rPr>
          <w:color w:val="auto"/>
          <w:spacing w:val="-1"/>
          <w:sz w:val="24"/>
          <w:szCs w:val="24"/>
          <w:highlight w:val="none"/>
        </w:rPr>
        <w:t>供应商名称（</w:t>
      </w:r>
      <w:r>
        <w:rPr>
          <w:rFonts w:hint="eastAsia"/>
          <w:color w:val="auto"/>
          <w:spacing w:val="-1"/>
          <w:sz w:val="24"/>
          <w:szCs w:val="24"/>
          <w:highlight w:val="none"/>
          <w:lang w:eastAsia="zh-CN"/>
        </w:rPr>
        <w:t>公章或电子签章</w:t>
      </w:r>
      <w:r>
        <w:rPr>
          <w:color w:val="auto"/>
          <w:sz w:val="24"/>
          <w:szCs w:val="24"/>
          <w:highlight w:val="none"/>
        </w:rPr>
        <w:t>）：</w:t>
      </w:r>
    </w:p>
    <w:p w14:paraId="7EA98F52">
      <w:pPr>
        <w:pStyle w:val="18"/>
        <w:spacing w:before="181" w:line="219" w:lineRule="auto"/>
        <w:ind w:left="6"/>
        <w:rPr>
          <w:color w:val="auto"/>
          <w:sz w:val="24"/>
          <w:szCs w:val="24"/>
          <w:highlight w:val="none"/>
        </w:rPr>
      </w:pPr>
      <w:r>
        <w:rPr>
          <w:color w:val="auto"/>
          <w:spacing w:val="-2"/>
          <w:sz w:val="24"/>
          <w:szCs w:val="24"/>
          <w:highlight w:val="none"/>
        </w:rPr>
        <w:t>统一社会信用代码：</w:t>
      </w:r>
    </w:p>
    <w:p w14:paraId="1778E124">
      <w:pPr>
        <w:pStyle w:val="18"/>
        <w:spacing w:before="184" w:line="219" w:lineRule="auto"/>
        <w:ind w:left="1"/>
        <w:rPr>
          <w:color w:val="auto"/>
          <w:sz w:val="24"/>
          <w:szCs w:val="24"/>
          <w:highlight w:val="none"/>
        </w:rPr>
      </w:pPr>
      <w:r>
        <w:rPr>
          <w:color w:val="auto"/>
          <w:spacing w:val="-1"/>
          <w:sz w:val="24"/>
          <w:szCs w:val="24"/>
          <w:highlight w:val="none"/>
        </w:rPr>
        <w:t>法定代表人或授权代表(签字或者电子签名</w:t>
      </w:r>
      <w:r>
        <w:rPr>
          <w:rFonts w:hint="eastAsia"/>
          <w:color w:val="auto"/>
          <w:spacing w:val="-1"/>
          <w:sz w:val="24"/>
          <w:szCs w:val="24"/>
          <w:highlight w:val="none"/>
          <w:lang w:eastAsia="zh-CN"/>
        </w:rPr>
        <w:t>）</w:t>
      </w:r>
      <w:r>
        <w:rPr>
          <w:color w:val="auto"/>
          <w:spacing w:val="-1"/>
          <w:sz w:val="24"/>
          <w:szCs w:val="24"/>
          <w:highlight w:val="none"/>
        </w:rPr>
        <w:t>：</w:t>
      </w:r>
    </w:p>
    <w:p w14:paraId="149FE3EA">
      <w:pPr>
        <w:pStyle w:val="18"/>
        <w:spacing w:before="184" w:line="219" w:lineRule="auto"/>
        <w:ind w:left="42"/>
        <w:rPr>
          <w:color w:val="auto"/>
          <w:sz w:val="24"/>
          <w:szCs w:val="24"/>
          <w:highlight w:val="none"/>
        </w:rPr>
      </w:pPr>
      <w:r>
        <w:rPr>
          <w:color w:val="auto"/>
          <w:spacing w:val="-13"/>
          <w:sz w:val="24"/>
          <w:szCs w:val="24"/>
          <w:highlight w:val="none"/>
        </w:rPr>
        <w:t>日期：</w:t>
      </w:r>
      <w:r>
        <w:rPr>
          <w:color w:val="auto"/>
          <w:spacing w:val="11"/>
          <w:sz w:val="24"/>
          <w:szCs w:val="24"/>
          <w:highlight w:val="none"/>
        </w:rPr>
        <w:t xml:space="preserve"> </w:t>
      </w:r>
      <w:r>
        <w:rPr>
          <w:color w:val="auto"/>
          <w:spacing w:val="-13"/>
          <w:sz w:val="24"/>
          <w:szCs w:val="24"/>
          <w:highlight w:val="none"/>
        </w:rPr>
        <w:t>年</w:t>
      </w:r>
      <w:r>
        <w:rPr>
          <w:color w:val="auto"/>
          <w:spacing w:val="15"/>
          <w:sz w:val="24"/>
          <w:szCs w:val="24"/>
          <w:highlight w:val="none"/>
        </w:rPr>
        <w:t xml:space="preserve"> </w:t>
      </w:r>
      <w:r>
        <w:rPr>
          <w:color w:val="auto"/>
          <w:spacing w:val="-13"/>
          <w:sz w:val="24"/>
          <w:szCs w:val="24"/>
          <w:highlight w:val="none"/>
        </w:rPr>
        <w:t>月</w:t>
      </w:r>
      <w:r>
        <w:rPr>
          <w:color w:val="auto"/>
          <w:spacing w:val="51"/>
          <w:sz w:val="24"/>
          <w:szCs w:val="24"/>
          <w:highlight w:val="none"/>
        </w:rPr>
        <w:t xml:space="preserve"> </w:t>
      </w:r>
      <w:r>
        <w:rPr>
          <w:color w:val="auto"/>
          <w:spacing w:val="-13"/>
          <w:sz w:val="24"/>
          <w:szCs w:val="24"/>
          <w:highlight w:val="none"/>
        </w:rPr>
        <w:t>日</w:t>
      </w:r>
    </w:p>
    <w:p w14:paraId="157EC8DD">
      <w:pPr>
        <w:spacing w:line="283" w:lineRule="auto"/>
        <w:rPr>
          <w:rFonts w:ascii="Arial"/>
          <w:color w:val="auto"/>
          <w:sz w:val="21"/>
          <w:highlight w:val="none"/>
        </w:rPr>
      </w:pPr>
    </w:p>
    <w:p w14:paraId="0070A3B4">
      <w:pPr>
        <w:spacing w:line="284" w:lineRule="auto"/>
        <w:rPr>
          <w:rFonts w:ascii="Arial"/>
          <w:color w:val="auto"/>
          <w:sz w:val="21"/>
          <w:highlight w:val="none"/>
        </w:rPr>
      </w:pPr>
    </w:p>
    <w:p w14:paraId="298AB250">
      <w:pPr>
        <w:pStyle w:val="18"/>
        <w:spacing w:before="78" w:line="358" w:lineRule="auto"/>
        <w:ind w:right="51"/>
        <w:rPr>
          <w:color w:val="auto"/>
          <w:sz w:val="24"/>
          <w:szCs w:val="24"/>
          <w:highlight w:val="none"/>
        </w:rPr>
      </w:pPr>
      <w:r>
        <w:rPr>
          <w:color w:val="auto"/>
          <w:spacing w:val="-3"/>
          <w:sz w:val="24"/>
          <w:szCs w:val="24"/>
          <w:highlight w:val="none"/>
        </w:rPr>
        <w:t>注：1.供应商须在投标文件中按此模板提供承诺函，未提供视为未实质性响应招标文</w:t>
      </w:r>
      <w:r>
        <w:rPr>
          <w:color w:val="auto"/>
          <w:spacing w:val="-1"/>
          <w:sz w:val="24"/>
          <w:szCs w:val="24"/>
          <w:highlight w:val="none"/>
        </w:rPr>
        <w:t>件要求，按无效响应处理。</w:t>
      </w:r>
    </w:p>
    <w:p w14:paraId="222E3AD9">
      <w:pPr>
        <w:spacing w:line="400" w:lineRule="exact"/>
        <w:contextualSpacing/>
        <w:jc w:val="left"/>
        <w:rPr>
          <w:rFonts w:ascii="宋体" w:hAnsi="宋体"/>
          <w:color w:val="auto"/>
          <w:sz w:val="24"/>
          <w:highlight w:val="none"/>
        </w:rPr>
      </w:pPr>
      <w:r>
        <w:rPr>
          <w:color w:val="auto"/>
          <w:spacing w:val="-1"/>
          <w:sz w:val="24"/>
          <w:szCs w:val="24"/>
          <w:highlight w:val="none"/>
        </w:rPr>
        <w:t>2.供应商的法定代表人（其他组织的为负责人）</w:t>
      </w:r>
      <w:r>
        <w:rPr>
          <w:color w:val="auto"/>
          <w:spacing w:val="-2"/>
          <w:sz w:val="24"/>
          <w:szCs w:val="24"/>
          <w:highlight w:val="none"/>
        </w:rPr>
        <w:t>或者授权代表的签名或盖章应真实、</w:t>
      </w:r>
      <w:r>
        <w:rPr>
          <w:color w:val="auto"/>
          <w:sz w:val="24"/>
          <w:szCs w:val="24"/>
          <w:highlight w:val="none"/>
        </w:rPr>
        <w:t>有效，如由授权代表签名或盖章的，应提供</w:t>
      </w:r>
      <w:r>
        <w:rPr>
          <w:color w:val="auto"/>
          <w:spacing w:val="-1"/>
          <w:sz w:val="24"/>
          <w:szCs w:val="24"/>
          <w:highlight w:val="none"/>
        </w:rPr>
        <w:t>“法定代表人授权书</w:t>
      </w:r>
      <w:r>
        <w:rPr>
          <w:color w:val="auto"/>
          <w:spacing w:val="-88"/>
          <w:sz w:val="24"/>
          <w:szCs w:val="24"/>
          <w:highlight w:val="none"/>
        </w:rPr>
        <w:t xml:space="preserve"> </w:t>
      </w:r>
      <w:r>
        <w:rPr>
          <w:color w:val="auto"/>
          <w:spacing w:val="-1"/>
          <w:sz w:val="24"/>
          <w:szCs w:val="24"/>
          <w:highlight w:val="none"/>
        </w:rPr>
        <w:t>”。</w:t>
      </w:r>
    </w:p>
    <w:p w14:paraId="0F218FA8">
      <w:pPr>
        <w:spacing w:line="400" w:lineRule="exact"/>
        <w:contextualSpacing/>
        <w:jc w:val="left"/>
        <w:rPr>
          <w:rFonts w:ascii="宋体" w:hAnsi="宋体"/>
          <w:color w:val="auto"/>
          <w:sz w:val="24"/>
          <w:highlight w:val="none"/>
        </w:rPr>
      </w:pPr>
    </w:p>
    <w:p w14:paraId="0DCA73BA">
      <w:pPr>
        <w:spacing w:line="400" w:lineRule="exact"/>
        <w:contextualSpacing/>
        <w:jc w:val="left"/>
        <w:rPr>
          <w:rFonts w:ascii="宋体" w:hAnsi="宋体"/>
          <w:color w:val="auto"/>
          <w:sz w:val="24"/>
          <w:highlight w:val="none"/>
        </w:rPr>
      </w:pPr>
    </w:p>
    <w:p w14:paraId="4F20BD3D">
      <w:pPr>
        <w:spacing w:line="400" w:lineRule="exact"/>
        <w:contextualSpacing/>
        <w:jc w:val="left"/>
        <w:rPr>
          <w:rFonts w:ascii="宋体" w:hAnsi="宋体"/>
          <w:color w:val="auto"/>
          <w:sz w:val="24"/>
          <w:highlight w:val="none"/>
        </w:rPr>
      </w:pPr>
    </w:p>
    <w:p w14:paraId="6650AF75">
      <w:pPr>
        <w:spacing w:line="400" w:lineRule="exact"/>
        <w:contextualSpacing/>
        <w:jc w:val="left"/>
        <w:rPr>
          <w:rFonts w:ascii="宋体" w:hAnsi="宋体"/>
          <w:color w:val="auto"/>
          <w:sz w:val="24"/>
          <w:highlight w:val="none"/>
        </w:rPr>
      </w:pPr>
    </w:p>
    <w:p w14:paraId="0BADE49E">
      <w:pPr>
        <w:spacing w:line="400" w:lineRule="exact"/>
        <w:contextualSpacing/>
        <w:jc w:val="left"/>
        <w:rPr>
          <w:rFonts w:ascii="宋体" w:hAnsi="宋体"/>
          <w:color w:val="auto"/>
          <w:sz w:val="24"/>
          <w:highlight w:val="none"/>
        </w:rPr>
      </w:pPr>
    </w:p>
    <w:p w14:paraId="268FDAFD">
      <w:pPr>
        <w:spacing w:line="400" w:lineRule="exact"/>
        <w:contextualSpacing/>
        <w:jc w:val="left"/>
        <w:rPr>
          <w:rFonts w:ascii="宋体" w:hAnsi="宋体"/>
          <w:color w:val="auto"/>
          <w:sz w:val="24"/>
          <w:highlight w:val="none"/>
        </w:rPr>
      </w:pPr>
    </w:p>
    <w:p w14:paraId="5CF7837F">
      <w:pPr>
        <w:spacing w:line="400" w:lineRule="exact"/>
        <w:contextualSpacing/>
        <w:jc w:val="left"/>
        <w:rPr>
          <w:rFonts w:ascii="宋体" w:hAnsi="宋体"/>
          <w:b/>
          <w:color w:val="auto"/>
          <w:sz w:val="28"/>
          <w:szCs w:val="28"/>
          <w:highlight w:val="none"/>
        </w:rPr>
      </w:pPr>
      <w:bookmarkStart w:id="180" w:name="_Toc19686838"/>
    </w:p>
    <w:p w14:paraId="4E784695">
      <w:pPr>
        <w:snapToGrid w:val="0"/>
        <w:spacing w:before="120" w:beforeLines="50" w:after="50"/>
        <w:jc w:val="left"/>
        <w:rPr>
          <w:rFonts w:hint="eastAsia" w:ascii="宋体" w:hAnsi="宋体" w:eastAsia="宋体" w:cs="Times New Roman"/>
          <w:color w:val="auto"/>
          <w:highlight w:val="none"/>
        </w:rPr>
      </w:pPr>
      <w:r>
        <w:rPr>
          <w:rFonts w:hint="eastAsia" w:ascii="宋体" w:hAnsi="宋体"/>
          <w:b/>
          <w:color w:val="auto"/>
          <w:sz w:val="28"/>
          <w:szCs w:val="28"/>
          <w:highlight w:val="none"/>
        </w:rPr>
        <w:br w:type="page"/>
      </w:r>
      <w:r>
        <w:rPr>
          <w:rFonts w:hint="eastAsia" w:ascii="宋体" w:hAnsi="宋体" w:eastAsia="宋体" w:cs="Times New Roman"/>
          <w:b/>
          <w:color w:val="auto"/>
          <w:sz w:val="24"/>
          <w:highlight w:val="none"/>
          <w:lang w:val="en-US" w:eastAsia="zh-CN"/>
        </w:rPr>
        <w:t>6</w:t>
      </w:r>
      <w:r>
        <w:rPr>
          <w:rFonts w:hint="eastAsia" w:ascii="宋体" w:hAnsi="宋体" w:eastAsia="宋体" w:cs="Times New Roman"/>
          <w:b/>
          <w:color w:val="auto"/>
          <w:sz w:val="24"/>
          <w:highlight w:val="none"/>
        </w:rPr>
        <w:t>.中小企业声明函格式</w:t>
      </w:r>
    </w:p>
    <w:p w14:paraId="18A62D0A">
      <w:pPr>
        <w:rPr>
          <w:rFonts w:hint="eastAsia" w:ascii="宋体" w:hAnsi="宋体" w:eastAsia="宋体" w:cs="Times New Roman"/>
          <w:color w:val="auto"/>
          <w:highlight w:val="none"/>
        </w:rPr>
      </w:pPr>
    </w:p>
    <w:p w14:paraId="42ECC339">
      <w:pPr>
        <w:snapToGrid w:val="0"/>
        <w:spacing w:before="50" w:after="120" w:afterLines="50"/>
        <w:jc w:val="center"/>
        <w:rPr>
          <w:rFonts w:hint="eastAsia" w:ascii="宋体" w:hAnsi="宋体" w:eastAsia="宋体" w:cs="方正小标宋简体"/>
          <w:bCs/>
          <w:color w:val="auto"/>
          <w:sz w:val="44"/>
          <w:szCs w:val="44"/>
          <w:highlight w:val="none"/>
        </w:rPr>
      </w:pPr>
      <w:r>
        <w:rPr>
          <w:rFonts w:hint="eastAsia" w:ascii="宋体" w:hAnsi="宋体" w:eastAsia="宋体" w:cs="方正小标宋简体"/>
          <w:bCs/>
          <w:color w:val="auto"/>
          <w:sz w:val="44"/>
          <w:szCs w:val="44"/>
          <w:highlight w:val="none"/>
        </w:rPr>
        <w:t>中小企业声明函（服务）</w:t>
      </w:r>
    </w:p>
    <w:p w14:paraId="25D4C587">
      <w:pPr>
        <w:spacing w:before="2" w:line="500" w:lineRule="exact"/>
        <w:rPr>
          <w:rFonts w:ascii="宋体" w:hAnsi="宋体" w:eastAsia="宋体" w:cs="宋体"/>
          <w:b/>
          <w:bCs/>
          <w:color w:val="auto"/>
          <w:sz w:val="24"/>
          <w:highlight w:val="none"/>
        </w:rPr>
      </w:pPr>
    </w:p>
    <w:p w14:paraId="2A90FD7D">
      <w:pPr>
        <w:spacing w:line="500" w:lineRule="exact"/>
        <w:ind w:right="142" w:firstLine="480" w:firstLineChars="200"/>
        <w:rPr>
          <w:rFonts w:ascii="宋体" w:hAnsi="宋体" w:eastAsia="宋体" w:cs="Times New Roman"/>
          <w:color w:val="auto"/>
          <w:kern w:val="0"/>
          <w:sz w:val="24"/>
          <w:highlight w:val="none"/>
        </w:rPr>
      </w:pPr>
      <w:r>
        <w:rPr>
          <w:rFonts w:ascii="宋体" w:hAnsi="宋体" w:eastAsia="宋体" w:cs="Times New Roman"/>
          <w:color w:val="auto"/>
          <w:kern w:val="0"/>
          <w:sz w:val="24"/>
          <w:highlight w:val="none"/>
        </w:rPr>
        <w:t>本公司（联合体）郑重声明，根据《政府采购促进中小企业发展管理办法》（财库﹝2020﹞46号）的规定，本公司（联合体）参加</w:t>
      </w:r>
      <w:r>
        <w:rPr>
          <w:rFonts w:ascii="宋体" w:hAnsi="宋体" w:eastAsia="宋体" w:cs="Times New Roman"/>
          <w:color w:val="auto"/>
          <w:kern w:val="0"/>
          <w:sz w:val="24"/>
          <w:highlight w:val="none"/>
          <w:u w:val="single"/>
        </w:rPr>
        <w:t>（单位名称）</w:t>
      </w:r>
      <w:r>
        <w:rPr>
          <w:rFonts w:ascii="宋体" w:hAnsi="宋体" w:eastAsia="宋体" w:cs="Times New Roman"/>
          <w:color w:val="auto"/>
          <w:kern w:val="0"/>
          <w:sz w:val="24"/>
          <w:highlight w:val="none"/>
        </w:rPr>
        <w:t>的</w:t>
      </w:r>
      <w:r>
        <w:rPr>
          <w:rFonts w:ascii="宋体" w:hAnsi="宋体" w:eastAsia="宋体" w:cs="Times New Roman"/>
          <w:color w:val="auto"/>
          <w:kern w:val="0"/>
          <w:sz w:val="24"/>
          <w:highlight w:val="none"/>
          <w:u w:val="single"/>
        </w:rPr>
        <w:t>（项目名称）</w:t>
      </w:r>
      <w:r>
        <w:rPr>
          <w:rFonts w:ascii="宋体" w:hAnsi="宋体" w:eastAsia="宋体" w:cs="Times New Roman"/>
          <w:color w:val="auto"/>
          <w:kern w:val="0"/>
          <w:sz w:val="24"/>
          <w:highlight w:val="none"/>
        </w:rPr>
        <w:t>采购活动，</w:t>
      </w:r>
      <w:r>
        <w:rPr>
          <w:rFonts w:hint="eastAsia" w:ascii="宋体" w:hAnsi="宋体" w:eastAsia="宋体" w:cs="Times New Roman"/>
          <w:color w:val="auto"/>
          <w:kern w:val="0"/>
          <w:sz w:val="24"/>
          <w:highlight w:val="none"/>
        </w:rPr>
        <w:t>服务全部由符合政策要求的中小企业承接。相关企业（含联合体中的中小企业、签订分包意向协议的中小企业）的具体情况如下：</w:t>
      </w:r>
    </w:p>
    <w:p w14:paraId="6EABF145">
      <w:pPr>
        <w:tabs>
          <w:tab w:val="left" w:pos="1384"/>
          <w:tab w:val="left" w:pos="4562"/>
          <w:tab w:val="left" w:pos="6803"/>
        </w:tabs>
        <w:spacing w:before="13" w:line="500" w:lineRule="exact"/>
        <w:ind w:right="142" w:firstLine="686" w:firstLineChars="286"/>
        <w:rPr>
          <w:rFonts w:ascii="宋体" w:hAnsi="宋体" w:eastAsia="宋体" w:cs="Times New Roman"/>
          <w:color w:val="auto"/>
          <w:sz w:val="24"/>
          <w:highlight w:val="none"/>
        </w:rPr>
      </w:pPr>
      <w:r>
        <w:rPr>
          <w:rFonts w:ascii="宋体" w:hAnsi="宋体" w:eastAsia="宋体" w:cs="Times New Roman"/>
          <w:color w:val="auto"/>
          <w:sz w:val="24"/>
          <w:highlight w:val="none"/>
        </w:rPr>
        <w:t>1.</w:t>
      </w:r>
      <w:r>
        <w:rPr>
          <w:rFonts w:ascii="宋体" w:hAnsi="宋体" w:eastAsia="宋体" w:cs="Times New Roman"/>
          <w:color w:val="auto"/>
          <w:sz w:val="24"/>
          <w:highlight w:val="none"/>
          <w:u w:val="single"/>
        </w:rPr>
        <w:t>（标的名称）</w:t>
      </w:r>
      <w:r>
        <w:rPr>
          <w:rFonts w:ascii="宋体" w:hAnsi="宋体" w:eastAsia="宋体" w:cs="Times New Roman"/>
          <w:color w:val="auto"/>
          <w:sz w:val="24"/>
          <w:highlight w:val="none"/>
        </w:rPr>
        <w:t>，属于</w:t>
      </w:r>
      <w:r>
        <w:rPr>
          <w:rFonts w:ascii="宋体" w:hAnsi="宋体" w:eastAsia="宋体" w:cs="Times New Roman"/>
          <w:color w:val="auto"/>
          <w:sz w:val="24"/>
          <w:highlight w:val="none"/>
          <w:u w:val="single"/>
        </w:rPr>
        <w:t>（采购文件中明确的所属</w:t>
      </w:r>
      <w:r>
        <w:rPr>
          <w:rFonts w:hint="eastAsia" w:ascii="宋体" w:hAnsi="宋体" w:eastAsia="宋体" w:cs="Times New Roman"/>
          <w:color w:val="auto"/>
          <w:sz w:val="24"/>
          <w:highlight w:val="none"/>
          <w:u w:val="single"/>
        </w:rPr>
        <w:t>行</w:t>
      </w:r>
      <w:r>
        <w:rPr>
          <w:rFonts w:ascii="宋体" w:hAnsi="宋体" w:eastAsia="宋体" w:cs="Times New Roman"/>
          <w:color w:val="auto"/>
          <w:sz w:val="24"/>
          <w:highlight w:val="none"/>
          <w:u w:val="single"/>
        </w:rPr>
        <w:t>业）</w:t>
      </w:r>
      <w:r>
        <w:rPr>
          <w:rFonts w:ascii="宋体" w:hAnsi="宋体" w:eastAsia="宋体" w:cs="Times New Roman"/>
          <w:color w:val="auto"/>
          <w:sz w:val="24"/>
          <w:highlight w:val="none"/>
        </w:rPr>
        <w:t>；</w:t>
      </w:r>
      <w:r>
        <w:rPr>
          <w:rFonts w:hint="eastAsia" w:ascii="宋体" w:hAnsi="宋体" w:eastAsia="宋体" w:cs="Times New Roman"/>
          <w:color w:val="auto"/>
          <w:sz w:val="24"/>
          <w:highlight w:val="none"/>
        </w:rPr>
        <w:t>承接企业为</w:t>
      </w:r>
      <w:r>
        <w:rPr>
          <w:rFonts w:hint="eastAsia" w:ascii="宋体" w:hAnsi="宋体" w:eastAsia="宋体" w:cs="Times New Roman"/>
          <w:color w:val="auto"/>
          <w:sz w:val="24"/>
          <w:highlight w:val="none"/>
          <w:u w:val="single"/>
        </w:rPr>
        <w:t>（企业名称）</w:t>
      </w:r>
      <w:r>
        <w:rPr>
          <w:rFonts w:hint="eastAsia" w:ascii="宋体" w:hAnsi="宋体" w:eastAsia="宋体" w:cs="Times New Roman"/>
          <w:color w:val="auto"/>
          <w:sz w:val="24"/>
          <w:highlight w:val="none"/>
        </w:rPr>
        <w:t>，从业人员</w:t>
      </w:r>
      <w:r>
        <w:rPr>
          <w:rFonts w:hint="eastAsia" w:ascii="宋体" w:hAnsi="宋体" w:eastAsia="宋体" w:cs="Times New Roman"/>
          <w:color w:val="auto"/>
          <w:sz w:val="24"/>
          <w:highlight w:val="none"/>
          <w:u w:val="single"/>
        </w:rPr>
        <w:t xml:space="preserve"> </w:t>
      </w:r>
      <w:r>
        <w:rPr>
          <w:rFonts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人，营业收入为</w:t>
      </w:r>
      <w:r>
        <w:rPr>
          <w:rFonts w:hint="eastAsia" w:ascii="宋体" w:hAnsi="宋体" w:eastAsia="宋体" w:cs="Times New Roman"/>
          <w:color w:val="auto"/>
          <w:sz w:val="24"/>
          <w:highlight w:val="none"/>
          <w:u w:val="single"/>
        </w:rPr>
        <w:t xml:space="preserve"> </w:t>
      </w:r>
      <w:r>
        <w:rPr>
          <w:rFonts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万元，资产总额为</w:t>
      </w:r>
      <w:r>
        <w:rPr>
          <w:rFonts w:hint="eastAsia" w:ascii="宋体" w:hAnsi="宋体" w:eastAsia="宋体" w:cs="Times New Roman"/>
          <w:color w:val="auto"/>
          <w:sz w:val="24"/>
          <w:highlight w:val="none"/>
          <w:u w:val="single"/>
        </w:rPr>
        <w:t xml:space="preserve"> </w:t>
      </w:r>
      <w:r>
        <w:rPr>
          <w:rFonts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万元</w:t>
      </w:r>
      <w:r>
        <w:rPr>
          <w:rFonts w:ascii="宋体" w:hAnsi="宋体" w:eastAsia="宋体" w:cs="Times New Roman"/>
          <w:color w:val="auto"/>
          <w:sz w:val="24"/>
          <w:highlight w:val="none"/>
        </w:rPr>
        <w:t>，属于</w:t>
      </w:r>
      <w:r>
        <w:rPr>
          <w:rFonts w:ascii="宋体" w:hAnsi="宋体" w:eastAsia="宋体" w:cs="Times New Roman"/>
          <w:color w:val="auto"/>
          <w:sz w:val="24"/>
          <w:highlight w:val="none"/>
          <w:u w:val="single"/>
        </w:rPr>
        <w:t>（中型企业、</w:t>
      </w:r>
      <w:r>
        <w:rPr>
          <w:rFonts w:hint="eastAsia" w:ascii="宋体" w:hAnsi="宋体" w:eastAsia="宋体" w:cs="Times New Roman"/>
          <w:color w:val="auto"/>
          <w:sz w:val="24"/>
          <w:highlight w:val="none"/>
          <w:u w:val="single"/>
        </w:rPr>
        <w:t>小型企业、微型企业）</w:t>
      </w:r>
      <w:r>
        <w:rPr>
          <w:rFonts w:hint="eastAsia" w:ascii="宋体" w:hAnsi="宋体" w:eastAsia="宋体" w:cs="Times New Roman"/>
          <w:color w:val="auto"/>
          <w:sz w:val="24"/>
          <w:highlight w:val="none"/>
        </w:rPr>
        <w:t>；</w:t>
      </w:r>
    </w:p>
    <w:p w14:paraId="1D7DB4E5">
      <w:pPr>
        <w:tabs>
          <w:tab w:val="left" w:pos="1065"/>
          <w:tab w:val="left" w:pos="4262"/>
          <w:tab w:val="left" w:pos="6477"/>
        </w:tabs>
        <w:spacing w:before="20" w:line="500" w:lineRule="exact"/>
        <w:ind w:right="84" w:firstLine="686" w:firstLineChars="286"/>
        <w:rPr>
          <w:rFonts w:ascii="宋体" w:hAnsi="宋体" w:eastAsia="宋体" w:cs="Times New Roman"/>
          <w:color w:val="auto"/>
          <w:sz w:val="24"/>
          <w:highlight w:val="none"/>
          <w:u w:val="single"/>
        </w:rPr>
      </w:pPr>
      <w:r>
        <w:rPr>
          <w:rFonts w:ascii="宋体" w:hAnsi="宋体" w:eastAsia="宋体" w:cs="Times New Roman"/>
          <w:color w:val="auto"/>
          <w:sz w:val="24"/>
          <w:highlight w:val="none"/>
        </w:rPr>
        <w:t>2.</w:t>
      </w:r>
      <w:r>
        <w:rPr>
          <w:rFonts w:ascii="宋体" w:hAnsi="宋体" w:eastAsia="宋体" w:cs="Times New Roman"/>
          <w:color w:val="auto"/>
          <w:sz w:val="24"/>
          <w:highlight w:val="none"/>
          <w:u w:val="single"/>
        </w:rPr>
        <w:t>（标的名称）</w:t>
      </w:r>
      <w:r>
        <w:rPr>
          <w:rFonts w:ascii="宋体" w:hAnsi="宋体" w:eastAsia="宋体" w:cs="Times New Roman"/>
          <w:color w:val="auto"/>
          <w:sz w:val="24"/>
          <w:highlight w:val="none"/>
        </w:rPr>
        <w:t>，属于</w:t>
      </w:r>
      <w:r>
        <w:rPr>
          <w:rFonts w:ascii="宋体" w:hAnsi="宋体" w:eastAsia="宋体" w:cs="Times New Roman"/>
          <w:color w:val="auto"/>
          <w:sz w:val="24"/>
          <w:highlight w:val="none"/>
          <w:u w:val="single"/>
        </w:rPr>
        <w:t>（采购文件中明确的所属</w:t>
      </w:r>
      <w:r>
        <w:rPr>
          <w:rFonts w:hint="eastAsia" w:ascii="宋体" w:hAnsi="宋体" w:eastAsia="宋体" w:cs="Times New Roman"/>
          <w:color w:val="auto"/>
          <w:sz w:val="24"/>
          <w:highlight w:val="none"/>
          <w:u w:val="single"/>
        </w:rPr>
        <w:t>行业</w:t>
      </w:r>
      <w:r>
        <w:rPr>
          <w:rFonts w:ascii="宋体" w:hAnsi="宋体" w:eastAsia="宋体" w:cs="Times New Roman"/>
          <w:color w:val="auto"/>
          <w:sz w:val="24"/>
          <w:highlight w:val="none"/>
          <w:u w:val="single"/>
        </w:rPr>
        <w:t>）</w:t>
      </w:r>
      <w:r>
        <w:rPr>
          <w:rFonts w:ascii="宋体" w:hAnsi="宋体" w:eastAsia="宋体" w:cs="Times New Roman"/>
          <w:color w:val="auto"/>
          <w:sz w:val="24"/>
          <w:highlight w:val="none"/>
        </w:rPr>
        <w:t>；</w:t>
      </w:r>
      <w:r>
        <w:rPr>
          <w:rFonts w:hint="eastAsia" w:ascii="宋体" w:hAnsi="宋体" w:eastAsia="宋体" w:cs="Times New Roman"/>
          <w:color w:val="auto"/>
          <w:sz w:val="24"/>
          <w:highlight w:val="none"/>
        </w:rPr>
        <w:t>承接企业为</w:t>
      </w:r>
      <w:r>
        <w:rPr>
          <w:rFonts w:hint="eastAsia" w:ascii="宋体" w:hAnsi="宋体" w:eastAsia="宋体" w:cs="Times New Roman"/>
          <w:color w:val="auto"/>
          <w:sz w:val="24"/>
          <w:highlight w:val="none"/>
          <w:u w:val="single"/>
        </w:rPr>
        <w:t>（企业名称）</w:t>
      </w:r>
      <w:r>
        <w:rPr>
          <w:rFonts w:hint="eastAsia" w:ascii="宋体" w:hAnsi="宋体" w:eastAsia="宋体" w:cs="Times New Roman"/>
          <w:color w:val="auto"/>
          <w:sz w:val="24"/>
          <w:highlight w:val="none"/>
        </w:rPr>
        <w:t>，从业人员</w:t>
      </w:r>
      <w:r>
        <w:rPr>
          <w:rFonts w:hint="eastAsia" w:ascii="宋体" w:hAnsi="宋体" w:eastAsia="宋体" w:cs="Times New Roman"/>
          <w:color w:val="auto"/>
          <w:sz w:val="24"/>
          <w:highlight w:val="none"/>
          <w:u w:val="single"/>
        </w:rPr>
        <w:t xml:space="preserve"> </w:t>
      </w:r>
      <w:r>
        <w:rPr>
          <w:rFonts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人，营业收入为</w:t>
      </w:r>
      <w:r>
        <w:rPr>
          <w:rFonts w:hint="eastAsia" w:ascii="宋体" w:hAnsi="宋体" w:eastAsia="宋体" w:cs="Times New Roman"/>
          <w:color w:val="auto"/>
          <w:sz w:val="24"/>
          <w:highlight w:val="none"/>
          <w:u w:val="single"/>
        </w:rPr>
        <w:t xml:space="preserve"> </w:t>
      </w:r>
      <w:r>
        <w:rPr>
          <w:rFonts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万元，资产总额为</w:t>
      </w:r>
      <w:r>
        <w:rPr>
          <w:rFonts w:hint="eastAsia" w:ascii="宋体" w:hAnsi="宋体" w:eastAsia="宋体" w:cs="Times New Roman"/>
          <w:color w:val="auto"/>
          <w:sz w:val="24"/>
          <w:highlight w:val="none"/>
          <w:u w:val="single"/>
        </w:rPr>
        <w:t xml:space="preserve"> </w:t>
      </w:r>
      <w:r>
        <w:rPr>
          <w:rFonts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万元</w:t>
      </w:r>
      <w:r>
        <w:rPr>
          <w:rFonts w:ascii="宋体" w:hAnsi="宋体" w:eastAsia="宋体" w:cs="Times New Roman"/>
          <w:color w:val="auto"/>
          <w:sz w:val="24"/>
          <w:highlight w:val="none"/>
        </w:rPr>
        <w:t>，属于</w:t>
      </w:r>
      <w:r>
        <w:rPr>
          <w:rFonts w:ascii="宋体" w:hAnsi="宋体" w:eastAsia="宋体" w:cs="Times New Roman"/>
          <w:color w:val="auto"/>
          <w:sz w:val="24"/>
          <w:highlight w:val="none"/>
          <w:u w:val="single"/>
        </w:rPr>
        <w:t>（中型企业、</w:t>
      </w:r>
      <w:r>
        <w:rPr>
          <w:rFonts w:hint="eastAsia" w:ascii="宋体" w:hAnsi="宋体" w:eastAsia="宋体" w:cs="Times New Roman"/>
          <w:color w:val="auto"/>
          <w:sz w:val="24"/>
          <w:highlight w:val="none"/>
          <w:u w:val="single"/>
        </w:rPr>
        <w:t>小型企业、微型企业）</w:t>
      </w:r>
      <w:r>
        <w:rPr>
          <w:rFonts w:hint="eastAsia" w:ascii="宋体" w:hAnsi="宋体" w:eastAsia="宋体" w:cs="Times New Roman"/>
          <w:color w:val="auto"/>
          <w:sz w:val="24"/>
          <w:highlight w:val="none"/>
        </w:rPr>
        <w:t>；</w:t>
      </w:r>
    </w:p>
    <w:p w14:paraId="4D6F426D">
      <w:pPr>
        <w:spacing w:before="34" w:line="500" w:lineRule="exact"/>
        <w:ind w:left="765" w:right="142" w:hanging="5"/>
        <w:rPr>
          <w:rFonts w:ascii="宋体" w:hAnsi="宋体" w:eastAsia="宋体" w:cs="Times New Roman"/>
          <w:color w:val="auto"/>
          <w:kern w:val="0"/>
          <w:sz w:val="24"/>
          <w:highlight w:val="none"/>
        </w:rPr>
      </w:pPr>
      <w:r>
        <w:rPr>
          <w:rFonts w:ascii="宋体" w:hAnsi="宋体" w:eastAsia="宋体" w:cs="Times New Roman"/>
          <w:color w:val="auto"/>
          <w:kern w:val="0"/>
          <w:sz w:val="24"/>
          <w:highlight w:val="none"/>
        </w:rPr>
        <w:t xml:space="preserve">…… </w:t>
      </w:r>
    </w:p>
    <w:p w14:paraId="5EF83233">
      <w:pPr>
        <w:spacing w:before="34" w:line="500" w:lineRule="exact"/>
        <w:ind w:right="142" w:firstLine="480" w:firstLineChars="200"/>
        <w:rPr>
          <w:rFonts w:hint="eastAsia" w:ascii="宋体" w:hAnsi="宋体" w:eastAsia="宋体" w:cs="Times New Roman"/>
          <w:color w:val="auto"/>
          <w:kern w:val="0"/>
          <w:sz w:val="24"/>
          <w:highlight w:val="none"/>
        </w:rPr>
      </w:pPr>
      <w:r>
        <w:rPr>
          <w:rFonts w:ascii="宋体" w:hAnsi="宋体" w:eastAsia="宋体" w:cs="Times New Roman"/>
          <w:color w:val="auto"/>
          <w:kern w:val="0"/>
          <w:sz w:val="24"/>
          <w:highlight w:val="none"/>
        </w:rPr>
        <w:t>以上企业，不属于大企业的分支机构，不存在控股股东为大企业的情形，也不存在与大企业的负责人为同一人的情形。</w:t>
      </w:r>
    </w:p>
    <w:p w14:paraId="3F0F8461">
      <w:pPr>
        <w:spacing w:before="34" w:line="500" w:lineRule="exact"/>
        <w:ind w:right="142" w:firstLine="480" w:firstLineChars="200"/>
        <w:rPr>
          <w:rFonts w:ascii="宋体" w:hAnsi="宋体" w:eastAsia="宋体" w:cs="Times New Roman"/>
          <w:color w:val="auto"/>
          <w:kern w:val="0"/>
          <w:sz w:val="24"/>
          <w:highlight w:val="none"/>
        </w:rPr>
      </w:pPr>
      <w:r>
        <w:rPr>
          <w:rFonts w:ascii="宋体" w:hAnsi="宋体" w:eastAsia="宋体" w:cs="Times New Roman"/>
          <w:color w:val="auto"/>
          <w:kern w:val="0"/>
          <w:sz w:val="24"/>
          <w:highlight w:val="none"/>
        </w:rPr>
        <w:t>本企业对上述声明内容的真实性负责。如有虚假，将依法承担相应责任。</w:t>
      </w:r>
    </w:p>
    <w:p w14:paraId="37AFC0CC">
      <w:pPr>
        <w:spacing w:before="56" w:line="500" w:lineRule="exact"/>
        <w:ind w:left="3960" w:right="1808"/>
        <w:rPr>
          <w:rFonts w:ascii="宋体" w:hAnsi="宋体" w:eastAsia="宋体" w:cs="Times New Roman"/>
          <w:color w:val="auto"/>
          <w:kern w:val="0"/>
          <w:sz w:val="24"/>
          <w:highlight w:val="none"/>
        </w:rPr>
      </w:pPr>
      <w:r>
        <w:rPr>
          <w:rFonts w:ascii="宋体" w:hAnsi="宋体" w:eastAsia="宋体" w:cs="Times New Roman"/>
          <w:color w:val="auto"/>
          <w:kern w:val="24"/>
          <w:sz w:val="24"/>
          <w:highlight w:val="none"/>
        </w:rPr>
        <w:t>企业名称（</w:t>
      </w:r>
      <w:r>
        <w:rPr>
          <w:rFonts w:hint="eastAsia" w:ascii="宋体" w:hAnsi="宋体" w:eastAsia="宋体" w:cs="Times New Roman"/>
          <w:color w:val="auto"/>
          <w:kern w:val="24"/>
          <w:sz w:val="24"/>
          <w:highlight w:val="none"/>
          <w:lang w:eastAsia="zh-CN"/>
        </w:rPr>
        <w:t>公章或电子签章</w:t>
      </w:r>
      <w:r>
        <w:rPr>
          <w:rFonts w:ascii="宋体" w:hAnsi="宋体" w:eastAsia="宋体" w:cs="Times New Roman"/>
          <w:color w:val="auto"/>
          <w:kern w:val="24"/>
          <w:sz w:val="24"/>
          <w:highlight w:val="none"/>
        </w:rPr>
        <w:t>）：</w:t>
      </w:r>
      <w:r>
        <w:rPr>
          <w:rFonts w:ascii="宋体" w:hAnsi="宋体" w:eastAsia="宋体" w:cs="Times New Roman"/>
          <w:color w:val="auto"/>
          <w:kern w:val="0"/>
          <w:sz w:val="24"/>
          <w:highlight w:val="none"/>
        </w:rPr>
        <w:t xml:space="preserve"> </w:t>
      </w:r>
    </w:p>
    <w:p w14:paraId="0F0F2FB5">
      <w:pPr>
        <w:spacing w:before="56" w:line="500" w:lineRule="exact"/>
        <w:ind w:left="3960" w:right="1808"/>
        <w:rPr>
          <w:rFonts w:hint="eastAsia" w:ascii="宋体" w:hAnsi="宋体" w:eastAsia="宋体" w:cs="Times New Roman"/>
          <w:color w:val="auto"/>
          <w:kern w:val="0"/>
          <w:sz w:val="24"/>
          <w:highlight w:val="none"/>
        </w:rPr>
      </w:pPr>
      <w:r>
        <w:rPr>
          <w:rFonts w:ascii="宋体" w:hAnsi="宋体" w:eastAsia="宋体" w:cs="Times New Roman"/>
          <w:color w:val="auto"/>
          <w:kern w:val="0"/>
          <w:sz w:val="24"/>
          <w:highlight w:val="none"/>
        </w:rPr>
        <w:t>日 期：</w:t>
      </w:r>
      <w:r>
        <w:rPr>
          <w:rFonts w:hint="eastAsia" w:ascii="宋体" w:hAnsi="宋体" w:eastAsia="宋体" w:cs="Times New Roman"/>
          <w:color w:val="auto"/>
          <w:kern w:val="0"/>
          <w:sz w:val="24"/>
          <w:highlight w:val="none"/>
          <w:lang w:val="en-US" w:eastAsia="zh-CN"/>
        </w:rPr>
        <w:t xml:space="preserve">    </w:t>
      </w:r>
      <w:r>
        <w:rPr>
          <w:rFonts w:hint="eastAsia" w:ascii="宋体" w:hAnsi="宋体" w:eastAsia="宋体" w:cs="Times New Roman"/>
          <w:color w:val="auto"/>
          <w:sz w:val="24"/>
          <w:highlight w:val="none"/>
        </w:rPr>
        <w:t>年   月    日</w:t>
      </w:r>
    </w:p>
    <w:p w14:paraId="55FFE7B2">
      <w:pPr>
        <w:rPr>
          <w:rFonts w:hint="eastAsia" w:ascii="宋体" w:hAnsi="宋体" w:eastAsia="宋体" w:cs="Times New Roman"/>
          <w:color w:val="auto"/>
          <w:sz w:val="24"/>
          <w:highlight w:val="none"/>
        </w:rPr>
      </w:pPr>
      <w:r>
        <w:rPr>
          <w:rFonts w:hint="eastAsia" w:ascii="宋体" w:hAnsi="宋体" w:eastAsia="宋体" w:cs="Times New Roman"/>
          <w:color w:val="auto"/>
          <w:spacing w:val="6"/>
          <w:sz w:val="24"/>
          <w:highlight w:val="none"/>
        </w:rPr>
        <w:t xml:space="preserve"> </w:t>
      </w:r>
    </w:p>
    <w:p w14:paraId="5FF98996">
      <w:pPr>
        <w:snapToGrid w:val="0"/>
        <w:spacing w:before="120" w:beforeLines="50" w:after="50"/>
        <w:ind w:left="142"/>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注：享受《政府采购促进中小企业发展管理办法》（财库〔2020〕46号）规定的中小企业扶持政策的，采购人、采购代理机构应当随中标结果公开中标供应商的《中小企业声明函》。从业人员、营业收入、资产总额填报上一年度数据，无上一年度数据的新成立企业可不填报。</w:t>
      </w:r>
    </w:p>
    <w:p w14:paraId="7E829BF8">
      <w:pPr>
        <w:snapToGrid w:val="0"/>
        <w:spacing w:before="120" w:beforeLines="50" w:after="50"/>
        <w:ind w:left="142"/>
        <w:jc w:val="left"/>
        <w:rPr>
          <w:rFonts w:hint="eastAsia" w:ascii="宋体" w:hAnsi="宋体" w:eastAsia="宋体" w:cs="Times New Roman"/>
          <w:color w:val="auto"/>
          <w:sz w:val="24"/>
          <w:highlight w:val="none"/>
        </w:rPr>
      </w:pPr>
    </w:p>
    <w:p w14:paraId="046DD469">
      <w:pPr>
        <w:snapToGrid w:val="0"/>
        <w:spacing w:before="120" w:beforeLines="50" w:after="50"/>
        <w:ind w:left="142"/>
        <w:jc w:val="left"/>
        <w:rPr>
          <w:rFonts w:hint="eastAsia" w:ascii="宋体" w:hAnsi="宋体" w:eastAsia="宋体" w:cs="Times New Roman"/>
          <w:color w:val="auto"/>
          <w:sz w:val="24"/>
          <w:highlight w:val="none"/>
        </w:rPr>
      </w:pPr>
    </w:p>
    <w:p w14:paraId="2A1D46C9">
      <w:pPr>
        <w:snapToGrid w:val="0"/>
        <w:spacing w:before="120" w:beforeLines="50" w:after="50"/>
        <w:ind w:left="142"/>
        <w:jc w:val="left"/>
        <w:rPr>
          <w:rFonts w:hint="eastAsia" w:ascii="宋体" w:hAnsi="宋体" w:eastAsia="宋体" w:cs="Times New Roman"/>
          <w:color w:val="auto"/>
          <w:sz w:val="24"/>
          <w:highlight w:val="none"/>
        </w:rPr>
      </w:pPr>
    </w:p>
    <w:p w14:paraId="0C8615BC">
      <w:pPr>
        <w:snapToGrid w:val="0"/>
        <w:spacing w:before="120" w:beforeLines="50" w:after="50"/>
        <w:ind w:left="142"/>
        <w:jc w:val="left"/>
        <w:rPr>
          <w:rFonts w:hint="eastAsia" w:ascii="宋体" w:hAnsi="宋体" w:eastAsia="宋体" w:cs="Times New Roman"/>
          <w:color w:val="auto"/>
          <w:sz w:val="24"/>
          <w:highlight w:val="none"/>
        </w:rPr>
      </w:pPr>
    </w:p>
    <w:p w14:paraId="0F03EA7A">
      <w:pPr>
        <w:snapToGrid w:val="0"/>
        <w:spacing w:before="120" w:beforeLines="50" w:after="50"/>
        <w:ind w:left="142"/>
        <w:jc w:val="left"/>
        <w:rPr>
          <w:rFonts w:hint="eastAsia" w:ascii="宋体" w:hAnsi="宋体" w:eastAsia="宋体" w:cs="Times New Roman"/>
          <w:color w:val="auto"/>
          <w:sz w:val="24"/>
          <w:highlight w:val="none"/>
        </w:rPr>
      </w:pPr>
    </w:p>
    <w:p w14:paraId="432DAA5B">
      <w:pPr>
        <w:snapToGrid w:val="0"/>
        <w:spacing w:before="120" w:beforeLines="50" w:after="50"/>
        <w:ind w:left="142"/>
        <w:jc w:val="left"/>
        <w:rPr>
          <w:rFonts w:hint="eastAsia" w:ascii="宋体" w:hAnsi="宋体" w:eastAsia="宋体" w:cs="Times New Roman"/>
          <w:color w:val="auto"/>
          <w:sz w:val="24"/>
          <w:highlight w:val="none"/>
        </w:rPr>
      </w:pPr>
    </w:p>
    <w:p w14:paraId="0F4038F5">
      <w:pPr>
        <w:snapToGrid w:val="0"/>
        <w:spacing w:before="120" w:beforeLines="50" w:after="50"/>
        <w:ind w:left="142"/>
        <w:jc w:val="left"/>
        <w:rPr>
          <w:rFonts w:hint="eastAsia" w:ascii="宋体" w:hAnsi="宋体" w:eastAsia="宋体" w:cs="Times New Roman"/>
          <w:color w:val="auto"/>
          <w:sz w:val="24"/>
          <w:highlight w:val="none"/>
        </w:rPr>
      </w:pPr>
    </w:p>
    <w:p w14:paraId="4A9A6120">
      <w:pPr>
        <w:snapToGrid w:val="0"/>
        <w:spacing w:before="120" w:beforeLines="50" w:after="50"/>
        <w:ind w:left="142"/>
        <w:jc w:val="left"/>
        <w:rPr>
          <w:rFonts w:hint="eastAsia" w:ascii="宋体" w:hAnsi="宋体" w:eastAsia="宋体" w:cs="Times New Roman"/>
          <w:color w:val="auto"/>
          <w:sz w:val="24"/>
          <w:highlight w:val="none"/>
        </w:rPr>
      </w:pPr>
    </w:p>
    <w:p w14:paraId="07E43125">
      <w:pPr>
        <w:snapToGrid w:val="0"/>
        <w:spacing w:before="120" w:beforeLines="50" w:after="50"/>
        <w:ind w:left="142"/>
        <w:jc w:val="left"/>
        <w:rPr>
          <w:rFonts w:hint="eastAsia" w:ascii="宋体" w:hAnsi="宋体" w:eastAsia="宋体" w:cs="Times New Roman"/>
          <w:color w:val="auto"/>
          <w:sz w:val="24"/>
          <w:highlight w:val="none"/>
        </w:rPr>
      </w:pPr>
    </w:p>
    <w:p w14:paraId="1FCAC850">
      <w:pPr>
        <w:widowControl/>
        <w:spacing w:before="120" w:beforeLines="50" w:after="120" w:afterLines="50"/>
        <w:rPr>
          <w:b/>
          <w:bCs/>
          <w:color w:val="auto"/>
          <w:highlight w:val="none"/>
        </w:rPr>
      </w:pPr>
      <w:r>
        <w:rPr>
          <w:rFonts w:hint="eastAsia" w:hAnsi="宋体" w:cs="宋体"/>
          <w:b/>
          <w:bCs/>
          <w:color w:val="auto"/>
          <w:sz w:val="28"/>
          <w:szCs w:val="28"/>
          <w:highlight w:val="none"/>
        </w:rPr>
        <w:t>附表</w:t>
      </w:r>
    </w:p>
    <w:p w14:paraId="699DC8EF">
      <w:pPr>
        <w:widowControl/>
        <w:spacing w:before="120" w:beforeLines="50" w:after="120" w:afterLines="50" w:line="400" w:lineRule="exact"/>
        <w:jc w:val="center"/>
        <w:rPr>
          <w:b/>
          <w:bCs/>
          <w:color w:val="auto"/>
          <w:kern w:val="0"/>
          <w:sz w:val="28"/>
          <w:szCs w:val="28"/>
          <w:highlight w:val="none"/>
        </w:rPr>
      </w:pPr>
      <w:r>
        <w:rPr>
          <w:b/>
          <w:bCs/>
          <w:color w:val="auto"/>
          <w:kern w:val="0"/>
          <w:sz w:val="28"/>
          <w:szCs w:val="28"/>
          <w:highlight w:val="none"/>
        </w:rPr>
        <w:t>统计上大中小微型企业划分标准</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531"/>
        <w:gridCol w:w="709"/>
        <w:gridCol w:w="1125"/>
        <w:gridCol w:w="1701"/>
        <w:gridCol w:w="1426"/>
        <w:gridCol w:w="992"/>
      </w:tblGrid>
      <w:tr w14:paraId="3872F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1951" w:type="dxa"/>
            <w:shd w:val="clear" w:color="auto" w:fill="8DB3E2"/>
            <w:vAlign w:val="center"/>
          </w:tcPr>
          <w:p w14:paraId="36F4D087">
            <w:pPr>
              <w:widowControl/>
              <w:spacing w:line="240" w:lineRule="exact"/>
              <w:jc w:val="center"/>
              <w:rPr>
                <w:b/>
                <w:bCs/>
                <w:color w:val="auto"/>
                <w:kern w:val="0"/>
                <w:szCs w:val="21"/>
                <w:highlight w:val="none"/>
              </w:rPr>
            </w:pPr>
            <w:r>
              <w:rPr>
                <w:b/>
                <w:bCs/>
                <w:color w:val="auto"/>
                <w:kern w:val="0"/>
                <w:szCs w:val="21"/>
                <w:highlight w:val="none"/>
              </w:rPr>
              <w:t>行业名称</w:t>
            </w:r>
          </w:p>
        </w:tc>
        <w:tc>
          <w:tcPr>
            <w:tcW w:w="1531" w:type="dxa"/>
            <w:shd w:val="clear" w:color="auto" w:fill="8DB3E2"/>
            <w:vAlign w:val="center"/>
          </w:tcPr>
          <w:p w14:paraId="41701459">
            <w:pPr>
              <w:widowControl/>
              <w:jc w:val="center"/>
              <w:rPr>
                <w:b/>
                <w:bCs/>
                <w:color w:val="auto"/>
                <w:kern w:val="0"/>
                <w:szCs w:val="21"/>
                <w:highlight w:val="none"/>
              </w:rPr>
            </w:pPr>
            <w:r>
              <w:rPr>
                <w:b/>
                <w:bCs/>
                <w:color w:val="auto"/>
                <w:kern w:val="0"/>
                <w:szCs w:val="21"/>
                <w:highlight w:val="none"/>
              </w:rPr>
              <w:t>指标名称</w:t>
            </w:r>
          </w:p>
        </w:tc>
        <w:tc>
          <w:tcPr>
            <w:tcW w:w="709" w:type="dxa"/>
            <w:shd w:val="clear" w:color="auto" w:fill="8DB3E2"/>
            <w:vAlign w:val="center"/>
          </w:tcPr>
          <w:p w14:paraId="72E0339A">
            <w:pPr>
              <w:widowControl/>
              <w:jc w:val="center"/>
              <w:rPr>
                <w:b/>
                <w:bCs/>
                <w:color w:val="auto"/>
                <w:kern w:val="0"/>
                <w:szCs w:val="21"/>
                <w:highlight w:val="none"/>
              </w:rPr>
            </w:pPr>
            <w:r>
              <w:rPr>
                <w:b/>
                <w:bCs/>
                <w:color w:val="auto"/>
                <w:kern w:val="0"/>
                <w:szCs w:val="21"/>
                <w:highlight w:val="none"/>
              </w:rPr>
              <w:t>计量</w:t>
            </w:r>
            <w:r>
              <w:rPr>
                <w:b/>
                <w:bCs/>
                <w:color w:val="auto"/>
                <w:kern w:val="0"/>
                <w:szCs w:val="21"/>
                <w:highlight w:val="none"/>
              </w:rPr>
              <w:br w:type="textWrapping"/>
            </w:r>
            <w:r>
              <w:rPr>
                <w:b/>
                <w:bCs/>
                <w:color w:val="auto"/>
                <w:kern w:val="0"/>
                <w:szCs w:val="21"/>
                <w:highlight w:val="none"/>
              </w:rPr>
              <w:t>单位</w:t>
            </w:r>
          </w:p>
        </w:tc>
        <w:tc>
          <w:tcPr>
            <w:tcW w:w="1125" w:type="dxa"/>
            <w:shd w:val="clear" w:color="auto" w:fill="8DB3E2"/>
            <w:vAlign w:val="center"/>
          </w:tcPr>
          <w:p w14:paraId="5C8C0E5B">
            <w:pPr>
              <w:widowControl/>
              <w:jc w:val="center"/>
              <w:rPr>
                <w:b/>
                <w:bCs/>
                <w:color w:val="auto"/>
                <w:kern w:val="0"/>
                <w:szCs w:val="21"/>
                <w:highlight w:val="none"/>
              </w:rPr>
            </w:pPr>
            <w:r>
              <w:rPr>
                <w:b/>
                <w:bCs/>
                <w:color w:val="auto"/>
                <w:kern w:val="0"/>
                <w:szCs w:val="21"/>
                <w:highlight w:val="none"/>
              </w:rPr>
              <w:t>大型</w:t>
            </w:r>
          </w:p>
        </w:tc>
        <w:tc>
          <w:tcPr>
            <w:tcW w:w="1701" w:type="dxa"/>
            <w:shd w:val="clear" w:color="auto" w:fill="8DB3E2"/>
            <w:vAlign w:val="center"/>
          </w:tcPr>
          <w:p w14:paraId="069FD4E5">
            <w:pPr>
              <w:widowControl/>
              <w:jc w:val="center"/>
              <w:rPr>
                <w:b/>
                <w:bCs/>
                <w:color w:val="auto"/>
                <w:kern w:val="0"/>
                <w:szCs w:val="21"/>
                <w:highlight w:val="none"/>
              </w:rPr>
            </w:pPr>
            <w:r>
              <w:rPr>
                <w:b/>
                <w:bCs/>
                <w:color w:val="auto"/>
                <w:kern w:val="0"/>
                <w:szCs w:val="21"/>
                <w:highlight w:val="none"/>
              </w:rPr>
              <w:t>中型</w:t>
            </w:r>
          </w:p>
        </w:tc>
        <w:tc>
          <w:tcPr>
            <w:tcW w:w="1426" w:type="dxa"/>
            <w:shd w:val="clear" w:color="auto" w:fill="8DB3E2"/>
            <w:vAlign w:val="center"/>
          </w:tcPr>
          <w:p w14:paraId="50F7C0FF">
            <w:pPr>
              <w:widowControl/>
              <w:jc w:val="center"/>
              <w:rPr>
                <w:b/>
                <w:bCs/>
                <w:color w:val="auto"/>
                <w:kern w:val="0"/>
                <w:szCs w:val="21"/>
                <w:highlight w:val="none"/>
              </w:rPr>
            </w:pPr>
            <w:r>
              <w:rPr>
                <w:b/>
                <w:bCs/>
                <w:color w:val="auto"/>
                <w:kern w:val="0"/>
                <w:szCs w:val="21"/>
                <w:highlight w:val="none"/>
              </w:rPr>
              <w:t>小型</w:t>
            </w:r>
          </w:p>
        </w:tc>
        <w:tc>
          <w:tcPr>
            <w:tcW w:w="992" w:type="dxa"/>
            <w:shd w:val="clear" w:color="auto" w:fill="8DB3E2"/>
            <w:vAlign w:val="center"/>
          </w:tcPr>
          <w:p w14:paraId="01942A4B">
            <w:pPr>
              <w:widowControl/>
              <w:jc w:val="center"/>
              <w:rPr>
                <w:b/>
                <w:bCs/>
                <w:color w:val="auto"/>
                <w:kern w:val="0"/>
                <w:szCs w:val="21"/>
                <w:highlight w:val="none"/>
              </w:rPr>
            </w:pPr>
            <w:r>
              <w:rPr>
                <w:b/>
                <w:bCs/>
                <w:color w:val="auto"/>
                <w:kern w:val="0"/>
                <w:szCs w:val="21"/>
                <w:highlight w:val="none"/>
              </w:rPr>
              <w:t>微型</w:t>
            </w:r>
          </w:p>
        </w:tc>
      </w:tr>
      <w:tr w14:paraId="6474D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1" w:type="dxa"/>
            <w:vAlign w:val="center"/>
          </w:tcPr>
          <w:p w14:paraId="3DF8F51E">
            <w:pPr>
              <w:widowControl/>
              <w:spacing w:line="240" w:lineRule="exact"/>
              <w:jc w:val="left"/>
              <w:rPr>
                <w:color w:val="auto"/>
                <w:kern w:val="0"/>
                <w:szCs w:val="21"/>
                <w:highlight w:val="none"/>
              </w:rPr>
            </w:pPr>
            <w:r>
              <w:rPr>
                <w:color w:val="auto"/>
                <w:kern w:val="0"/>
                <w:szCs w:val="21"/>
                <w:highlight w:val="none"/>
              </w:rPr>
              <w:t>农、林、牧、渔业</w:t>
            </w:r>
          </w:p>
        </w:tc>
        <w:tc>
          <w:tcPr>
            <w:tcW w:w="1531" w:type="dxa"/>
            <w:vAlign w:val="center"/>
          </w:tcPr>
          <w:p w14:paraId="5D6EA68B">
            <w:pPr>
              <w:widowControl/>
              <w:jc w:val="center"/>
              <w:rPr>
                <w:color w:val="auto"/>
                <w:kern w:val="0"/>
                <w:szCs w:val="21"/>
                <w:highlight w:val="none"/>
              </w:rPr>
            </w:pPr>
            <w:r>
              <w:rPr>
                <w:color w:val="auto"/>
                <w:kern w:val="0"/>
                <w:szCs w:val="21"/>
                <w:highlight w:val="none"/>
              </w:rPr>
              <w:t>营业收入(Y)</w:t>
            </w:r>
          </w:p>
        </w:tc>
        <w:tc>
          <w:tcPr>
            <w:tcW w:w="709" w:type="dxa"/>
            <w:vAlign w:val="center"/>
          </w:tcPr>
          <w:p w14:paraId="2FD1CF04">
            <w:pPr>
              <w:widowControl/>
              <w:jc w:val="center"/>
              <w:rPr>
                <w:color w:val="auto"/>
                <w:kern w:val="0"/>
                <w:szCs w:val="21"/>
                <w:highlight w:val="none"/>
              </w:rPr>
            </w:pPr>
            <w:r>
              <w:rPr>
                <w:color w:val="auto"/>
                <w:kern w:val="0"/>
                <w:szCs w:val="21"/>
                <w:highlight w:val="none"/>
              </w:rPr>
              <w:t>万元</w:t>
            </w:r>
          </w:p>
        </w:tc>
        <w:tc>
          <w:tcPr>
            <w:tcW w:w="1125" w:type="dxa"/>
            <w:vAlign w:val="center"/>
          </w:tcPr>
          <w:p w14:paraId="09EF76E6">
            <w:pPr>
              <w:widowControl/>
              <w:jc w:val="center"/>
              <w:rPr>
                <w:color w:val="auto"/>
                <w:kern w:val="0"/>
                <w:szCs w:val="21"/>
                <w:highlight w:val="none"/>
              </w:rPr>
            </w:pPr>
            <w:r>
              <w:rPr>
                <w:color w:val="auto"/>
                <w:kern w:val="0"/>
                <w:szCs w:val="21"/>
                <w:highlight w:val="none"/>
              </w:rPr>
              <w:t>Y≥20000</w:t>
            </w:r>
          </w:p>
        </w:tc>
        <w:tc>
          <w:tcPr>
            <w:tcW w:w="1701" w:type="dxa"/>
            <w:vAlign w:val="center"/>
          </w:tcPr>
          <w:p w14:paraId="0FE0E68F">
            <w:pPr>
              <w:widowControl/>
              <w:jc w:val="center"/>
              <w:rPr>
                <w:color w:val="auto"/>
                <w:kern w:val="0"/>
                <w:szCs w:val="21"/>
                <w:highlight w:val="none"/>
              </w:rPr>
            </w:pPr>
            <w:r>
              <w:rPr>
                <w:color w:val="auto"/>
                <w:kern w:val="0"/>
                <w:szCs w:val="21"/>
                <w:highlight w:val="none"/>
              </w:rPr>
              <w:t>500≤Y＜20000</w:t>
            </w:r>
          </w:p>
        </w:tc>
        <w:tc>
          <w:tcPr>
            <w:tcW w:w="1426" w:type="dxa"/>
            <w:vAlign w:val="center"/>
          </w:tcPr>
          <w:p w14:paraId="03902C96">
            <w:pPr>
              <w:widowControl/>
              <w:jc w:val="center"/>
              <w:rPr>
                <w:color w:val="auto"/>
                <w:kern w:val="0"/>
                <w:szCs w:val="21"/>
                <w:highlight w:val="none"/>
              </w:rPr>
            </w:pPr>
            <w:r>
              <w:rPr>
                <w:color w:val="auto"/>
                <w:kern w:val="0"/>
                <w:szCs w:val="21"/>
                <w:highlight w:val="none"/>
              </w:rPr>
              <w:t>50≤Y＜500</w:t>
            </w:r>
          </w:p>
        </w:tc>
        <w:tc>
          <w:tcPr>
            <w:tcW w:w="992" w:type="dxa"/>
            <w:vAlign w:val="center"/>
          </w:tcPr>
          <w:p w14:paraId="2D8D2DB6">
            <w:pPr>
              <w:widowControl/>
              <w:jc w:val="center"/>
              <w:rPr>
                <w:color w:val="auto"/>
                <w:kern w:val="0"/>
                <w:szCs w:val="21"/>
                <w:highlight w:val="none"/>
              </w:rPr>
            </w:pPr>
            <w:r>
              <w:rPr>
                <w:color w:val="auto"/>
                <w:kern w:val="0"/>
                <w:szCs w:val="21"/>
                <w:highlight w:val="none"/>
              </w:rPr>
              <w:t>Y＜50</w:t>
            </w:r>
          </w:p>
        </w:tc>
      </w:tr>
      <w:tr w14:paraId="3F7F3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1" w:type="dxa"/>
            <w:vMerge w:val="restart"/>
            <w:vAlign w:val="center"/>
          </w:tcPr>
          <w:p w14:paraId="48597713">
            <w:pPr>
              <w:widowControl/>
              <w:spacing w:line="240" w:lineRule="exact"/>
              <w:jc w:val="left"/>
              <w:rPr>
                <w:color w:val="auto"/>
                <w:kern w:val="0"/>
                <w:szCs w:val="21"/>
                <w:highlight w:val="none"/>
              </w:rPr>
            </w:pPr>
            <w:r>
              <w:rPr>
                <w:color w:val="auto"/>
                <w:kern w:val="0"/>
                <w:szCs w:val="21"/>
                <w:highlight w:val="none"/>
              </w:rPr>
              <w:t>工业 *</w:t>
            </w:r>
          </w:p>
        </w:tc>
        <w:tc>
          <w:tcPr>
            <w:tcW w:w="1531" w:type="dxa"/>
            <w:vAlign w:val="center"/>
          </w:tcPr>
          <w:p w14:paraId="18F1F03F">
            <w:pPr>
              <w:widowControl/>
              <w:jc w:val="center"/>
              <w:rPr>
                <w:color w:val="auto"/>
                <w:kern w:val="0"/>
                <w:szCs w:val="21"/>
                <w:highlight w:val="none"/>
              </w:rPr>
            </w:pPr>
            <w:r>
              <w:rPr>
                <w:color w:val="auto"/>
                <w:kern w:val="0"/>
                <w:szCs w:val="21"/>
                <w:highlight w:val="none"/>
              </w:rPr>
              <w:t>从业人员(X)</w:t>
            </w:r>
          </w:p>
        </w:tc>
        <w:tc>
          <w:tcPr>
            <w:tcW w:w="709" w:type="dxa"/>
            <w:vAlign w:val="center"/>
          </w:tcPr>
          <w:p w14:paraId="4EC5164B">
            <w:pPr>
              <w:widowControl/>
              <w:jc w:val="center"/>
              <w:rPr>
                <w:color w:val="auto"/>
                <w:kern w:val="0"/>
                <w:szCs w:val="21"/>
                <w:highlight w:val="none"/>
              </w:rPr>
            </w:pPr>
            <w:r>
              <w:rPr>
                <w:color w:val="auto"/>
                <w:kern w:val="0"/>
                <w:szCs w:val="21"/>
                <w:highlight w:val="none"/>
              </w:rPr>
              <w:t>人</w:t>
            </w:r>
          </w:p>
        </w:tc>
        <w:tc>
          <w:tcPr>
            <w:tcW w:w="1125" w:type="dxa"/>
            <w:vAlign w:val="center"/>
          </w:tcPr>
          <w:p w14:paraId="0FCCFC89">
            <w:pPr>
              <w:widowControl/>
              <w:jc w:val="center"/>
              <w:rPr>
                <w:color w:val="auto"/>
                <w:kern w:val="0"/>
                <w:szCs w:val="21"/>
                <w:highlight w:val="none"/>
              </w:rPr>
            </w:pPr>
            <w:r>
              <w:rPr>
                <w:color w:val="auto"/>
                <w:kern w:val="0"/>
                <w:szCs w:val="21"/>
                <w:highlight w:val="none"/>
              </w:rPr>
              <w:t>X≥1000</w:t>
            </w:r>
          </w:p>
        </w:tc>
        <w:tc>
          <w:tcPr>
            <w:tcW w:w="1701" w:type="dxa"/>
            <w:vAlign w:val="center"/>
          </w:tcPr>
          <w:p w14:paraId="65D916E7">
            <w:pPr>
              <w:widowControl/>
              <w:jc w:val="center"/>
              <w:rPr>
                <w:color w:val="auto"/>
                <w:kern w:val="0"/>
                <w:szCs w:val="21"/>
                <w:highlight w:val="none"/>
              </w:rPr>
            </w:pPr>
            <w:r>
              <w:rPr>
                <w:color w:val="auto"/>
                <w:kern w:val="0"/>
                <w:szCs w:val="21"/>
                <w:highlight w:val="none"/>
              </w:rPr>
              <w:t>300≤X＜1000</w:t>
            </w:r>
          </w:p>
        </w:tc>
        <w:tc>
          <w:tcPr>
            <w:tcW w:w="1426" w:type="dxa"/>
            <w:vAlign w:val="center"/>
          </w:tcPr>
          <w:p w14:paraId="0DD3F379">
            <w:pPr>
              <w:widowControl/>
              <w:jc w:val="center"/>
              <w:rPr>
                <w:color w:val="auto"/>
                <w:kern w:val="0"/>
                <w:szCs w:val="21"/>
                <w:highlight w:val="none"/>
              </w:rPr>
            </w:pPr>
            <w:r>
              <w:rPr>
                <w:color w:val="auto"/>
                <w:kern w:val="0"/>
                <w:szCs w:val="21"/>
                <w:highlight w:val="none"/>
              </w:rPr>
              <w:t>20≤X＜300</w:t>
            </w:r>
          </w:p>
        </w:tc>
        <w:tc>
          <w:tcPr>
            <w:tcW w:w="992" w:type="dxa"/>
            <w:vAlign w:val="center"/>
          </w:tcPr>
          <w:p w14:paraId="46C2600F">
            <w:pPr>
              <w:widowControl/>
              <w:jc w:val="center"/>
              <w:rPr>
                <w:color w:val="auto"/>
                <w:kern w:val="0"/>
                <w:szCs w:val="21"/>
                <w:highlight w:val="none"/>
              </w:rPr>
            </w:pPr>
            <w:r>
              <w:rPr>
                <w:color w:val="auto"/>
                <w:kern w:val="0"/>
                <w:szCs w:val="21"/>
                <w:highlight w:val="none"/>
              </w:rPr>
              <w:t>X＜20</w:t>
            </w:r>
          </w:p>
        </w:tc>
      </w:tr>
      <w:tr w14:paraId="64A8D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1" w:type="dxa"/>
            <w:vMerge w:val="continue"/>
            <w:vAlign w:val="center"/>
          </w:tcPr>
          <w:p w14:paraId="5A498B17">
            <w:pPr>
              <w:widowControl/>
              <w:jc w:val="left"/>
              <w:rPr>
                <w:color w:val="auto"/>
                <w:kern w:val="0"/>
                <w:szCs w:val="21"/>
                <w:highlight w:val="none"/>
              </w:rPr>
            </w:pPr>
          </w:p>
        </w:tc>
        <w:tc>
          <w:tcPr>
            <w:tcW w:w="1531" w:type="dxa"/>
            <w:vAlign w:val="center"/>
          </w:tcPr>
          <w:p w14:paraId="51A1FC06">
            <w:pPr>
              <w:widowControl/>
              <w:spacing w:line="240" w:lineRule="exact"/>
              <w:jc w:val="center"/>
              <w:rPr>
                <w:color w:val="auto"/>
                <w:kern w:val="0"/>
                <w:szCs w:val="21"/>
                <w:highlight w:val="none"/>
              </w:rPr>
            </w:pPr>
            <w:r>
              <w:rPr>
                <w:color w:val="auto"/>
                <w:kern w:val="0"/>
                <w:szCs w:val="21"/>
                <w:highlight w:val="none"/>
              </w:rPr>
              <w:t>营业收入(Y)</w:t>
            </w:r>
          </w:p>
        </w:tc>
        <w:tc>
          <w:tcPr>
            <w:tcW w:w="709" w:type="dxa"/>
            <w:vAlign w:val="center"/>
          </w:tcPr>
          <w:p w14:paraId="0EA94C9E">
            <w:pPr>
              <w:widowControl/>
              <w:jc w:val="center"/>
              <w:rPr>
                <w:color w:val="auto"/>
                <w:kern w:val="0"/>
                <w:szCs w:val="21"/>
                <w:highlight w:val="none"/>
              </w:rPr>
            </w:pPr>
            <w:r>
              <w:rPr>
                <w:color w:val="auto"/>
                <w:kern w:val="0"/>
                <w:szCs w:val="21"/>
                <w:highlight w:val="none"/>
              </w:rPr>
              <w:t>万元</w:t>
            </w:r>
          </w:p>
        </w:tc>
        <w:tc>
          <w:tcPr>
            <w:tcW w:w="1125" w:type="dxa"/>
            <w:vAlign w:val="center"/>
          </w:tcPr>
          <w:p w14:paraId="514A2B6D">
            <w:pPr>
              <w:widowControl/>
              <w:jc w:val="center"/>
              <w:rPr>
                <w:color w:val="auto"/>
                <w:kern w:val="0"/>
                <w:szCs w:val="21"/>
                <w:highlight w:val="none"/>
              </w:rPr>
            </w:pPr>
            <w:r>
              <w:rPr>
                <w:color w:val="auto"/>
                <w:kern w:val="0"/>
                <w:szCs w:val="21"/>
                <w:highlight w:val="none"/>
              </w:rPr>
              <w:t>Y≥40000</w:t>
            </w:r>
          </w:p>
        </w:tc>
        <w:tc>
          <w:tcPr>
            <w:tcW w:w="1701" w:type="dxa"/>
            <w:vAlign w:val="center"/>
          </w:tcPr>
          <w:p w14:paraId="41A393FB">
            <w:pPr>
              <w:widowControl/>
              <w:jc w:val="center"/>
              <w:rPr>
                <w:color w:val="auto"/>
                <w:kern w:val="0"/>
                <w:szCs w:val="21"/>
                <w:highlight w:val="none"/>
              </w:rPr>
            </w:pPr>
            <w:r>
              <w:rPr>
                <w:color w:val="auto"/>
                <w:kern w:val="0"/>
                <w:szCs w:val="21"/>
                <w:highlight w:val="none"/>
              </w:rPr>
              <w:t>2000≤Y＜40000</w:t>
            </w:r>
          </w:p>
        </w:tc>
        <w:tc>
          <w:tcPr>
            <w:tcW w:w="1426" w:type="dxa"/>
            <w:vAlign w:val="center"/>
          </w:tcPr>
          <w:p w14:paraId="0CCD4DAA">
            <w:pPr>
              <w:widowControl/>
              <w:jc w:val="center"/>
              <w:rPr>
                <w:color w:val="auto"/>
                <w:kern w:val="0"/>
                <w:szCs w:val="21"/>
                <w:highlight w:val="none"/>
              </w:rPr>
            </w:pPr>
            <w:r>
              <w:rPr>
                <w:color w:val="auto"/>
                <w:kern w:val="0"/>
                <w:szCs w:val="21"/>
                <w:highlight w:val="none"/>
              </w:rPr>
              <w:t>300≤Y＜2000</w:t>
            </w:r>
          </w:p>
        </w:tc>
        <w:tc>
          <w:tcPr>
            <w:tcW w:w="992" w:type="dxa"/>
            <w:vAlign w:val="center"/>
          </w:tcPr>
          <w:p w14:paraId="585DD80D">
            <w:pPr>
              <w:widowControl/>
              <w:jc w:val="center"/>
              <w:rPr>
                <w:color w:val="auto"/>
                <w:kern w:val="0"/>
                <w:szCs w:val="21"/>
                <w:highlight w:val="none"/>
              </w:rPr>
            </w:pPr>
            <w:r>
              <w:rPr>
                <w:color w:val="auto"/>
                <w:kern w:val="0"/>
                <w:szCs w:val="21"/>
                <w:highlight w:val="none"/>
              </w:rPr>
              <w:t>Y＜300</w:t>
            </w:r>
          </w:p>
        </w:tc>
      </w:tr>
      <w:tr w14:paraId="5A50F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1" w:type="dxa"/>
            <w:vMerge w:val="restart"/>
            <w:vAlign w:val="center"/>
          </w:tcPr>
          <w:p w14:paraId="4D56601F">
            <w:pPr>
              <w:widowControl/>
              <w:spacing w:line="240" w:lineRule="exact"/>
              <w:jc w:val="left"/>
              <w:rPr>
                <w:color w:val="auto"/>
                <w:kern w:val="0"/>
                <w:szCs w:val="21"/>
                <w:highlight w:val="none"/>
              </w:rPr>
            </w:pPr>
            <w:r>
              <w:rPr>
                <w:color w:val="auto"/>
                <w:kern w:val="0"/>
                <w:szCs w:val="21"/>
                <w:highlight w:val="none"/>
              </w:rPr>
              <w:t>建筑业</w:t>
            </w:r>
          </w:p>
        </w:tc>
        <w:tc>
          <w:tcPr>
            <w:tcW w:w="1531" w:type="dxa"/>
            <w:vAlign w:val="center"/>
          </w:tcPr>
          <w:p w14:paraId="04672F4C">
            <w:pPr>
              <w:widowControl/>
              <w:jc w:val="center"/>
              <w:rPr>
                <w:color w:val="auto"/>
                <w:kern w:val="0"/>
                <w:szCs w:val="21"/>
                <w:highlight w:val="none"/>
              </w:rPr>
            </w:pPr>
            <w:r>
              <w:rPr>
                <w:color w:val="auto"/>
                <w:kern w:val="0"/>
                <w:szCs w:val="21"/>
                <w:highlight w:val="none"/>
              </w:rPr>
              <w:t>营业收入(Y)</w:t>
            </w:r>
          </w:p>
        </w:tc>
        <w:tc>
          <w:tcPr>
            <w:tcW w:w="709" w:type="dxa"/>
            <w:vAlign w:val="center"/>
          </w:tcPr>
          <w:p w14:paraId="23AD9423">
            <w:pPr>
              <w:widowControl/>
              <w:jc w:val="center"/>
              <w:rPr>
                <w:color w:val="auto"/>
                <w:kern w:val="0"/>
                <w:szCs w:val="21"/>
                <w:highlight w:val="none"/>
              </w:rPr>
            </w:pPr>
            <w:r>
              <w:rPr>
                <w:color w:val="auto"/>
                <w:kern w:val="0"/>
                <w:szCs w:val="21"/>
                <w:highlight w:val="none"/>
              </w:rPr>
              <w:t>万元</w:t>
            </w:r>
          </w:p>
        </w:tc>
        <w:tc>
          <w:tcPr>
            <w:tcW w:w="1125" w:type="dxa"/>
            <w:vAlign w:val="center"/>
          </w:tcPr>
          <w:p w14:paraId="21E32FAE">
            <w:pPr>
              <w:widowControl/>
              <w:jc w:val="center"/>
              <w:rPr>
                <w:color w:val="auto"/>
                <w:kern w:val="0"/>
                <w:szCs w:val="21"/>
                <w:highlight w:val="none"/>
              </w:rPr>
            </w:pPr>
            <w:r>
              <w:rPr>
                <w:color w:val="auto"/>
                <w:kern w:val="0"/>
                <w:szCs w:val="21"/>
                <w:highlight w:val="none"/>
              </w:rPr>
              <w:t>Y≥80000</w:t>
            </w:r>
          </w:p>
        </w:tc>
        <w:tc>
          <w:tcPr>
            <w:tcW w:w="1701" w:type="dxa"/>
            <w:vAlign w:val="center"/>
          </w:tcPr>
          <w:p w14:paraId="3CFA27AE">
            <w:pPr>
              <w:widowControl/>
              <w:jc w:val="center"/>
              <w:rPr>
                <w:color w:val="auto"/>
                <w:kern w:val="0"/>
                <w:szCs w:val="21"/>
                <w:highlight w:val="none"/>
              </w:rPr>
            </w:pPr>
            <w:r>
              <w:rPr>
                <w:color w:val="auto"/>
                <w:kern w:val="0"/>
                <w:szCs w:val="21"/>
                <w:highlight w:val="none"/>
              </w:rPr>
              <w:t>6000≤Y＜80000</w:t>
            </w:r>
          </w:p>
        </w:tc>
        <w:tc>
          <w:tcPr>
            <w:tcW w:w="1426" w:type="dxa"/>
            <w:vAlign w:val="center"/>
          </w:tcPr>
          <w:p w14:paraId="5E6DD447">
            <w:pPr>
              <w:widowControl/>
              <w:jc w:val="center"/>
              <w:rPr>
                <w:color w:val="auto"/>
                <w:kern w:val="0"/>
                <w:szCs w:val="21"/>
                <w:highlight w:val="none"/>
              </w:rPr>
            </w:pPr>
            <w:r>
              <w:rPr>
                <w:color w:val="auto"/>
                <w:kern w:val="0"/>
                <w:szCs w:val="21"/>
                <w:highlight w:val="none"/>
              </w:rPr>
              <w:t>300≤Y＜6000</w:t>
            </w:r>
          </w:p>
        </w:tc>
        <w:tc>
          <w:tcPr>
            <w:tcW w:w="992" w:type="dxa"/>
            <w:vAlign w:val="center"/>
          </w:tcPr>
          <w:p w14:paraId="03843359">
            <w:pPr>
              <w:widowControl/>
              <w:jc w:val="center"/>
              <w:rPr>
                <w:color w:val="auto"/>
                <w:kern w:val="0"/>
                <w:szCs w:val="21"/>
                <w:highlight w:val="none"/>
              </w:rPr>
            </w:pPr>
            <w:r>
              <w:rPr>
                <w:color w:val="auto"/>
                <w:kern w:val="0"/>
                <w:szCs w:val="21"/>
                <w:highlight w:val="none"/>
              </w:rPr>
              <w:t>Y＜300</w:t>
            </w:r>
          </w:p>
        </w:tc>
      </w:tr>
      <w:tr w14:paraId="722A2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1" w:type="dxa"/>
            <w:vMerge w:val="continue"/>
            <w:vAlign w:val="center"/>
          </w:tcPr>
          <w:p w14:paraId="71651970">
            <w:pPr>
              <w:widowControl/>
              <w:jc w:val="left"/>
              <w:rPr>
                <w:color w:val="auto"/>
                <w:kern w:val="0"/>
                <w:szCs w:val="21"/>
                <w:highlight w:val="none"/>
              </w:rPr>
            </w:pPr>
          </w:p>
        </w:tc>
        <w:tc>
          <w:tcPr>
            <w:tcW w:w="1531" w:type="dxa"/>
            <w:vAlign w:val="center"/>
          </w:tcPr>
          <w:p w14:paraId="6725C2A0">
            <w:pPr>
              <w:widowControl/>
              <w:spacing w:line="240" w:lineRule="exact"/>
              <w:jc w:val="center"/>
              <w:rPr>
                <w:color w:val="auto"/>
                <w:kern w:val="0"/>
                <w:szCs w:val="21"/>
                <w:highlight w:val="none"/>
              </w:rPr>
            </w:pPr>
            <w:r>
              <w:rPr>
                <w:color w:val="auto"/>
                <w:kern w:val="0"/>
                <w:szCs w:val="21"/>
                <w:highlight w:val="none"/>
              </w:rPr>
              <w:t>资产总额(Z)</w:t>
            </w:r>
          </w:p>
        </w:tc>
        <w:tc>
          <w:tcPr>
            <w:tcW w:w="709" w:type="dxa"/>
            <w:vAlign w:val="center"/>
          </w:tcPr>
          <w:p w14:paraId="0ACB6842">
            <w:pPr>
              <w:widowControl/>
              <w:jc w:val="center"/>
              <w:rPr>
                <w:color w:val="auto"/>
                <w:kern w:val="0"/>
                <w:szCs w:val="21"/>
                <w:highlight w:val="none"/>
              </w:rPr>
            </w:pPr>
            <w:r>
              <w:rPr>
                <w:color w:val="auto"/>
                <w:kern w:val="0"/>
                <w:szCs w:val="21"/>
                <w:highlight w:val="none"/>
              </w:rPr>
              <w:t>万元</w:t>
            </w:r>
          </w:p>
        </w:tc>
        <w:tc>
          <w:tcPr>
            <w:tcW w:w="1125" w:type="dxa"/>
            <w:vAlign w:val="center"/>
          </w:tcPr>
          <w:p w14:paraId="46144D13">
            <w:pPr>
              <w:widowControl/>
              <w:jc w:val="center"/>
              <w:rPr>
                <w:color w:val="auto"/>
                <w:kern w:val="0"/>
                <w:szCs w:val="21"/>
                <w:highlight w:val="none"/>
              </w:rPr>
            </w:pPr>
            <w:r>
              <w:rPr>
                <w:color w:val="auto"/>
                <w:kern w:val="0"/>
                <w:szCs w:val="21"/>
                <w:highlight w:val="none"/>
              </w:rPr>
              <w:t>Z≥80000</w:t>
            </w:r>
          </w:p>
        </w:tc>
        <w:tc>
          <w:tcPr>
            <w:tcW w:w="1701" w:type="dxa"/>
            <w:vAlign w:val="center"/>
          </w:tcPr>
          <w:p w14:paraId="4F951B9D">
            <w:pPr>
              <w:widowControl/>
              <w:jc w:val="center"/>
              <w:rPr>
                <w:color w:val="auto"/>
                <w:kern w:val="0"/>
                <w:szCs w:val="21"/>
                <w:highlight w:val="none"/>
              </w:rPr>
            </w:pPr>
            <w:r>
              <w:rPr>
                <w:color w:val="auto"/>
                <w:kern w:val="0"/>
                <w:szCs w:val="21"/>
                <w:highlight w:val="none"/>
              </w:rPr>
              <w:t>5000≤Z＜80000</w:t>
            </w:r>
          </w:p>
        </w:tc>
        <w:tc>
          <w:tcPr>
            <w:tcW w:w="1426" w:type="dxa"/>
            <w:vAlign w:val="center"/>
          </w:tcPr>
          <w:p w14:paraId="1B3EBE18">
            <w:pPr>
              <w:widowControl/>
              <w:jc w:val="center"/>
              <w:rPr>
                <w:color w:val="auto"/>
                <w:kern w:val="0"/>
                <w:szCs w:val="21"/>
                <w:highlight w:val="none"/>
              </w:rPr>
            </w:pPr>
            <w:r>
              <w:rPr>
                <w:color w:val="auto"/>
                <w:kern w:val="0"/>
                <w:szCs w:val="21"/>
                <w:highlight w:val="none"/>
              </w:rPr>
              <w:t>300≤Z＜5000</w:t>
            </w:r>
          </w:p>
        </w:tc>
        <w:tc>
          <w:tcPr>
            <w:tcW w:w="992" w:type="dxa"/>
            <w:vAlign w:val="center"/>
          </w:tcPr>
          <w:p w14:paraId="36CB7ABD">
            <w:pPr>
              <w:widowControl/>
              <w:jc w:val="center"/>
              <w:rPr>
                <w:color w:val="auto"/>
                <w:kern w:val="0"/>
                <w:szCs w:val="21"/>
                <w:highlight w:val="none"/>
              </w:rPr>
            </w:pPr>
            <w:r>
              <w:rPr>
                <w:color w:val="auto"/>
                <w:kern w:val="0"/>
                <w:szCs w:val="21"/>
                <w:highlight w:val="none"/>
              </w:rPr>
              <w:t>Z＜300</w:t>
            </w:r>
          </w:p>
        </w:tc>
      </w:tr>
      <w:tr w14:paraId="71A8B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1" w:type="dxa"/>
            <w:vMerge w:val="restart"/>
            <w:vAlign w:val="center"/>
          </w:tcPr>
          <w:p w14:paraId="3FEA8110">
            <w:pPr>
              <w:widowControl/>
              <w:spacing w:line="240" w:lineRule="exact"/>
              <w:jc w:val="left"/>
              <w:rPr>
                <w:color w:val="auto"/>
                <w:kern w:val="0"/>
                <w:szCs w:val="21"/>
                <w:highlight w:val="none"/>
              </w:rPr>
            </w:pPr>
            <w:r>
              <w:rPr>
                <w:color w:val="auto"/>
                <w:kern w:val="0"/>
                <w:szCs w:val="21"/>
                <w:highlight w:val="none"/>
              </w:rPr>
              <w:t>批发业</w:t>
            </w:r>
          </w:p>
        </w:tc>
        <w:tc>
          <w:tcPr>
            <w:tcW w:w="1531" w:type="dxa"/>
            <w:vAlign w:val="center"/>
          </w:tcPr>
          <w:p w14:paraId="5BFC60B0">
            <w:pPr>
              <w:widowControl/>
              <w:jc w:val="center"/>
              <w:rPr>
                <w:color w:val="auto"/>
                <w:kern w:val="0"/>
                <w:szCs w:val="21"/>
                <w:highlight w:val="none"/>
              </w:rPr>
            </w:pPr>
            <w:r>
              <w:rPr>
                <w:color w:val="auto"/>
                <w:kern w:val="0"/>
                <w:szCs w:val="21"/>
                <w:highlight w:val="none"/>
              </w:rPr>
              <w:t>从业人员(X)</w:t>
            </w:r>
          </w:p>
        </w:tc>
        <w:tc>
          <w:tcPr>
            <w:tcW w:w="709" w:type="dxa"/>
            <w:vAlign w:val="center"/>
          </w:tcPr>
          <w:p w14:paraId="56793895">
            <w:pPr>
              <w:widowControl/>
              <w:jc w:val="center"/>
              <w:rPr>
                <w:color w:val="auto"/>
                <w:kern w:val="0"/>
                <w:szCs w:val="21"/>
                <w:highlight w:val="none"/>
              </w:rPr>
            </w:pPr>
            <w:r>
              <w:rPr>
                <w:color w:val="auto"/>
                <w:kern w:val="0"/>
                <w:szCs w:val="21"/>
                <w:highlight w:val="none"/>
              </w:rPr>
              <w:t>人</w:t>
            </w:r>
          </w:p>
        </w:tc>
        <w:tc>
          <w:tcPr>
            <w:tcW w:w="1125" w:type="dxa"/>
            <w:vAlign w:val="center"/>
          </w:tcPr>
          <w:p w14:paraId="344D5B55">
            <w:pPr>
              <w:widowControl/>
              <w:jc w:val="center"/>
              <w:rPr>
                <w:color w:val="auto"/>
                <w:kern w:val="0"/>
                <w:szCs w:val="21"/>
                <w:highlight w:val="none"/>
              </w:rPr>
            </w:pPr>
            <w:r>
              <w:rPr>
                <w:color w:val="auto"/>
                <w:kern w:val="0"/>
                <w:szCs w:val="21"/>
                <w:highlight w:val="none"/>
              </w:rPr>
              <w:t>X≥200</w:t>
            </w:r>
          </w:p>
        </w:tc>
        <w:tc>
          <w:tcPr>
            <w:tcW w:w="1701" w:type="dxa"/>
            <w:vAlign w:val="center"/>
          </w:tcPr>
          <w:p w14:paraId="2FE90A4D">
            <w:pPr>
              <w:widowControl/>
              <w:jc w:val="center"/>
              <w:rPr>
                <w:color w:val="auto"/>
                <w:kern w:val="0"/>
                <w:szCs w:val="21"/>
                <w:highlight w:val="none"/>
              </w:rPr>
            </w:pPr>
            <w:r>
              <w:rPr>
                <w:color w:val="auto"/>
                <w:kern w:val="0"/>
                <w:szCs w:val="21"/>
                <w:highlight w:val="none"/>
              </w:rPr>
              <w:t>20≤X＜200</w:t>
            </w:r>
          </w:p>
        </w:tc>
        <w:tc>
          <w:tcPr>
            <w:tcW w:w="1426" w:type="dxa"/>
            <w:vAlign w:val="center"/>
          </w:tcPr>
          <w:p w14:paraId="77BDE01E">
            <w:pPr>
              <w:widowControl/>
              <w:jc w:val="center"/>
              <w:rPr>
                <w:color w:val="auto"/>
                <w:kern w:val="0"/>
                <w:szCs w:val="21"/>
                <w:highlight w:val="none"/>
              </w:rPr>
            </w:pPr>
            <w:r>
              <w:rPr>
                <w:color w:val="auto"/>
                <w:kern w:val="0"/>
                <w:szCs w:val="21"/>
                <w:highlight w:val="none"/>
              </w:rPr>
              <w:t>5≤X＜20</w:t>
            </w:r>
          </w:p>
        </w:tc>
        <w:tc>
          <w:tcPr>
            <w:tcW w:w="992" w:type="dxa"/>
            <w:vAlign w:val="center"/>
          </w:tcPr>
          <w:p w14:paraId="767A6F62">
            <w:pPr>
              <w:widowControl/>
              <w:jc w:val="center"/>
              <w:rPr>
                <w:color w:val="auto"/>
                <w:kern w:val="0"/>
                <w:szCs w:val="21"/>
                <w:highlight w:val="none"/>
              </w:rPr>
            </w:pPr>
            <w:r>
              <w:rPr>
                <w:color w:val="auto"/>
                <w:kern w:val="0"/>
                <w:szCs w:val="21"/>
                <w:highlight w:val="none"/>
              </w:rPr>
              <w:t>X＜5</w:t>
            </w:r>
          </w:p>
        </w:tc>
      </w:tr>
      <w:tr w14:paraId="2FE96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1" w:type="dxa"/>
            <w:vMerge w:val="continue"/>
            <w:vAlign w:val="center"/>
          </w:tcPr>
          <w:p w14:paraId="3090076B">
            <w:pPr>
              <w:widowControl/>
              <w:jc w:val="left"/>
              <w:rPr>
                <w:color w:val="auto"/>
                <w:kern w:val="0"/>
                <w:szCs w:val="21"/>
                <w:highlight w:val="none"/>
              </w:rPr>
            </w:pPr>
          </w:p>
        </w:tc>
        <w:tc>
          <w:tcPr>
            <w:tcW w:w="1531" w:type="dxa"/>
            <w:vAlign w:val="center"/>
          </w:tcPr>
          <w:p w14:paraId="2B951383">
            <w:pPr>
              <w:widowControl/>
              <w:spacing w:line="240" w:lineRule="exact"/>
              <w:jc w:val="center"/>
              <w:rPr>
                <w:color w:val="auto"/>
                <w:kern w:val="0"/>
                <w:szCs w:val="21"/>
                <w:highlight w:val="none"/>
              </w:rPr>
            </w:pPr>
            <w:r>
              <w:rPr>
                <w:color w:val="auto"/>
                <w:kern w:val="0"/>
                <w:szCs w:val="21"/>
                <w:highlight w:val="none"/>
              </w:rPr>
              <w:t>营业收入(Y)</w:t>
            </w:r>
          </w:p>
        </w:tc>
        <w:tc>
          <w:tcPr>
            <w:tcW w:w="709" w:type="dxa"/>
            <w:vAlign w:val="center"/>
          </w:tcPr>
          <w:p w14:paraId="18A26700">
            <w:pPr>
              <w:widowControl/>
              <w:jc w:val="center"/>
              <w:rPr>
                <w:color w:val="auto"/>
                <w:kern w:val="0"/>
                <w:szCs w:val="21"/>
                <w:highlight w:val="none"/>
              </w:rPr>
            </w:pPr>
            <w:r>
              <w:rPr>
                <w:color w:val="auto"/>
                <w:kern w:val="0"/>
                <w:szCs w:val="21"/>
                <w:highlight w:val="none"/>
              </w:rPr>
              <w:t>万元</w:t>
            </w:r>
          </w:p>
        </w:tc>
        <w:tc>
          <w:tcPr>
            <w:tcW w:w="1125" w:type="dxa"/>
            <w:vAlign w:val="center"/>
          </w:tcPr>
          <w:p w14:paraId="5FDF8A34">
            <w:pPr>
              <w:widowControl/>
              <w:jc w:val="center"/>
              <w:rPr>
                <w:color w:val="auto"/>
                <w:kern w:val="0"/>
                <w:szCs w:val="21"/>
                <w:highlight w:val="none"/>
              </w:rPr>
            </w:pPr>
            <w:r>
              <w:rPr>
                <w:color w:val="auto"/>
                <w:kern w:val="0"/>
                <w:szCs w:val="21"/>
                <w:highlight w:val="none"/>
              </w:rPr>
              <w:t>Y≥40000</w:t>
            </w:r>
          </w:p>
        </w:tc>
        <w:tc>
          <w:tcPr>
            <w:tcW w:w="1701" w:type="dxa"/>
            <w:vAlign w:val="center"/>
          </w:tcPr>
          <w:p w14:paraId="581679B1">
            <w:pPr>
              <w:widowControl/>
              <w:jc w:val="center"/>
              <w:rPr>
                <w:color w:val="auto"/>
                <w:kern w:val="0"/>
                <w:szCs w:val="21"/>
                <w:highlight w:val="none"/>
              </w:rPr>
            </w:pPr>
            <w:r>
              <w:rPr>
                <w:color w:val="auto"/>
                <w:kern w:val="0"/>
                <w:szCs w:val="21"/>
                <w:highlight w:val="none"/>
              </w:rPr>
              <w:t>5000≤Y＜40000</w:t>
            </w:r>
          </w:p>
        </w:tc>
        <w:tc>
          <w:tcPr>
            <w:tcW w:w="1426" w:type="dxa"/>
            <w:vAlign w:val="center"/>
          </w:tcPr>
          <w:p w14:paraId="14021838">
            <w:pPr>
              <w:widowControl/>
              <w:ind w:left="-1" w:leftChars="-1" w:hanging="1"/>
              <w:jc w:val="center"/>
              <w:rPr>
                <w:color w:val="auto"/>
                <w:kern w:val="0"/>
                <w:szCs w:val="21"/>
                <w:highlight w:val="none"/>
              </w:rPr>
            </w:pPr>
            <w:r>
              <w:rPr>
                <w:color w:val="auto"/>
                <w:kern w:val="0"/>
                <w:szCs w:val="21"/>
                <w:highlight w:val="none"/>
              </w:rPr>
              <w:t>1000≤Y＜5000</w:t>
            </w:r>
          </w:p>
        </w:tc>
        <w:tc>
          <w:tcPr>
            <w:tcW w:w="992" w:type="dxa"/>
            <w:vAlign w:val="center"/>
          </w:tcPr>
          <w:p w14:paraId="701D8E72">
            <w:pPr>
              <w:widowControl/>
              <w:jc w:val="center"/>
              <w:rPr>
                <w:color w:val="auto"/>
                <w:kern w:val="0"/>
                <w:szCs w:val="21"/>
                <w:highlight w:val="none"/>
              </w:rPr>
            </w:pPr>
            <w:r>
              <w:rPr>
                <w:color w:val="auto"/>
                <w:kern w:val="0"/>
                <w:szCs w:val="21"/>
                <w:highlight w:val="none"/>
              </w:rPr>
              <w:t>Y＜1000</w:t>
            </w:r>
          </w:p>
        </w:tc>
      </w:tr>
      <w:tr w14:paraId="4943C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1" w:type="dxa"/>
            <w:vMerge w:val="restart"/>
            <w:vAlign w:val="center"/>
          </w:tcPr>
          <w:p w14:paraId="09380B04">
            <w:pPr>
              <w:widowControl/>
              <w:spacing w:line="240" w:lineRule="exact"/>
              <w:jc w:val="left"/>
              <w:rPr>
                <w:color w:val="auto"/>
                <w:kern w:val="0"/>
                <w:szCs w:val="21"/>
                <w:highlight w:val="none"/>
              </w:rPr>
            </w:pPr>
            <w:r>
              <w:rPr>
                <w:color w:val="auto"/>
                <w:kern w:val="0"/>
                <w:szCs w:val="21"/>
                <w:highlight w:val="none"/>
              </w:rPr>
              <w:t>零售业</w:t>
            </w:r>
          </w:p>
        </w:tc>
        <w:tc>
          <w:tcPr>
            <w:tcW w:w="1531" w:type="dxa"/>
            <w:vAlign w:val="center"/>
          </w:tcPr>
          <w:p w14:paraId="23E3D7A9">
            <w:pPr>
              <w:widowControl/>
              <w:jc w:val="center"/>
              <w:rPr>
                <w:color w:val="auto"/>
                <w:kern w:val="0"/>
                <w:szCs w:val="21"/>
                <w:highlight w:val="none"/>
              </w:rPr>
            </w:pPr>
            <w:r>
              <w:rPr>
                <w:color w:val="auto"/>
                <w:kern w:val="0"/>
                <w:szCs w:val="21"/>
                <w:highlight w:val="none"/>
              </w:rPr>
              <w:t>从业人员(X)</w:t>
            </w:r>
          </w:p>
        </w:tc>
        <w:tc>
          <w:tcPr>
            <w:tcW w:w="709" w:type="dxa"/>
            <w:vAlign w:val="center"/>
          </w:tcPr>
          <w:p w14:paraId="3FD2D06F">
            <w:pPr>
              <w:widowControl/>
              <w:jc w:val="center"/>
              <w:rPr>
                <w:color w:val="auto"/>
                <w:kern w:val="0"/>
                <w:szCs w:val="21"/>
                <w:highlight w:val="none"/>
              </w:rPr>
            </w:pPr>
            <w:r>
              <w:rPr>
                <w:color w:val="auto"/>
                <w:kern w:val="0"/>
                <w:szCs w:val="21"/>
                <w:highlight w:val="none"/>
              </w:rPr>
              <w:t>人</w:t>
            </w:r>
          </w:p>
        </w:tc>
        <w:tc>
          <w:tcPr>
            <w:tcW w:w="1125" w:type="dxa"/>
            <w:vAlign w:val="center"/>
          </w:tcPr>
          <w:p w14:paraId="0064FCE6">
            <w:pPr>
              <w:widowControl/>
              <w:jc w:val="center"/>
              <w:rPr>
                <w:color w:val="auto"/>
                <w:kern w:val="0"/>
                <w:szCs w:val="21"/>
                <w:highlight w:val="none"/>
              </w:rPr>
            </w:pPr>
            <w:r>
              <w:rPr>
                <w:color w:val="auto"/>
                <w:kern w:val="0"/>
                <w:szCs w:val="21"/>
                <w:highlight w:val="none"/>
              </w:rPr>
              <w:t>X≥300</w:t>
            </w:r>
          </w:p>
        </w:tc>
        <w:tc>
          <w:tcPr>
            <w:tcW w:w="1701" w:type="dxa"/>
            <w:vAlign w:val="center"/>
          </w:tcPr>
          <w:p w14:paraId="2F40EFFD">
            <w:pPr>
              <w:widowControl/>
              <w:jc w:val="center"/>
              <w:rPr>
                <w:color w:val="auto"/>
                <w:kern w:val="0"/>
                <w:szCs w:val="21"/>
                <w:highlight w:val="none"/>
              </w:rPr>
            </w:pPr>
            <w:r>
              <w:rPr>
                <w:color w:val="auto"/>
                <w:kern w:val="0"/>
                <w:szCs w:val="21"/>
                <w:highlight w:val="none"/>
              </w:rPr>
              <w:t>50≤X＜300</w:t>
            </w:r>
          </w:p>
        </w:tc>
        <w:tc>
          <w:tcPr>
            <w:tcW w:w="1426" w:type="dxa"/>
            <w:vAlign w:val="center"/>
          </w:tcPr>
          <w:p w14:paraId="788C4DB3">
            <w:pPr>
              <w:widowControl/>
              <w:ind w:left="-1" w:leftChars="-1" w:hanging="1"/>
              <w:jc w:val="center"/>
              <w:rPr>
                <w:color w:val="auto"/>
                <w:kern w:val="0"/>
                <w:szCs w:val="21"/>
                <w:highlight w:val="none"/>
              </w:rPr>
            </w:pPr>
            <w:r>
              <w:rPr>
                <w:color w:val="auto"/>
                <w:kern w:val="0"/>
                <w:szCs w:val="21"/>
                <w:highlight w:val="none"/>
              </w:rPr>
              <w:t xml:space="preserve">10≤X＜50 </w:t>
            </w:r>
          </w:p>
        </w:tc>
        <w:tc>
          <w:tcPr>
            <w:tcW w:w="992" w:type="dxa"/>
            <w:vAlign w:val="center"/>
          </w:tcPr>
          <w:p w14:paraId="68AADB95">
            <w:pPr>
              <w:widowControl/>
              <w:jc w:val="center"/>
              <w:rPr>
                <w:color w:val="auto"/>
                <w:kern w:val="0"/>
                <w:szCs w:val="21"/>
                <w:highlight w:val="none"/>
              </w:rPr>
            </w:pPr>
            <w:r>
              <w:rPr>
                <w:color w:val="auto"/>
                <w:kern w:val="0"/>
                <w:szCs w:val="21"/>
                <w:highlight w:val="none"/>
              </w:rPr>
              <w:t>X＜10</w:t>
            </w:r>
          </w:p>
        </w:tc>
      </w:tr>
      <w:tr w14:paraId="2936C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1" w:type="dxa"/>
            <w:vMerge w:val="continue"/>
            <w:vAlign w:val="center"/>
          </w:tcPr>
          <w:p w14:paraId="0162E50B">
            <w:pPr>
              <w:widowControl/>
              <w:jc w:val="left"/>
              <w:rPr>
                <w:color w:val="auto"/>
                <w:kern w:val="0"/>
                <w:szCs w:val="21"/>
                <w:highlight w:val="none"/>
              </w:rPr>
            </w:pPr>
          </w:p>
        </w:tc>
        <w:tc>
          <w:tcPr>
            <w:tcW w:w="1531" w:type="dxa"/>
            <w:vAlign w:val="center"/>
          </w:tcPr>
          <w:p w14:paraId="2B9699E7">
            <w:pPr>
              <w:widowControl/>
              <w:spacing w:line="240" w:lineRule="exact"/>
              <w:jc w:val="center"/>
              <w:rPr>
                <w:color w:val="auto"/>
                <w:kern w:val="0"/>
                <w:szCs w:val="21"/>
                <w:highlight w:val="none"/>
              </w:rPr>
            </w:pPr>
            <w:r>
              <w:rPr>
                <w:color w:val="auto"/>
                <w:kern w:val="0"/>
                <w:szCs w:val="21"/>
                <w:highlight w:val="none"/>
              </w:rPr>
              <w:t>营业收入(Y)</w:t>
            </w:r>
          </w:p>
        </w:tc>
        <w:tc>
          <w:tcPr>
            <w:tcW w:w="709" w:type="dxa"/>
            <w:vAlign w:val="center"/>
          </w:tcPr>
          <w:p w14:paraId="3682587A">
            <w:pPr>
              <w:widowControl/>
              <w:jc w:val="center"/>
              <w:rPr>
                <w:color w:val="auto"/>
                <w:kern w:val="0"/>
                <w:szCs w:val="21"/>
                <w:highlight w:val="none"/>
              </w:rPr>
            </w:pPr>
            <w:r>
              <w:rPr>
                <w:color w:val="auto"/>
                <w:kern w:val="0"/>
                <w:szCs w:val="21"/>
                <w:highlight w:val="none"/>
              </w:rPr>
              <w:t>万元</w:t>
            </w:r>
          </w:p>
        </w:tc>
        <w:tc>
          <w:tcPr>
            <w:tcW w:w="1125" w:type="dxa"/>
            <w:vAlign w:val="center"/>
          </w:tcPr>
          <w:p w14:paraId="3CB311D1">
            <w:pPr>
              <w:widowControl/>
              <w:jc w:val="center"/>
              <w:rPr>
                <w:color w:val="auto"/>
                <w:kern w:val="0"/>
                <w:szCs w:val="21"/>
                <w:highlight w:val="none"/>
              </w:rPr>
            </w:pPr>
            <w:r>
              <w:rPr>
                <w:color w:val="auto"/>
                <w:kern w:val="0"/>
                <w:szCs w:val="21"/>
                <w:highlight w:val="none"/>
              </w:rPr>
              <w:t>Y≥20000</w:t>
            </w:r>
          </w:p>
        </w:tc>
        <w:tc>
          <w:tcPr>
            <w:tcW w:w="1701" w:type="dxa"/>
            <w:vAlign w:val="center"/>
          </w:tcPr>
          <w:p w14:paraId="0CC074C7">
            <w:pPr>
              <w:widowControl/>
              <w:jc w:val="center"/>
              <w:rPr>
                <w:color w:val="auto"/>
                <w:kern w:val="0"/>
                <w:szCs w:val="21"/>
                <w:highlight w:val="none"/>
              </w:rPr>
            </w:pPr>
            <w:r>
              <w:rPr>
                <w:color w:val="auto"/>
                <w:kern w:val="0"/>
                <w:szCs w:val="21"/>
                <w:highlight w:val="none"/>
              </w:rPr>
              <w:t>500≤Y＜20000</w:t>
            </w:r>
          </w:p>
        </w:tc>
        <w:tc>
          <w:tcPr>
            <w:tcW w:w="1426" w:type="dxa"/>
            <w:vAlign w:val="center"/>
          </w:tcPr>
          <w:p w14:paraId="6201AA11">
            <w:pPr>
              <w:widowControl/>
              <w:ind w:left="-1" w:leftChars="-1" w:hanging="1"/>
              <w:jc w:val="center"/>
              <w:rPr>
                <w:color w:val="auto"/>
                <w:kern w:val="0"/>
                <w:szCs w:val="21"/>
                <w:highlight w:val="none"/>
              </w:rPr>
            </w:pPr>
            <w:r>
              <w:rPr>
                <w:color w:val="auto"/>
                <w:kern w:val="0"/>
                <w:szCs w:val="21"/>
                <w:highlight w:val="none"/>
              </w:rPr>
              <w:t>100≤Y＜500</w:t>
            </w:r>
          </w:p>
        </w:tc>
        <w:tc>
          <w:tcPr>
            <w:tcW w:w="992" w:type="dxa"/>
            <w:vAlign w:val="center"/>
          </w:tcPr>
          <w:p w14:paraId="118B4B9A">
            <w:pPr>
              <w:widowControl/>
              <w:jc w:val="center"/>
              <w:rPr>
                <w:color w:val="auto"/>
                <w:kern w:val="0"/>
                <w:szCs w:val="21"/>
                <w:highlight w:val="none"/>
              </w:rPr>
            </w:pPr>
            <w:r>
              <w:rPr>
                <w:color w:val="auto"/>
                <w:kern w:val="0"/>
                <w:szCs w:val="21"/>
                <w:highlight w:val="none"/>
              </w:rPr>
              <w:t>Y＜100</w:t>
            </w:r>
          </w:p>
        </w:tc>
      </w:tr>
      <w:tr w14:paraId="07EB7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1" w:type="dxa"/>
            <w:vMerge w:val="restart"/>
            <w:vAlign w:val="center"/>
          </w:tcPr>
          <w:p w14:paraId="6B108AC3">
            <w:pPr>
              <w:widowControl/>
              <w:spacing w:line="240" w:lineRule="exact"/>
              <w:jc w:val="left"/>
              <w:rPr>
                <w:color w:val="auto"/>
                <w:kern w:val="0"/>
                <w:szCs w:val="21"/>
                <w:highlight w:val="none"/>
              </w:rPr>
            </w:pPr>
            <w:r>
              <w:rPr>
                <w:color w:val="auto"/>
                <w:kern w:val="0"/>
                <w:szCs w:val="21"/>
                <w:highlight w:val="none"/>
              </w:rPr>
              <w:t>交通运输业 *</w:t>
            </w:r>
          </w:p>
        </w:tc>
        <w:tc>
          <w:tcPr>
            <w:tcW w:w="1531" w:type="dxa"/>
            <w:vAlign w:val="center"/>
          </w:tcPr>
          <w:p w14:paraId="4C1DCE44">
            <w:pPr>
              <w:widowControl/>
              <w:jc w:val="center"/>
              <w:rPr>
                <w:color w:val="auto"/>
                <w:kern w:val="0"/>
                <w:szCs w:val="21"/>
                <w:highlight w:val="none"/>
              </w:rPr>
            </w:pPr>
            <w:r>
              <w:rPr>
                <w:color w:val="auto"/>
                <w:kern w:val="0"/>
                <w:szCs w:val="21"/>
                <w:highlight w:val="none"/>
              </w:rPr>
              <w:t>从业人员(X)</w:t>
            </w:r>
          </w:p>
        </w:tc>
        <w:tc>
          <w:tcPr>
            <w:tcW w:w="709" w:type="dxa"/>
            <w:vAlign w:val="center"/>
          </w:tcPr>
          <w:p w14:paraId="37BCD8C9">
            <w:pPr>
              <w:widowControl/>
              <w:jc w:val="center"/>
              <w:rPr>
                <w:color w:val="auto"/>
                <w:kern w:val="0"/>
                <w:szCs w:val="21"/>
                <w:highlight w:val="none"/>
              </w:rPr>
            </w:pPr>
            <w:r>
              <w:rPr>
                <w:color w:val="auto"/>
                <w:kern w:val="0"/>
                <w:szCs w:val="21"/>
                <w:highlight w:val="none"/>
              </w:rPr>
              <w:t>人</w:t>
            </w:r>
          </w:p>
        </w:tc>
        <w:tc>
          <w:tcPr>
            <w:tcW w:w="1125" w:type="dxa"/>
            <w:vAlign w:val="center"/>
          </w:tcPr>
          <w:p w14:paraId="25B0BE0E">
            <w:pPr>
              <w:widowControl/>
              <w:jc w:val="center"/>
              <w:rPr>
                <w:color w:val="auto"/>
                <w:kern w:val="0"/>
                <w:szCs w:val="21"/>
                <w:highlight w:val="none"/>
              </w:rPr>
            </w:pPr>
            <w:r>
              <w:rPr>
                <w:color w:val="auto"/>
                <w:kern w:val="0"/>
                <w:szCs w:val="21"/>
                <w:highlight w:val="none"/>
              </w:rPr>
              <w:t>X≥1000</w:t>
            </w:r>
          </w:p>
        </w:tc>
        <w:tc>
          <w:tcPr>
            <w:tcW w:w="1701" w:type="dxa"/>
            <w:vAlign w:val="center"/>
          </w:tcPr>
          <w:p w14:paraId="189C1060">
            <w:pPr>
              <w:widowControl/>
              <w:jc w:val="center"/>
              <w:rPr>
                <w:color w:val="auto"/>
                <w:kern w:val="0"/>
                <w:szCs w:val="21"/>
                <w:highlight w:val="none"/>
              </w:rPr>
            </w:pPr>
            <w:r>
              <w:rPr>
                <w:color w:val="auto"/>
                <w:kern w:val="0"/>
                <w:szCs w:val="21"/>
                <w:highlight w:val="none"/>
              </w:rPr>
              <w:t>300≤X＜1000</w:t>
            </w:r>
          </w:p>
        </w:tc>
        <w:tc>
          <w:tcPr>
            <w:tcW w:w="1426" w:type="dxa"/>
            <w:vAlign w:val="center"/>
          </w:tcPr>
          <w:p w14:paraId="4941BDED">
            <w:pPr>
              <w:widowControl/>
              <w:jc w:val="center"/>
              <w:rPr>
                <w:color w:val="auto"/>
                <w:kern w:val="0"/>
                <w:szCs w:val="21"/>
                <w:highlight w:val="none"/>
              </w:rPr>
            </w:pPr>
            <w:r>
              <w:rPr>
                <w:color w:val="auto"/>
                <w:kern w:val="0"/>
                <w:szCs w:val="21"/>
                <w:highlight w:val="none"/>
              </w:rPr>
              <w:t>20≤X＜300</w:t>
            </w:r>
          </w:p>
        </w:tc>
        <w:tc>
          <w:tcPr>
            <w:tcW w:w="992" w:type="dxa"/>
            <w:vAlign w:val="center"/>
          </w:tcPr>
          <w:p w14:paraId="3AA92872">
            <w:pPr>
              <w:widowControl/>
              <w:jc w:val="center"/>
              <w:rPr>
                <w:color w:val="auto"/>
                <w:kern w:val="0"/>
                <w:szCs w:val="21"/>
                <w:highlight w:val="none"/>
              </w:rPr>
            </w:pPr>
            <w:r>
              <w:rPr>
                <w:color w:val="auto"/>
                <w:kern w:val="0"/>
                <w:szCs w:val="21"/>
                <w:highlight w:val="none"/>
              </w:rPr>
              <w:t>X＜20</w:t>
            </w:r>
          </w:p>
        </w:tc>
      </w:tr>
      <w:tr w14:paraId="77032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1" w:type="dxa"/>
            <w:vMerge w:val="continue"/>
            <w:vAlign w:val="center"/>
          </w:tcPr>
          <w:p w14:paraId="0EC97A1E">
            <w:pPr>
              <w:widowControl/>
              <w:jc w:val="left"/>
              <w:rPr>
                <w:color w:val="auto"/>
                <w:kern w:val="0"/>
                <w:szCs w:val="21"/>
                <w:highlight w:val="none"/>
              </w:rPr>
            </w:pPr>
          </w:p>
        </w:tc>
        <w:tc>
          <w:tcPr>
            <w:tcW w:w="1531" w:type="dxa"/>
            <w:vAlign w:val="center"/>
          </w:tcPr>
          <w:p w14:paraId="53982309">
            <w:pPr>
              <w:widowControl/>
              <w:spacing w:line="240" w:lineRule="exact"/>
              <w:jc w:val="center"/>
              <w:rPr>
                <w:color w:val="auto"/>
                <w:kern w:val="0"/>
                <w:szCs w:val="21"/>
                <w:highlight w:val="none"/>
              </w:rPr>
            </w:pPr>
            <w:r>
              <w:rPr>
                <w:color w:val="auto"/>
                <w:kern w:val="0"/>
                <w:szCs w:val="21"/>
                <w:highlight w:val="none"/>
              </w:rPr>
              <w:t>营业收入(Y)</w:t>
            </w:r>
          </w:p>
        </w:tc>
        <w:tc>
          <w:tcPr>
            <w:tcW w:w="709" w:type="dxa"/>
            <w:vAlign w:val="center"/>
          </w:tcPr>
          <w:p w14:paraId="112E196F">
            <w:pPr>
              <w:widowControl/>
              <w:jc w:val="center"/>
              <w:rPr>
                <w:color w:val="auto"/>
                <w:kern w:val="0"/>
                <w:szCs w:val="21"/>
                <w:highlight w:val="none"/>
              </w:rPr>
            </w:pPr>
            <w:r>
              <w:rPr>
                <w:color w:val="auto"/>
                <w:kern w:val="0"/>
                <w:szCs w:val="21"/>
                <w:highlight w:val="none"/>
              </w:rPr>
              <w:t>万元</w:t>
            </w:r>
          </w:p>
        </w:tc>
        <w:tc>
          <w:tcPr>
            <w:tcW w:w="1125" w:type="dxa"/>
            <w:vAlign w:val="center"/>
          </w:tcPr>
          <w:p w14:paraId="6374E200">
            <w:pPr>
              <w:widowControl/>
              <w:jc w:val="center"/>
              <w:rPr>
                <w:color w:val="auto"/>
                <w:kern w:val="0"/>
                <w:szCs w:val="21"/>
                <w:highlight w:val="none"/>
              </w:rPr>
            </w:pPr>
            <w:r>
              <w:rPr>
                <w:color w:val="auto"/>
                <w:kern w:val="0"/>
                <w:szCs w:val="21"/>
                <w:highlight w:val="none"/>
              </w:rPr>
              <w:t>Y≥30000</w:t>
            </w:r>
          </w:p>
        </w:tc>
        <w:tc>
          <w:tcPr>
            <w:tcW w:w="1701" w:type="dxa"/>
            <w:vAlign w:val="center"/>
          </w:tcPr>
          <w:p w14:paraId="2C16B0B6">
            <w:pPr>
              <w:widowControl/>
              <w:jc w:val="center"/>
              <w:rPr>
                <w:color w:val="auto"/>
                <w:kern w:val="0"/>
                <w:szCs w:val="21"/>
                <w:highlight w:val="none"/>
              </w:rPr>
            </w:pPr>
            <w:r>
              <w:rPr>
                <w:color w:val="auto"/>
                <w:kern w:val="0"/>
                <w:szCs w:val="21"/>
                <w:highlight w:val="none"/>
              </w:rPr>
              <w:t>3000≤Y＜30000</w:t>
            </w:r>
          </w:p>
        </w:tc>
        <w:tc>
          <w:tcPr>
            <w:tcW w:w="1426" w:type="dxa"/>
            <w:vAlign w:val="center"/>
          </w:tcPr>
          <w:p w14:paraId="7021B68B">
            <w:pPr>
              <w:widowControl/>
              <w:jc w:val="center"/>
              <w:rPr>
                <w:color w:val="auto"/>
                <w:kern w:val="0"/>
                <w:szCs w:val="21"/>
                <w:highlight w:val="none"/>
              </w:rPr>
            </w:pPr>
            <w:r>
              <w:rPr>
                <w:color w:val="auto"/>
                <w:kern w:val="0"/>
                <w:szCs w:val="21"/>
                <w:highlight w:val="none"/>
              </w:rPr>
              <w:t>200≤Y＜3000</w:t>
            </w:r>
          </w:p>
        </w:tc>
        <w:tc>
          <w:tcPr>
            <w:tcW w:w="992" w:type="dxa"/>
            <w:vAlign w:val="center"/>
          </w:tcPr>
          <w:p w14:paraId="3E9B6740">
            <w:pPr>
              <w:widowControl/>
              <w:jc w:val="center"/>
              <w:rPr>
                <w:color w:val="auto"/>
                <w:kern w:val="0"/>
                <w:szCs w:val="21"/>
                <w:highlight w:val="none"/>
              </w:rPr>
            </w:pPr>
            <w:r>
              <w:rPr>
                <w:color w:val="auto"/>
                <w:kern w:val="0"/>
                <w:szCs w:val="21"/>
                <w:highlight w:val="none"/>
              </w:rPr>
              <w:t>Y＜200</w:t>
            </w:r>
          </w:p>
        </w:tc>
      </w:tr>
      <w:tr w14:paraId="67DE9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1" w:type="dxa"/>
            <w:vMerge w:val="restart"/>
            <w:vAlign w:val="center"/>
          </w:tcPr>
          <w:p w14:paraId="769041BC">
            <w:pPr>
              <w:widowControl/>
              <w:spacing w:line="240" w:lineRule="exact"/>
              <w:jc w:val="left"/>
              <w:rPr>
                <w:color w:val="auto"/>
                <w:kern w:val="0"/>
                <w:szCs w:val="21"/>
                <w:highlight w:val="none"/>
              </w:rPr>
            </w:pPr>
            <w:r>
              <w:rPr>
                <w:color w:val="auto"/>
                <w:kern w:val="0"/>
                <w:szCs w:val="21"/>
                <w:highlight w:val="none"/>
              </w:rPr>
              <w:t>仓储业*</w:t>
            </w:r>
          </w:p>
        </w:tc>
        <w:tc>
          <w:tcPr>
            <w:tcW w:w="1531" w:type="dxa"/>
            <w:vAlign w:val="center"/>
          </w:tcPr>
          <w:p w14:paraId="75B4C974">
            <w:pPr>
              <w:widowControl/>
              <w:jc w:val="center"/>
              <w:rPr>
                <w:color w:val="auto"/>
                <w:kern w:val="0"/>
                <w:szCs w:val="21"/>
                <w:highlight w:val="none"/>
              </w:rPr>
            </w:pPr>
            <w:r>
              <w:rPr>
                <w:color w:val="auto"/>
                <w:kern w:val="0"/>
                <w:szCs w:val="21"/>
                <w:highlight w:val="none"/>
              </w:rPr>
              <w:t>从业人员(X)</w:t>
            </w:r>
          </w:p>
        </w:tc>
        <w:tc>
          <w:tcPr>
            <w:tcW w:w="709" w:type="dxa"/>
            <w:vAlign w:val="center"/>
          </w:tcPr>
          <w:p w14:paraId="4C4AEB41">
            <w:pPr>
              <w:widowControl/>
              <w:jc w:val="center"/>
              <w:rPr>
                <w:color w:val="auto"/>
                <w:kern w:val="0"/>
                <w:szCs w:val="21"/>
                <w:highlight w:val="none"/>
              </w:rPr>
            </w:pPr>
            <w:r>
              <w:rPr>
                <w:color w:val="auto"/>
                <w:kern w:val="0"/>
                <w:szCs w:val="21"/>
                <w:highlight w:val="none"/>
              </w:rPr>
              <w:t>人</w:t>
            </w:r>
          </w:p>
        </w:tc>
        <w:tc>
          <w:tcPr>
            <w:tcW w:w="1125" w:type="dxa"/>
            <w:vAlign w:val="center"/>
          </w:tcPr>
          <w:p w14:paraId="02F61B1A">
            <w:pPr>
              <w:widowControl/>
              <w:jc w:val="center"/>
              <w:rPr>
                <w:color w:val="auto"/>
                <w:kern w:val="0"/>
                <w:szCs w:val="21"/>
                <w:highlight w:val="none"/>
              </w:rPr>
            </w:pPr>
            <w:r>
              <w:rPr>
                <w:color w:val="auto"/>
                <w:kern w:val="0"/>
                <w:szCs w:val="21"/>
                <w:highlight w:val="none"/>
              </w:rPr>
              <w:t>X≥200</w:t>
            </w:r>
          </w:p>
        </w:tc>
        <w:tc>
          <w:tcPr>
            <w:tcW w:w="1701" w:type="dxa"/>
            <w:vAlign w:val="center"/>
          </w:tcPr>
          <w:p w14:paraId="77A98458">
            <w:pPr>
              <w:widowControl/>
              <w:ind w:left="19" w:leftChars="-51" w:hanging="126" w:hangingChars="60"/>
              <w:jc w:val="center"/>
              <w:rPr>
                <w:color w:val="auto"/>
                <w:kern w:val="0"/>
                <w:szCs w:val="21"/>
                <w:highlight w:val="none"/>
              </w:rPr>
            </w:pPr>
            <w:r>
              <w:rPr>
                <w:color w:val="auto"/>
                <w:kern w:val="0"/>
                <w:szCs w:val="21"/>
                <w:highlight w:val="none"/>
              </w:rPr>
              <w:t>100≤X＜200</w:t>
            </w:r>
          </w:p>
        </w:tc>
        <w:tc>
          <w:tcPr>
            <w:tcW w:w="1426" w:type="dxa"/>
            <w:vAlign w:val="center"/>
          </w:tcPr>
          <w:p w14:paraId="3D467EA7">
            <w:pPr>
              <w:widowControl/>
              <w:jc w:val="center"/>
              <w:rPr>
                <w:color w:val="auto"/>
                <w:kern w:val="0"/>
                <w:szCs w:val="21"/>
                <w:highlight w:val="none"/>
              </w:rPr>
            </w:pPr>
            <w:r>
              <w:rPr>
                <w:color w:val="auto"/>
                <w:kern w:val="0"/>
                <w:szCs w:val="21"/>
                <w:highlight w:val="none"/>
              </w:rPr>
              <w:t>20≤X＜100</w:t>
            </w:r>
          </w:p>
        </w:tc>
        <w:tc>
          <w:tcPr>
            <w:tcW w:w="992" w:type="dxa"/>
            <w:vAlign w:val="center"/>
          </w:tcPr>
          <w:p w14:paraId="43061583">
            <w:pPr>
              <w:widowControl/>
              <w:jc w:val="center"/>
              <w:rPr>
                <w:color w:val="auto"/>
                <w:kern w:val="0"/>
                <w:szCs w:val="21"/>
                <w:highlight w:val="none"/>
              </w:rPr>
            </w:pPr>
            <w:r>
              <w:rPr>
                <w:color w:val="auto"/>
                <w:kern w:val="0"/>
                <w:szCs w:val="21"/>
                <w:highlight w:val="none"/>
              </w:rPr>
              <w:t>X＜20</w:t>
            </w:r>
          </w:p>
        </w:tc>
      </w:tr>
      <w:tr w14:paraId="1F9B8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1" w:type="dxa"/>
            <w:vMerge w:val="continue"/>
            <w:vAlign w:val="center"/>
          </w:tcPr>
          <w:p w14:paraId="4741E2F6">
            <w:pPr>
              <w:widowControl/>
              <w:jc w:val="left"/>
              <w:rPr>
                <w:color w:val="auto"/>
                <w:kern w:val="0"/>
                <w:szCs w:val="21"/>
                <w:highlight w:val="none"/>
              </w:rPr>
            </w:pPr>
          </w:p>
        </w:tc>
        <w:tc>
          <w:tcPr>
            <w:tcW w:w="1531" w:type="dxa"/>
            <w:vAlign w:val="center"/>
          </w:tcPr>
          <w:p w14:paraId="604B448B">
            <w:pPr>
              <w:widowControl/>
              <w:spacing w:line="240" w:lineRule="exact"/>
              <w:jc w:val="center"/>
              <w:rPr>
                <w:color w:val="auto"/>
                <w:kern w:val="0"/>
                <w:szCs w:val="21"/>
                <w:highlight w:val="none"/>
              </w:rPr>
            </w:pPr>
            <w:r>
              <w:rPr>
                <w:color w:val="auto"/>
                <w:kern w:val="0"/>
                <w:szCs w:val="21"/>
                <w:highlight w:val="none"/>
              </w:rPr>
              <w:t>营业收入(Y)</w:t>
            </w:r>
          </w:p>
        </w:tc>
        <w:tc>
          <w:tcPr>
            <w:tcW w:w="709" w:type="dxa"/>
            <w:vAlign w:val="center"/>
          </w:tcPr>
          <w:p w14:paraId="615CA032">
            <w:pPr>
              <w:widowControl/>
              <w:jc w:val="center"/>
              <w:rPr>
                <w:color w:val="auto"/>
                <w:kern w:val="0"/>
                <w:szCs w:val="21"/>
                <w:highlight w:val="none"/>
              </w:rPr>
            </w:pPr>
            <w:r>
              <w:rPr>
                <w:color w:val="auto"/>
                <w:kern w:val="0"/>
                <w:szCs w:val="21"/>
                <w:highlight w:val="none"/>
              </w:rPr>
              <w:t>万元</w:t>
            </w:r>
          </w:p>
        </w:tc>
        <w:tc>
          <w:tcPr>
            <w:tcW w:w="1125" w:type="dxa"/>
            <w:vAlign w:val="center"/>
          </w:tcPr>
          <w:p w14:paraId="5668319C">
            <w:pPr>
              <w:widowControl/>
              <w:jc w:val="center"/>
              <w:rPr>
                <w:color w:val="auto"/>
                <w:kern w:val="0"/>
                <w:szCs w:val="21"/>
                <w:highlight w:val="none"/>
              </w:rPr>
            </w:pPr>
            <w:r>
              <w:rPr>
                <w:color w:val="auto"/>
                <w:kern w:val="0"/>
                <w:szCs w:val="21"/>
                <w:highlight w:val="none"/>
              </w:rPr>
              <w:t>Y≥30000</w:t>
            </w:r>
          </w:p>
        </w:tc>
        <w:tc>
          <w:tcPr>
            <w:tcW w:w="1701" w:type="dxa"/>
            <w:vAlign w:val="center"/>
          </w:tcPr>
          <w:p w14:paraId="75ECB82E">
            <w:pPr>
              <w:widowControl/>
              <w:jc w:val="center"/>
              <w:rPr>
                <w:color w:val="auto"/>
                <w:kern w:val="0"/>
                <w:szCs w:val="21"/>
                <w:highlight w:val="none"/>
              </w:rPr>
            </w:pPr>
            <w:r>
              <w:rPr>
                <w:color w:val="auto"/>
                <w:kern w:val="0"/>
                <w:szCs w:val="21"/>
                <w:highlight w:val="none"/>
              </w:rPr>
              <w:t>1000≤Y＜30000</w:t>
            </w:r>
          </w:p>
        </w:tc>
        <w:tc>
          <w:tcPr>
            <w:tcW w:w="1426" w:type="dxa"/>
            <w:vAlign w:val="center"/>
          </w:tcPr>
          <w:p w14:paraId="0F58FB69">
            <w:pPr>
              <w:widowControl/>
              <w:jc w:val="center"/>
              <w:rPr>
                <w:color w:val="auto"/>
                <w:kern w:val="0"/>
                <w:szCs w:val="21"/>
                <w:highlight w:val="none"/>
              </w:rPr>
            </w:pPr>
            <w:r>
              <w:rPr>
                <w:color w:val="auto"/>
                <w:kern w:val="0"/>
                <w:szCs w:val="21"/>
                <w:highlight w:val="none"/>
              </w:rPr>
              <w:t>100≤Y＜1000</w:t>
            </w:r>
          </w:p>
        </w:tc>
        <w:tc>
          <w:tcPr>
            <w:tcW w:w="992" w:type="dxa"/>
            <w:vAlign w:val="center"/>
          </w:tcPr>
          <w:p w14:paraId="38187C1A">
            <w:pPr>
              <w:widowControl/>
              <w:jc w:val="center"/>
              <w:rPr>
                <w:color w:val="auto"/>
                <w:kern w:val="0"/>
                <w:szCs w:val="21"/>
                <w:highlight w:val="none"/>
              </w:rPr>
            </w:pPr>
            <w:r>
              <w:rPr>
                <w:color w:val="auto"/>
                <w:kern w:val="0"/>
                <w:szCs w:val="21"/>
                <w:highlight w:val="none"/>
              </w:rPr>
              <w:t>Y＜100</w:t>
            </w:r>
          </w:p>
        </w:tc>
      </w:tr>
      <w:tr w14:paraId="49BD2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1" w:type="dxa"/>
            <w:vMerge w:val="restart"/>
            <w:vAlign w:val="center"/>
          </w:tcPr>
          <w:p w14:paraId="6E72A3B0">
            <w:pPr>
              <w:widowControl/>
              <w:spacing w:line="240" w:lineRule="exact"/>
              <w:jc w:val="left"/>
              <w:rPr>
                <w:color w:val="auto"/>
                <w:kern w:val="0"/>
                <w:szCs w:val="21"/>
                <w:highlight w:val="none"/>
              </w:rPr>
            </w:pPr>
            <w:r>
              <w:rPr>
                <w:color w:val="auto"/>
                <w:kern w:val="0"/>
                <w:szCs w:val="21"/>
                <w:highlight w:val="none"/>
              </w:rPr>
              <w:t>邮政业</w:t>
            </w:r>
          </w:p>
        </w:tc>
        <w:tc>
          <w:tcPr>
            <w:tcW w:w="1531" w:type="dxa"/>
            <w:vAlign w:val="center"/>
          </w:tcPr>
          <w:p w14:paraId="2A7C7B30">
            <w:pPr>
              <w:widowControl/>
              <w:jc w:val="center"/>
              <w:rPr>
                <w:color w:val="auto"/>
                <w:kern w:val="0"/>
                <w:szCs w:val="21"/>
                <w:highlight w:val="none"/>
              </w:rPr>
            </w:pPr>
            <w:r>
              <w:rPr>
                <w:color w:val="auto"/>
                <w:kern w:val="0"/>
                <w:szCs w:val="21"/>
                <w:highlight w:val="none"/>
              </w:rPr>
              <w:t>从业人员(X)</w:t>
            </w:r>
          </w:p>
        </w:tc>
        <w:tc>
          <w:tcPr>
            <w:tcW w:w="709" w:type="dxa"/>
            <w:vAlign w:val="center"/>
          </w:tcPr>
          <w:p w14:paraId="7F69C968">
            <w:pPr>
              <w:widowControl/>
              <w:jc w:val="center"/>
              <w:rPr>
                <w:color w:val="auto"/>
                <w:kern w:val="0"/>
                <w:szCs w:val="21"/>
                <w:highlight w:val="none"/>
              </w:rPr>
            </w:pPr>
            <w:r>
              <w:rPr>
                <w:color w:val="auto"/>
                <w:kern w:val="0"/>
                <w:szCs w:val="21"/>
                <w:highlight w:val="none"/>
              </w:rPr>
              <w:t>人</w:t>
            </w:r>
          </w:p>
        </w:tc>
        <w:tc>
          <w:tcPr>
            <w:tcW w:w="1125" w:type="dxa"/>
            <w:vAlign w:val="center"/>
          </w:tcPr>
          <w:p w14:paraId="4D1CF109">
            <w:pPr>
              <w:widowControl/>
              <w:jc w:val="center"/>
              <w:rPr>
                <w:color w:val="auto"/>
                <w:kern w:val="0"/>
                <w:szCs w:val="21"/>
                <w:highlight w:val="none"/>
              </w:rPr>
            </w:pPr>
            <w:r>
              <w:rPr>
                <w:color w:val="auto"/>
                <w:kern w:val="0"/>
                <w:szCs w:val="21"/>
                <w:highlight w:val="none"/>
              </w:rPr>
              <w:t>X≥1000</w:t>
            </w:r>
          </w:p>
        </w:tc>
        <w:tc>
          <w:tcPr>
            <w:tcW w:w="1701" w:type="dxa"/>
            <w:vAlign w:val="center"/>
          </w:tcPr>
          <w:p w14:paraId="7E36A0A7">
            <w:pPr>
              <w:widowControl/>
              <w:jc w:val="center"/>
              <w:rPr>
                <w:color w:val="auto"/>
                <w:kern w:val="0"/>
                <w:szCs w:val="21"/>
                <w:highlight w:val="none"/>
              </w:rPr>
            </w:pPr>
            <w:r>
              <w:rPr>
                <w:color w:val="auto"/>
                <w:kern w:val="0"/>
                <w:szCs w:val="21"/>
                <w:highlight w:val="none"/>
              </w:rPr>
              <w:t>300≤X＜1000</w:t>
            </w:r>
          </w:p>
        </w:tc>
        <w:tc>
          <w:tcPr>
            <w:tcW w:w="1426" w:type="dxa"/>
            <w:vAlign w:val="center"/>
          </w:tcPr>
          <w:p w14:paraId="3FC213B3">
            <w:pPr>
              <w:widowControl/>
              <w:jc w:val="center"/>
              <w:rPr>
                <w:color w:val="auto"/>
                <w:kern w:val="0"/>
                <w:szCs w:val="21"/>
                <w:highlight w:val="none"/>
              </w:rPr>
            </w:pPr>
            <w:r>
              <w:rPr>
                <w:color w:val="auto"/>
                <w:kern w:val="0"/>
                <w:szCs w:val="21"/>
                <w:highlight w:val="none"/>
              </w:rPr>
              <w:t>20≤X＜300</w:t>
            </w:r>
          </w:p>
        </w:tc>
        <w:tc>
          <w:tcPr>
            <w:tcW w:w="992" w:type="dxa"/>
            <w:vAlign w:val="center"/>
          </w:tcPr>
          <w:p w14:paraId="7AD804E3">
            <w:pPr>
              <w:widowControl/>
              <w:jc w:val="center"/>
              <w:rPr>
                <w:color w:val="auto"/>
                <w:kern w:val="0"/>
                <w:szCs w:val="21"/>
                <w:highlight w:val="none"/>
              </w:rPr>
            </w:pPr>
            <w:r>
              <w:rPr>
                <w:color w:val="auto"/>
                <w:kern w:val="0"/>
                <w:szCs w:val="21"/>
                <w:highlight w:val="none"/>
              </w:rPr>
              <w:t>X＜20</w:t>
            </w:r>
          </w:p>
        </w:tc>
      </w:tr>
      <w:tr w14:paraId="6B2EC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1" w:type="dxa"/>
            <w:vMerge w:val="continue"/>
            <w:vAlign w:val="center"/>
          </w:tcPr>
          <w:p w14:paraId="35456DD2">
            <w:pPr>
              <w:widowControl/>
              <w:jc w:val="left"/>
              <w:rPr>
                <w:color w:val="auto"/>
                <w:kern w:val="0"/>
                <w:szCs w:val="21"/>
                <w:highlight w:val="none"/>
              </w:rPr>
            </w:pPr>
          </w:p>
        </w:tc>
        <w:tc>
          <w:tcPr>
            <w:tcW w:w="1531" w:type="dxa"/>
            <w:vAlign w:val="center"/>
          </w:tcPr>
          <w:p w14:paraId="4256213F">
            <w:pPr>
              <w:widowControl/>
              <w:spacing w:line="240" w:lineRule="exact"/>
              <w:jc w:val="center"/>
              <w:rPr>
                <w:color w:val="auto"/>
                <w:kern w:val="0"/>
                <w:szCs w:val="21"/>
                <w:highlight w:val="none"/>
              </w:rPr>
            </w:pPr>
            <w:r>
              <w:rPr>
                <w:color w:val="auto"/>
                <w:kern w:val="0"/>
                <w:szCs w:val="21"/>
                <w:highlight w:val="none"/>
              </w:rPr>
              <w:t>营业收入(Y)</w:t>
            </w:r>
          </w:p>
        </w:tc>
        <w:tc>
          <w:tcPr>
            <w:tcW w:w="709" w:type="dxa"/>
            <w:vAlign w:val="center"/>
          </w:tcPr>
          <w:p w14:paraId="6C0251F2">
            <w:pPr>
              <w:widowControl/>
              <w:jc w:val="center"/>
              <w:rPr>
                <w:color w:val="auto"/>
                <w:kern w:val="0"/>
                <w:szCs w:val="21"/>
                <w:highlight w:val="none"/>
              </w:rPr>
            </w:pPr>
            <w:r>
              <w:rPr>
                <w:color w:val="auto"/>
                <w:kern w:val="0"/>
                <w:szCs w:val="21"/>
                <w:highlight w:val="none"/>
              </w:rPr>
              <w:t>万元</w:t>
            </w:r>
          </w:p>
        </w:tc>
        <w:tc>
          <w:tcPr>
            <w:tcW w:w="1125" w:type="dxa"/>
            <w:vAlign w:val="center"/>
          </w:tcPr>
          <w:p w14:paraId="40D152B2">
            <w:pPr>
              <w:widowControl/>
              <w:jc w:val="center"/>
              <w:rPr>
                <w:color w:val="auto"/>
                <w:kern w:val="0"/>
                <w:szCs w:val="21"/>
                <w:highlight w:val="none"/>
              </w:rPr>
            </w:pPr>
            <w:r>
              <w:rPr>
                <w:color w:val="auto"/>
                <w:kern w:val="0"/>
                <w:szCs w:val="21"/>
                <w:highlight w:val="none"/>
              </w:rPr>
              <w:t>Y≥30000</w:t>
            </w:r>
          </w:p>
        </w:tc>
        <w:tc>
          <w:tcPr>
            <w:tcW w:w="1701" w:type="dxa"/>
            <w:vAlign w:val="center"/>
          </w:tcPr>
          <w:p w14:paraId="676BF22F">
            <w:pPr>
              <w:widowControl/>
              <w:jc w:val="center"/>
              <w:rPr>
                <w:color w:val="auto"/>
                <w:kern w:val="0"/>
                <w:szCs w:val="21"/>
                <w:highlight w:val="none"/>
              </w:rPr>
            </w:pPr>
            <w:r>
              <w:rPr>
                <w:color w:val="auto"/>
                <w:kern w:val="0"/>
                <w:szCs w:val="21"/>
                <w:highlight w:val="none"/>
              </w:rPr>
              <w:t>2000≤Y＜30000</w:t>
            </w:r>
          </w:p>
        </w:tc>
        <w:tc>
          <w:tcPr>
            <w:tcW w:w="1426" w:type="dxa"/>
            <w:vAlign w:val="center"/>
          </w:tcPr>
          <w:p w14:paraId="07762842">
            <w:pPr>
              <w:widowControl/>
              <w:jc w:val="center"/>
              <w:rPr>
                <w:color w:val="auto"/>
                <w:kern w:val="0"/>
                <w:szCs w:val="21"/>
                <w:highlight w:val="none"/>
              </w:rPr>
            </w:pPr>
            <w:r>
              <w:rPr>
                <w:color w:val="auto"/>
                <w:kern w:val="0"/>
                <w:szCs w:val="21"/>
                <w:highlight w:val="none"/>
              </w:rPr>
              <w:t>100≤Y＜2000</w:t>
            </w:r>
          </w:p>
        </w:tc>
        <w:tc>
          <w:tcPr>
            <w:tcW w:w="992" w:type="dxa"/>
            <w:vAlign w:val="center"/>
          </w:tcPr>
          <w:p w14:paraId="7AF20A8E">
            <w:pPr>
              <w:widowControl/>
              <w:jc w:val="center"/>
              <w:rPr>
                <w:color w:val="auto"/>
                <w:kern w:val="0"/>
                <w:szCs w:val="21"/>
                <w:highlight w:val="none"/>
              </w:rPr>
            </w:pPr>
            <w:r>
              <w:rPr>
                <w:color w:val="auto"/>
                <w:kern w:val="0"/>
                <w:szCs w:val="21"/>
                <w:highlight w:val="none"/>
              </w:rPr>
              <w:t>Y＜100</w:t>
            </w:r>
          </w:p>
        </w:tc>
      </w:tr>
      <w:tr w14:paraId="7186E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1" w:type="dxa"/>
            <w:vMerge w:val="restart"/>
            <w:vAlign w:val="center"/>
          </w:tcPr>
          <w:p w14:paraId="66AC03F6">
            <w:pPr>
              <w:widowControl/>
              <w:spacing w:line="240" w:lineRule="exact"/>
              <w:jc w:val="left"/>
              <w:rPr>
                <w:color w:val="auto"/>
                <w:kern w:val="0"/>
                <w:szCs w:val="21"/>
                <w:highlight w:val="none"/>
              </w:rPr>
            </w:pPr>
            <w:r>
              <w:rPr>
                <w:color w:val="auto"/>
                <w:kern w:val="0"/>
                <w:szCs w:val="21"/>
                <w:highlight w:val="none"/>
              </w:rPr>
              <w:t>住宿业</w:t>
            </w:r>
          </w:p>
        </w:tc>
        <w:tc>
          <w:tcPr>
            <w:tcW w:w="1531" w:type="dxa"/>
            <w:vAlign w:val="center"/>
          </w:tcPr>
          <w:p w14:paraId="2A4CBAD0">
            <w:pPr>
              <w:widowControl/>
              <w:jc w:val="center"/>
              <w:rPr>
                <w:color w:val="auto"/>
                <w:kern w:val="0"/>
                <w:szCs w:val="21"/>
                <w:highlight w:val="none"/>
              </w:rPr>
            </w:pPr>
            <w:r>
              <w:rPr>
                <w:color w:val="auto"/>
                <w:kern w:val="0"/>
                <w:szCs w:val="21"/>
                <w:highlight w:val="none"/>
              </w:rPr>
              <w:t>从业人员(X)</w:t>
            </w:r>
          </w:p>
        </w:tc>
        <w:tc>
          <w:tcPr>
            <w:tcW w:w="709" w:type="dxa"/>
            <w:vAlign w:val="center"/>
          </w:tcPr>
          <w:p w14:paraId="5E16D445">
            <w:pPr>
              <w:widowControl/>
              <w:jc w:val="center"/>
              <w:rPr>
                <w:color w:val="auto"/>
                <w:kern w:val="0"/>
                <w:szCs w:val="21"/>
                <w:highlight w:val="none"/>
              </w:rPr>
            </w:pPr>
            <w:r>
              <w:rPr>
                <w:color w:val="auto"/>
                <w:kern w:val="0"/>
                <w:szCs w:val="21"/>
                <w:highlight w:val="none"/>
              </w:rPr>
              <w:t>人</w:t>
            </w:r>
          </w:p>
        </w:tc>
        <w:tc>
          <w:tcPr>
            <w:tcW w:w="1125" w:type="dxa"/>
            <w:vAlign w:val="center"/>
          </w:tcPr>
          <w:p w14:paraId="57B76F29">
            <w:pPr>
              <w:widowControl/>
              <w:jc w:val="center"/>
              <w:rPr>
                <w:color w:val="auto"/>
                <w:kern w:val="0"/>
                <w:szCs w:val="21"/>
                <w:highlight w:val="none"/>
              </w:rPr>
            </w:pPr>
            <w:r>
              <w:rPr>
                <w:color w:val="auto"/>
                <w:kern w:val="0"/>
                <w:szCs w:val="21"/>
                <w:highlight w:val="none"/>
              </w:rPr>
              <w:t>X≥300</w:t>
            </w:r>
          </w:p>
        </w:tc>
        <w:tc>
          <w:tcPr>
            <w:tcW w:w="1701" w:type="dxa"/>
            <w:vAlign w:val="center"/>
          </w:tcPr>
          <w:p w14:paraId="31490BE9">
            <w:pPr>
              <w:widowControl/>
              <w:ind w:left="19" w:leftChars="-51" w:hanging="126" w:hangingChars="60"/>
              <w:jc w:val="center"/>
              <w:rPr>
                <w:color w:val="auto"/>
                <w:kern w:val="0"/>
                <w:szCs w:val="21"/>
                <w:highlight w:val="none"/>
              </w:rPr>
            </w:pPr>
            <w:r>
              <w:rPr>
                <w:color w:val="auto"/>
                <w:kern w:val="0"/>
                <w:szCs w:val="21"/>
                <w:highlight w:val="none"/>
              </w:rPr>
              <w:t>100≤X＜300</w:t>
            </w:r>
          </w:p>
        </w:tc>
        <w:tc>
          <w:tcPr>
            <w:tcW w:w="1426" w:type="dxa"/>
            <w:vAlign w:val="center"/>
          </w:tcPr>
          <w:p w14:paraId="36945463">
            <w:pPr>
              <w:widowControl/>
              <w:jc w:val="center"/>
              <w:rPr>
                <w:color w:val="auto"/>
                <w:kern w:val="0"/>
                <w:szCs w:val="21"/>
                <w:highlight w:val="none"/>
              </w:rPr>
            </w:pPr>
            <w:r>
              <w:rPr>
                <w:color w:val="auto"/>
                <w:kern w:val="0"/>
                <w:szCs w:val="21"/>
                <w:highlight w:val="none"/>
              </w:rPr>
              <w:t>10≤X＜100</w:t>
            </w:r>
          </w:p>
        </w:tc>
        <w:tc>
          <w:tcPr>
            <w:tcW w:w="992" w:type="dxa"/>
            <w:vAlign w:val="center"/>
          </w:tcPr>
          <w:p w14:paraId="31910A7D">
            <w:pPr>
              <w:widowControl/>
              <w:jc w:val="center"/>
              <w:rPr>
                <w:color w:val="auto"/>
                <w:kern w:val="0"/>
                <w:szCs w:val="21"/>
                <w:highlight w:val="none"/>
              </w:rPr>
            </w:pPr>
            <w:r>
              <w:rPr>
                <w:color w:val="auto"/>
                <w:kern w:val="0"/>
                <w:szCs w:val="21"/>
                <w:highlight w:val="none"/>
              </w:rPr>
              <w:t>X＜10</w:t>
            </w:r>
          </w:p>
        </w:tc>
      </w:tr>
      <w:tr w14:paraId="0E194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1" w:type="dxa"/>
            <w:vMerge w:val="continue"/>
            <w:vAlign w:val="center"/>
          </w:tcPr>
          <w:p w14:paraId="14940170">
            <w:pPr>
              <w:widowControl/>
              <w:jc w:val="left"/>
              <w:rPr>
                <w:color w:val="auto"/>
                <w:kern w:val="0"/>
                <w:szCs w:val="21"/>
                <w:highlight w:val="none"/>
              </w:rPr>
            </w:pPr>
          </w:p>
        </w:tc>
        <w:tc>
          <w:tcPr>
            <w:tcW w:w="1531" w:type="dxa"/>
            <w:vAlign w:val="center"/>
          </w:tcPr>
          <w:p w14:paraId="77012A98">
            <w:pPr>
              <w:widowControl/>
              <w:spacing w:line="240" w:lineRule="exact"/>
              <w:jc w:val="center"/>
              <w:rPr>
                <w:color w:val="auto"/>
                <w:kern w:val="0"/>
                <w:szCs w:val="21"/>
                <w:highlight w:val="none"/>
              </w:rPr>
            </w:pPr>
            <w:r>
              <w:rPr>
                <w:color w:val="auto"/>
                <w:kern w:val="0"/>
                <w:szCs w:val="21"/>
                <w:highlight w:val="none"/>
              </w:rPr>
              <w:t>营业收入(Y)</w:t>
            </w:r>
          </w:p>
        </w:tc>
        <w:tc>
          <w:tcPr>
            <w:tcW w:w="709" w:type="dxa"/>
            <w:vAlign w:val="center"/>
          </w:tcPr>
          <w:p w14:paraId="57DC4F89">
            <w:pPr>
              <w:widowControl/>
              <w:jc w:val="center"/>
              <w:rPr>
                <w:color w:val="auto"/>
                <w:kern w:val="0"/>
                <w:szCs w:val="21"/>
                <w:highlight w:val="none"/>
              </w:rPr>
            </w:pPr>
            <w:r>
              <w:rPr>
                <w:color w:val="auto"/>
                <w:kern w:val="0"/>
                <w:szCs w:val="21"/>
                <w:highlight w:val="none"/>
              </w:rPr>
              <w:t>万元</w:t>
            </w:r>
          </w:p>
        </w:tc>
        <w:tc>
          <w:tcPr>
            <w:tcW w:w="1125" w:type="dxa"/>
            <w:vAlign w:val="center"/>
          </w:tcPr>
          <w:p w14:paraId="01A03F4E">
            <w:pPr>
              <w:widowControl/>
              <w:jc w:val="center"/>
              <w:rPr>
                <w:color w:val="auto"/>
                <w:kern w:val="0"/>
                <w:szCs w:val="21"/>
                <w:highlight w:val="none"/>
              </w:rPr>
            </w:pPr>
            <w:r>
              <w:rPr>
                <w:color w:val="auto"/>
                <w:kern w:val="0"/>
                <w:szCs w:val="21"/>
                <w:highlight w:val="none"/>
              </w:rPr>
              <w:t>Y≥10000</w:t>
            </w:r>
          </w:p>
        </w:tc>
        <w:tc>
          <w:tcPr>
            <w:tcW w:w="1701" w:type="dxa"/>
            <w:vAlign w:val="center"/>
          </w:tcPr>
          <w:p w14:paraId="5DD50F26">
            <w:pPr>
              <w:widowControl/>
              <w:jc w:val="center"/>
              <w:rPr>
                <w:color w:val="auto"/>
                <w:kern w:val="0"/>
                <w:szCs w:val="21"/>
                <w:highlight w:val="none"/>
              </w:rPr>
            </w:pPr>
            <w:r>
              <w:rPr>
                <w:color w:val="auto"/>
                <w:kern w:val="0"/>
                <w:szCs w:val="21"/>
                <w:highlight w:val="none"/>
              </w:rPr>
              <w:t>2000≤Y＜10000</w:t>
            </w:r>
          </w:p>
        </w:tc>
        <w:tc>
          <w:tcPr>
            <w:tcW w:w="1426" w:type="dxa"/>
            <w:vAlign w:val="center"/>
          </w:tcPr>
          <w:p w14:paraId="09999352">
            <w:pPr>
              <w:widowControl/>
              <w:jc w:val="center"/>
              <w:rPr>
                <w:color w:val="auto"/>
                <w:kern w:val="0"/>
                <w:szCs w:val="21"/>
                <w:highlight w:val="none"/>
              </w:rPr>
            </w:pPr>
            <w:r>
              <w:rPr>
                <w:color w:val="auto"/>
                <w:kern w:val="0"/>
                <w:szCs w:val="21"/>
                <w:highlight w:val="none"/>
              </w:rPr>
              <w:t>100≤Y＜2000</w:t>
            </w:r>
          </w:p>
        </w:tc>
        <w:tc>
          <w:tcPr>
            <w:tcW w:w="992" w:type="dxa"/>
            <w:vAlign w:val="center"/>
          </w:tcPr>
          <w:p w14:paraId="65A02382">
            <w:pPr>
              <w:widowControl/>
              <w:jc w:val="center"/>
              <w:rPr>
                <w:color w:val="auto"/>
                <w:kern w:val="0"/>
                <w:szCs w:val="21"/>
                <w:highlight w:val="none"/>
              </w:rPr>
            </w:pPr>
            <w:r>
              <w:rPr>
                <w:color w:val="auto"/>
                <w:kern w:val="0"/>
                <w:szCs w:val="21"/>
                <w:highlight w:val="none"/>
              </w:rPr>
              <w:t>Y＜100</w:t>
            </w:r>
          </w:p>
        </w:tc>
      </w:tr>
      <w:tr w14:paraId="6FCF5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1" w:type="dxa"/>
            <w:vMerge w:val="restart"/>
            <w:vAlign w:val="center"/>
          </w:tcPr>
          <w:p w14:paraId="22F3EA85">
            <w:pPr>
              <w:widowControl/>
              <w:spacing w:line="240" w:lineRule="exact"/>
              <w:jc w:val="left"/>
              <w:rPr>
                <w:color w:val="auto"/>
                <w:kern w:val="0"/>
                <w:szCs w:val="21"/>
                <w:highlight w:val="none"/>
              </w:rPr>
            </w:pPr>
            <w:r>
              <w:rPr>
                <w:color w:val="auto"/>
                <w:kern w:val="0"/>
                <w:szCs w:val="21"/>
                <w:highlight w:val="none"/>
              </w:rPr>
              <w:t>餐饮业</w:t>
            </w:r>
          </w:p>
        </w:tc>
        <w:tc>
          <w:tcPr>
            <w:tcW w:w="1531" w:type="dxa"/>
            <w:vAlign w:val="center"/>
          </w:tcPr>
          <w:p w14:paraId="21C790BA">
            <w:pPr>
              <w:widowControl/>
              <w:jc w:val="center"/>
              <w:rPr>
                <w:color w:val="auto"/>
                <w:kern w:val="0"/>
                <w:szCs w:val="21"/>
                <w:highlight w:val="none"/>
              </w:rPr>
            </w:pPr>
            <w:r>
              <w:rPr>
                <w:color w:val="auto"/>
                <w:kern w:val="0"/>
                <w:szCs w:val="21"/>
                <w:highlight w:val="none"/>
              </w:rPr>
              <w:t>从业人员(X)</w:t>
            </w:r>
          </w:p>
        </w:tc>
        <w:tc>
          <w:tcPr>
            <w:tcW w:w="709" w:type="dxa"/>
            <w:vAlign w:val="center"/>
          </w:tcPr>
          <w:p w14:paraId="6C635E3C">
            <w:pPr>
              <w:widowControl/>
              <w:jc w:val="center"/>
              <w:rPr>
                <w:color w:val="auto"/>
                <w:kern w:val="0"/>
                <w:szCs w:val="21"/>
                <w:highlight w:val="none"/>
              </w:rPr>
            </w:pPr>
            <w:r>
              <w:rPr>
                <w:color w:val="auto"/>
                <w:kern w:val="0"/>
                <w:szCs w:val="21"/>
                <w:highlight w:val="none"/>
              </w:rPr>
              <w:t>人</w:t>
            </w:r>
          </w:p>
        </w:tc>
        <w:tc>
          <w:tcPr>
            <w:tcW w:w="1125" w:type="dxa"/>
            <w:vAlign w:val="center"/>
          </w:tcPr>
          <w:p w14:paraId="2D703F57">
            <w:pPr>
              <w:widowControl/>
              <w:jc w:val="center"/>
              <w:rPr>
                <w:color w:val="auto"/>
                <w:kern w:val="0"/>
                <w:szCs w:val="21"/>
                <w:highlight w:val="none"/>
              </w:rPr>
            </w:pPr>
            <w:r>
              <w:rPr>
                <w:color w:val="auto"/>
                <w:kern w:val="0"/>
                <w:szCs w:val="21"/>
                <w:highlight w:val="none"/>
              </w:rPr>
              <w:t>X≥300</w:t>
            </w:r>
          </w:p>
        </w:tc>
        <w:tc>
          <w:tcPr>
            <w:tcW w:w="1701" w:type="dxa"/>
            <w:vAlign w:val="center"/>
          </w:tcPr>
          <w:p w14:paraId="65D668F5">
            <w:pPr>
              <w:widowControl/>
              <w:ind w:left="19" w:leftChars="-51" w:hanging="126" w:hangingChars="60"/>
              <w:jc w:val="center"/>
              <w:rPr>
                <w:color w:val="auto"/>
                <w:kern w:val="0"/>
                <w:szCs w:val="21"/>
                <w:highlight w:val="none"/>
              </w:rPr>
            </w:pPr>
            <w:r>
              <w:rPr>
                <w:color w:val="auto"/>
                <w:kern w:val="0"/>
                <w:szCs w:val="21"/>
                <w:highlight w:val="none"/>
              </w:rPr>
              <w:t xml:space="preserve">100≤X＜300 </w:t>
            </w:r>
          </w:p>
        </w:tc>
        <w:tc>
          <w:tcPr>
            <w:tcW w:w="1426" w:type="dxa"/>
            <w:vAlign w:val="center"/>
          </w:tcPr>
          <w:p w14:paraId="6B4347CC">
            <w:pPr>
              <w:widowControl/>
              <w:jc w:val="center"/>
              <w:rPr>
                <w:color w:val="auto"/>
                <w:kern w:val="0"/>
                <w:szCs w:val="21"/>
                <w:highlight w:val="none"/>
              </w:rPr>
            </w:pPr>
            <w:r>
              <w:rPr>
                <w:color w:val="auto"/>
                <w:kern w:val="0"/>
                <w:szCs w:val="21"/>
                <w:highlight w:val="none"/>
              </w:rPr>
              <w:t>10≤X＜100</w:t>
            </w:r>
          </w:p>
        </w:tc>
        <w:tc>
          <w:tcPr>
            <w:tcW w:w="992" w:type="dxa"/>
            <w:vAlign w:val="center"/>
          </w:tcPr>
          <w:p w14:paraId="5DF743E1">
            <w:pPr>
              <w:widowControl/>
              <w:jc w:val="center"/>
              <w:rPr>
                <w:color w:val="auto"/>
                <w:kern w:val="0"/>
                <w:szCs w:val="21"/>
                <w:highlight w:val="none"/>
              </w:rPr>
            </w:pPr>
            <w:r>
              <w:rPr>
                <w:color w:val="auto"/>
                <w:kern w:val="0"/>
                <w:szCs w:val="21"/>
                <w:highlight w:val="none"/>
              </w:rPr>
              <w:t>X＜10</w:t>
            </w:r>
          </w:p>
        </w:tc>
      </w:tr>
      <w:tr w14:paraId="021BF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1" w:type="dxa"/>
            <w:vMerge w:val="continue"/>
            <w:vAlign w:val="center"/>
          </w:tcPr>
          <w:p w14:paraId="2F0B0D28">
            <w:pPr>
              <w:widowControl/>
              <w:jc w:val="left"/>
              <w:rPr>
                <w:color w:val="auto"/>
                <w:kern w:val="0"/>
                <w:szCs w:val="21"/>
                <w:highlight w:val="none"/>
              </w:rPr>
            </w:pPr>
          </w:p>
        </w:tc>
        <w:tc>
          <w:tcPr>
            <w:tcW w:w="1531" w:type="dxa"/>
            <w:vAlign w:val="center"/>
          </w:tcPr>
          <w:p w14:paraId="70D81B05">
            <w:pPr>
              <w:widowControl/>
              <w:spacing w:line="240" w:lineRule="exact"/>
              <w:jc w:val="center"/>
              <w:rPr>
                <w:color w:val="auto"/>
                <w:kern w:val="0"/>
                <w:szCs w:val="21"/>
                <w:highlight w:val="none"/>
              </w:rPr>
            </w:pPr>
            <w:r>
              <w:rPr>
                <w:color w:val="auto"/>
                <w:kern w:val="0"/>
                <w:szCs w:val="21"/>
                <w:highlight w:val="none"/>
              </w:rPr>
              <w:t>营业收入(Y)</w:t>
            </w:r>
          </w:p>
        </w:tc>
        <w:tc>
          <w:tcPr>
            <w:tcW w:w="709" w:type="dxa"/>
            <w:vAlign w:val="center"/>
          </w:tcPr>
          <w:p w14:paraId="1B78BA5A">
            <w:pPr>
              <w:widowControl/>
              <w:jc w:val="center"/>
              <w:rPr>
                <w:color w:val="auto"/>
                <w:kern w:val="0"/>
                <w:szCs w:val="21"/>
                <w:highlight w:val="none"/>
              </w:rPr>
            </w:pPr>
            <w:r>
              <w:rPr>
                <w:color w:val="auto"/>
                <w:kern w:val="0"/>
                <w:szCs w:val="21"/>
                <w:highlight w:val="none"/>
              </w:rPr>
              <w:t>万元</w:t>
            </w:r>
          </w:p>
        </w:tc>
        <w:tc>
          <w:tcPr>
            <w:tcW w:w="1125" w:type="dxa"/>
            <w:vAlign w:val="center"/>
          </w:tcPr>
          <w:p w14:paraId="6BC58C5D">
            <w:pPr>
              <w:widowControl/>
              <w:jc w:val="center"/>
              <w:rPr>
                <w:color w:val="auto"/>
                <w:kern w:val="0"/>
                <w:szCs w:val="21"/>
                <w:highlight w:val="none"/>
              </w:rPr>
            </w:pPr>
            <w:r>
              <w:rPr>
                <w:color w:val="auto"/>
                <w:kern w:val="0"/>
                <w:szCs w:val="21"/>
                <w:highlight w:val="none"/>
              </w:rPr>
              <w:t>Y≥10000</w:t>
            </w:r>
          </w:p>
        </w:tc>
        <w:tc>
          <w:tcPr>
            <w:tcW w:w="1701" w:type="dxa"/>
            <w:vAlign w:val="center"/>
          </w:tcPr>
          <w:p w14:paraId="00A52086">
            <w:pPr>
              <w:widowControl/>
              <w:jc w:val="center"/>
              <w:rPr>
                <w:color w:val="auto"/>
                <w:kern w:val="0"/>
                <w:szCs w:val="21"/>
                <w:highlight w:val="none"/>
              </w:rPr>
            </w:pPr>
            <w:r>
              <w:rPr>
                <w:color w:val="auto"/>
                <w:kern w:val="0"/>
                <w:szCs w:val="21"/>
                <w:highlight w:val="none"/>
              </w:rPr>
              <w:t>2000≤Y＜10000</w:t>
            </w:r>
          </w:p>
        </w:tc>
        <w:tc>
          <w:tcPr>
            <w:tcW w:w="1426" w:type="dxa"/>
            <w:vAlign w:val="center"/>
          </w:tcPr>
          <w:p w14:paraId="511A09D9">
            <w:pPr>
              <w:widowControl/>
              <w:jc w:val="center"/>
              <w:rPr>
                <w:color w:val="auto"/>
                <w:kern w:val="0"/>
                <w:szCs w:val="21"/>
                <w:highlight w:val="none"/>
              </w:rPr>
            </w:pPr>
            <w:r>
              <w:rPr>
                <w:color w:val="auto"/>
                <w:kern w:val="0"/>
                <w:szCs w:val="21"/>
                <w:highlight w:val="none"/>
              </w:rPr>
              <w:t>100≤Y＜2000</w:t>
            </w:r>
          </w:p>
        </w:tc>
        <w:tc>
          <w:tcPr>
            <w:tcW w:w="992" w:type="dxa"/>
            <w:vAlign w:val="center"/>
          </w:tcPr>
          <w:p w14:paraId="4E6969C4">
            <w:pPr>
              <w:widowControl/>
              <w:jc w:val="center"/>
              <w:rPr>
                <w:color w:val="auto"/>
                <w:kern w:val="0"/>
                <w:szCs w:val="21"/>
                <w:highlight w:val="none"/>
              </w:rPr>
            </w:pPr>
            <w:r>
              <w:rPr>
                <w:color w:val="auto"/>
                <w:kern w:val="0"/>
                <w:szCs w:val="21"/>
                <w:highlight w:val="none"/>
              </w:rPr>
              <w:t>Y＜100</w:t>
            </w:r>
          </w:p>
        </w:tc>
      </w:tr>
      <w:tr w14:paraId="2A106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1" w:type="dxa"/>
            <w:vMerge w:val="restart"/>
            <w:vAlign w:val="center"/>
          </w:tcPr>
          <w:p w14:paraId="2DA08C8D">
            <w:pPr>
              <w:widowControl/>
              <w:spacing w:line="240" w:lineRule="exact"/>
              <w:jc w:val="left"/>
              <w:rPr>
                <w:color w:val="auto"/>
                <w:kern w:val="0"/>
                <w:szCs w:val="21"/>
                <w:highlight w:val="none"/>
              </w:rPr>
            </w:pPr>
            <w:r>
              <w:rPr>
                <w:color w:val="auto"/>
                <w:kern w:val="0"/>
                <w:szCs w:val="21"/>
                <w:highlight w:val="none"/>
              </w:rPr>
              <w:t>信息传输业 *</w:t>
            </w:r>
          </w:p>
        </w:tc>
        <w:tc>
          <w:tcPr>
            <w:tcW w:w="1531" w:type="dxa"/>
            <w:vAlign w:val="center"/>
          </w:tcPr>
          <w:p w14:paraId="02AC3288">
            <w:pPr>
              <w:widowControl/>
              <w:jc w:val="center"/>
              <w:rPr>
                <w:color w:val="auto"/>
                <w:kern w:val="0"/>
                <w:szCs w:val="21"/>
                <w:highlight w:val="none"/>
              </w:rPr>
            </w:pPr>
            <w:r>
              <w:rPr>
                <w:color w:val="auto"/>
                <w:kern w:val="0"/>
                <w:szCs w:val="21"/>
                <w:highlight w:val="none"/>
              </w:rPr>
              <w:t>从业人员(X)</w:t>
            </w:r>
          </w:p>
        </w:tc>
        <w:tc>
          <w:tcPr>
            <w:tcW w:w="709" w:type="dxa"/>
            <w:vAlign w:val="center"/>
          </w:tcPr>
          <w:p w14:paraId="00556241">
            <w:pPr>
              <w:widowControl/>
              <w:jc w:val="center"/>
              <w:rPr>
                <w:color w:val="auto"/>
                <w:kern w:val="0"/>
                <w:szCs w:val="21"/>
                <w:highlight w:val="none"/>
              </w:rPr>
            </w:pPr>
            <w:r>
              <w:rPr>
                <w:color w:val="auto"/>
                <w:kern w:val="0"/>
                <w:szCs w:val="21"/>
                <w:highlight w:val="none"/>
              </w:rPr>
              <w:t>人</w:t>
            </w:r>
          </w:p>
        </w:tc>
        <w:tc>
          <w:tcPr>
            <w:tcW w:w="1125" w:type="dxa"/>
            <w:vAlign w:val="center"/>
          </w:tcPr>
          <w:p w14:paraId="65352421">
            <w:pPr>
              <w:widowControl/>
              <w:jc w:val="center"/>
              <w:rPr>
                <w:color w:val="auto"/>
                <w:kern w:val="0"/>
                <w:szCs w:val="21"/>
                <w:highlight w:val="none"/>
              </w:rPr>
            </w:pPr>
            <w:r>
              <w:rPr>
                <w:color w:val="auto"/>
                <w:kern w:val="0"/>
                <w:szCs w:val="21"/>
                <w:highlight w:val="none"/>
              </w:rPr>
              <w:t>X≥2000</w:t>
            </w:r>
          </w:p>
        </w:tc>
        <w:tc>
          <w:tcPr>
            <w:tcW w:w="1701" w:type="dxa"/>
            <w:vAlign w:val="center"/>
          </w:tcPr>
          <w:p w14:paraId="27ACD208">
            <w:pPr>
              <w:widowControl/>
              <w:jc w:val="center"/>
              <w:rPr>
                <w:color w:val="auto"/>
                <w:kern w:val="0"/>
                <w:szCs w:val="21"/>
                <w:highlight w:val="none"/>
              </w:rPr>
            </w:pPr>
            <w:r>
              <w:rPr>
                <w:color w:val="auto"/>
                <w:kern w:val="0"/>
                <w:szCs w:val="21"/>
                <w:highlight w:val="none"/>
              </w:rPr>
              <w:t>100≤X＜2000</w:t>
            </w:r>
          </w:p>
        </w:tc>
        <w:tc>
          <w:tcPr>
            <w:tcW w:w="1426" w:type="dxa"/>
            <w:vAlign w:val="center"/>
          </w:tcPr>
          <w:p w14:paraId="68D2DAC4">
            <w:pPr>
              <w:widowControl/>
              <w:jc w:val="center"/>
              <w:rPr>
                <w:color w:val="auto"/>
                <w:kern w:val="0"/>
                <w:szCs w:val="21"/>
                <w:highlight w:val="none"/>
              </w:rPr>
            </w:pPr>
            <w:r>
              <w:rPr>
                <w:color w:val="auto"/>
                <w:kern w:val="0"/>
                <w:szCs w:val="21"/>
                <w:highlight w:val="none"/>
              </w:rPr>
              <w:t>10≤X＜100</w:t>
            </w:r>
          </w:p>
        </w:tc>
        <w:tc>
          <w:tcPr>
            <w:tcW w:w="992" w:type="dxa"/>
            <w:vAlign w:val="center"/>
          </w:tcPr>
          <w:p w14:paraId="6BECD5AF">
            <w:pPr>
              <w:widowControl/>
              <w:jc w:val="center"/>
              <w:rPr>
                <w:color w:val="auto"/>
                <w:kern w:val="0"/>
                <w:szCs w:val="21"/>
                <w:highlight w:val="none"/>
              </w:rPr>
            </w:pPr>
            <w:r>
              <w:rPr>
                <w:color w:val="auto"/>
                <w:kern w:val="0"/>
                <w:szCs w:val="21"/>
                <w:highlight w:val="none"/>
              </w:rPr>
              <w:t>X＜10</w:t>
            </w:r>
          </w:p>
        </w:tc>
      </w:tr>
      <w:tr w14:paraId="64893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exact"/>
          <w:jc w:val="center"/>
        </w:trPr>
        <w:tc>
          <w:tcPr>
            <w:tcW w:w="1951" w:type="dxa"/>
            <w:vMerge w:val="continue"/>
            <w:vAlign w:val="center"/>
          </w:tcPr>
          <w:p w14:paraId="79C97FF4">
            <w:pPr>
              <w:widowControl/>
              <w:jc w:val="left"/>
              <w:rPr>
                <w:color w:val="auto"/>
                <w:kern w:val="0"/>
                <w:szCs w:val="21"/>
                <w:highlight w:val="none"/>
              </w:rPr>
            </w:pPr>
          </w:p>
        </w:tc>
        <w:tc>
          <w:tcPr>
            <w:tcW w:w="1531" w:type="dxa"/>
            <w:vAlign w:val="center"/>
          </w:tcPr>
          <w:p w14:paraId="37A59F51">
            <w:pPr>
              <w:widowControl/>
              <w:spacing w:line="240" w:lineRule="exact"/>
              <w:jc w:val="center"/>
              <w:rPr>
                <w:color w:val="auto"/>
                <w:kern w:val="0"/>
                <w:szCs w:val="21"/>
                <w:highlight w:val="none"/>
              </w:rPr>
            </w:pPr>
            <w:r>
              <w:rPr>
                <w:color w:val="auto"/>
                <w:kern w:val="0"/>
                <w:szCs w:val="21"/>
                <w:highlight w:val="none"/>
              </w:rPr>
              <w:t>营业收入(Y)</w:t>
            </w:r>
          </w:p>
        </w:tc>
        <w:tc>
          <w:tcPr>
            <w:tcW w:w="709" w:type="dxa"/>
            <w:vAlign w:val="center"/>
          </w:tcPr>
          <w:p w14:paraId="727E57A5">
            <w:pPr>
              <w:widowControl/>
              <w:jc w:val="center"/>
              <w:rPr>
                <w:color w:val="auto"/>
                <w:kern w:val="0"/>
                <w:szCs w:val="21"/>
                <w:highlight w:val="none"/>
              </w:rPr>
            </w:pPr>
            <w:r>
              <w:rPr>
                <w:color w:val="auto"/>
                <w:kern w:val="0"/>
                <w:szCs w:val="21"/>
                <w:highlight w:val="none"/>
              </w:rPr>
              <w:t>万元</w:t>
            </w:r>
          </w:p>
        </w:tc>
        <w:tc>
          <w:tcPr>
            <w:tcW w:w="1125" w:type="dxa"/>
            <w:vAlign w:val="center"/>
          </w:tcPr>
          <w:p w14:paraId="170E47DC">
            <w:pPr>
              <w:widowControl/>
              <w:jc w:val="center"/>
              <w:rPr>
                <w:color w:val="auto"/>
                <w:kern w:val="0"/>
                <w:szCs w:val="21"/>
                <w:highlight w:val="none"/>
              </w:rPr>
            </w:pPr>
            <w:r>
              <w:rPr>
                <w:color w:val="auto"/>
                <w:kern w:val="0"/>
                <w:szCs w:val="21"/>
                <w:highlight w:val="none"/>
              </w:rPr>
              <w:t>Y≥100000</w:t>
            </w:r>
          </w:p>
        </w:tc>
        <w:tc>
          <w:tcPr>
            <w:tcW w:w="1701" w:type="dxa"/>
            <w:vAlign w:val="center"/>
          </w:tcPr>
          <w:p w14:paraId="60EF2975">
            <w:pPr>
              <w:widowControl/>
              <w:jc w:val="center"/>
              <w:rPr>
                <w:color w:val="auto"/>
                <w:kern w:val="0"/>
                <w:szCs w:val="21"/>
                <w:highlight w:val="none"/>
              </w:rPr>
            </w:pPr>
            <w:r>
              <w:rPr>
                <w:color w:val="auto"/>
                <w:kern w:val="0"/>
                <w:szCs w:val="21"/>
                <w:highlight w:val="none"/>
              </w:rPr>
              <w:t>1000≤Y＜100000</w:t>
            </w:r>
          </w:p>
        </w:tc>
        <w:tc>
          <w:tcPr>
            <w:tcW w:w="1426" w:type="dxa"/>
            <w:vAlign w:val="center"/>
          </w:tcPr>
          <w:p w14:paraId="345E6CFD">
            <w:pPr>
              <w:widowControl/>
              <w:jc w:val="center"/>
              <w:rPr>
                <w:color w:val="auto"/>
                <w:kern w:val="0"/>
                <w:szCs w:val="21"/>
                <w:highlight w:val="none"/>
              </w:rPr>
            </w:pPr>
            <w:r>
              <w:rPr>
                <w:color w:val="auto"/>
                <w:kern w:val="0"/>
                <w:szCs w:val="21"/>
                <w:highlight w:val="none"/>
              </w:rPr>
              <w:t>100≤Y＜1000</w:t>
            </w:r>
          </w:p>
        </w:tc>
        <w:tc>
          <w:tcPr>
            <w:tcW w:w="992" w:type="dxa"/>
            <w:vAlign w:val="center"/>
          </w:tcPr>
          <w:p w14:paraId="3CE5F249">
            <w:pPr>
              <w:widowControl/>
              <w:jc w:val="center"/>
              <w:rPr>
                <w:color w:val="auto"/>
                <w:kern w:val="0"/>
                <w:szCs w:val="21"/>
                <w:highlight w:val="none"/>
              </w:rPr>
            </w:pPr>
            <w:r>
              <w:rPr>
                <w:color w:val="auto"/>
                <w:kern w:val="0"/>
                <w:szCs w:val="21"/>
                <w:highlight w:val="none"/>
              </w:rPr>
              <w:t>Y＜100</w:t>
            </w:r>
          </w:p>
        </w:tc>
      </w:tr>
      <w:tr w14:paraId="3BD91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51" w:type="dxa"/>
            <w:vMerge w:val="restart"/>
            <w:vAlign w:val="center"/>
          </w:tcPr>
          <w:p w14:paraId="43C45374">
            <w:pPr>
              <w:widowControl/>
              <w:spacing w:line="240" w:lineRule="exact"/>
              <w:jc w:val="left"/>
              <w:rPr>
                <w:color w:val="auto"/>
                <w:spacing w:val="-12"/>
                <w:kern w:val="0"/>
                <w:szCs w:val="21"/>
                <w:highlight w:val="none"/>
              </w:rPr>
            </w:pPr>
            <w:r>
              <w:rPr>
                <w:color w:val="auto"/>
                <w:spacing w:val="-12"/>
                <w:kern w:val="0"/>
                <w:szCs w:val="21"/>
                <w:highlight w:val="none"/>
              </w:rPr>
              <w:t>软件和信息技术服</w:t>
            </w:r>
            <w:r>
              <w:rPr>
                <w:color w:val="auto"/>
                <w:kern w:val="0"/>
                <w:szCs w:val="21"/>
                <w:highlight w:val="none"/>
              </w:rPr>
              <w:t>务业</w:t>
            </w:r>
          </w:p>
        </w:tc>
        <w:tc>
          <w:tcPr>
            <w:tcW w:w="1531" w:type="dxa"/>
            <w:vAlign w:val="center"/>
          </w:tcPr>
          <w:p w14:paraId="13B94A7A">
            <w:pPr>
              <w:widowControl/>
              <w:jc w:val="center"/>
              <w:rPr>
                <w:color w:val="auto"/>
                <w:kern w:val="0"/>
                <w:szCs w:val="21"/>
                <w:highlight w:val="none"/>
              </w:rPr>
            </w:pPr>
            <w:r>
              <w:rPr>
                <w:color w:val="auto"/>
                <w:kern w:val="0"/>
                <w:szCs w:val="21"/>
                <w:highlight w:val="none"/>
              </w:rPr>
              <w:t>从业人员(X)</w:t>
            </w:r>
          </w:p>
        </w:tc>
        <w:tc>
          <w:tcPr>
            <w:tcW w:w="709" w:type="dxa"/>
            <w:vAlign w:val="center"/>
          </w:tcPr>
          <w:p w14:paraId="737EBD8C">
            <w:pPr>
              <w:widowControl/>
              <w:jc w:val="center"/>
              <w:rPr>
                <w:color w:val="auto"/>
                <w:kern w:val="0"/>
                <w:szCs w:val="21"/>
                <w:highlight w:val="none"/>
              </w:rPr>
            </w:pPr>
            <w:r>
              <w:rPr>
                <w:color w:val="auto"/>
                <w:kern w:val="0"/>
                <w:szCs w:val="21"/>
                <w:highlight w:val="none"/>
              </w:rPr>
              <w:t>人</w:t>
            </w:r>
          </w:p>
        </w:tc>
        <w:tc>
          <w:tcPr>
            <w:tcW w:w="1125" w:type="dxa"/>
            <w:vAlign w:val="center"/>
          </w:tcPr>
          <w:p w14:paraId="11B1FE8B">
            <w:pPr>
              <w:widowControl/>
              <w:jc w:val="center"/>
              <w:rPr>
                <w:color w:val="auto"/>
                <w:kern w:val="0"/>
                <w:szCs w:val="21"/>
                <w:highlight w:val="none"/>
              </w:rPr>
            </w:pPr>
            <w:r>
              <w:rPr>
                <w:color w:val="auto"/>
                <w:kern w:val="0"/>
                <w:szCs w:val="21"/>
                <w:highlight w:val="none"/>
              </w:rPr>
              <w:t>X≥300</w:t>
            </w:r>
          </w:p>
        </w:tc>
        <w:tc>
          <w:tcPr>
            <w:tcW w:w="1701" w:type="dxa"/>
            <w:vAlign w:val="center"/>
          </w:tcPr>
          <w:p w14:paraId="66EFCDB3">
            <w:pPr>
              <w:widowControl/>
              <w:ind w:left="19" w:leftChars="-51" w:hanging="126" w:hangingChars="60"/>
              <w:jc w:val="center"/>
              <w:rPr>
                <w:color w:val="auto"/>
                <w:kern w:val="0"/>
                <w:szCs w:val="21"/>
                <w:highlight w:val="none"/>
              </w:rPr>
            </w:pPr>
            <w:r>
              <w:rPr>
                <w:color w:val="auto"/>
                <w:kern w:val="0"/>
                <w:szCs w:val="21"/>
                <w:highlight w:val="none"/>
              </w:rPr>
              <w:t xml:space="preserve">100≤X＜300 </w:t>
            </w:r>
          </w:p>
        </w:tc>
        <w:tc>
          <w:tcPr>
            <w:tcW w:w="1426" w:type="dxa"/>
            <w:vAlign w:val="center"/>
          </w:tcPr>
          <w:p w14:paraId="1EDEF301">
            <w:pPr>
              <w:widowControl/>
              <w:jc w:val="center"/>
              <w:rPr>
                <w:color w:val="auto"/>
                <w:kern w:val="0"/>
                <w:szCs w:val="21"/>
                <w:highlight w:val="none"/>
              </w:rPr>
            </w:pPr>
            <w:r>
              <w:rPr>
                <w:color w:val="auto"/>
                <w:kern w:val="0"/>
                <w:szCs w:val="21"/>
                <w:highlight w:val="none"/>
              </w:rPr>
              <w:t>10≤X＜100</w:t>
            </w:r>
          </w:p>
        </w:tc>
        <w:tc>
          <w:tcPr>
            <w:tcW w:w="992" w:type="dxa"/>
            <w:vAlign w:val="center"/>
          </w:tcPr>
          <w:p w14:paraId="388954D0">
            <w:pPr>
              <w:widowControl/>
              <w:jc w:val="center"/>
              <w:rPr>
                <w:color w:val="auto"/>
                <w:kern w:val="0"/>
                <w:szCs w:val="21"/>
                <w:highlight w:val="none"/>
              </w:rPr>
            </w:pPr>
            <w:r>
              <w:rPr>
                <w:color w:val="auto"/>
                <w:kern w:val="0"/>
                <w:szCs w:val="21"/>
                <w:highlight w:val="none"/>
              </w:rPr>
              <w:t>X＜10</w:t>
            </w:r>
          </w:p>
        </w:tc>
      </w:tr>
      <w:tr w14:paraId="47A50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51" w:type="dxa"/>
            <w:vMerge w:val="continue"/>
            <w:vAlign w:val="center"/>
          </w:tcPr>
          <w:p w14:paraId="2ACD629A">
            <w:pPr>
              <w:widowControl/>
              <w:jc w:val="left"/>
              <w:rPr>
                <w:color w:val="auto"/>
                <w:spacing w:val="-12"/>
                <w:kern w:val="0"/>
                <w:szCs w:val="21"/>
                <w:highlight w:val="none"/>
              </w:rPr>
            </w:pPr>
          </w:p>
        </w:tc>
        <w:tc>
          <w:tcPr>
            <w:tcW w:w="1531" w:type="dxa"/>
            <w:vAlign w:val="center"/>
          </w:tcPr>
          <w:p w14:paraId="32E8D8C7">
            <w:pPr>
              <w:widowControl/>
              <w:jc w:val="center"/>
              <w:rPr>
                <w:color w:val="auto"/>
                <w:kern w:val="0"/>
                <w:szCs w:val="21"/>
                <w:highlight w:val="none"/>
              </w:rPr>
            </w:pPr>
            <w:r>
              <w:rPr>
                <w:color w:val="auto"/>
                <w:kern w:val="0"/>
                <w:szCs w:val="21"/>
                <w:highlight w:val="none"/>
              </w:rPr>
              <w:t>营业收入(Y)</w:t>
            </w:r>
          </w:p>
        </w:tc>
        <w:tc>
          <w:tcPr>
            <w:tcW w:w="709" w:type="dxa"/>
            <w:vAlign w:val="center"/>
          </w:tcPr>
          <w:p w14:paraId="104AC6D3">
            <w:pPr>
              <w:widowControl/>
              <w:jc w:val="center"/>
              <w:rPr>
                <w:color w:val="auto"/>
                <w:kern w:val="0"/>
                <w:szCs w:val="21"/>
                <w:highlight w:val="none"/>
              </w:rPr>
            </w:pPr>
            <w:r>
              <w:rPr>
                <w:color w:val="auto"/>
                <w:kern w:val="0"/>
                <w:szCs w:val="21"/>
                <w:highlight w:val="none"/>
              </w:rPr>
              <w:t>万元</w:t>
            </w:r>
          </w:p>
        </w:tc>
        <w:tc>
          <w:tcPr>
            <w:tcW w:w="1125" w:type="dxa"/>
            <w:vAlign w:val="center"/>
          </w:tcPr>
          <w:p w14:paraId="1285B529">
            <w:pPr>
              <w:widowControl/>
              <w:jc w:val="center"/>
              <w:rPr>
                <w:color w:val="auto"/>
                <w:kern w:val="0"/>
                <w:szCs w:val="21"/>
                <w:highlight w:val="none"/>
              </w:rPr>
            </w:pPr>
            <w:r>
              <w:rPr>
                <w:color w:val="auto"/>
                <w:kern w:val="0"/>
                <w:szCs w:val="21"/>
                <w:highlight w:val="none"/>
              </w:rPr>
              <w:t>Y≥10000</w:t>
            </w:r>
          </w:p>
        </w:tc>
        <w:tc>
          <w:tcPr>
            <w:tcW w:w="1701" w:type="dxa"/>
            <w:vAlign w:val="center"/>
          </w:tcPr>
          <w:p w14:paraId="0E7AC605">
            <w:pPr>
              <w:widowControl/>
              <w:jc w:val="center"/>
              <w:rPr>
                <w:color w:val="auto"/>
                <w:kern w:val="0"/>
                <w:szCs w:val="21"/>
                <w:highlight w:val="none"/>
              </w:rPr>
            </w:pPr>
            <w:r>
              <w:rPr>
                <w:color w:val="auto"/>
                <w:kern w:val="0"/>
                <w:szCs w:val="21"/>
                <w:highlight w:val="none"/>
              </w:rPr>
              <w:t>1000≤Y＜10000</w:t>
            </w:r>
          </w:p>
        </w:tc>
        <w:tc>
          <w:tcPr>
            <w:tcW w:w="1426" w:type="dxa"/>
            <w:vAlign w:val="center"/>
          </w:tcPr>
          <w:p w14:paraId="0CCBDB70">
            <w:pPr>
              <w:widowControl/>
              <w:jc w:val="center"/>
              <w:rPr>
                <w:color w:val="auto"/>
                <w:kern w:val="0"/>
                <w:szCs w:val="21"/>
                <w:highlight w:val="none"/>
              </w:rPr>
            </w:pPr>
            <w:r>
              <w:rPr>
                <w:color w:val="auto"/>
                <w:kern w:val="0"/>
                <w:szCs w:val="21"/>
                <w:highlight w:val="none"/>
              </w:rPr>
              <w:t>50≤Y＜1000</w:t>
            </w:r>
          </w:p>
        </w:tc>
        <w:tc>
          <w:tcPr>
            <w:tcW w:w="992" w:type="dxa"/>
            <w:vAlign w:val="center"/>
          </w:tcPr>
          <w:p w14:paraId="34E6CB2D">
            <w:pPr>
              <w:widowControl/>
              <w:jc w:val="center"/>
              <w:rPr>
                <w:color w:val="auto"/>
                <w:kern w:val="0"/>
                <w:szCs w:val="21"/>
                <w:highlight w:val="none"/>
              </w:rPr>
            </w:pPr>
            <w:r>
              <w:rPr>
                <w:color w:val="auto"/>
                <w:kern w:val="0"/>
                <w:szCs w:val="21"/>
                <w:highlight w:val="none"/>
              </w:rPr>
              <w:t>Y＜50</w:t>
            </w:r>
          </w:p>
        </w:tc>
      </w:tr>
      <w:tr w14:paraId="53A77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51" w:type="dxa"/>
            <w:vMerge w:val="restart"/>
            <w:vAlign w:val="center"/>
          </w:tcPr>
          <w:p w14:paraId="6FC603F1">
            <w:pPr>
              <w:widowControl/>
              <w:spacing w:line="240" w:lineRule="exact"/>
              <w:jc w:val="left"/>
              <w:rPr>
                <w:color w:val="auto"/>
                <w:kern w:val="0"/>
                <w:szCs w:val="21"/>
                <w:highlight w:val="none"/>
              </w:rPr>
            </w:pPr>
            <w:r>
              <w:rPr>
                <w:color w:val="auto"/>
                <w:kern w:val="0"/>
                <w:szCs w:val="21"/>
                <w:highlight w:val="none"/>
              </w:rPr>
              <w:t>房地产开发经营</w:t>
            </w:r>
          </w:p>
        </w:tc>
        <w:tc>
          <w:tcPr>
            <w:tcW w:w="1531" w:type="dxa"/>
            <w:vAlign w:val="center"/>
          </w:tcPr>
          <w:p w14:paraId="5A6DF4DC">
            <w:pPr>
              <w:widowControl/>
              <w:jc w:val="center"/>
              <w:rPr>
                <w:color w:val="auto"/>
                <w:kern w:val="0"/>
                <w:szCs w:val="21"/>
                <w:highlight w:val="none"/>
              </w:rPr>
            </w:pPr>
            <w:r>
              <w:rPr>
                <w:color w:val="auto"/>
                <w:kern w:val="0"/>
                <w:szCs w:val="21"/>
                <w:highlight w:val="none"/>
              </w:rPr>
              <w:t>营业收入(Y)</w:t>
            </w:r>
          </w:p>
        </w:tc>
        <w:tc>
          <w:tcPr>
            <w:tcW w:w="709" w:type="dxa"/>
            <w:vAlign w:val="center"/>
          </w:tcPr>
          <w:p w14:paraId="5D5EB94E">
            <w:pPr>
              <w:widowControl/>
              <w:jc w:val="center"/>
              <w:rPr>
                <w:color w:val="auto"/>
                <w:kern w:val="0"/>
                <w:szCs w:val="21"/>
                <w:highlight w:val="none"/>
              </w:rPr>
            </w:pPr>
            <w:r>
              <w:rPr>
                <w:color w:val="auto"/>
                <w:kern w:val="0"/>
                <w:szCs w:val="21"/>
                <w:highlight w:val="none"/>
              </w:rPr>
              <w:t>万元</w:t>
            </w:r>
          </w:p>
        </w:tc>
        <w:tc>
          <w:tcPr>
            <w:tcW w:w="1125" w:type="dxa"/>
            <w:vAlign w:val="center"/>
          </w:tcPr>
          <w:p w14:paraId="1A1C8961">
            <w:pPr>
              <w:widowControl/>
              <w:jc w:val="center"/>
              <w:rPr>
                <w:color w:val="auto"/>
                <w:kern w:val="0"/>
                <w:szCs w:val="21"/>
                <w:highlight w:val="none"/>
              </w:rPr>
            </w:pPr>
            <w:r>
              <w:rPr>
                <w:color w:val="auto"/>
                <w:kern w:val="0"/>
                <w:szCs w:val="21"/>
                <w:highlight w:val="none"/>
              </w:rPr>
              <w:t>Y≥200000</w:t>
            </w:r>
          </w:p>
        </w:tc>
        <w:tc>
          <w:tcPr>
            <w:tcW w:w="1701" w:type="dxa"/>
            <w:vAlign w:val="center"/>
          </w:tcPr>
          <w:p w14:paraId="3FF451A1">
            <w:pPr>
              <w:widowControl/>
              <w:jc w:val="center"/>
              <w:rPr>
                <w:color w:val="auto"/>
                <w:kern w:val="0"/>
                <w:szCs w:val="21"/>
                <w:highlight w:val="none"/>
              </w:rPr>
            </w:pPr>
            <w:r>
              <w:rPr>
                <w:color w:val="auto"/>
                <w:kern w:val="0"/>
                <w:szCs w:val="21"/>
                <w:highlight w:val="none"/>
              </w:rPr>
              <w:t>1000≤Y＜200000</w:t>
            </w:r>
          </w:p>
        </w:tc>
        <w:tc>
          <w:tcPr>
            <w:tcW w:w="1426" w:type="dxa"/>
            <w:vAlign w:val="center"/>
          </w:tcPr>
          <w:p w14:paraId="77BA3356">
            <w:pPr>
              <w:widowControl/>
              <w:jc w:val="center"/>
              <w:rPr>
                <w:color w:val="auto"/>
                <w:kern w:val="0"/>
                <w:szCs w:val="21"/>
                <w:highlight w:val="none"/>
              </w:rPr>
            </w:pPr>
            <w:r>
              <w:rPr>
                <w:color w:val="auto"/>
                <w:kern w:val="0"/>
                <w:szCs w:val="21"/>
                <w:highlight w:val="none"/>
              </w:rPr>
              <w:t>100≤Y＜1000</w:t>
            </w:r>
          </w:p>
        </w:tc>
        <w:tc>
          <w:tcPr>
            <w:tcW w:w="992" w:type="dxa"/>
            <w:vAlign w:val="center"/>
          </w:tcPr>
          <w:p w14:paraId="5FC5B690">
            <w:pPr>
              <w:widowControl/>
              <w:jc w:val="center"/>
              <w:rPr>
                <w:color w:val="auto"/>
                <w:kern w:val="0"/>
                <w:szCs w:val="21"/>
                <w:highlight w:val="none"/>
              </w:rPr>
            </w:pPr>
            <w:r>
              <w:rPr>
                <w:color w:val="auto"/>
                <w:kern w:val="0"/>
                <w:szCs w:val="21"/>
                <w:highlight w:val="none"/>
              </w:rPr>
              <w:t>Y＜100</w:t>
            </w:r>
          </w:p>
        </w:tc>
      </w:tr>
      <w:tr w14:paraId="11B3E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51" w:type="dxa"/>
            <w:vMerge w:val="continue"/>
            <w:vAlign w:val="center"/>
          </w:tcPr>
          <w:p w14:paraId="0BB221FC">
            <w:pPr>
              <w:widowControl/>
              <w:jc w:val="left"/>
              <w:rPr>
                <w:color w:val="auto"/>
                <w:kern w:val="0"/>
                <w:szCs w:val="21"/>
                <w:highlight w:val="none"/>
              </w:rPr>
            </w:pPr>
          </w:p>
        </w:tc>
        <w:tc>
          <w:tcPr>
            <w:tcW w:w="1531" w:type="dxa"/>
            <w:vAlign w:val="center"/>
          </w:tcPr>
          <w:p w14:paraId="58BBD0E3">
            <w:pPr>
              <w:widowControl/>
              <w:spacing w:line="240" w:lineRule="exact"/>
              <w:jc w:val="center"/>
              <w:rPr>
                <w:color w:val="auto"/>
                <w:kern w:val="0"/>
                <w:szCs w:val="21"/>
                <w:highlight w:val="none"/>
              </w:rPr>
            </w:pPr>
            <w:r>
              <w:rPr>
                <w:color w:val="auto"/>
                <w:kern w:val="0"/>
                <w:szCs w:val="21"/>
                <w:highlight w:val="none"/>
              </w:rPr>
              <w:t>资产总额(Z)</w:t>
            </w:r>
          </w:p>
        </w:tc>
        <w:tc>
          <w:tcPr>
            <w:tcW w:w="709" w:type="dxa"/>
            <w:vAlign w:val="center"/>
          </w:tcPr>
          <w:p w14:paraId="35CEC6B4">
            <w:pPr>
              <w:widowControl/>
              <w:jc w:val="center"/>
              <w:rPr>
                <w:color w:val="auto"/>
                <w:kern w:val="0"/>
                <w:szCs w:val="21"/>
                <w:highlight w:val="none"/>
              </w:rPr>
            </w:pPr>
            <w:r>
              <w:rPr>
                <w:color w:val="auto"/>
                <w:kern w:val="0"/>
                <w:szCs w:val="21"/>
                <w:highlight w:val="none"/>
              </w:rPr>
              <w:t>万元</w:t>
            </w:r>
          </w:p>
        </w:tc>
        <w:tc>
          <w:tcPr>
            <w:tcW w:w="1125" w:type="dxa"/>
            <w:vAlign w:val="center"/>
          </w:tcPr>
          <w:p w14:paraId="737E4F00">
            <w:pPr>
              <w:widowControl/>
              <w:jc w:val="center"/>
              <w:rPr>
                <w:color w:val="auto"/>
                <w:kern w:val="0"/>
                <w:szCs w:val="21"/>
                <w:highlight w:val="none"/>
              </w:rPr>
            </w:pPr>
            <w:r>
              <w:rPr>
                <w:color w:val="auto"/>
                <w:kern w:val="0"/>
                <w:szCs w:val="21"/>
                <w:highlight w:val="none"/>
              </w:rPr>
              <w:t>Z≥10000</w:t>
            </w:r>
          </w:p>
        </w:tc>
        <w:tc>
          <w:tcPr>
            <w:tcW w:w="1701" w:type="dxa"/>
            <w:vAlign w:val="center"/>
          </w:tcPr>
          <w:p w14:paraId="7774C03B">
            <w:pPr>
              <w:widowControl/>
              <w:jc w:val="center"/>
              <w:rPr>
                <w:color w:val="auto"/>
                <w:kern w:val="0"/>
                <w:szCs w:val="21"/>
                <w:highlight w:val="none"/>
              </w:rPr>
            </w:pPr>
            <w:r>
              <w:rPr>
                <w:color w:val="auto"/>
                <w:kern w:val="0"/>
                <w:szCs w:val="21"/>
                <w:highlight w:val="none"/>
              </w:rPr>
              <w:t>5000≤Z＜10000</w:t>
            </w:r>
          </w:p>
        </w:tc>
        <w:tc>
          <w:tcPr>
            <w:tcW w:w="1426" w:type="dxa"/>
            <w:vAlign w:val="center"/>
          </w:tcPr>
          <w:p w14:paraId="11863204">
            <w:pPr>
              <w:widowControl/>
              <w:jc w:val="center"/>
              <w:rPr>
                <w:color w:val="auto"/>
                <w:kern w:val="0"/>
                <w:szCs w:val="21"/>
                <w:highlight w:val="none"/>
              </w:rPr>
            </w:pPr>
            <w:r>
              <w:rPr>
                <w:color w:val="auto"/>
                <w:kern w:val="0"/>
                <w:szCs w:val="21"/>
                <w:highlight w:val="none"/>
              </w:rPr>
              <w:t>2000≤Z＜5000</w:t>
            </w:r>
          </w:p>
        </w:tc>
        <w:tc>
          <w:tcPr>
            <w:tcW w:w="992" w:type="dxa"/>
            <w:vAlign w:val="center"/>
          </w:tcPr>
          <w:p w14:paraId="6DF167B1">
            <w:pPr>
              <w:widowControl/>
              <w:jc w:val="center"/>
              <w:rPr>
                <w:color w:val="auto"/>
                <w:kern w:val="0"/>
                <w:szCs w:val="21"/>
                <w:highlight w:val="none"/>
              </w:rPr>
            </w:pPr>
            <w:r>
              <w:rPr>
                <w:color w:val="auto"/>
                <w:kern w:val="0"/>
                <w:szCs w:val="21"/>
                <w:highlight w:val="none"/>
              </w:rPr>
              <w:t>Z＜2000</w:t>
            </w:r>
          </w:p>
        </w:tc>
      </w:tr>
      <w:tr w14:paraId="05B3C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51" w:type="dxa"/>
            <w:vMerge w:val="restart"/>
            <w:vAlign w:val="center"/>
          </w:tcPr>
          <w:p w14:paraId="24F81969">
            <w:pPr>
              <w:widowControl/>
              <w:spacing w:line="240" w:lineRule="exact"/>
              <w:jc w:val="left"/>
              <w:rPr>
                <w:color w:val="auto"/>
                <w:kern w:val="0"/>
                <w:szCs w:val="21"/>
                <w:highlight w:val="none"/>
              </w:rPr>
            </w:pPr>
            <w:r>
              <w:rPr>
                <w:color w:val="auto"/>
                <w:kern w:val="0"/>
                <w:szCs w:val="21"/>
                <w:highlight w:val="none"/>
              </w:rPr>
              <w:t>物业管理</w:t>
            </w:r>
          </w:p>
        </w:tc>
        <w:tc>
          <w:tcPr>
            <w:tcW w:w="1531" w:type="dxa"/>
            <w:vAlign w:val="center"/>
          </w:tcPr>
          <w:p w14:paraId="0CD0AE83">
            <w:pPr>
              <w:widowControl/>
              <w:jc w:val="center"/>
              <w:rPr>
                <w:color w:val="auto"/>
                <w:kern w:val="0"/>
                <w:szCs w:val="21"/>
                <w:highlight w:val="none"/>
              </w:rPr>
            </w:pPr>
            <w:r>
              <w:rPr>
                <w:color w:val="auto"/>
                <w:kern w:val="0"/>
                <w:szCs w:val="21"/>
                <w:highlight w:val="none"/>
              </w:rPr>
              <w:t>从业人员(X)</w:t>
            </w:r>
          </w:p>
        </w:tc>
        <w:tc>
          <w:tcPr>
            <w:tcW w:w="709" w:type="dxa"/>
            <w:vAlign w:val="center"/>
          </w:tcPr>
          <w:p w14:paraId="24AE2DBE">
            <w:pPr>
              <w:widowControl/>
              <w:jc w:val="center"/>
              <w:rPr>
                <w:color w:val="auto"/>
                <w:kern w:val="0"/>
                <w:szCs w:val="21"/>
                <w:highlight w:val="none"/>
              </w:rPr>
            </w:pPr>
            <w:r>
              <w:rPr>
                <w:color w:val="auto"/>
                <w:kern w:val="0"/>
                <w:szCs w:val="21"/>
                <w:highlight w:val="none"/>
              </w:rPr>
              <w:t>人</w:t>
            </w:r>
          </w:p>
        </w:tc>
        <w:tc>
          <w:tcPr>
            <w:tcW w:w="1125" w:type="dxa"/>
            <w:vAlign w:val="center"/>
          </w:tcPr>
          <w:p w14:paraId="12F57566">
            <w:pPr>
              <w:widowControl/>
              <w:jc w:val="center"/>
              <w:rPr>
                <w:color w:val="auto"/>
                <w:kern w:val="0"/>
                <w:szCs w:val="21"/>
                <w:highlight w:val="none"/>
              </w:rPr>
            </w:pPr>
            <w:r>
              <w:rPr>
                <w:color w:val="auto"/>
                <w:kern w:val="0"/>
                <w:szCs w:val="21"/>
                <w:highlight w:val="none"/>
              </w:rPr>
              <w:t>X≥1000</w:t>
            </w:r>
          </w:p>
        </w:tc>
        <w:tc>
          <w:tcPr>
            <w:tcW w:w="1701" w:type="dxa"/>
            <w:vAlign w:val="center"/>
          </w:tcPr>
          <w:p w14:paraId="7F804AE7">
            <w:pPr>
              <w:widowControl/>
              <w:jc w:val="center"/>
              <w:rPr>
                <w:color w:val="auto"/>
                <w:kern w:val="0"/>
                <w:szCs w:val="21"/>
                <w:highlight w:val="none"/>
              </w:rPr>
            </w:pPr>
            <w:r>
              <w:rPr>
                <w:color w:val="auto"/>
                <w:kern w:val="0"/>
                <w:szCs w:val="21"/>
                <w:highlight w:val="none"/>
              </w:rPr>
              <w:t>300≤X＜1000</w:t>
            </w:r>
          </w:p>
        </w:tc>
        <w:tc>
          <w:tcPr>
            <w:tcW w:w="1426" w:type="dxa"/>
            <w:vAlign w:val="center"/>
          </w:tcPr>
          <w:p w14:paraId="548FBE5C">
            <w:pPr>
              <w:widowControl/>
              <w:jc w:val="center"/>
              <w:rPr>
                <w:color w:val="auto"/>
                <w:kern w:val="0"/>
                <w:szCs w:val="21"/>
                <w:highlight w:val="none"/>
              </w:rPr>
            </w:pPr>
            <w:r>
              <w:rPr>
                <w:color w:val="auto"/>
                <w:kern w:val="0"/>
                <w:szCs w:val="21"/>
                <w:highlight w:val="none"/>
              </w:rPr>
              <w:t>100≤X＜300</w:t>
            </w:r>
          </w:p>
        </w:tc>
        <w:tc>
          <w:tcPr>
            <w:tcW w:w="992" w:type="dxa"/>
            <w:vAlign w:val="center"/>
          </w:tcPr>
          <w:p w14:paraId="70086DBE">
            <w:pPr>
              <w:widowControl/>
              <w:jc w:val="center"/>
              <w:rPr>
                <w:color w:val="auto"/>
                <w:kern w:val="0"/>
                <w:szCs w:val="21"/>
                <w:highlight w:val="none"/>
              </w:rPr>
            </w:pPr>
            <w:r>
              <w:rPr>
                <w:color w:val="auto"/>
                <w:kern w:val="0"/>
                <w:szCs w:val="21"/>
                <w:highlight w:val="none"/>
              </w:rPr>
              <w:t>X＜100</w:t>
            </w:r>
          </w:p>
        </w:tc>
      </w:tr>
      <w:tr w14:paraId="76F30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51" w:type="dxa"/>
            <w:vMerge w:val="continue"/>
            <w:vAlign w:val="center"/>
          </w:tcPr>
          <w:p w14:paraId="1CE1C779">
            <w:pPr>
              <w:widowControl/>
              <w:jc w:val="left"/>
              <w:rPr>
                <w:color w:val="auto"/>
                <w:kern w:val="0"/>
                <w:szCs w:val="21"/>
                <w:highlight w:val="none"/>
              </w:rPr>
            </w:pPr>
          </w:p>
        </w:tc>
        <w:tc>
          <w:tcPr>
            <w:tcW w:w="1531" w:type="dxa"/>
            <w:vAlign w:val="center"/>
          </w:tcPr>
          <w:p w14:paraId="6BE79251">
            <w:pPr>
              <w:widowControl/>
              <w:spacing w:line="240" w:lineRule="exact"/>
              <w:jc w:val="center"/>
              <w:rPr>
                <w:color w:val="auto"/>
                <w:kern w:val="0"/>
                <w:szCs w:val="21"/>
                <w:highlight w:val="none"/>
              </w:rPr>
            </w:pPr>
            <w:r>
              <w:rPr>
                <w:color w:val="auto"/>
                <w:kern w:val="0"/>
                <w:szCs w:val="21"/>
                <w:highlight w:val="none"/>
              </w:rPr>
              <w:t>营业收入(Y)</w:t>
            </w:r>
          </w:p>
        </w:tc>
        <w:tc>
          <w:tcPr>
            <w:tcW w:w="709" w:type="dxa"/>
            <w:vAlign w:val="center"/>
          </w:tcPr>
          <w:p w14:paraId="22B39E8A">
            <w:pPr>
              <w:widowControl/>
              <w:jc w:val="center"/>
              <w:rPr>
                <w:color w:val="auto"/>
                <w:kern w:val="0"/>
                <w:szCs w:val="21"/>
                <w:highlight w:val="none"/>
              </w:rPr>
            </w:pPr>
            <w:r>
              <w:rPr>
                <w:color w:val="auto"/>
                <w:kern w:val="0"/>
                <w:szCs w:val="21"/>
                <w:highlight w:val="none"/>
              </w:rPr>
              <w:t>万元</w:t>
            </w:r>
          </w:p>
        </w:tc>
        <w:tc>
          <w:tcPr>
            <w:tcW w:w="1125" w:type="dxa"/>
            <w:vAlign w:val="center"/>
          </w:tcPr>
          <w:p w14:paraId="4208470D">
            <w:pPr>
              <w:widowControl/>
              <w:jc w:val="center"/>
              <w:rPr>
                <w:color w:val="auto"/>
                <w:kern w:val="0"/>
                <w:szCs w:val="21"/>
                <w:highlight w:val="none"/>
              </w:rPr>
            </w:pPr>
            <w:r>
              <w:rPr>
                <w:color w:val="auto"/>
                <w:kern w:val="0"/>
                <w:szCs w:val="21"/>
                <w:highlight w:val="none"/>
              </w:rPr>
              <w:t>Y≥5000</w:t>
            </w:r>
          </w:p>
        </w:tc>
        <w:tc>
          <w:tcPr>
            <w:tcW w:w="1701" w:type="dxa"/>
            <w:vAlign w:val="center"/>
          </w:tcPr>
          <w:p w14:paraId="733876A7">
            <w:pPr>
              <w:widowControl/>
              <w:ind w:left="19" w:leftChars="-51" w:hanging="126" w:hangingChars="60"/>
              <w:jc w:val="center"/>
              <w:rPr>
                <w:color w:val="auto"/>
                <w:kern w:val="0"/>
                <w:szCs w:val="21"/>
                <w:highlight w:val="none"/>
              </w:rPr>
            </w:pPr>
            <w:r>
              <w:rPr>
                <w:color w:val="auto"/>
                <w:kern w:val="0"/>
                <w:szCs w:val="21"/>
                <w:highlight w:val="none"/>
              </w:rPr>
              <w:t>1000≤Y＜5000</w:t>
            </w:r>
          </w:p>
        </w:tc>
        <w:tc>
          <w:tcPr>
            <w:tcW w:w="1426" w:type="dxa"/>
            <w:vAlign w:val="center"/>
          </w:tcPr>
          <w:p w14:paraId="31197AE0">
            <w:pPr>
              <w:widowControl/>
              <w:jc w:val="center"/>
              <w:rPr>
                <w:color w:val="auto"/>
                <w:kern w:val="0"/>
                <w:szCs w:val="21"/>
                <w:highlight w:val="none"/>
              </w:rPr>
            </w:pPr>
            <w:r>
              <w:rPr>
                <w:color w:val="auto"/>
                <w:kern w:val="0"/>
                <w:szCs w:val="21"/>
                <w:highlight w:val="none"/>
              </w:rPr>
              <w:t>500≤Y＜1000</w:t>
            </w:r>
          </w:p>
        </w:tc>
        <w:tc>
          <w:tcPr>
            <w:tcW w:w="992" w:type="dxa"/>
            <w:vAlign w:val="center"/>
          </w:tcPr>
          <w:p w14:paraId="1474E101">
            <w:pPr>
              <w:widowControl/>
              <w:jc w:val="center"/>
              <w:rPr>
                <w:color w:val="auto"/>
                <w:kern w:val="0"/>
                <w:szCs w:val="21"/>
                <w:highlight w:val="none"/>
              </w:rPr>
            </w:pPr>
            <w:r>
              <w:rPr>
                <w:color w:val="auto"/>
                <w:kern w:val="0"/>
                <w:szCs w:val="21"/>
                <w:highlight w:val="none"/>
              </w:rPr>
              <w:t>Y＜500</w:t>
            </w:r>
          </w:p>
        </w:tc>
      </w:tr>
      <w:tr w14:paraId="1608C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51" w:type="dxa"/>
            <w:vMerge w:val="restart"/>
            <w:vAlign w:val="center"/>
          </w:tcPr>
          <w:p w14:paraId="33465641">
            <w:pPr>
              <w:widowControl/>
              <w:spacing w:line="240" w:lineRule="exact"/>
              <w:jc w:val="left"/>
              <w:rPr>
                <w:color w:val="auto"/>
                <w:kern w:val="0"/>
                <w:szCs w:val="21"/>
                <w:highlight w:val="none"/>
              </w:rPr>
            </w:pPr>
            <w:r>
              <w:rPr>
                <w:color w:val="auto"/>
                <w:kern w:val="0"/>
                <w:szCs w:val="21"/>
                <w:highlight w:val="none"/>
              </w:rPr>
              <w:t>租赁和商务服务业</w:t>
            </w:r>
          </w:p>
        </w:tc>
        <w:tc>
          <w:tcPr>
            <w:tcW w:w="1531" w:type="dxa"/>
            <w:vAlign w:val="center"/>
          </w:tcPr>
          <w:p w14:paraId="695F9A36">
            <w:pPr>
              <w:widowControl/>
              <w:jc w:val="center"/>
              <w:rPr>
                <w:color w:val="auto"/>
                <w:kern w:val="0"/>
                <w:szCs w:val="21"/>
                <w:highlight w:val="none"/>
              </w:rPr>
            </w:pPr>
            <w:r>
              <w:rPr>
                <w:color w:val="auto"/>
                <w:kern w:val="0"/>
                <w:szCs w:val="21"/>
                <w:highlight w:val="none"/>
              </w:rPr>
              <w:t>从业人员(X)</w:t>
            </w:r>
          </w:p>
        </w:tc>
        <w:tc>
          <w:tcPr>
            <w:tcW w:w="709" w:type="dxa"/>
            <w:vAlign w:val="center"/>
          </w:tcPr>
          <w:p w14:paraId="0C0AB813">
            <w:pPr>
              <w:widowControl/>
              <w:jc w:val="center"/>
              <w:rPr>
                <w:color w:val="auto"/>
                <w:kern w:val="0"/>
                <w:szCs w:val="21"/>
                <w:highlight w:val="none"/>
              </w:rPr>
            </w:pPr>
            <w:r>
              <w:rPr>
                <w:color w:val="auto"/>
                <w:kern w:val="0"/>
                <w:szCs w:val="21"/>
                <w:highlight w:val="none"/>
              </w:rPr>
              <w:t>人</w:t>
            </w:r>
          </w:p>
        </w:tc>
        <w:tc>
          <w:tcPr>
            <w:tcW w:w="1125" w:type="dxa"/>
            <w:vAlign w:val="center"/>
          </w:tcPr>
          <w:p w14:paraId="51CB403A">
            <w:pPr>
              <w:widowControl/>
              <w:jc w:val="center"/>
              <w:rPr>
                <w:color w:val="auto"/>
                <w:kern w:val="0"/>
                <w:szCs w:val="21"/>
                <w:highlight w:val="none"/>
              </w:rPr>
            </w:pPr>
            <w:r>
              <w:rPr>
                <w:color w:val="auto"/>
                <w:kern w:val="0"/>
                <w:szCs w:val="21"/>
                <w:highlight w:val="none"/>
              </w:rPr>
              <w:t>X≥300</w:t>
            </w:r>
          </w:p>
        </w:tc>
        <w:tc>
          <w:tcPr>
            <w:tcW w:w="1701" w:type="dxa"/>
            <w:vAlign w:val="center"/>
          </w:tcPr>
          <w:p w14:paraId="4D8EBB59">
            <w:pPr>
              <w:widowControl/>
              <w:ind w:left="19" w:leftChars="-51" w:hanging="126" w:hangingChars="60"/>
              <w:jc w:val="center"/>
              <w:rPr>
                <w:color w:val="auto"/>
                <w:kern w:val="0"/>
                <w:szCs w:val="21"/>
                <w:highlight w:val="none"/>
              </w:rPr>
            </w:pPr>
            <w:r>
              <w:rPr>
                <w:color w:val="auto"/>
                <w:kern w:val="0"/>
                <w:szCs w:val="21"/>
                <w:highlight w:val="none"/>
              </w:rPr>
              <w:t>100≤X＜300</w:t>
            </w:r>
          </w:p>
        </w:tc>
        <w:tc>
          <w:tcPr>
            <w:tcW w:w="1426" w:type="dxa"/>
            <w:vAlign w:val="center"/>
          </w:tcPr>
          <w:p w14:paraId="3CD85CB1">
            <w:pPr>
              <w:widowControl/>
              <w:jc w:val="center"/>
              <w:rPr>
                <w:color w:val="auto"/>
                <w:kern w:val="0"/>
                <w:szCs w:val="21"/>
                <w:highlight w:val="none"/>
              </w:rPr>
            </w:pPr>
            <w:r>
              <w:rPr>
                <w:color w:val="auto"/>
                <w:kern w:val="0"/>
                <w:szCs w:val="21"/>
                <w:highlight w:val="none"/>
              </w:rPr>
              <w:t>10≤X＜100</w:t>
            </w:r>
          </w:p>
        </w:tc>
        <w:tc>
          <w:tcPr>
            <w:tcW w:w="992" w:type="dxa"/>
            <w:vAlign w:val="center"/>
          </w:tcPr>
          <w:p w14:paraId="34087028">
            <w:pPr>
              <w:widowControl/>
              <w:jc w:val="center"/>
              <w:rPr>
                <w:color w:val="auto"/>
                <w:kern w:val="0"/>
                <w:szCs w:val="21"/>
                <w:highlight w:val="none"/>
              </w:rPr>
            </w:pPr>
            <w:r>
              <w:rPr>
                <w:color w:val="auto"/>
                <w:kern w:val="0"/>
                <w:szCs w:val="21"/>
                <w:highlight w:val="none"/>
              </w:rPr>
              <w:t>X＜10</w:t>
            </w:r>
          </w:p>
        </w:tc>
      </w:tr>
      <w:tr w14:paraId="3698E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51" w:type="dxa"/>
            <w:vMerge w:val="continue"/>
            <w:vAlign w:val="center"/>
          </w:tcPr>
          <w:p w14:paraId="1474CB0D">
            <w:pPr>
              <w:widowControl/>
              <w:jc w:val="left"/>
              <w:rPr>
                <w:color w:val="auto"/>
                <w:kern w:val="0"/>
                <w:szCs w:val="21"/>
                <w:highlight w:val="none"/>
              </w:rPr>
            </w:pPr>
          </w:p>
        </w:tc>
        <w:tc>
          <w:tcPr>
            <w:tcW w:w="1531" w:type="dxa"/>
            <w:vAlign w:val="center"/>
          </w:tcPr>
          <w:p w14:paraId="616620CC">
            <w:pPr>
              <w:widowControl/>
              <w:spacing w:line="240" w:lineRule="exact"/>
              <w:jc w:val="center"/>
              <w:rPr>
                <w:color w:val="auto"/>
                <w:kern w:val="0"/>
                <w:szCs w:val="21"/>
                <w:highlight w:val="none"/>
              </w:rPr>
            </w:pPr>
            <w:r>
              <w:rPr>
                <w:color w:val="auto"/>
                <w:kern w:val="0"/>
                <w:szCs w:val="21"/>
                <w:highlight w:val="none"/>
              </w:rPr>
              <w:t>资产总额(Z)</w:t>
            </w:r>
          </w:p>
        </w:tc>
        <w:tc>
          <w:tcPr>
            <w:tcW w:w="709" w:type="dxa"/>
            <w:vAlign w:val="center"/>
          </w:tcPr>
          <w:p w14:paraId="6E85F39D">
            <w:pPr>
              <w:widowControl/>
              <w:jc w:val="center"/>
              <w:rPr>
                <w:color w:val="auto"/>
                <w:kern w:val="0"/>
                <w:szCs w:val="21"/>
                <w:highlight w:val="none"/>
              </w:rPr>
            </w:pPr>
            <w:r>
              <w:rPr>
                <w:color w:val="auto"/>
                <w:kern w:val="0"/>
                <w:szCs w:val="21"/>
                <w:highlight w:val="none"/>
              </w:rPr>
              <w:t>万元</w:t>
            </w:r>
          </w:p>
        </w:tc>
        <w:tc>
          <w:tcPr>
            <w:tcW w:w="1125" w:type="dxa"/>
            <w:vAlign w:val="center"/>
          </w:tcPr>
          <w:p w14:paraId="2A57DDA5">
            <w:pPr>
              <w:widowControl/>
              <w:jc w:val="center"/>
              <w:rPr>
                <w:color w:val="auto"/>
                <w:kern w:val="0"/>
                <w:szCs w:val="21"/>
                <w:highlight w:val="none"/>
              </w:rPr>
            </w:pPr>
            <w:r>
              <w:rPr>
                <w:color w:val="auto"/>
                <w:kern w:val="0"/>
                <w:szCs w:val="21"/>
                <w:highlight w:val="none"/>
              </w:rPr>
              <w:t>Z≥120000</w:t>
            </w:r>
          </w:p>
        </w:tc>
        <w:tc>
          <w:tcPr>
            <w:tcW w:w="1701" w:type="dxa"/>
            <w:vAlign w:val="center"/>
          </w:tcPr>
          <w:p w14:paraId="4E8C8DB6">
            <w:pPr>
              <w:widowControl/>
              <w:jc w:val="center"/>
              <w:rPr>
                <w:color w:val="auto"/>
                <w:kern w:val="0"/>
                <w:szCs w:val="21"/>
                <w:highlight w:val="none"/>
              </w:rPr>
            </w:pPr>
            <w:r>
              <w:rPr>
                <w:color w:val="auto"/>
                <w:kern w:val="0"/>
                <w:szCs w:val="21"/>
                <w:highlight w:val="none"/>
              </w:rPr>
              <w:t>8000≤Z＜120000</w:t>
            </w:r>
          </w:p>
        </w:tc>
        <w:tc>
          <w:tcPr>
            <w:tcW w:w="1426" w:type="dxa"/>
            <w:vAlign w:val="center"/>
          </w:tcPr>
          <w:p w14:paraId="3D5E665C">
            <w:pPr>
              <w:widowControl/>
              <w:jc w:val="center"/>
              <w:rPr>
                <w:color w:val="auto"/>
                <w:kern w:val="0"/>
                <w:szCs w:val="21"/>
                <w:highlight w:val="none"/>
              </w:rPr>
            </w:pPr>
            <w:r>
              <w:rPr>
                <w:color w:val="auto"/>
                <w:kern w:val="0"/>
                <w:szCs w:val="21"/>
                <w:highlight w:val="none"/>
              </w:rPr>
              <w:t>100≤Z＜8000</w:t>
            </w:r>
          </w:p>
        </w:tc>
        <w:tc>
          <w:tcPr>
            <w:tcW w:w="992" w:type="dxa"/>
            <w:vAlign w:val="center"/>
          </w:tcPr>
          <w:p w14:paraId="45F3B399">
            <w:pPr>
              <w:widowControl/>
              <w:jc w:val="center"/>
              <w:rPr>
                <w:color w:val="auto"/>
                <w:kern w:val="0"/>
                <w:szCs w:val="21"/>
                <w:highlight w:val="none"/>
              </w:rPr>
            </w:pPr>
            <w:r>
              <w:rPr>
                <w:color w:val="auto"/>
                <w:kern w:val="0"/>
                <w:szCs w:val="21"/>
                <w:highlight w:val="none"/>
              </w:rPr>
              <w:t>Z＜100</w:t>
            </w:r>
          </w:p>
        </w:tc>
      </w:tr>
      <w:tr w14:paraId="0151F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1" w:type="dxa"/>
            <w:vAlign w:val="center"/>
          </w:tcPr>
          <w:p w14:paraId="46876DD2">
            <w:pPr>
              <w:widowControl/>
              <w:spacing w:line="240" w:lineRule="exact"/>
              <w:jc w:val="left"/>
              <w:rPr>
                <w:color w:val="auto"/>
                <w:kern w:val="0"/>
                <w:szCs w:val="21"/>
                <w:highlight w:val="none"/>
              </w:rPr>
            </w:pPr>
            <w:r>
              <w:rPr>
                <w:color w:val="auto"/>
                <w:kern w:val="0"/>
                <w:szCs w:val="21"/>
                <w:highlight w:val="none"/>
              </w:rPr>
              <w:t>其他未列明行业 *</w:t>
            </w:r>
          </w:p>
        </w:tc>
        <w:tc>
          <w:tcPr>
            <w:tcW w:w="1531" w:type="dxa"/>
            <w:vAlign w:val="center"/>
          </w:tcPr>
          <w:p w14:paraId="6DF5124C">
            <w:pPr>
              <w:widowControl/>
              <w:jc w:val="center"/>
              <w:rPr>
                <w:color w:val="auto"/>
                <w:kern w:val="0"/>
                <w:szCs w:val="21"/>
                <w:highlight w:val="none"/>
              </w:rPr>
            </w:pPr>
            <w:r>
              <w:rPr>
                <w:color w:val="auto"/>
                <w:kern w:val="0"/>
                <w:szCs w:val="21"/>
                <w:highlight w:val="none"/>
              </w:rPr>
              <w:t>从业人员(X)</w:t>
            </w:r>
          </w:p>
        </w:tc>
        <w:tc>
          <w:tcPr>
            <w:tcW w:w="709" w:type="dxa"/>
            <w:vAlign w:val="center"/>
          </w:tcPr>
          <w:p w14:paraId="36F8BC41">
            <w:pPr>
              <w:widowControl/>
              <w:jc w:val="center"/>
              <w:rPr>
                <w:color w:val="auto"/>
                <w:kern w:val="0"/>
                <w:szCs w:val="21"/>
                <w:highlight w:val="none"/>
              </w:rPr>
            </w:pPr>
            <w:r>
              <w:rPr>
                <w:color w:val="auto"/>
                <w:kern w:val="0"/>
                <w:szCs w:val="21"/>
                <w:highlight w:val="none"/>
              </w:rPr>
              <w:t>人</w:t>
            </w:r>
          </w:p>
        </w:tc>
        <w:tc>
          <w:tcPr>
            <w:tcW w:w="1125" w:type="dxa"/>
            <w:vAlign w:val="center"/>
          </w:tcPr>
          <w:p w14:paraId="6A228F43">
            <w:pPr>
              <w:widowControl/>
              <w:jc w:val="center"/>
              <w:rPr>
                <w:color w:val="auto"/>
                <w:kern w:val="0"/>
                <w:szCs w:val="21"/>
                <w:highlight w:val="none"/>
              </w:rPr>
            </w:pPr>
            <w:r>
              <w:rPr>
                <w:color w:val="auto"/>
                <w:kern w:val="0"/>
                <w:szCs w:val="21"/>
                <w:highlight w:val="none"/>
              </w:rPr>
              <w:t>X≥300</w:t>
            </w:r>
          </w:p>
        </w:tc>
        <w:tc>
          <w:tcPr>
            <w:tcW w:w="1701" w:type="dxa"/>
            <w:vAlign w:val="center"/>
          </w:tcPr>
          <w:p w14:paraId="512AC272">
            <w:pPr>
              <w:widowControl/>
              <w:ind w:left="19" w:leftChars="-51" w:hanging="126" w:hangingChars="60"/>
              <w:jc w:val="center"/>
              <w:rPr>
                <w:color w:val="auto"/>
                <w:kern w:val="0"/>
                <w:szCs w:val="21"/>
                <w:highlight w:val="none"/>
              </w:rPr>
            </w:pPr>
            <w:r>
              <w:rPr>
                <w:color w:val="auto"/>
                <w:kern w:val="0"/>
                <w:szCs w:val="21"/>
                <w:highlight w:val="none"/>
              </w:rPr>
              <w:t>100≤X＜300</w:t>
            </w:r>
          </w:p>
        </w:tc>
        <w:tc>
          <w:tcPr>
            <w:tcW w:w="1426" w:type="dxa"/>
            <w:vAlign w:val="center"/>
          </w:tcPr>
          <w:p w14:paraId="335DAFFC">
            <w:pPr>
              <w:widowControl/>
              <w:jc w:val="center"/>
              <w:rPr>
                <w:color w:val="auto"/>
                <w:kern w:val="0"/>
                <w:szCs w:val="21"/>
                <w:highlight w:val="none"/>
              </w:rPr>
            </w:pPr>
            <w:r>
              <w:rPr>
                <w:color w:val="auto"/>
                <w:kern w:val="0"/>
                <w:szCs w:val="21"/>
                <w:highlight w:val="none"/>
              </w:rPr>
              <w:t>10≤X＜100</w:t>
            </w:r>
          </w:p>
        </w:tc>
        <w:tc>
          <w:tcPr>
            <w:tcW w:w="992" w:type="dxa"/>
            <w:vAlign w:val="center"/>
          </w:tcPr>
          <w:p w14:paraId="0362D1D3">
            <w:pPr>
              <w:widowControl/>
              <w:jc w:val="center"/>
              <w:rPr>
                <w:color w:val="auto"/>
                <w:kern w:val="0"/>
                <w:szCs w:val="21"/>
                <w:highlight w:val="none"/>
              </w:rPr>
            </w:pPr>
            <w:r>
              <w:rPr>
                <w:color w:val="auto"/>
                <w:kern w:val="0"/>
                <w:szCs w:val="21"/>
                <w:highlight w:val="none"/>
              </w:rPr>
              <w:t>X＜10</w:t>
            </w:r>
          </w:p>
        </w:tc>
      </w:tr>
    </w:tbl>
    <w:p w14:paraId="0056581B">
      <w:pPr>
        <w:widowControl/>
        <w:spacing w:line="540" w:lineRule="exact"/>
        <w:rPr>
          <w:rFonts w:eastAsia="仿宋_GB2312"/>
          <w:color w:val="auto"/>
          <w:spacing w:val="8"/>
          <w:kern w:val="0"/>
          <w:sz w:val="24"/>
          <w:highlight w:val="none"/>
        </w:rPr>
      </w:pPr>
    </w:p>
    <w:p w14:paraId="55395EA8">
      <w:pPr>
        <w:widowControl/>
        <w:spacing w:line="540" w:lineRule="exact"/>
        <w:rPr>
          <w:rFonts w:hAnsi="宋体"/>
          <w:color w:val="auto"/>
          <w:kern w:val="0"/>
          <w:szCs w:val="16"/>
          <w:highlight w:val="none"/>
        </w:rPr>
      </w:pPr>
      <w:r>
        <w:rPr>
          <w:rFonts w:eastAsia="仿宋_GB2312"/>
          <w:color w:val="auto"/>
          <w:spacing w:val="8"/>
          <w:kern w:val="0"/>
          <w:sz w:val="24"/>
          <w:highlight w:val="none"/>
        </w:rPr>
        <w:br w:type="page"/>
      </w:r>
      <w:r>
        <w:rPr>
          <w:rFonts w:hAnsi="宋体"/>
          <w:color w:val="auto"/>
          <w:kern w:val="0"/>
          <w:szCs w:val="16"/>
          <w:highlight w:val="none"/>
        </w:rPr>
        <w:t>说明：</w:t>
      </w:r>
    </w:p>
    <w:p w14:paraId="6BD34091">
      <w:pPr>
        <w:pStyle w:val="25"/>
        <w:adjustRightInd w:val="0"/>
        <w:spacing w:line="380" w:lineRule="exact"/>
        <w:ind w:firstLine="400" w:firstLineChars="200"/>
        <w:contextualSpacing/>
        <w:rPr>
          <w:rFonts w:hAnsi="宋体"/>
          <w:color w:val="auto"/>
          <w:highlight w:val="none"/>
        </w:rPr>
      </w:pPr>
      <w:r>
        <w:rPr>
          <w:rFonts w:hAnsi="宋体"/>
          <w:color w:val="auto"/>
          <w:highlight w:val="none"/>
        </w:rPr>
        <w:t>1.大型、中型和小型企业须同时满足所列指标的下限，否则下划一档；微型企业只须满足所列指标中的一项即可。</w:t>
      </w:r>
    </w:p>
    <w:p w14:paraId="56A74C87">
      <w:pPr>
        <w:pStyle w:val="25"/>
        <w:adjustRightInd w:val="0"/>
        <w:spacing w:line="380" w:lineRule="exact"/>
        <w:ind w:firstLine="400" w:firstLineChars="200"/>
        <w:contextualSpacing/>
        <w:rPr>
          <w:rFonts w:hAnsi="宋体"/>
          <w:color w:val="auto"/>
          <w:highlight w:val="none"/>
        </w:rPr>
      </w:pPr>
      <w:r>
        <w:rPr>
          <w:rFonts w:hAnsi="宋体"/>
          <w:color w:val="auto"/>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hAnsi="宋体"/>
          <w:color w:val="auto"/>
          <w:highlight w:val="none"/>
        </w:rPr>
        <w:t>；</w:t>
      </w:r>
      <w:r>
        <w:rPr>
          <w:rFonts w:hAnsi="宋体"/>
          <w:color w:val="auto"/>
          <w:highlight w:val="none"/>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5F4E4EC9">
      <w:pPr>
        <w:snapToGrid w:val="0"/>
        <w:spacing w:before="120" w:beforeLines="50" w:after="50"/>
        <w:ind w:left="142"/>
        <w:jc w:val="left"/>
        <w:rPr>
          <w:rFonts w:hint="eastAsia" w:ascii="宋体" w:hAnsi="宋体" w:eastAsia="宋体" w:cs="Times New Roman"/>
          <w:b/>
          <w:color w:val="auto"/>
          <w:sz w:val="24"/>
          <w:highlight w:val="none"/>
        </w:rPr>
      </w:pPr>
      <w:r>
        <w:rPr>
          <w:rFonts w:hAnsi="宋体"/>
          <w:color w:val="auto"/>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r>
        <w:rPr>
          <w:rFonts w:ascii="宋体" w:hAnsi="宋体" w:eastAsia="宋体" w:cs="Times New Roman"/>
          <w:b/>
          <w:color w:val="auto"/>
          <w:sz w:val="24"/>
          <w:highlight w:val="none"/>
        </w:rPr>
        <w:br w:type="page"/>
      </w:r>
      <w:r>
        <w:rPr>
          <w:rFonts w:hint="eastAsia" w:ascii="宋体" w:hAnsi="宋体" w:eastAsia="宋体" w:cs="Times New Roman"/>
          <w:b/>
          <w:color w:val="auto"/>
          <w:sz w:val="24"/>
          <w:highlight w:val="none"/>
          <w:lang w:val="en-US" w:eastAsia="zh-CN"/>
        </w:rPr>
        <w:t>7</w:t>
      </w:r>
      <w:r>
        <w:rPr>
          <w:rFonts w:hint="eastAsia" w:ascii="宋体" w:hAnsi="宋体" w:eastAsia="宋体" w:cs="Times New Roman"/>
          <w:b/>
          <w:color w:val="auto"/>
          <w:sz w:val="24"/>
          <w:highlight w:val="none"/>
        </w:rPr>
        <w:t>.残疾人福利性单位声明函格式</w:t>
      </w:r>
    </w:p>
    <w:p w14:paraId="48C989ED">
      <w:pPr>
        <w:spacing w:line="588" w:lineRule="exact"/>
        <w:jc w:val="center"/>
        <w:rPr>
          <w:rFonts w:hint="eastAsia" w:ascii="宋体" w:hAnsi="宋体" w:eastAsia="宋体" w:cs="Times New Roman"/>
          <w:b/>
          <w:color w:val="auto"/>
          <w:spacing w:val="6"/>
          <w:sz w:val="32"/>
          <w:szCs w:val="32"/>
          <w:highlight w:val="none"/>
        </w:rPr>
      </w:pPr>
    </w:p>
    <w:p w14:paraId="6E7F2B32">
      <w:pPr>
        <w:spacing w:line="588" w:lineRule="exact"/>
        <w:jc w:val="center"/>
        <w:rPr>
          <w:rFonts w:hint="eastAsia" w:ascii="宋体" w:hAnsi="宋体" w:eastAsia="宋体" w:cs="方正小标宋简体"/>
          <w:bCs/>
          <w:color w:val="auto"/>
          <w:spacing w:val="6"/>
          <w:sz w:val="44"/>
          <w:szCs w:val="44"/>
          <w:highlight w:val="none"/>
        </w:rPr>
      </w:pPr>
      <w:r>
        <w:rPr>
          <w:rFonts w:hint="eastAsia" w:ascii="宋体" w:hAnsi="宋体" w:eastAsia="宋体" w:cs="方正小标宋简体"/>
          <w:bCs/>
          <w:color w:val="auto"/>
          <w:spacing w:val="6"/>
          <w:sz w:val="44"/>
          <w:szCs w:val="44"/>
          <w:highlight w:val="none"/>
        </w:rPr>
        <w:t>残疾人福利性单位声明函</w:t>
      </w:r>
    </w:p>
    <w:p w14:paraId="23208BAB">
      <w:pPr>
        <w:spacing w:line="360" w:lineRule="auto"/>
        <w:contextualSpacing/>
        <w:rPr>
          <w:rFonts w:ascii="宋体" w:hAnsi="宋体" w:eastAsia="宋体" w:cs="Times New Roman"/>
          <w:bCs/>
          <w:color w:val="auto"/>
          <w:spacing w:val="6"/>
          <w:sz w:val="30"/>
          <w:szCs w:val="30"/>
          <w:highlight w:val="none"/>
        </w:rPr>
      </w:pPr>
    </w:p>
    <w:p w14:paraId="098E0D7C">
      <w:pPr>
        <w:spacing w:line="360" w:lineRule="auto"/>
        <w:ind w:firstLine="504" w:firstLineChars="200"/>
        <w:contextualSpacing/>
        <w:rPr>
          <w:rFonts w:ascii="宋体" w:hAnsi="宋体" w:eastAsia="宋体" w:cs="Times New Roman"/>
          <w:color w:val="auto"/>
          <w:spacing w:val="6"/>
          <w:sz w:val="24"/>
          <w:highlight w:val="none"/>
        </w:rPr>
      </w:pPr>
      <w:r>
        <w:rPr>
          <w:rFonts w:hint="eastAsia" w:ascii="宋体" w:hAnsi="宋体" w:eastAsia="宋体" w:cs="Times New Roman"/>
          <w:color w:val="auto"/>
          <w:spacing w:val="6"/>
          <w:sz w:val="24"/>
          <w:highlight w:val="none"/>
        </w:rPr>
        <w:t>本单位郑重声明，根据《财政部 民政部 中国残疾人联合会关于促进残疾人就业政府采购政策的通知》（财库</w:t>
      </w:r>
      <w:r>
        <w:rPr>
          <w:rFonts w:hint="eastAsia" w:ascii="宋体" w:hAnsi="宋体" w:eastAsia="宋体" w:cs="Times New Roman"/>
          <w:color w:val="auto"/>
          <w:spacing w:val="6"/>
          <w:sz w:val="24"/>
          <w:highlight w:val="none"/>
          <w:lang w:eastAsia="zh-CN"/>
        </w:rPr>
        <w:t>〔2017〕141号</w:t>
      </w:r>
      <w:r>
        <w:rPr>
          <w:rFonts w:hint="eastAsia" w:ascii="宋体" w:hAnsi="宋体" w:eastAsia="宋体" w:cs="Times New Roman"/>
          <w:color w:val="auto"/>
          <w:spacing w:val="6"/>
          <w:sz w:val="24"/>
          <w:highlight w:val="none"/>
        </w:rPr>
        <w:t>）的规定，本单位为符合条件的残疾人福利性单位，且本单位参加______单位的______项目采购活动提供本单位制造的货物（由本单位承担工程/提供服务），或者提供其他残</w:t>
      </w:r>
      <w:r>
        <w:rPr>
          <w:rFonts w:hint="eastAsia" w:ascii="宋体" w:hAnsi="宋体" w:eastAsia="宋体" w:cs="Times New Roman"/>
          <w:color w:val="auto"/>
          <w:spacing w:val="-6"/>
          <w:sz w:val="24"/>
          <w:highlight w:val="none"/>
        </w:rPr>
        <w:t>疾人福利性单位制造的货物（不包括使用非残疾人福利性单位注册商标的货物）。</w:t>
      </w:r>
    </w:p>
    <w:p w14:paraId="547D2DD3">
      <w:pPr>
        <w:spacing w:line="360" w:lineRule="auto"/>
        <w:ind w:firstLine="504" w:firstLineChars="200"/>
        <w:contextualSpacing/>
        <w:rPr>
          <w:rFonts w:ascii="宋体" w:hAnsi="宋体" w:eastAsia="宋体" w:cs="Times New Roman"/>
          <w:color w:val="auto"/>
          <w:spacing w:val="6"/>
          <w:sz w:val="24"/>
          <w:highlight w:val="none"/>
        </w:rPr>
      </w:pPr>
      <w:r>
        <w:rPr>
          <w:rFonts w:hint="eastAsia" w:ascii="宋体" w:hAnsi="宋体" w:eastAsia="宋体" w:cs="Times New Roman"/>
          <w:color w:val="auto"/>
          <w:spacing w:val="6"/>
          <w:sz w:val="24"/>
          <w:highlight w:val="none"/>
        </w:rPr>
        <w:t>本单位对上述声明的真实性负责。如有虚假，将依法承担相应责任。</w:t>
      </w:r>
    </w:p>
    <w:p w14:paraId="4DBFF4C9">
      <w:pPr>
        <w:spacing w:line="360" w:lineRule="auto"/>
        <w:ind w:firstLine="504" w:firstLineChars="200"/>
        <w:contextualSpacing/>
        <w:rPr>
          <w:rFonts w:ascii="宋体" w:hAnsi="宋体" w:eastAsia="宋体" w:cs="Times New Roman"/>
          <w:color w:val="auto"/>
          <w:spacing w:val="6"/>
          <w:sz w:val="24"/>
          <w:highlight w:val="none"/>
        </w:rPr>
      </w:pPr>
    </w:p>
    <w:p w14:paraId="56010829">
      <w:pPr>
        <w:spacing w:line="360" w:lineRule="auto"/>
        <w:ind w:firstLine="504" w:firstLineChars="200"/>
        <w:contextualSpacing/>
        <w:rPr>
          <w:rFonts w:ascii="宋体" w:hAnsi="宋体" w:eastAsia="宋体" w:cs="Times New Roman"/>
          <w:color w:val="auto"/>
          <w:spacing w:val="6"/>
          <w:sz w:val="24"/>
          <w:highlight w:val="none"/>
        </w:rPr>
      </w:pPr>
    </w:p>
    <w:p w14:paraId="68C2CDEA">
      <w:pPr>
        <w:tabs>
          <w:tab w:val="left" w:pos="4860"/>
        </w:tabs>
        <w:spacing w:line="360" w:lineRule="auto"/>
        <w:ind w:right="1560" w:firstLine="504" w:firstLineChars="200"/>
        <w:contextualSpacing/>
        <w:jc w:val="both"/>
        <w:rPr>
          <w:rFonts w:ascii="宋体" w:hAnsi="宋体" w:eastAsia="宋体" w:cs="Times New Roman"/>
          <w:color w:val="auto"/>
          <w:spacing w:val="6"/>
          <w:sz w:val="24"/>
          <w:highlight w:val="none"/>
        </w:rPr>
      </w:pPr>
      <w:r>
        <w:rPr>
          <w:rFonts w:hint="eastAsia" w:ascii="宋体" w:hAnsi="宋体" w:eastAsia="宋体" w:cs="Times New Roman"/>
          <w:color w:val="auto"/>
          <w:spacing w:val="6"/>
          <w:sz w:val="24"/>
          <w:highlight w:val="none"/>
        </w:rPr>
        <w:t>单位名称（</w:t>
      </w:r>
      <w:r>
        <w:rPr>
          <w:rFonts w:hint="eastAsia" w:ascii="宋体" w:hAnsi="宋体" w:eastAsia="宋体" w:cs="Times New Roman"/>
          <w:color w:val="auto"/>
          <w:spacing w:val="6"/>
          <w:sz w:val="24"/>
          <w:highlight w:val="none"/>
          <w:lang w:eastAsia="zh-CN"/>
        </w:rPr>
        <w:t>公章或电子签章</w:t>
      </w:r>
      <w:r>
        <w:rPr>
          <w:rFonts w:hint="eastAsia" w:ascii="宋体" w:hAnsi="宋体" w:eastAsia="宋体" w:cs="Times New Roman"/>
          <w:color w:val="auto"/>
          <w:spacing w:val="6"/>
          <w:sz w:val="24"/>
          <w:highlight w:val="none"/>
        </w:rPr>
        <w:t>）：</w:t>
      </w:r>
    </w:p>
    <w:p w14:paraId="2FCB6053">
      <w:pPr>
        <w:tabs>
          <w:tab w:val="left" w:pos="4860"/>
        </w:tabs>
        <w:spacing w:line="360" w:lineRule="auto"/>
        <w:ind w:right="1560" w:firstLine="504" w:firstLineChars="200"/>
        <w:contextualSpacing/>
        <w:jc w:val="both"/>
        <w:rPr>
          <w:rFonts w:ascii="宋体" w:hAnsi="宋体" w:eastAsia="宋体" w:cs="Times New Roman"/>
          <w:color w:val="auto"/>
          <w:spacing w:val="6"/>
          <w:sz w:val="24"/>
          <w:highlight w:val="none"/>
        </w:rPr>
      </w:pPr>
      <w:r>
        <w:rPr>
          <w:rFonts w:hint="eastAsia" w:ascii="宋体" w:hAnsi="宋体" w:eastAsia="宋体" w:cs="Times New Roman"/>
          <w:color w:val="auto"/>
          <w:spacing w:val="6"/>
          <w:sz w:val="24"/>
          <w:highlight w:val="none"/>
        </w:rPr>
        <w:t>日  期：</w:t>
      </w:r>
      <w:r>
        <w:rPr>
          <w:rFonts w:hint="eastAsia" w:ascii="宋体" w:hAnsi="宋体" w:eastAsia="宋体" w:cs="Times New Roman"/>
          <w:color w:val="auto"/>
          <w:spacing w:val="6"/>
          <w:sz w:val="24"/>
          <w:highlight w:val="none"/>
          <w:lang w:val="en-US" w:eastAsia="zh-CN"/>
        </w:rPr>
        <w:t xml:space="preserve">   </w:t>
      </w:r>
      <w:r>
        <w:rPr>
          <w:rFonts w:hint="eastAsia" w:ascii="宋体" w:hAnsi="宋体" w:eastAsia="宋体" w:cs="Times New Roman"/>
          <w:color w:val="auto"/>
          <w:sz w:val="24"/>
          <w:highlight w:val="none"/>
        </w:rPr>
        <w:t>年   月    日</w:t>
      </w:r>
    </w:p>
    <w:p w14:paraId="7D486381">
      <w:pPr>
        <w:spacing w:line="360" w:lineRule="auto"/>
        <w:contextualSpacing/>
        <w:rPr>
          <w:rFonts w:ascii="宋体" w:hAnsi="宋体" w:eastAsia="宋体" w:cs="Times New Roman"/>
          <w:color w:val="auto"/>
          <w:sz w:val="24"/>
          <w:highlight w:val="none"/>
        </w:rPr>
      </w:pPr>
    </w:p>
    <w:p w14:paraId="3050C8EA">
      <w:pPr>
        <w:spacing w:line="360" w:lineRule="auto"/>
        <w:contextualSpacing/>
        <w:rPr>
          <w:rFonts w:hint="eastAsia" w:ascii="宋体" w:hAnsi="宋体" w:eastAsia="宋体" w:cs="Times New Roman"/>
          <w:color w:val="auto"/>
          <w:sz w:val="24"/>
          <w:highlight w:val="none"/>
        </w:rPr>
      </w:pPr>
    </w:p>
    <w:p w14:paraId="74941D60">
      <w:pPr>
        <w:spacing w:line="360" w:lineRule="auto"/>
        <w:contextualSpacing/>
        <w:rPr>
          <w:rFonts w:ascii="宋体" w:hAnsi="宋体" w:eastAsia="宋体" w:cs="Times New Roman"/>
          <w:color w:val="auto"/>
          <w:sz w:val="24"/>
          <w:highlight w:val="none"/>
        </w:rPr>
      </w:pPr>
    </w:p>
    <w:p w14:paraId="55A972D9">
      <w:pPr>
        <w:spacing w:line="360" w:lineRule="auto"/>
        <w:contextualSpacing/>
        <w:rPr>
          <w:rFonts w:ascii="宋体" w:hAnsi="宋体" w:eastAsia="宋体" w:cs="Times New Roman"/>
          <w:color w:val="auto"/>
          <w:sz w:val="24"/>
          <w:highlight w:val="none"/>
        </w:rPr>
      </w:pPr>
      <w:r>
        <w:rPr>
          <w:rFonts w:hint="eastAsia" w:ascii="宋体" w:hAnsi="宋体" w:eastAsia="宋体" w:cs="Times New Roman"/>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1FDC15EF">
      <w:pPr>
        <w:rPr>
          <w:rFonts w:ascii="宋体" w:hAnsi="宋体" w:eastAsia="宋体" w:cs="Times New Roman"/>
          <w:color w:val="auto"/>
          <w:sz w:val="24"/>
          <w:highlight w:val="none"/>
        </w:rPr>
      </w:pPr>
    </w:p>
    <w:p w14:paraId="06860C29">
      <w:pPr>
        <w:snapToGrid w:val="0"/>
        <w:spacing w:before="120" w:beforeLines="50" w:after="50"/>
        <w:ind w:left="142"/>
        <w:jc w:val="left"/>
        <w:rPr>
          <w:rFonts w:hint="eastAsia" w:ascii="宋体" w:hAnsi="宋体" w:eastAsia="宋体" w:cs="Times New Roman"/>
          <w:b/>
          <w:color w:val="auto"/>
          <w:sz w:val="24"/>
          <w:highlight w:val="none"/>
        </w:rPr>
      </w:pPr>
      <w:r>
        <w:rPr>
          <w:rFonts w:hint="eastAsia" w:ascii="宋体" w:hAnsi="宋体" w:eastAsia="宋体" w:cs="Times New Roman"/>
          <w:b/>
          <w:color w:val="auto"/>
          <w:sz w:val="24"/>
          <w:highlight w:val="none"/>
          <w:lang w:val="en-US" w:eastAsia="zh-CN"/>
        </w:rPr>
        <w:t>8.</w:t>
      </w:r>
      <w:r>
        <w:rPr>
          <w:rFonts w:hint="eastAsia" w:ascii="宋体" w:hAnsi="宋体" w:eastAsia="宋体" w:cs="Times New Roman"/>
          <w:b/>
          <w:color w:val="auto"/>
          <w:sz w:val="24"/>
          <w:highlight w:val="none"/>
        </w:rPr>
        <w:t>监狱企业证明</w:t>
      </w:r>
    </w:p>
    <w:p w14:paraId="59F6B2CA">
      <w:pPr>
        <w:spacing w:line="256" w:lineRule="auto"/>
        <w:rPr>
          <w:rFonts w:ascii="Arial"/>
          <w:color w:val="auto"/>
          <w:sz w:val="21"/>
          <w:highlight w:val="none"/>
        </w:rPr>
      </w:pPr>
    </w:p>
    <w:p w14:paraId="14778B29">
      <w:pPr>
        <w:spacing w:line="257" w:lineRule="auto"/>
        <w:rPr>
          <w:rFonts w:ascii="Arial"/>
          <w:color w:val="auto"/>
          <w:sz w:val="21"/>
          <w:highlight w:val="none"/>
        </w:rPr>
      </w:pPr>
    </w:p>
    <w:p w14:paraId="7A0854A7">
      <w:pPr>
        <w:spacing w:line="257" w:lineRule="auto"/>
        <w:rPr>
          <w:rFonts w:ascii="Arial"/>
          <w:color w:val="auto"/>
          <w:sz w:val="21"/>
          <w:highlight w:val="none"/>
        </w:rPr>
      </w:pPr>
    </w:p>
    <w:p w14:paraId="196202C2">
      <w:pPr>
        <w:spacing w:line="360" w:lineRule="auto"/>
        <w:contextualSpacing/>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提供由省级以上监狱管理局、戒毒管理局（含新疆生产建设兵团）出具的属于监狱企业的证明文件。</w:t>
      </w:r>
    </w:p>
    <w:p w14:paraId="7A9C6DD9">
      <w:pPr>
        <w:spacing w:line="251" w:lineRule="auto"/>
        <w:rPr>
          <w:rFonts w:ascii="Arial"/>
          <w:color w:val="auto"/>
          <w:sz w:val="21"/>
          <w:highlight w:val="none"/>
        </w:rPr>
      </w:pPr>
    </w:p>
    <w:p w14:paraId="74390C56">
      <w:pPr>
        <w:spacing w:line="251" w:lineRule="auto"/>
        <w:rPr>
          <w:rFonts w:ascii="Arial"/>
          <w:color w:val="auto"/>
          <w:sz w:val="21"/>
          <w:highlight w:val="none"/>
        </w:rPr>
      </w:pPr>
    </w:p>
    <w:p w14:paraId="1FF1E8FF">
      <w:pPr>
        <w:spacing w:line="251" w:lineRule="auto"/>
        <w:rPr>
          <w:rFonts w:ascii="Arial"/>
          <w:color w:val="auto"/>
          <w:sz w:val="21"/>
          <w:highlight w:val="none"/>
        </w:rPr>
      </w:pPr>
    </w:p>
    <w:p w14:paraId="0D2B9821">
      <w:pPr>
        <w:spacing w:line="251" w:lineRule="auto"/>
        <w:rPr>
          <w:rFonts w:ascii="Arial"/>
          <w:color w:val="auto"/>
          <w:sz w:val="21"/>
          <w:highlight w:val="none"/>
        </w:rPr>
      </w:pPr>
    </w:p>
    <w:p w14:paraId="4CC88A62">
      <w:pPr>
        <w:spacing w:line="360" w:lineRule="auto"/>
        <w:contextualSpacing/>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投标人名称（公章或电子签章）：</w:t>
      </w:r>
    </w:p>
    <w:p w14:paraId="435991E0">
      <w:pPr>
        <w:spacing w:line="360" w:lineRule="auto"/>
        <w:contextualSpacing/>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日  期 ：     年   月    日</w:t>
      </w:r>
    </w:p>
    <w:p w14:paraId="42B8FD41">
      <w:pPr>
        <w:spacing w:line="360" w:lineRule="auto"/>
        <w:contextualSpacing/>
        <w:rPr>
          <w:rFonts w:hint="eastAsia" w:ascii="宋体" w:hAnsi="宋体" w:eastAsia="宋体" w:cs="Times New Roman"/>
          <w:color w:val="auto"/>
          <w:sz w:val="24"/>
          <w:highlight w:val="none"/>
        </w:rPr>
        <w:sectPr>
          <w:headerReference r:id="rId5" w:type="default"/>
          <w:footerReference r:id="rId6" w:type="default"/>
          <w:pgSz w:w="11906" w:h="16839"/>
          <w:pgMar w:top="400" w:right="1041" w:bottom="1091" w:left="1140" w:header="0" w:footer="929" w:gutter="0"/>
          <w:pgNumType w:fmt="decimal"/>
          <w:cols w:space="720" w:num="1"/>
        </w:sectPr>
      </w:pPr>
    </w:p>
    <w:p w14:paraId="426F9001">
      <w:pPr>
        <w:snapToGrid w:val="0"/>
        <w:spacing w:before="120" w:beforeLines="50" w:after="50"/>
        <w:ind w:left="142"/>
        <w:jc w:val="left"/>
        <w:rPr>
          <w:rFonts w:ascii="宋体" w:hAnsi="宋体" w:eastAsia="宋体" w:cs="宋体"/>
          <w:color w:val="auto"/>
          <w:sz w:val="24"/>
          <w:szCs w:val="24"/>
          <w:highlight w:val="none"/>
        </w:rPr>
      </w:pPr>
      <w:r>
        <w:rPr>
          <w:rFonts w:hint="eastAsia" w:ascii="宋体" w:hAnsi="宋体" w:eastAsia="宋体" w:cs="Times New Roman"/>
          <w:b/>
          <w:color w:val="auto"/>
          <w:sz w:val="24"/>
          <w:highlight w:val="none"/>
          <w:lang w:val="en-US" w:eastAsia="zh-CN"/>
        </w:rPr>
        <w:t>9.</w:t>
      </w:r>
      <w:r>
        <w:rPr>
          <w:rFonts w:hint="eastAsia" w:ascii="宋体" w:hAnsi="宋体" w:eastAsia="宋体" w:cs="Times New Roman"/>
          <w:b/>
          <w:color w:val="auto"/>
          <w:sz w:val="24"/>
          <w:highlight w:val="none"/>
        </w:rPr>
        <w:t>知识产权合规性声明</w:t>
      </w:r>
    </w:p>
    <w:p w14:paraId="40C13EE1">
      <w:pPr>
        <w:spacing w:line="325" w:lineRule="auto"/>
        <w:rPr>
          <w:rFonts w:ascii="Arial"/>
          <w:color w:val="auto"/>
          <w:sz w:val="21"/>
          <w:highlight w:val="none"/>
        </w:rPr>
      </w:pPr>
    </w:p>
    <w:p w14:paraId="54169F56">
      <w:pPr>
        <w:spacing w:line="326" w:lineRule="auto"/>
        <w:rPr>
          <w:rFonts w:ascii="Arial"/>
          <w:color w:val="auto"/>
          <w:sz w:val="21"/>
          <w:highlight w:val="none"/>
        </w:rPr>
      </w:pPr>
    </w:p>
    <w:p w14:paraId="5194423D">
      <w:pPr>
        <w:spacing w:before="65" w:line="459" w:lineRule="auto"/>
        <w:ind w:firstLine="422"/>
        <w:jc w:val="both"/>
        <w:rPr>
          <w:rFonts w:ascii="宋体" w:hAnsi="宋体" w:eastAsia="宋体" w:cs="宋体"/>
          <w:color w:val="auto"/>
          <w:sz w:val="20"/>
          <w:szCs w:val="20"/>
          <w:highlight w:val="none"/>
        </w:rPr>
      </w:pPr>
      <w:r>
        <w:rPr>
          <w:rFonts w:hint="eastAsia" w:ascii="宋体" w:hAnsi="宋体" w:eastAsia="宋体" w:cs="Times New Roman"/>
          <w:color w:val="auto"/>
          <w:sz w:val="24"/>
          <w:highlight w:val="none"/>
        </w:rPr>
        <w:t>企业自愿参与政府投资政府采购的</w:t>
      </w:r>
      <w:r>
        <w:rPr>
          <w:rFonts w:ascii="宋体" w:hAnsi="宋体" w:eastAsia="宋体" w:cs="宋体"/>
          <w:color w:val="auto"/>
          <w:spacing w:val="-83"/>
          <w:sz w:val="20"/>
          <w:szCs w:val="20"/>
          <w:highlight w:val="none"/>
        </w:rPr>
        <w:t xml:space="preserve"> </w:t>
      </w:r>
      <w:r>
        <w:rPr>
          <w:rFonts w:ascii="宋体" w:hAnsi="宋体" w:eastAsia="宋体" w:cs="宋体"/>
          <w:color w:val="auto"/>
          <w:spacing w:val="5"/>
          <w:sz w:val="20"/>
          <w:szCs w:val="20"/>
          <w:highlight w:val="none"/>
          <w:u w:val="single" w:color="auto"/>
        </w:rPr>
        <w:t xml:space="preserve">              </w:t>
      </w:r>
      <w:r>
        <w:rPr>
          <w:rFonts w:ascii="宋体" w:hAnsi="宋体" w:eastAsia="宋体" w:cs="宋体"/>
          <w:color w:val="auto"/>
          <w:spacing w:val="-87"/>
          <w:sz w:val="20"/>
          <w:szCs w:val="20"/>
          <w:highlight w:val="none"/>
        </w:rPr>
        <w:t xml:space="preserve"> </w:t>
      </w:r>
      <w:r>
        <w:rPr>
          <w:rFonts w:hint="eastAsia" w:ascii="宋体" w:hAnsi="宋体" w:eastAsia="宋体" w:cs="Times New Roman"/>
          <w:color w:val="auto"/>
          <w:sz w:val="24"/>
          <w:highlight w:val="none"/>
        </w:rPr>
        <w:t>项目，在此郑重承诺：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单位）将承担由此产生的全部责任。</w:t>
      </w:r>
    </w:p>
    <w:p w14:paraId="4D85CE8C">
      <w:pPr>
        <w:spacing w:line="249" w:lineRule="auto"/>
        <w:rPr>
          <w:rFonts w:ascii="Arial"/>
          <w:color w:val="auto"/>
          <w:sz w:val="21"/>
          <w:highlight w:val="none"/>
        </w:rPr>
      </w:pPr>
    </w:p>
    <w:p w14:paraId="4D1FB35B">
      <w:pPr>
        <w:spacing w:line="249" w:lineRule="auto"/>
        <w:rPr>
          <w:rFonts w:ascii="Arial"/>
          <w:color w:val="auto"/>
          <w:sz w:val="21"/>
          <w:highlight w:val="none"/>
        </w:rPr>
      </w:pPr>
    </w:p>
    <w:p w14:paraId="6E1B01CE">
      <w:pPr>
        <w:spacing w:line="249" w:lineRule="auto"/>
        <w:rPr>
          <w:rFonts w:ascii="Arial"/>
          <w:color w:val="auto"/>
          <w:sz w:val="21"/>
          <w:highlight w:val="none"/>
        </w:rPr>
      </w:pPr>
    </w:p>
    <w:p w14:paraId="676A8265">
      <w:pPr>
        <w:spacing w:line="249" w:lineRule="auto"/>
        <w:rPr>
          <w:rFonts w:ascii="Arial"/>
          <w:color w:val="auto"/>
          <w:sz w:val="21"/>
          <w:highlight w:val="none"/>
        </w:rPr>
      </w:pPr>
    </w:p>
    <w:p w14:paraId="1B16C398">
      <w:pPr>
        <w:spacing w:line="249" w:lineRule="auto"/>
        <w:rPr>
          <w:rFonts w:ascii="Arial"/>
          <w:color w:val="auto"/>
          <w:sz w:val="21"/>
          <w:highlight w:val="none"/>
        </w:rPr>
      </w:pPr>
    </w:p>
    <w:p w14:paraId="0B338F77">
      <w:pPr>
        <w:spacing w:line="249" w:lineRule="auto"/>
        <w:rPr>
          <w:rFonts w:ascii="Arial"/>
          <w:color w:val="auto"/>
          <w:sz w:val="21"/>
          <w:highlight w:val="none"/>
        </w:rPr>
      </w:pPr>
    </w:p>
    <w:p w14:paraId="7F6E73E6">
      <w:pPr>
        <w:spacing w:line="360" w:lineRule="auto"/>
        <w:contextualSpacing/>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投标人名称(公章或电子签章)：</w:t>
      </w:r>
    </w:p>
    <w:p w14:paraId="724C8327">
      <w:pPr>
        <w:spacing w:line="360" w:lineRule="auto"/>
        <w:contextualSpacing/>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日期：  年  月  日</w:t>
      </w:r>
    </w:p>
    <w:p w14:paraId="60B1E043">
      <w:pPr>
        <w:rPr>
          <w:rFonts w:hint="eastAsia" w:ascii="宋体" w:hAnsi="宋体"/>
          <w:b/>
          <w:color w:val="auto"/>
          <w:sz w:val="28"/>
          <w:szCs w:val="28"/>
          <w:highlight w:val="none"/>
        </w:rPr>
      </w:pPr>
      <w:r>
        <w:rPr>
          <w:rFonts w:ascii="宋体" w:hAnsi="宋体" w:eastAsia="宋体" w:cs="Times New Roman"/>
          <w:color w:val="auto"/>
          <w:sz w:val="24"/>
          <w:highlight w:val="none"/>
        </w:rPr>
        <w:br w:type="page"/>
      </w:r>
      <w:r>
        <w:rPr>
          <w:rFonts w:hint="eastAsia" w:ascii="宋体" w:hAnsi="宋体"/>
          <w:b/>
          <w:color w:val="auto"/>
          <w:sz w:val="28"/>
          <w:szCs w:val="28"/>
          <w:highlight w:val="none"/>
        </w:rPr>
        <w:t>三、商务文件格式</w:t>
      </w:r>
      <w:bookmarkEnd w:id="180"/>
    </w:p>
    <w:p w14:paraId="607EB024">
      <w:pPr>
        <w:snapToGrid w:val="0"/>
        <w:spacing w:before="120" w:beforeLines="50" w:after="50" w:line="360" w:lineRule="auto"/>
        <w:jc w:val="left"/>
        <w:rPr>
          <w:rFonts w:hint="eastAsia" w:ascii="宋体" w:hAnsi="宋体"/>
          <w:b/>
          <w:color w:val="auto"/>
          <w:sz w:val="24"/>
          <w:highlight w:val="none"/>
        </w:rPr>
      </w:pPr>
      <w:r>
        <w:rPr>
          <w:rFonts w:hint="eastAsia" w:ascii="宋体" w:hAnsi="宋体"/>
          <w:b/>
          <w:color w:val="auto"/>
          <w:sz w:val="24"/>
          <w:highlight w:val="none"/>
        </w:rPr>
        <w:t xml:space="preserve">1.商务文件封面格式： </w:t>
      </w:r>
    </w:p>
    <w:p w14:paraId="74433141">
      <w:pPr>
        <w:snapToGrid w:val="0"/>
        <w:spacing w:before="120" w:beforeLines="50" w:after="50"/>
        <w:jc w:val="center"/>
        <w:rPr>
          <w:rFonts w:hint="eastAsia" w:ascii="宋体" w:hAnsi="宋体"/>
          <w:bCs/>
          <w:color w:val="auto"/>
          <w:sz w:val="48"/>
          <w:szCs w:val="48"/>
          <w:highlight w:val="none"/>
        </w:rPr>
      </w:pPr>
      <w:r>
        <w:rPr>
          <w:rFonts w:hint="eastAsia" w:ascii="宋体" w:hAnsi="宋体"/>
          <w:bCs/>
          <w:color w:val="auto"/>
          <w:sz w:val="48"/>
          <w:szCs w:val="48"/>
          <w:highlight w:val="none"/>
        </w:rPr>
        <w:t>电子投标文件</w:t>
      </w:r>
    </w:p>
    <w:p w14:paraId="1B952723">
      <w:pPr>
        <w:snapToGrid w:val="0"/>
        <w:spacing w:before="120" w:beforeLines="50" w:after="50"/>
        <w:jc w:val="center"/>
        <w:rPr>
          <w:rFonts w:hint="eastAsia" w:ascii="宋体" w:hAnsi="宋体"/>
          <w:color w:val="auto"/>
          <w:sz w:val="24"/>
          <w:highlight w:val="none"/>
        </w:rPr>
      </w:pPr>
    </w:p>
    <w:p w14:paraId="4784327A">
      <w:pPr>
        <w:snapToGrid w:val="0"/>
        <w:spacing w:before="120" w:beforeLines="50" w:after="50"/>
        <w:jc w:val="center"/>
        <w:rPr>
          <w:rFonts w:hint="eastAsia" w:ascii="宋体" w:hAnsi="宋体" w:cs="方正小标宋简体"/>
          <w:bCs/>
          <w:color w:val="auto"/>
          <w:sz w:val="44"/>
          <w:szCs w:val="44"/>
          <w:highlight w:val="none"/>
        </w:rPr>
      </w:pPr>
      <w:r>
        <w:rPr>
          <w:rFonts w:hint="eastAsia" w:ascii="宋体" w:hAnsi="宋体" w:cs="方正小标宋简体"/>
          <w:bCs/>
          <w:color w:val="auto"/>
          <w:sz w:val="44"/>
          <w:szCs w:val="44"/>
          <w:highlight w:val="none"/>
        </w:rPr>
        <w:t>商  务  文  件</w:t>
      </w:r>
    </w:p>
    <w:p w14:paraId="3D9038A6">
      <w:pPr>
        <w:snapToGrid w:val="0"/>
        <w:spacing w:before="120" w:beforeLines="50" w:after="50"/>
        <w:rPr>
          <w:rFonts w:hint="eastAsia" w:ascii="宋体" w:hAnsi="宋体"/>
          <w:bCs/>
          <w:color w:val="auto"/>
          <w:sz w:val="24"/>
          <w:szCs w:val="20"/>
          <w:highlight w:val="none"/>
        </w:rPr>
      </w:pPr>
    </w:p>
    <w:p w14:paraId="694CDEFA">
      <w:pPr>
        <w:snapToGrid w:val="0"/>
        <w:spacing w:before="120"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项目名称：</w:t>
      </w:r>
    </w:p>
    <w:p w14:paraId="49323CA9">
      <w:pPr>
        <w:snapToGrid w:val="0"/>
        <w:spacing w:before="120" w:beforeLines="50" w:after="50"/>
        <w:ind w:firstLine="540" w:firstLineChars="225"/>
        <w:rPr>
          <w:rFonts w:hint="eastAsia" w:ascii="宋体" w:hAnsi="宋体"/>
          <w:bCs/>
          <w:color w:val="auto"/>
          <w:sz w:val="24"/>
          <w:szCs w:val="20"/>
          <w:highlight w:val="none"/>
        </w:rPr>
      </w:pPr>
    </w:p>
    <w:p w14:paraId="5ED5B13D">
      <w:pPr>
        <w:snapToGrid w:val="0"/>
        <w:spacing w:before="120"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项目编号：</w:t>
      </w:r>
    </w:p>
    <w:p w14:paraId="2669A134">
      <w:pPr>
        <w:snapToGrid w:val="0"/>
        <w:spacing w:before="120" w:beforeLines="50" w:after="50"/>
        <w:ind w:firstLine="540" w:firstLineChars="225"/>
        <w:rPr>
          <w:rFonts w:hint="eastAsia" w:ascii="宋体" w:hAnsi="宋体"/>
          <w:bCs/>
          <w:color w:val="auto"/>
          <w:sz w:val="24"/>
          <w:szCs w:val="20"/>
          <w:highlight w:val="none"/>
        </w:rPr>
      </w:pPr>
      <w:r>
        <w:rPr>
          <w:rFonts w:hint="eastAsia" w:ascii="宋体" w:hAnsi="宋体"/>
          <w:bCs/>
          <w:color w:val="auto"/>
          <w:sz w:val="24"/>
          <w:highlight w:val="none"/>
        </w:rPr>
        <w:t xml:space="preserve"> </w:t>
      </w:r>
    </w:p>
    <w:p w14:paraId="2825B8B5">
      <w:pPr>
        <w:pStyle w:val="7"/>
        <w:snapToGrid w:val="0"/>
        <w:spacing w:before="50" w:after="50"/>
        <w:ind w:firstLine="540" w:firstLineChars="225"/>
        <w:rPr>
          <w:rFonts w:hint="eastAsia" w:ascii="宋体" w:hAnsi="宋体"/>
          <w:bCs/>
          <w:color w:val="auto"/>
          <w:sz w:val="24"/>
          <w:szCs w:val="24"/>
          <w:highlight w:val="none"/>
        </w:rPr>
      </w:pPr>
      <w:r>
        <w:rPr>
          <w:rFonts w:hint="eastAsia" w:ascii="宋体" w:hAnsi="宋体"/>
          <w:bCs/>
          <w:color w:val="auto"/>
          <w:sz w:val="24"/>
          <w:szCs w:val="24"/>
          <w:highlight w:val="none"/>
        </w:rPr>
        <w:t>投标人名称：</w:t>
      </w:r>
    </w:p>
    <w:p w14:paraId="673949E2">
      <w:pPr>
        <w:pStyle w:val="7"/>
        <w:snapToGrid w:val="0"/>
        <w:spacing w:before="50" w:after="50"/>
        <w:ind w:firstLine="540" w:firstLineChars="225"/>
        <w:rPr>
          <w:rFonts w:hint="eastAsia" w:ascii="宋体" w:hAnsi="宋体"/>
          <w:bCs/>
          <w:color w:val="auto"/>
          <w:sz w:val="24"/>
          <w:szCs w:val="24"/>
          <w:highlight w:val="none"/>
        </w:rPr>
      </w:pPr>
    </w:p>
    <w:p w14:paraId="72F7A355">
      <w:pPr>
        <w:pStyle w:val="7"/>
        <w:snapToGrid w:val="0"/>
        <w:spacing w:before="50" w:after="50"/>
        <w:ind w:firstLine="540" w:firstLineChars="225"/>
        <w:rPr>
          <w:rFonts w:hint="eastAsia" w:ascii="宋体" w:hAnsi="宋体"/>
          <w:bCs/>
          <w:color w:val="auto"/>
          <w:sz w:val="24"/>
          <w:szCs w:val="24"/>
          <w:highlight w:val="none"/>
        </w:rPr>
      </w:pPr>
      <w:r>
        <w:rPr>
          <w:rFonts w:hint="eastAsia" w:ascii="宋体" w:hAnsi="宋体"/>
          <w:bCs/>
          <w:color w:val="auto"/>
          <w:sz w:val="24"/>
          <w:szCs w:val="24"/>
          <w:highlight w:val="none"/>
        </w:rPr>
        <w:t>投标人地址：</w:t>
      </w:r>
    </w:p>
    <w:p w14:paraId="44B9A424">
      <w:pPr>
        <w:pStyle w:val="7"/>
        <w:snapToGrid w:val="0"/>
        <w:spacing w:before="50" w:after="50"/>
        <w:ind w:firstLine="960" w:firstLineChars="400"/>
        <w:rPr>
          <w:rFonts w:hint="eastAsia" w:ascii="宋体" w:hAnsi="宋体"/>
          <w:bCs/>
          <w:color w:val="auto"/>
          <w:sz w:val="24"/>
          <w:szCs w:val="24"/>
          <w:highlight w:val="none"/>
        </w:rPr>
      </w:pPr>
    </w:p>
    <w:p w14:paraId="254E49E1">
      <w:pPr>
        <w:snapToGrid w:val="0"/>
        <w:spacing w:before="120" w:beforeLines="50" w:after="50"/>
        <w:ind w:firstLine="645"/>
        <w:rPr>
          <w:rFonts w:ascii="宋体" w:hAnsi="宋体"/>
          <w:color w:val="auto"/>
          <w:sz w:val="24"/>
          <w:highlight w:val="none"/>
        </w:rPr>
      </w:pPr>
      <w:r>
        <w:rPr>
          <w:rFonts w:hint="eastAsia" w:ascii="宋体" w:hAnsi="宋体"/>
          <w:color w:val="auto"/>
          <w:sz w:val="24"/>
          <w:highlight w:val="none"/>
        </w:rPr>
        <w:t xml:space="preserve">                        年  月  日</w:t>
      </w:r>
    </w:p>
    <w:p w14:paraId="63999131">
      <w:pPr>
        <w:snapToGrid w:val="0"/>
        <w:spacing w:before="120" w:beforeLines="50" w:after="50"/>
        <w:rPr>
          <w:rFonts w:ascii="宋体" w:hAnsi="宋体"/>
          <w:color w:val="auto"/>
          <w:sz w:val="24"/>
          <w:szCs w:val="20"/>
          <w:highlight w:val="none"/>
        </w:rPr>
      </w:pPr>
      <w:r>
        <w:rPr>
          <w:rFonts w:ascii="宋体" w:hAnsi="宋体"/>
          <w:color w:val="auto"/>
          <w:sz w:val="24"/>
          <w:szCs w:val="20"/>
          <w:highlight w:val="none"/>
        </w:rPr>
        <w:t xml:space="preserve"> </w:t>
      </w:r>
    </w:p>
    <w:p w14:paraId="50CA284B">
      <w:pPr>
        <w:snapToGrid w:val="0"/>
        <w:spacing w:line="360" w:lineRule="auto"/>
        <w:jc w:val="left"/>
        <w:rPr>
          <w:rFonts w:hint="eastAsia" w:ascii="宋体" w:hAnsi="宋体"/>
          <w:b/>
          <w:color w:val="auto"/>
          <w:sz w:val="24"/>
          <w:highlight w:val="none"/>
        </w:rPr>
      </w:pPr>
      <w:r>
        <w:rPr>
          <w:rFonts w:ascii="宋体" w:hAnsi="宋体"/>
          <w:color w:val="auto"/>
          <w:sz w:val="24"/>
          <w:szCs w:val="20"/>
          <w:highlight w:val="none"/>
        </w:rPr>
        <w:br w:type="page"/>
      </w:r>
      <w:r>
        <w:rPr>
          <w:rFonts w:hint="eastAsia" w:ascii="宋体" w:hAnsi="宋体"/>
          <w:b/>
          <w:color w:val="auto"/>
          <w:sz w:val="24"/>
          <w:highlight w:val="none"/>
        </w:rPr>
        <w:t>2.商务文件目录</w:t>
      </w:r>
    </w:p>
    <w:p w14:paraId="5970B034">
      <w:pPr>
        <w:snapToGrid w:val="0"/>
        <w:spacing w:before="50" w:after="120" w:afterLines="50" w:line="360" w:lineRule="auto"/>
        <w:ind w:firstLine="560" w:firstLineChars="200"/>
        <w:jc w:val="left"/>
        <w:rPr>
          <w:rFonts w:ascii="宋体" w:hAnsi="宋体"/>
          <w:b/>
          <w:bCs/>
          <w:color w:val="auto"/>
          <w:sz w:val="32"/>
          <w:szCs w:val="32"/>
          <w:highlight w:val="none"/>
        </w:rPr>
      </w:pPr>
      <w:r>
        <w:rPr>
          <w:rFonts w:hint="eastAsia" w:ascii="宋体" w:hAnsi="宋体"/>
          <w:color w:val="auto"/>
          <w:sz w:val="28"/>
          <w:szCs w:val="28"/>
          <w:highlight w:val="none"/>
        </w:rPr>
        <w:t>根据招标文件规定及投标人提供的材料自行编写目录。</w:t>
      </w:r>
    </w:p>
    <w:p w14:paraId="7B0746E2">
      <w:pPr>
        <w:snapToGrid w:val="0"/>
        <w:spacing w:before="50" w:after="120" w:afterLines="50"/>
        <w:jc w:val="left"/>
        <w:rPr>
          <w:rFonts w:hint="eastAsia" w:ascii="宋体" w:hAnsi="宋体"/>
          <w:color w:val="auto"/>
          <w:highlight w:val="none"/>
        </w:rPr>
      </w:pPr>
    </w:p>
    <w:p w14:paraId="3DCF2A49">
      <w:pPr>
        <w:snapToGrid w:val="0"/>
        <w:spacing w:before="120" w:beforeLines="50" w:after="50"/>
        <w:jc w:val="left"/>
        <w:rPr>
          <w:rFonts w:hint="eastAsia"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3.投标人参加本项目无围标串标行为的承诺</w:t>
      </w:r>
    </w:p>
    <w:p w14:paraId="0738AD41">
      <w:pPr>
        <w:snapToGrid w:val="0"/>
        <w:spacing w:before="120" w:beforeLines="50" w:after="50"/>
        <w:jc w:val="left"/>
        <w:rPr>
          <w:rFonts w:hint="eastAsia" w:ascii="宋体" w:hAnsi="宋体"/>
          <w:b/>
          <w:color w:val="auto"/>
          <w:sz w:val="24"/>
          <w:highlight w:val="none"/>
        </w:rPr>
      </w:pPr>
    </w:p>
    <w:p w14:paraId="160E76CF">
      <w:pPr>
        <w:spacing w:line="360" w:lineRule="auto"/>
        <w:ind w:left="420"/>
        <w:contextualSpacing/>
        <w:jc w:val="center"/>
        <w:rPr>
          <w:rFonts w:ascii="宋体" w:hAnsi="宋体"/>
          <w:b/>
          <w:color w:val="auto"/>
          <w:sz w:val="24"/>
          <w:highlight w:val="none"/>
        </w:rPr>
      </w:pPr>
      <w:r>
        <w:rPr>
          <w:rFonts w:hint="eastAsia" w:ascii="宋体" w:hAnsi="宋体" w:cs="方正小标宋简体"/>
          <w:bCs/>
          <w:color w:val="auto"/>
          <w:spacing w:val="-11"/>
          <w:sz w:val="44"/>
          <w:szCs w:val="44"/>
          <w:highlight w:val="none"/>
        </w:rPr>
        <w:t>投标人参加本项目无围标串标行为的承诺函</w:t>
      </w:r>
    </w:p>
    <w:p w14:paraId="67B6952C">
      <w:pPr>
        <w:spacing w:line="440" w:lineRule="exact"/>
        <w:contextualSpacing/>
        <w:jc w:val="left"/>
        <w:rPr>
          <w:rFonts w:hint="eastAsia" w:ascii="宋体" w:hAnsi="宋体"/>
          <w:b/>
          <w:color w:val="auto"/>
          <w:sz w:val="24"/>
          <w:highlight w:val="none"/>
        </w:rPr>
      </w:pPr>
      <w:r>
        <w:rPr>
          <w:rFonts w:hint="eastAsia" w:ascii="宋体" w:hAnsi="宋体"/>
          <w:b/>
          <w:color w:val="auto"/>
          <w:sz w:val="24"/>
          <w:highlight w:val="none"/>
        </w:rPr>
        <w:t>一、我方承诺无下列相互串通投标的情形：</w:t>
      </w:r>
    </w:p>
    <w:p w14:paraId="1B29102F">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1.不同投标人的投标文件由同一单位或者个人编制；</w:t>
      </w:r>
    </w:p>
    <w:p w14:paraId="56009238">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2.不同投标人委托同一单位或者个人办理投标事宜；</w:t>
      </w:r>
    </w:p>
    <w:p w14:paraId="4E979CCD">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3.不同的投标人的投标文件载明的项目管理员为同一个人；</w:t>
      </w:r>
    </w:p>
    <w:p w14:paraId="215A55BC">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4.不同投标人的投标文件异常一致或者投标报价呈规律性差异；</w:t>
      </w:r>
    </w:p>
    <w:p w14:paraId="622E761C">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5.不同投标人的投标文件相互混装；</w:t>
      </w:r>
    </w:p>
    <w:p w14:paraId="1BA52152">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6.不同投标人的投标保证金从同一单位或者个人账户转出。</w:t>
      </w:r>
    </w:p>
    <w:p w14:paraId="38AED5C4">
      <w:pPr>
        <w:spacing w:line="440" w:lineRule="exact"/>
        <w:contextualSpacing/>
        <w:jc w:val="left"/>
        <w:rPr>
          <w:rFonts w:hint="eastAsia" w:ascii="宋体" w:hAnsi="宋体"/>
          <w:color w:val="auto"/>
          <w:sz w:val="24"/>
          <w:highlight w:val="none"/>
        </w:rPr>
      </w:pPr>
      <w:r>
        <w:rPr>
          <w:rFonts w:hint="eastAsia" w:ascii="宋体" w:hAnsi="宋体"/>
          <w:b/>
          <w:color w:val="auto"/>
          <w:sz w:val="24"/>
          <w:highlight w:val="none"/>
        </w:rPr>
        <w:t>二、我方承诺无下列恶意串通的情形：</w:t>
      </w:r>
    </w:p>
    <w:p w14:paraId="79438042">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1.投标人直接或者间接从采购人或者采购代理机构处获得其他投标人的相关信息并修改其投标文件或者响应文件；</w:t>
      </w:r>
    </w:p>
    <w:p w14:paraId="0F417A42">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2.投标人按照采购人或者采购代理机构的授意撤换、修改投标文件或者响应文件；</w:t>
      </w:r>
    </w:p>
    <w:p w14:paraId="60D3CDB0">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3.投标人之间协商报价、技术方案等投标文件或者响应文件的实质性内容；</w:t>
      </w:r>
    </w:p>
    <w:p w14:paraId="0A3DB620">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4.属于同一集团、协会、商会等组织成员的投标人按照该组织要求协同参加政府采购活动；</w:t>
      </w:r>
    </w:p>
    <w:p w14:paraId="325FFE56">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5.投标人之间事先约定一致抬高或者压低投标报价，或者在招标项目中事先约定轮流以高价位或者低价位中标，或者事先约定由某一特定投标人中标，然后再参加投标；</w:t>
      </w:r>
    </w:p>
    <w:p w14:paraId="65A9B317">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6.投标人之间商定部分投标人放弃参加政府采购活动或者放弃中标；</w:t>
      </w:r>
    </w:p>
    <w:p w14:paraId="6D3517AC">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7.投标人与采购人或者采购代理机构之间、投标人相互之间，为谋求特定投标人中标或者排斥其他投标人的其他串通行为。</w:t>
      </w:r>
    </w:p>
    <w:p w14:paraId="1E4F8B2F">
      <w:pPr>
        <w:spacing w:line="440" w:lineRule="exact"/>
        <w:ind w:firstLine="472" w:firstLineChars="196"/>
        <w:contextualSpacing/>
        <w:jc w:val="left"/>
        <w:rPr>
          <w:rFonts w:hint="eastAsia" w:ascii="宋体" w:hAnsi="宋体"/>
          <w:b/>
          <w:color w:val="auto"/>
          <w:sz w:val="24"/>
          <w:highlight w:val="none"/>
        </w:rPr>
      </w:pPr>
      <w:r>
        <w:rPr>
          <w:rFonts w:hint="eastAsia" w:ascii="宋体" w:hAnsi="宋体"/>
          <w:b/>
          <w:color w:val="auto"/>
          <w:sz w:val="24"/>
          <w:highlight w:val="none"/>
        </w:rPr>
        <w:t>以上情形一经核查属实，我方愿意承担一切后果，并不再寻求任何旨在减轻或者免除法律责任的辩解。</w:t>
      </w:r>
    </w:p>
    <w:p w14:paraId="425A690F">
      <w:pPr>
        <w:pStyle w:val="25"/>
        <w:spacing w:line="440" w:lineRule="exact"/>
        <w:ind w:firstLine="6840" w:firstLineChars="2850"/>
        <w:contextualSpacing/>
        <w:rPr>
          <w:rFonts w:hint="eastAsia" w:hAnsi="宋体"/>
          <w:color w:val="auto"/>
          <w:sz w:val="24"/>
          <w:szCs w:val="24"/>
          <w:highlight w:val="none"/>
        </w:rPr>
      </w:pPr>
    </w:p>
    <w:p w14:paraId="535C28FE">
      <w:pPr>
        <w:pStyle w:val="25"/>
        <w:spacing w:line="440" w:lineRule="exact"/>
        <w:contextualSpacing/>
        <w:jc w:val="center"/>
        <w:rPr>
          <w:rFonts w:hint="eastAsia" w:hAnsi="宋体"/>
          <w:color w:val="auto"/>
          <w:sz w:val="24"/>
          <w:szCs w:val="24"/>
          <w:highlight w:val="none"/>
        </w:rPr>
      </w:pPr>
      <w:r>
        <w:rPr>
          <w:rFonts w:hint="eastAsia" w:hAnsi="宋体"/>
          <w:color w:val="auto"/>
          <w:sz w:val="24"/>
          <w:szCs w:val="24"/>
          <w:highlight w:val="none"/>
        </w:rPr>
        <w:t xml:space="preserve"> </w:t>
      </w:r>
      <w:r>
        <w:rPr>
          <w:rFonts w:hAnsi="宋体"/>
          <w:color w:val="auto"/>
          <w:sz w:val="24"/>
          <w:szCs w:val="24"/>
          <w:highlight w:val="none"/>
        </w:rPr>
        <w:t xml:space="preserve">                                   </w:t>
      </w:r>
      <w:r>
        <w:rPr>
          <w:rFonts w:hint="eastAsia" w:hAnsi="宋体"/>
          <w:color w:val="auto"/>
          <w:sz w:val="24"/>
          <w:szCs w:val="24"/>
          <w:highlight w:val="none"/>
        </w:rPr>
        <w:t>投标人名称（</w:t>
      </w:r>
      <w:r>
        <w:rPr>
          <w:rFonts w:hint="eastAsia" w:hAnsi="宋体"/>
          <w:color w:val="auto"/>
          <w:sz w:val="24"/>
          <w:szCs w:val="24"/>
          <w:highlight w:val="none"/>
          <w:lang w:eastAsia="zh-CN"/>
        </w:rPr>
        <w:t>公章或电子签章</w:t>
      </w:r>
      <w:r>
        <w:rPr>
          <w:rFonts w:hint="eastAsia" w:hAnsi="宋体"/>
          <w:color w:val="auto"/>
          <w:sz w:val="24"/>
          <w:szCs w:val="24"/>
          <w:highlight w:val="none"/>
        </w:rPr>
        <w:t>）</w:t>
      </w:r>
    </w:p>
    <w:p w14:paraId="2EBDD0E0">
      <w:pPr>
        <w:pStyle w:val="25"/>
        <w:spacing w:line="440" w:lineRule="exact"/>
        <w:contextualSpacing/>
        <w:rPr>
          <w:rFonts w:hint="eastAsia" w:hAnsi="宋体"/>
          <w:color w:val="auto"/>
          <w:sz w:val="24"/>
          <w:highlight w:val="none"/>
        </w:rPr>
      </w:pPr>
      <w:r>
        <w:rPr>
          <w:rFonts w:hint="eastAsia" w:hAnsi="宋体"/>
          <w:color w:val="auto"/>
          <w:sz w:val="24"/>
          <w:highlight w:val="none"/>
        </w:rPr>
        <w:t xml:space="preserve">                                                </w:t>
      </w:r>
      <w:r>
        <w:rPr>
          <w:rFonts w:hint="eastAsia" w:hAnsi="宋体"/>
          <w:color w:val="auto"/>
          <w:sz w:val="24"/>
          <w:highlight w:val="none"/>
          <w:u w:val="single"/>
        </w:rPr>
        <w:t xml:space="preserve">      </w:t>
      </w:r>
      <w:r>
        <w:rPr>
          <w:rFonts w:hint="eastAsia" w:hAnsi="宋体"/>
          <w:color w:val="auto"/>
          <w:sz w:val="24"/>
          <w:highlight w:val="none"/>
        </w:rPr>
        <w:t>年</w:t>
      </w:r>
      <w:r>
        <w:rPr>
          <w:rFonts w:hint="eastAsia" w:hAnsi="宋体"/>
          <w:color w:val="auto"/>
          <w:sz w:val="24"/>
          <w:highlight w:val="none"/>
          <w:u w:val="single"/>
        </w:rPr>
        <w:t xml:space="preserve">    </w:t>
      </w:r>
      <w:r>
        <w:rPr>
          <w:rFonts w:hint="eastAsia" w:hAnsi="宋体"/>
          <w:color w:val="auto"/>
          <w:sz w:val="24"/>
          <w:highlight w:val="none"/>
        </w:rPr>
        <w:t>月</w:t>
      </w:r>
      <w:r>
        <w:rPr>
          <w:rFonts w:hint="eastAsia" w:hAnsi="宋体"/>
          <w:color w:val="auto"/>
          <w:sz w:val="24"/>
          <w:highlight w:val="none"/>
          <w:u w:val="single"/>
        </w:rPr>
        <w:t xml:space="preserve">     </w:t>
      </w:r>
      <w:r>
        <w:rPr>
          <w:rFonts w:hint="eastAsia" w:hAnsi="宋体"/>
          <w:color w:val="auto"/>
          <w:sz w:val="24"/>
          <w:highlight w:val="none"/>
        </w:rPr>
        <w:t>日</w:t>
      </w:r>
    </w:p>
    <w:p w14:paraId="18A3F1FE">
      <w:pPr>
        <w:pStyle w:val="25"/>
        <w:spacing w:line="440" w:lineRule="exact"/>
        <w:contextualSpacing/>
        <w:rPr>
          <w:rFonts w:hint="eastAsia" w:hAnsi="宋体"/>
          <w:color w:val="auto"/>
          <w:sz w:val="24"/>
          <w:highlight w:val="none"/>
          <w:lang w:eastAsia="zh-CN"/>
        </w:rPr>
      </w:pPr>
    </w:p>
    <w:p w14:paraId="06D7EE6E">
      <w:pPr>
        <w:pStyle w:val="25"/>
        <w:spacing w:line="440" w:lineRule="exact"/>
        <w:contextualSpacing/>
        <w:rPr>
          <w:rFonts w:hint="eastAsia" w:hAnsi="宋体"/>
          <w:color w:val="auto"/>
          <w:sz w:val="24"/>
          <w:highlight w:val="none"/>
          <w:lang w:eastAsia="zh-CN"/>
        </w:rPr>
      </w:pPr>
    </w:p>
    <w:p w14:paraId="71AEE5BE">
      <w:pPr>
        <w:pStyle w:val="25"/>
        <w:spacing w:line="440" w:lineRule="exact"/>
        <w:contextualSpacing/>
        <w:rPr>
          <w:rFonts w:hint="eastAsia" w:hAnsi="宋体"/>
          <w:color w:val="auto"/>
          <w:sz w:val="24"/>
          <w:highlight w:val="none"/>
          <w:lang w:eastAsia="zh-CN"/>
        </w:rPr>
      </w:pPr>
    </w:p>
    <w:p w14:paraId="755DB339">
      <w:pPr>
        <w:pStyle w:val="25"/>
        <w:spacing w:line="440" w:lineRule="exact"/>
        <w:contextualSpacing/>
        <w:rPr>
          <w:rFonts w:hint="eastAsia" w:hAnsi="宋体"/>
          <w:color w:val="auto"/>
          <w:sz w:val="24"/>
          <w:highlight w:val="none"/>
          <w:lang w:eastAsia="zh-CN"/>
        </w:rPr>
      </w:pPr>
    </w:p>
    <w:p w14:paraId="5B87D6B5">
      <w:pPr>
        <w:snapToGrid w:val="0"/>
        <w:spacing w:before="120" w:beforeLines="50" w:after="50"/>
        <w:jc w:val="left"/>
        <w:rPr>
          <w:rFonts w:hint="eastAsia" w:ascii="宋体" w:hAnsi="宋体"/>
          <w:b/>
          <w:color w:val="auto"/>
          <w:sz w:val="24"/>
          <w:szCs w:val="20"/>
          <w:highlight w:val="none"/>
        </w:rPr>
      </w:pPr>
      <w:r>
        <w:rPr>
          <w:rFonts w:hint="eastAsia" w:ascii="宋体" w:hAnsi="宋体"/>
          <w:b/>
          <w:color w:val="auto"/>
          <w:sz w:val="24"/>
          <w:highlight w:val="none"/>
        </w:rPr>
        <w:t>4.法定代表人身份证明</w:t>
      </w:r>
    </w:p>
    <w:p w14:paraId="28897E56">
      <w:pPr>
        <w:spacing w:before="240" w:beforeLines="100" w:after="120" w:afterLines="50"/>
        <w:ind w:left="540"/>
        <w:jc w:val="center"/>
        <w:rPr>
          <w:rFonts w:hint="eastAsia" w:ascii="宋体" w:hAnsi="宋体"/>
          <w:b/>
          <w:color w:val="auto"/>
          <w:sz w:val="32"/>
          <w:szCs w:val="32"/>
          <w:highlight w:val="none"/>
        </w:rPr>
      </w:pPr>
    </w:p>
    <w:p w14:paraId="1EC79DBA">
      <w:pPr>
        <w:spacing w:before="240" w:beforeLines="100" w:after="120" w:afterLines="50"/>
        <w:ind w:left="540"/>
        <w:jc w:val="center"/>
        <w:rPr>
          <w:rFonts w:hint="eastAsia" w:ascii="宋体" w:hAnsi="宋体" w:cs="方正小标宋简体"/>
          <w:bCs/>
          <w:color w:val="auto"/>
          <w:sz w:val="44"/>
          <w:szCs w:val="44"/>
          <w:highlight w:val="none"/>
        </w:rPr>
      </w:pPr>
      <w:r>
        <w:rPr>
          <w:rFonts w:hint="eastAsia" w:ascii="宋体" w:hAnsi="宋体" w:cs="方正小标宋简体"/>
          <w:bCs/>
          <w:color w:val="auto"/>
          <w:sz w:val="44"/>
          <w:szCs w:val="44"/>
          <w:highlight w:val="none"/>
        </w:rPr>
        <w:t>法定代表人身份证明</w:t>
      </w:r>
    </w:p>
    <w:p w14:paraId="21B14E31">
      <w:pPr>
        <w:spacing w:line="500" w:lineRule="exact"/>
        <w:ind w:left="540"/>
        <w:rPr>
          <w:rFonts w:hint="eastAsia" w:ascii="宋体" w:hAnsi="宋体"/>
          <w:color w:val="auto"/>
          <w:sz w:val="24"/>
          <w:highlight w:val="none"/>
        </w:rPr>
      </w:pPr>
      <w:r>
        <w:rPr>
          <w:rFonts w:hint="eastAsia" w:ascii="宋体" w:hAnsi="宋体"/>
          <w:color w:val="auto"/>
          <w:sz w:val="24"/>
          <w:highlight w:val="none"/>
        </w:rPr>
        <w:t>投 标 人：</w:t>
      </w:r>
      <w:r>
        <w:rPr>
          <w:rFonts w:hint="eastAsia" w:ascii="宋体" w:hAnsi="宋体"/>
          <w:color w:val="auto"/>
          <w:sz w:val="24"/>
          <w:highlight w:val="none"/>
          <w:u w:val="single"/>
        </w:rPr>
        <w:t xml:space="preserve">                                                        </w:t>
      </w:r>
    </w:p>
    <w:p w14:paraId="6B7C10AE">
      <w:pPr>
        <w:spacing w:line="500" w:lineRule="exact"/>
        <w:ind w:left="540"/>
        <w:rPr>
          <w:rFonts w:hint="eastAsia" w:ascii="宋体" w:hAnsi="宋体"/>
          <w:color w:val="auto"/>
          <w:sz w:val="24"/>
          <w:highlight w:val="none"/>
        </w:rPr>
      </w:pPr>
      <w:r>
        <w:rPr>
          <w:rFonts w:hint="eastAsia" w:ascii="宋体" w:hAnsi="宋体"/>
          <w:color w:val="auto"/>
          <w:sz w:val="24"/>
          <w:highlight w:val="none"/>
        </w:rPr>
        <w:t>地    址：</w:t>
      </w:r>
      <w:r>
        <w:rPr>
          <w:rFonts w:hint="eastAsia" w:ascii="宋体" w:hAnsi="宋体"/>
          <w:color w:val="auto"/>
          <w:sz w:val="24"/>
          <w:highlight w:val="none"/>
          <w:u w:val="single"/>
        </w:rPr>
        <w:t xml:space="preserve">                                                        </w:t>
      </w:r>
    </w:p>
    <w:p w14:paraId="373A2C0D">
      <w:pPr>
        <w:spacing w:line="500" w:lineRule="exact"/>
        <w:ind w:left="540"/>
        <w:rPr>
          <w:rFonts w:hint="eastAsia" w:ascii="宋体" w:hAnsi="宋体"/>
          <w:color w:val="auto"/>
          <w:sz w:val="24"/>
          <w:highlight w:val="none"/>
        </w:rPr>
      </w:pPr>
      <w:r>
        <w:rPr>
          <w:rFonts w:hint="eastAsia" w:ascii="宋体" w:hAnsi="宋体"/>
          <w:color w:val="auto"/>
          <w:sz w:val="24"/>
          <w:highlight w:val="none"/>
        </w:rPr>
        <w:t>姓    名：</w:t>
      </w:r>
      <w:r>
        <w:rPr>
          <w:rFonts w:hint="eastAsia" w:ascii="宋体" w:hAnsi="宋体"/>
          <w:color w:val="auto"/>
          <w:sz w:val="24"/>
          <w:highlight w:val="none"/>
          <w:u w:val="single"/>
        </w:rPr>
        <w:t xml:space="preserve">                          </w:t>
      </w:r>
      <w:r>
        <w:rPr>
          <w:rFonts w:hint="eastAsia" w:ascii="宋体" w:hAnsi="宋体"/>
          <w:color w:val="auto"/>
          <w:sz w:val="24"/>
          <w:highlight w:val="none"/>
        </w:rPr>
        <w:t>性      别：</w:t>
      </w:r>
      <w:r>
        <w:rPr>
          <w:rFonts w:hint="eastAsia" w:ascii="宋体" w:hAnsi="宋体"/>
          <w:color w:val="auto"/>
          <w:sz w:val="24"/>
          <w:highlight w:val="none"/>
          <w:u w:val="single"/>
        </w:rPr>
        <w:t xml:space="preserve">                </w:t>
      </w:r>
    </w:p>
    <w:p w14:paraId="28D178E7">
      <w:pPr>
        <w:spacing w:line="500" w:lineRule="exact"/>
        <w:ind w:left="540"/>
        <w:rPr>
          <w:rFonts w:hint="eastAsia" w:ascii="宋体" w:hAnsi="宋体"/>
          <w:color w:val="auto"/>
          <w:sz w:val="24"/>
          <w:highlight w:val="none"/>
          <w:u w:val="single"/>
        </w:rPr>
      </w:pPr>
      <w:r>
        <w:rPr>
          <w:rFonts w:hint="eastAsia" w:ascii="宋体" w:hAnsi="宋体"/>
          <w:color w:val="auto"/>
          <w:sz w:val="24"/>
          <w:highlight w:val="none"/>
        </w:rPr>
        <w:t>年    龄：</w:t>
      </w:r>
      <w:r>
        <w:rPr>
          <w:rFonts w:hint="eastAsia" w:ascii="宋体" w:hAnsi="宋体"/>
          <w:color w:val="auto"/>
          <w:sz w:val="24"/>
          <w:highlight w:val="none"/>
          <w:u w:val="single"/>
        </w:rPr>
        <w:t xml:space="preserve">                          </w:t>
      </w:r>
      <w:r>
        <w:rPr>
          <w:rFonts w:hint="eastAsia" w:ascii="宋体" w:hAnsi="宋体"/>
          <w:color w:val="auto"/>
          <w:sz w:val="24"/>
          <w:highlight w:val="none"/>
        </w:rPr>
        <w:t>职      务：</w:t>
      </w:r>
      <w:r>
        <w:rPr>
          <w:rFonts w:hint="eastAsia" w:ascii="宋体" w:hAnsi="宋体"/>
          <w:color w:val="auto"/>
          <w:sz w:val="24"/>
          <w:highlight w:val="none"/>
          <w:u w:val="single"/>
        </w:rPr>
        <w:t xml:space="preserve">                </w:t>
      </w:r>
    </w:p>
    <w:p w14:paraId="195F9686">
      <w:pPr>
        <w:spacing w:line="500" w:lineRule="exact"/>
        <w:ind w:left="540"/>
        <w:rPr>
          <w:rFonts w:hint="eastAsia" w:ascii="宋体" w:hAnsi="宋体"/>
          <w:color w:val="auto"/>
          <w:sz w:val="24"/>
          <w:highlight w:val="none"/>
        </w:rPr>
      </w:pPr>
      <w:r>
        <w:rPr>
          <w:rFonts w:hint="eastAsia" w:ascii="宋体" w:hAnsi="宋体"/>
          <w:color w:val="auto"/>
          <w:sz w:val="24"/>
          <w:highlight w:val="none"/>
        </w:rPr>
        <w:t>身份证号码：</w:t>
      </w:r>
      <w:r>
        <w:rPr>
          <w:rFonts w:hint="eastAsia" w:ascii="宋体" w:hAnsi="宋体"/>
          <w:color w:val="auto"/>
          <w:sz w:val="24"/>
          <w:highlight w:val="none"/>
          <w:u w:val="single"/>
        </w:rPr>
        <w:t xml:space="preserve">                                 </w:t>
      </w:r>
    </w:p>
    <w:p w14:paraId="24290E85">
      <w:pPr>
        <w:spacing w:line="500" w:lineRule="exact"/>
        <w:ind w:left="540"/>
        <w:rPr>
          <w:rFonts w:hint="eastAsia" w:ascii="宋体" w:hAnsi="宋体"/>
          <w:color w:val="auto"/>
          <w:sz w:val="24"/>
          <w:highlight w:val="none"/>
        </w:rPr>
      </w:pPr>
      <w:r>
        <w:rPr>
          <w:rFonts w:hint="eastAsia" w:ascii="宋体" w:hAnsi="宋体"/>
          <w:color w:val="auto"/>
          <w:sz w:val="24"/>
          <w:highlight w:val="none"/>
        </w:rPr>
        <w:t>系</w:t>
      </w:r>
      <w:r>
        <w:rPr>
          <w:rFonts w:hint="eastAsia" w:ascii="宋体" w:hAnsi="宋体"/>
          <w:color w:val="auto"/>
          <w:sz w:val="24"/>
          <w:highlight w:val="none"/>
          <w:u w:val="single"/>
        </w:rPr>
        <w:t xml:space="preserve">            （投标人名称）              </w:t>
      </w:r>
      <w:r>
        <w:rPr>
          <w:rFonts w:hint="eastAsia" w:ascii="宋体" w:hAnsi="宋体"/>
          <w:color w:val="auto"/>
          <w:sz w:val="24"/>
          <w:highlight w:val="none"/>
        </w:rPr>
        <w:t>的法定代表人。</w:t>
      </w:r>
    </w:p>
    <w:p w14:paraId="6B0FA2EF">
      <w:pPr>
        <w:spacing w:line="500" w:lineRule="exact"/>
        <w:ind w:left="540"/>
        <w:rPr>
          <w:rFonts w:hint="eastAsia" w:ascii="宋体" w:hAnsi="宋体"/>
          <w:color w:val="auto"/>
          <w:sz w:val="24"/>
          <w:highlight w:val="none"/>
        </w:rPr>
      </w:pPr>
      <w:r>
        <w:rPr>
          <w:rFonts w:hint="eastAsia" w:ascii="宋体" w:hAnsi="宋体"/>
          <w:color w:val="auto"/>
          <w:sz w:val="24"/>
          <w:highlight w:val="none"/>
        </w:rPr>
        <w:t>特此证明。</w:t>
      </w:r>
    </w:p>
    <w:p w14:paraId="6FF71BA1">
      <w:pPr>
        <w:spacing w:line="500" w:lineRule="exact"/>
        <w:ind w:left="540"/>
        <w:rPr>
          <w:rFonts w:hint="eastAsia" w:ascii="宋体" w:hAnsi="宋体"/>
          <w:color w:val="auto"/>
          <w:sz w:val="24"/>
          <w:highlight w:val="none"/>
        </w:rPr>
      </w:pPr>
    </w:p>
    <w:p w14:paraId="2B85CABE">
      <w:pPr>
        <w:spacing w:line="500" w:lineRule="exact"/>
        <w:ind w:left="540"/>
        <w:rPr>
          <w:rFonts w:hint="eastAsia" w:ascii="宋体" w:hAnsi="宋体"/>
          <w:color w:val="auto"/>
          <w:sz w:val="24"/>
          <w:highlight w:val="none"/>
        </w:rPr>
      </w:pPr>
    </w:p>
    <w:p w14:paraId="2428566F">
      <w:pPr>
        <w:spacing w:line="500" w:lineRule="exact"/>
        <w:ind w:left="540"/>
        <w:rPr>
          <w:rFonts w:hint="eastAsia" w:ascii="宋体" w:hAnsi="宋体"/>
          <w:color w:val="auto"/>
          <w:sz w:val="24"/>
          <w:highlight w:val="none"/>
        </w:rPr>
      </w:pPr>
      <w:r>
        <w:rPr>
          <w:rFonts w:hint="eastAsia" w:ascii="宋体" w:hAnsi="宋体"/>
          <w:color w:val="auto"/>
          <w:sz w:val="24"/>
          <w:highlight w:val="none"/>
        </w:rPr>
        <w:t>附件：法定代表人有效身份证正反面复印件</w:t>
      </w:r>
    </w:p>
    <w:p w14:paraId="73EB0CD9">
      <w:pPr>
        <w:spacing w:line="500" w:lineRule="exact"/>
        <w:ind w:left="540"/>
        <w:rPr>
          <w:rFonts w:hint="eastAsia" w:ascii="宋体" w:hAnsi="宋体"/>
          <w:color w:val="auto"/>
          <w:sz w:val="24"/>
          <w:highlight w:val="none"/>
        </w:rPr>
      </w:pPr>
    </w:p>
    <w:p w14:paraId="0C317D2E">
      <w:pPr>
        <w:spacing w:line="500" w:lineRule="exact"/>
        <w:ind w:left="540"/>
        <w:jc w:val="right"/>
        <w:rPr>
          <w:rFonts w:hint="eastAsia" w:ascii="宋体" w:hAnsi="宋体"/>
          <w:color w:val="auto"/>
          <w:sz w:val="24"/>
          <w:highlight w:val="none"/>
        </w:rPr>
      </w:pPr>
      <w:r>
        <w:rPr>
          <w:rFonts w:hint="eastAsia" w:ascii="宋体" w:hAnsi="宋体"/>
          <w:color w:val="auto"/>
          <w:sz w:val="24"/>
          <w:highlight w:val="none"/>
        </w:rPr>
        <w:t>投标人名称（</w:t>
      </w:r>
      <w:r>
        <w:rPr>
          <w:rFonts w:hint="eastAsia" w:ascii="宋体" w:hAnsi="宋体"/>
          <w:color w:val="auto"/>
          <w:sz w:val="24"/>
          <w:highlight w:val="none"/>
          <w:lang w:eastAsia="zh-CN"/>
        </w:rPr>
        <w:t>公章或电子签章</w:t>
      </w:r>
      <w:r>
        <w:rPr>
          <w:rFonts w:hint="eastAsia" w:ascii="宋体" w:hAnsi="宋体"/>
          <w:color w:val="auto"/>
          <w:sz w:val="24"/>
          <w:highlight w:val="none"/>
        </w:rPr>
        <w:t>）</w:t>
      </w:r>
    </w:p>
    <w:p w14:paraId="6C2D0380">
      <w:pPr>
        <w:spacing w:line="500" w:lineRule="exact"/>
        <w:ind w:left="540"/>
        <w:jc w:val="right"/>
        <w:rPr>
          <w:rFonts w:hint="eastAsia" w:ascii="宋体" w:hAnsi="宋体"/>
          <w:color w:val="auto"/>
          <w:sz w:val="24"/>
          <w:highlight w:val="none"/>
        </w:rPr>
      </w:pPr>
    </w:p>
    <w:p w14:paraId="769E3F8D">
      <w:pPr>
        <w:snapToGrid w:val="0"/>
        <w:spacing w:before="120" w:beforeLines="50" w:after="50"/>
        <w:ind w:left="540"/>
        <w:jc w:val="right"/>
        <w:rPr>
          <w:rFonts w:hint="eastAsia" w:ascii="宋体" w:hAnsi="宋体"/>
          <w:color w:val="auto"/>
          <w:sz w:val="24"/>
          <w:highlight w:val="none"/>
        </w:rPr>
      </w:pP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45899E27">
      <w:pPr>
        <w:snapToGrid w:val="0"/>
        <w:spacing w:before="120" w:beforeLines="50" w:after="50"/>
        <w:jc w:val="center"/>
        <w:rPr>
          <w:rFonts w:hint="eastAsia" w:ascii="宋体" w:hAnsi="宋体"/>
          <w:b/>
          <w:color w:val="auto"/>
          <w:sz w:val="24"/>
          <w:highlight w:val="none"/>
        </w:rPr>
      </w:pPr>
    </w:p>
    <w:p w14:paraId="26799F63">
      <w:pPr>
        <w:snapToGrid w:val="0"/>
        <w:spacing w:before="120" w:beforeLines="50" w:after="50"/>
        <w:jc w:val="left"/>
        <w:rPr>
          <w:rFonts w:hint="eastAsia" w:ascii="宋体" w:hAnsi="宋体"/>
          <w:b/>
          <w:color w:val="auto"/>
          <w:sz w:val="24"/>
          <w:szCs w:val="20"/>
          <w:highlight w:val="none"/>
        </w:rPr>
      </w:pPr>
      <w:r>
        <w:rPr>
          <w:rFonts w:hint="eastAsia" w:ascii="宋体" w:hAnsi="宋体"/>
          <w:color w:val="auto"/>
          <w:sz w:val="24"/>
          <w:highlight w:val="none"/>
        </w:rPr>
        <w:t>注：自然人投标的无需提供</w:t>
      </w:r>
    </w:p>
    <w:p w14:paraId="3265F6C8">
      <w:pPr>
        <w:snapToGrid w:val="0"/>
        <w:spacing w:before="120" w:beforeLines="50" w:after="50"/>
        <w:jc w:val="left"/>
        <w:rPr>
          <w:rFonts w:hint="eastAsia" w:ascii="宋体" w:hAnsi="宋体"/>
          <w:b/>
          <w:color w:val="auto"/>
          <w:sz w:val="24"/>
          <w:szCs w:val="20"/>
          <w:highlight w:val="none"/>
        </w:rPr>
      </w:pPr>
      <w:r>
        <w:rPr>
          <w:rFonts w:ascii="宋体" w:hAnsi="宋体"/>
          <w:b/>
          <w:color w:val="auto"/>
          <w:sz w:val="24"/>
          <w:highlight w:val="none"/>
        </w:rPr>
        <w:br w:type="page"/>
      </w:r>
      <w:r>
        <w:rPr>
          <w:rFonts w:hint="eastAsia" w:ascii="宋体" w:hAnsi="宋体"/>
          <w:b/>
          <w:color w:val="auto"/>
          <w:sz w:val="24"/>
          <w:highlight w:val="none"/>
        </w:rPr>
        <w:t>5.授权委托书格式</w:t>
      </w:r>
    </w:p>
    <w:p w14:paraId="04995317">
      <w:pPr>
        <w:snapToGrid w:val="0"/>
        <w:spacing w:before="120" w:beforeLines="50" w:after="50"/>
        <w:jc w:val="center"/>
        <w:rPr>
          <w:rFonts w:hint="eastAsia" w:ascii="宋体" w:hAnsi="宋体"/>
          <w:b/>
          <w:color w:val="auto"/>
          <w:sz w:val="44"/>
          <w:szCs w:val="44"/>
          <w:highlight w:val="none"/>
        </w:rPr>
      </w:pPr>
    </w:p>
    <w:p w14:paraId="631E9B4F">
      <w:pPr>
        <w:spacing w:line="360" w:lineRule="auto"/>
        <w:contextualSpacing/>
        <w:jc w:val="center"/>
        <w:rPr>
          <w:rFonts w:hint="eastAsia" w:ascii="宋体" w:hAnsi="宋体" w:cs="方正小标宋简体"/>
          <w:bCs/>
          <w:color w:val="auto"/>
          <w:sz w:val="44"/>
          <w:szCs w:val="44"/>
          <w:highlight w:val="none"/>
        </w:rPr>
      </w:pPr>
      <w:r>
        <w:rPr>
          <w:rFonts w:hint="eastAsia" w:ascii="宋体" w:hAnsi="宋体" w:cs="方正小标宋简体"/>
          <w:bCs/>
          <w:color w:val="auto"/>
          <w:sz w:val="44"/>
          <w:szCs w:val="44"/>
          <w:highlight w:val="none"/>
        </w:rPr>
        <w:t>授权委托书</w:t>
      </w:r>
    </w:p>
    <w:p w14:paraId="7AEE3FAD">
      <w:pPr>
        <w:spacing w:line="360" w:lineRule="auto"/>
        <w:contextualSpacing/>
        <w:jc w:val="center"/>
        <w:rPr>
          <w:rFonts w:hint="eastAsia" w:ascii="宋体" w:hAnsi="宋体" w:cs="方正小标宋简体"/>
          <w:bCs/>
          <w:color w:val="auto"/>
          <w:sz w:val="24"/>
          <w:highlight w:val="none"/>
        </w:rPr>
      </w:pPr>
      <w:r>
        <w:rPr>
          <w:rFonts w:hint="eastAsia" w:ascii="宋体" w:hAnsi="宋体" w:cs="方正小标宋简体"/>
          <w:bCs/>
          <w:color w:val="auto"/>
          <w:sz w:val="32"/>
          <w:szCs w:val="32"/>
          <w:highlight w:val="none"/>
        </w:rPr>
        <w:t>（如有委托时）</w:t>
      </w:r>
    </w:p>
    <w:p w14:paraId="3D362B16">
      <w:pPr>
        <w:spacing w:line="440" w:lineRule="exact"/>
        <w:contextualSpacing/>
        <w:jc w:val="center"/>
        <w:rPr>
          <w:rFonts w:hint="eastAsia" w:ascii="宋体" w:hAnsi="宋体"/>
          <w:b/>
          <w:color w:val="auto"/>
          <w:sz w:val="24"/>
          <w:highlight w:val="none"/>
        </w:rPr>
      </w:pPr>
    </w:p>
    <w:p w14:paraId="40C00885">
      <w:pPr>
        <w:spacing w:line="440" w:lineRule="exact"/>
        <w:contextualSpacing/>
        <w:rPr>
          <w:rFonts w:hint="eastAsia" w:ascii="宋体" w:hAnsi="宋体"/>
          <w:b/>
          <w:bCs/>
          <w:color w:val="auto"/>
          <w:sz w:val="24"/>
          <w:highlight w:val="none"/>
        </w:rPr>
      </w:pPr>
      <w:r>
        <w:rPr>
          <w:rFonts w:hint="eastAsia" w:ascii="宋体" w:hAnsi="宋体"/>
          <w:bCs/>
          <w:color w:val="auto"/>
          <w:sz w:val="24"/>
          <w:highlight w:val="none"/>
        </w:rPr>
        <w:t>致：</w:t>
      </w:r>
      <w:r>
        <w:rPr>
          <w:rFonts w:hint="eastAsia" w:ascii="宋体" w:hAnsi="宋体"/>
          <w:color w:val="auto"/>
          <w:sz w:val="24"/>
          <w:highlight w:val="none"/>
          <w:u w:val="single"/>
        </w:rPr>
        <w:t>采购人名称</w:t>
      </w:r>
      <w:r>
        <w:rPr>
          <w:rFonts w:hint="eastAsia" w:ascii="宋体" w:hAnsi="宋体"/>
          <w:color w:val="auto"/>
          <w:sz w:val="24"/>
          <w:highlight w:val="none"/>
        </w:rPr>
        <w:t>：</w:t>
      </w:r>
    </w:p>
    <w:p w14:paraId="6CB11370">
      <w:pPr>
        <w:spacing w:line="440" w:lineRule="exact"/>
        <w:ind w:firstLine="566" w:firstLineChars="236"/>
        <w:contextualSpacing/>
        <w:rPr>
          <w:rFonts w:hint="eastAsia" w:ascii="宋体" w:hAnsi="宋体"/>
          <w:color w:val="auto"/>
          <w:sz w:val="24"/>
          <w:highlight w:val="none"/>
        </w:rPr>
      </w:pPr>
      <w:r>
        <w:rPr>
          <w:rFonts w:hint="eastAsia" w:ascii="宋体" w:hAnsi="宋体"/>
          <w:color w:val="auto"/>
          <w:sz w:val="24"/>
          <w:highlight w:val="none"/>
        </w:rPr>
        <w:t>我</w:t>
      </w:r>
      <w:r>
        <w:rPr>
          <w:rFonts w:hint="eastAsia" w:ascii="宋体" w:hAnsi="宋体"/>
          <w:color w:val="auto"/>
          <w:sz w:val="24"/>
          <w:highlight w:val="none"/>
          <w:u w:val="single"/>
        </w:rPr>
        <w:t xml:space="preserve">       </w:t>
      </w:r>
      <w:r>
        <w:rPr>
          <w:rFonts w:hint="eastAsia" w:ascii="宋体" w:hAnsi="宋体"/>
          <w:color w:val="auto"/>
          <w:sz w:val="24"/>
          <w:highlight w:val="none"/>
        </w:rPr>
        <w:t>（姓名）系</w:t>
      </w:r>
      <w:r>
        <w:rPr>
          <w:rFonts w:hint="eastAsia" w:ascii="宋体" w:hAnsi="宋体"/>
          <w:color w:val="auto"/>
          <w:sz w:val="24"/>
          <w:highlight w:val="none"/>
          <w:u w:val="single"/>
        </w:rPr>
        <w:t xml:space="preserve">      </w:t>
      </w:r>
      <w:r>
        <w:rPr>
          <w:rFonts w:hint="eastAsia" w:ascii="宋体" w:hAnsi="宋体"/>
          <w:color w:val="auto"/>
          <w:sz w:val="24"/>
          <w:highlight w:val="none"/>
        </w:rPr>
        <w:t>（投标人名称）的法定代表人，现授权委托</w:t>
      </w:r>
      <w:r>
        <w:rPr>
          <w:rFonts w:hint="eastAsia" w:ascii="宋体" w:hAnsi="宋体"/>
          <w:color w:val="auto"/>
          <w:sz w:val="24"/>
          <w:highlight w:val="none"/>
          <w:u w:val="single"/>
        </w:rPr>
        <w:t xml:space="preserve">              （姓名）</w:t>
      </w:r>
      <w:r>
        <w:rPr>
          <w:rFonts w:hint="eastAsia" w:ascii="宋体" w:hAnsi="宋体"/>
          <w:color w:val="auto"/>
          <w:sz w:val="24"/>
          <w:highlight w:val="none"/>
        </w:rPr>
        <w:t>以我方的名义参加</w:t>
      </w:r>
      <w:r>
        <w:rPr>
          <w:rFonts w:hint="eastAsia" w:ascii="宋体" w:hAnsi="宋体"/>
          <w:color w:val="auto"/>
          <w:sz w:val="24"/>
          <w:highlight w:val="none"/>
          <w:u w:val="single"/>
        </w:rPr>
        <w:t xml:space="preserve">              </w:t>
      </w:r>
      <w:r>
        <w:rPr>
          <w:rFonts w:hint="eastAsia" w:ascii="宋体" w:hAnsi="宋体"/>
          <w:color w:val="auto"/>
          <w:sz w:val="24"/>
          <w:highlight w:val="none"/>
        </w:rPr>
        <w:t>项目的投标活动，并代表我方全权办理针对上述项目的所有采购程序和环节的具体事务和签署相关文件。</w:t>
      </w:r>
    </w:p>
    <w:p w14:paraId="178A6714">
      <w:pPr>
        <w:spacing w:line="440" w:lineRule="exact"/>
        <w:contextualSpacing/>
        <w:rPr>
          <w:rFonts w:hint="eastAsia" w:ascii="宋体" w:hAnsi="宋体"/>
          <w:color w:val="auto"/>
          <w:sz w:val="24"/>
          <w:highlight w:val="none"/>
        </w:rPr>
      </w:pPr>
      <w:r>
        <w:rPr>
          <w:rFonts w:hint="eastAsia" w:ascii="宋体" w:hAnsi="宋体"/>
          <w:color w:val="auto"/>
          <w:sz w:val="24"/>
          <w:highlight w:val="none"/>
        </w:rPr>
        <w:t xml:space="preserve">    我方对委托代理人的签字或者电子签名事项负全部责任。</w:t>
      </w:r>
    </w:p>
    <w:p w14:paraId="4AA5515A">
      <w:pPr>
        <w:spacing w:line="440" w:lineRule="exact"/>
        <w:ind w:firstLine="480"/>
        <w:contextualSpacing/>
        <w:rPr>
          <w:rFonts w:hint="eastAsia" w:ascii="宋体" w:hAnsi="宋体"/>
          <w:color w:val="auto"/>
          <w:sz w:val="24"/>
          <w:highlight w:val="none"/>
        </w:rPr>
      </w:pPr>
      <w:r>
        <w:rPr>
          <w:rFonts w:hint="eastAsia" w:ascii="宋体" w:hAnsi="宋体"/>
          <w:color w:val="auto"/>
          <w:sz w:val="24"/>
          <w:highlight w:val="none"/>
          <w:u w:val="single"/>
        </w:rPr>
        <w:t>本授权书自签署之日起生效，在撤销授权的书面通知以前，本授权书一直有效。委托代理人在授权书有效期内签署的所有文件不因授权的撤销而失效。</w:t>
      </w:r>
    </w:p>
    <w:p w14:paraId="0C823D1D">
      <w:pPr>
        <w:spacing w:line="440" w:lineRule="exact"/>
        <w:ind w:firstLine="480"/>
        <w:contextualSpacing/>
        <w:rPr>
          <w:rFonts w:hint="eastAsia" w:ascii="宋体" w:hAnsi="宋体"/>
          <w:color w:val="auto"/>
          <w:sz w:val="24"/>
          <w:highlight w:val="none"/>
        </w:rPr>
      </w:pPr>
      <w:r>
        <w:rPr>
          <w:rFonts w:hint="eastAsia" w:ascii="宋体" w:hAnsi="宋体"/>
          <w:color w:val="auto"/>
          <w:sz w:val="24"/>
          <w:highlight w:val="none"/>
        </w:rPr>
        <w:t>委托代理人无转委托权，特此委托。</w:t>
      </w:r>
    </w:p>
    <w:p w14:paraId="69D9F3A8">
      <w:pPr>
        <w:spacing w:line="440" w:lineRule="exact"/>
        <w:ind w:firstLine="480"/>
        <w:contextualSpacing/>
        <w:rPr>
          <w:rFonts w:hint="eastAsia" w:ascii="宋体" w:hAnsi="宋体"/>
          <w:color w:val="auto"/>
          <w:sz w:val="24"/>
          <w:highlight w:val="none"/>
        </w:rPr>
      </w:pPr>
      <w:r>
        <w:rPr>
          <w:rFonts w:hint="eastAsia" w:ascii="宋体" w:hAnsi="宋体"/>
          <w:color w:val="auto"/>
          <w:sz w:val="24"/>
          <w:highlight w:val="none"/>
        </w:rPr>
        <w:t>附：法定代表人身份证明及委托代理人有效身份证正反面复印件</w:t>
      </w:r>
    </w:p>
    <w:p w14:paraId="57C59C8D">
      <w:pPr>
        <w:spacing w:line="440" w:lineRule="exact"/>
        <w:contextualSpacing/>
        <w:rPr>
          <w:rFonts w:hint="eastAsia" w:ascii="宋体" w:hAnsi="宋体"/>
          <w:color w:val="auto"/>
          <w:sz w:val="24"/>
          <w:highlight w:val="none"/>
        </w:rPr>
      </w:pPr>
    </w:p>
    <w:p w14:paraId="537D707E">
      <w:pPr>
        <w:spacing w:line="440" w:lineRule="exact"/>
        <w:contextualSpacing/>
        <w:rPr>
          <w:rFonts w:hint="eastAsia" w:ascii="宋体" w:hAnsi="宋体"/>
          <w:color w:val="auto"/>
          <w:sz w:val="24"/>
          <w:highlight w:val="none"/>
        </w:rPr>
      </w:pPr>
      <w:r>
        <w:rPr>
          <w:rFonts w:hint="eastAsia" w:ascii="宋体" w:hAnsi="宋体"/>
          <w:color w:val="auto"/>
          <w:sz w:val="24"/>
          <w:highlight w:val="none"/>
        </w:rPr>
        <w:t>委托代理人（签字或者电子签名）：</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69A194AE">
      <w:pPr>
        <w:spacing w:line="440" w:lineRule="exact"/>
        <w:contextualSpacing/>
        <w:rPr>
          <w:rFonts w:hint="eastAsia" w:ascii="宋体" w:hAnsi="宋体"/>
          <w:color w:val="auto"/>
          <w:sz w:val="24"/>
          <w:highlight w:val="none"/>
          <w:u w:val="single"/>
        </w:rPr>
      </w:pPr>
      <w:r>
        <w:rPr>
          <w:rFonts w:hint="eastAsia" w:ascii="宋体" w:hAnsi="宋体"/>
          <w:color w:val="auto"/>
          <w:sz w:val="24"/>
          <w:highlight w:val="none"/>
        </w:rPr>
        <w:t>委托代理人身份证号码：</w:t>
      </w:r>
      <w:r>
        <w:rPr>
          <w:rFonts w:hint="eastAsia" w:ascii="宋体" w:hAnsi="宋体"/>
          <w:color w:val="auto"/>
          <w:sz w:val="24"/>
          <w:highlight w:val="none"/>
          <w:u w:val="single"/>
        </w:rPr>
        <w:t xml:space="preserve">                             </w:t>
      </w:r>
    </w:p>
    <w:p w14:paraId="7CA2DC8C">
      <w:pPr>
        <w:spacing w:line="440" w:lineRule="exact"/>
        <w:contextualSpacing/>
        <w:rPr>
          <w:rFonts w:hint="eastAsia" w:ascii="宋体" w:hAnsi="宋体"/>
          <w:color w:val="auto"/>
          <w:sz w:val="24"/>
          <w:highlight w:val="none"/>
          <w:u w:val="single"/>
        </w:rPr>
      </w:pPr>
      <w:r>
        <w:rPr>
          <w:rFonts w:hint="eastAsia" w:ascii="宋体" w:hAnsi="宋体"/>
          <w:color w:val="auto"/>
          <w:sz w:val="24"/>
          <w:highlight w:val="none"/>
        </w:rPr>
        <w:t>法定代表人（签字或者盖章或者电子签名）：</w:t>
      </w:r>
      <w:r>
        <w:rPr>
          <w:rFonts w:hint="eastAsia" w:ascii="宋体" w:hAnsi="宋体"/>
          <w:color w:val="auto"/>
          <w:sz w:val="24"/>
          <w:highlight w:val="none"/>
          <w:u w:val="single"/>
        </w:rPr>
        <w:t xml:space="preserve">              </w:t>
      </w:r>
    </w:p>
    <w:p w14:paraId="050CABF8">
      <w:pPr>
        <w:spacing w:line="440" w:lineRule="exact"/>
        <w:contextualSpacing/>
        <w:rPr>
          <w:rFonts w:hint="eastAsia" w:ascii="宋体" w:hAnsi="宋体"/>
          <w:color w:val="auto"/>
          <w:sz w:val="24"/>
          <w:highlight w:val="none"/>
        </w:rPr>
      </w:pPr>
      <w:r>
        <w:rPr>
          <w:rFonts w:hint="eastAsia" w:ascii="宋体" w:hAnsi="宋体"/>
          <w:color w:val="auto"/>
          <w:sz w:val="24"/>
          <w:highlight w:val="none"/>
        </w:rPr>
        <w:t xml:space="preserve"> </w:t>
      </w:r>
    </w:p>
    <w:p w14:paraId="6EE71E20">
      <w:pPr>
        <w:spacing w:line="440" w:lineRule="exact"/>
        <w:contextualSpacing/>
        <w:jc w:val="center"/>
        <w:rPr>
          <w:rFonts w:hint="eastAsia" w:ascii="宋体" w:hAnsi="宋体"/>
          <w:color w:val="auto"/>
          <w:sz w:val="24"/>
          <w:highlight w:val="none"/>
        </w:rPr>
      </w:pPr>
      <w:r>
        <w:rPr>
          <w:rFonts w:hint="eastAsia" w:ascii="宋体" w:hAnsi="宋体"/>
          <w:color w:val="auto"/>
          <w:sz w:val="24"/>
          <w:highlight w:val="none"/>
        </w:rPr>
        <w:t xml:space="preserve">                                                投标人名称（</w:t>
      </w:r>
      <w:r>
        <w:rPr>
          <w:rFonts w:hint="eastAsia" w:ascii="宋体" w:hAnsi="宋体"/>
          <w:color w:val="auto"/>
          <w:sz w:val="24"/>
          <w:highlight w:val="none"/>
          <w:lang w:eastAsia="zh-CN"/>
        </w:rPr>
        <w:t>公章或电子签章</w:t>
      </w:r>
      <w:r>
        <w:rPr>
          <w:rFonts w:hint="eastAsia" w:ascii="宋体" w:hAnsi="宋体"/>
          <w:color w:val="auto"/>
          <w:sz w:val="24"/>
          <w:highlight w:val="none"/>
        </w:rPr>
        <w:t>）：</w:t>
      </w:r>
    </w:p>
    <w:p w14:paraId="22C93F67">
      <w:pPr>
        <w:spacing w:line="440" w:lineRule="exact"/>
        <w:contextualSpacing/>
        <w:jc w:val="center"/>
        <w:rPr>
          <w:rFonts w:hint="eastAsia" w:ascii="宋体" w:hAnsi="宋体"/>
          <w:color w:val="auto"/>
          <w:sz w:val="24"/>
          <w:highlight w:val="none"/>
        </w:rPr>
      </w:pPr>
      <w:r>
        <w:rPr>
          <w:rFonts w:hint="eastAsia" w:ascii="宋体" w:hAnsi="宋体"/>
          <w:color w:val="auto"/>
          <w:sz w:val="24"/>
          <w:highlight w:val="none"/>
        </w:rPr>
        <w:t xml:space="preserve">                                              年    月    日</w:t>
      </w:r>
    </w:p>
    <w:p w14:paraId="4EC961A5">
      <w:pPr>
        <w:spacing w:line="440" w:lineRule="exact"/>
        <w:contextualSpacing/>
        <w:rPr>
          <w:rFonts w:hint="eastAsia" w:ascii="宋体" w:hAnsi="宋体" w:cs="仿宋_GB2312"/>
          <w:color w:val="auto"/>
          <w:sz w:val="24"/>
          <w:highlight w:val="none"/>
        </w:rPr>
      </w:pPr>
      <w:r>
        <w:rPr>
          <w:rFonts w:hint="eastAsia" w:ascii="宋体" w:hAnsi="宋体" w:cs="仿宋_GB2312"/>
          <w:color w:val="auto"/>
          <w:sz w:val="24"/>
          <w:highlight w:val="none"/>
        </w:rPr>
        <w:t>注：1.</w:t>
      </w:r>
      <w:bookmarkStart w:id="181" w:name="_Hlk65851555"/>
      <w:bookmarkStart w:id="182" w:name="_Hlk65851620"/>
      <w:r>
        <w:rPr>
          <w:rFonts w:hint="eastAsia" w:ascii="宋体" w:hAnsi="宋体" w:cs="仿宋_GB2312"/>
          <w:color w:val="auto"/>
          <w:sz w:val="24"/>
          <w:highlight w:val="none"/>
        </w:rPr>
        <w:t>法定代表人必须在授权委托书上签字或者盖章</w:t>
      </w:r>
      <w:r>
        <w:rPr>
          <w:rFonts w:hint="eastAsia" w:ascii="宋体" w:hAnsi="宋体"/>
          <w:color w:val="auto"/>
          <w:sz w:val="24"/>
          <w:highlight w:val="none"/>
        </w:rPr>
        <w:t>或者电子签名</w:t>
      </w:r>
      <w:r>
        <w:rPr>
          <w:rFonts w:hint="eastAsia" w:ascii="宋体" w:hAnsi="宋体" w:cs="仿宋_GB2312"/>
          <w:color w:val="auto"/>
          <w:sz w:val="24"/>
          <w:highlight w:val="none"/>
        </w:rPr>
        <w:t>，</w:t>
      </w:r>
      <w:bookmarkEnd w:id="181"/>
      <w:r>
        <w:rPr>
          <w:rFonts w:hint="eastAsia" w:ascii="宋体" w:hAnsi="宋体" w:cs="仿宋_GB2312"/>
          <w:color w:val="auto"/>
          <w:sz w:val="24"/>
          <w:highlight w:val="none"/>
        </w:rPr>
        <w:t>委托代理人必须在授权委托书上签字</w:t>
      </w:r>
      <w:r>
        <w:rPr>
          <w:rFonts w:hint="eastAsia" w:ascii="宋体" w:hAnsi="宋体"/>
          <w:color w:val="auto"/>
          <w:sz w:val="24"/>
          <w:highlight w:val="none"/>
        </w:rPr>
        <w:t>或者电子签名</w:t>
      </w:r>
      <w:r>
        <w:rPr>
          <w:rFonts w:hint="eastAsia" w:ascii="宋体" w:hAnsi="宋体" w:cs="仿宋_GB2312"/>
          <w:color w:val="auto"/>
          <w:sz w:val="24"/>
          <w:highlight w:val="none"/>
        </w:rPr>
        <w:t>，</w:t>
      </w:r>
      <w:r>
        <w:rPr>
          <w:rFonts w:hint="eastAsia" w:ascii="宋体" w:hAnsi="宋体" w:cs="仿宋_GB2312"/>
          <w:b/>
          <w:bCs/>
          <w:color w:val="auto"/>
          <w:sz w:val="24"/>
          <w:highlight w:val="none"/>
        </w:rPr>
        <w:t>否则按无效投标处理</w:t>
      </w:r>
      <w:r>
        <w:rPr>
          <w:rFonts w:hint="eastAsia" w:ascii="宋体" w:hAnsi="宋体" w:cs="仿宋_GB2312"/>
          <w:color w:val="auto"/>
          <w:sz w:val="24"/>
          <w:highlight w:val="none"/>
        </w:rPr>
        <w:t>；</w:t>
      </w:r>
      <w:bookmarkEnd w:id="182"/>
    </w:p>
    <w:p w14:paraId="7015D934">
      <w:pPr>
        <w:spacing w:line="440" w:lineRule="exact"/>
        <w:ind w:firstLine="480" w:firstLineChars="200"/>
        <w:contextualSpacing/>
        <w:jc w:val="left"/>
        <w:rPr>
          <w:rFonts w:hint="eastAsia" w:ascii="宋体" w:hAnsi="宋体"/>
          <w:color w:val="auto"/>
          <w:sz w:val="24"/>
          <w:highlight w:val="none"/>
        </w:rPr>
      </w:pPr>
      <w:r>
        <w:rPr>
          <w:rFonts w:hint="eastAsia" w:ascii="宋体" w:hAnsi="宋体" w:cs="仿宋_GB2312"/>
          <w:color w:val="auto"/>
          <w:sz w:val="24"/>
          <w:highlight w:val="none"/>
        </w:rPr>
        <w:t>2.法人、其他组织投标时“我方”是指“我单位”，自然人投标时“我方”是指“本人”。</w:t>
      </w:r>
    </w:p>
    <w:p w14:paraId="45D7E862">
      <w:pPr>
        <w:snapToGrid w:val="0"/>
        <w:spacing w:before="120" w:beforeLines="50" w:after="50"/>
        <w:ind w:firstLine="566" w:firstLineChars="236"/>
        <w:jc w:val="center"/>
        <w:rPr>
          <w:rFonts w:hint="eastAsia" w:ascii="宋体" w:hAnsi="宋体"/>
          <w:color w:val="auto"/>
          <w:sz w:val="24"/>
          <w:highlight w:val="none"/>
        </w:rPr>
      </w:pPr>
      <w:r>
        <w:rPr>
          <w:rFonts w:ascii="宋体" w:hAnsi="宋体"/>
          <w:color w:val="auto"/>
          <w:sz w:val="24"/>
          <w:highlight w:val="none"/>
        </w:rPr>
        <w:br w:type="page"/>
      </w:r>
    </w:p>
    <w:p w14:paraId="46BE163B">
      <w:pPr>
        <w:rPr>
          <w:rFonts w:hint="eastAsia" w:ascii="宋体" w:hAnsi="宋体"/>
          <w:b/>
          <w:color w:val="auto"/>
          <w:sz w:val="24"/>
          <w:szCs w:val="20"/>
          <w:highlight w:val="none"/>
        </w:rPr>
      </w:pPr>
      <w:r>
        <w:rPr>
          <w:rFonts w:hint="eastAsia" w:ascii="宋体" w:hAnsi="宋体"/>
          <w:b/>
          <w:color w:val="auto"/>
          <w:sz w:val="24"/>
          <w:highlight w:val="none"/>
        </w:rPr>
        <w:t>6.商务要求偏离表格式</w:t>
      </w:r>
    </w:p>
    <w:tbl>
      <w:tblPr>
        <w:tblStyle w:val="48"/>
        <w:tblW w:w="9350" w:type="dxa"/>
        <w:tblInd w:w="-11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10"/>
        <w:gridCol w:w="3336"/>
        <w:gridCol w:w="2469"/>
        <w:gridCol w:w="2035"/>
      </w:tblGrid>
      <w:tr w14:paraId="0D9010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10" w:type="dxa"/>
            <w:tcBorders>
              <w:top w:val="single" w:color="auto" w:sz="4" w:space="0"/>
              <w:left w:val="single" w:color="auto" w:sz="4" w:space="0"/>
              <w:bottom w:val="single" w:color="auto" w:sz="4" w:space="0"/>
              <w:right w:val="single" w:color="auto" w:sz="4" w:space="0"/>
            </w:tcBorders>
          </w:tcPr>
          <w:p w14:paraId="198F258D">
            <w:pPr>
              <w:snapToGrid w:val="0"/>
              <w:spacing w:before="120" w:beforeLines="50"/>
              <w:jc w:val="center"/>
              <w:rPr>
                <w:rFonts w:hint="eastAsia" w:ascii="宋体" w:hAnsi="宋体"/>
                <w:color w:val="auto"/>
                <w:sz w:val="24"/>
                <w:highlight w:val="none"/>
              </w:rPr>
            </w:pPr>
            <w:r>
              <w:rPr>
                <w:rFonts w:hint="eastAsia" w:ascii="宋体" w:hAnsi="宋体"/>
                <w:color w:val="auto"/>
                <w:sz w:val="24"/>
                <w:highlight w:val="none"/>
              </w:rPr>
              <w:t>项目</w:t>
            </w:r>
          </w:p>
        </w:tc>
        <w:tc>
          <w:tcPr>
            <w:tcW w:w="3336" w:type="dxa"/>
            <w:tcBorders>
              <w:top w:val="single" w:color="auto" w:sz="4" w:space="0"/>
              <w:left w:val="single" w:color="auto" w:sz="4" w:space="0"/>
              <w:bottom w:val="single" w:color="auto" w:sz="4" w:space="0"/>
              <w:right w:val="single" w:color="auto" w:sz="4" w:space="0"/>
            </w:tcBorders>
          </w:tcPr>
          <w:p w14:paraId="3F379E35">
            <w:pPr>
              <w:snapToGrid w:val="0"/>
              <w:spacing w:before="120" w:beforeLines="50"/>
              <w:jc w:val="center"/>
              <w:rPr>
                <w:rFonts w:hint="eastAsia" w:ascii="宋体" w:hAnsi="宋体"/>
                <w:color w:val="auto"/>
                <w:sz w:val="24"/>
                <w:highlight w:val="none"/>
              </w:rPr>
            </w:pPr>
            <w:r>
              <w:rPr>
                <w:rFonts w:hint="eastAsia" w:ascii="宋体" w:hAnsi="宋体"/>
                <w:color w:val="auto"/>
                <w:sz w:val="24"/>
                <w:highlight w:val="none"/>
              </w:rPr>
              <w:t>招标文件商务要求</w:t>
            </w:r>
          </w:p>
        </w:tc>
        <w:tc>
          <w:tcPr>
            <w:tcW w:w="2469" w:type="dxa"/>
            <w:tcBorders>
              <w:top w:val="single" w:color="auto" w:sz="4" w:space="0"/>
              <w:left w:val="single" w:color="auto" w:sz="4" w:space="0"/>
              <w:bottom w:val="single" w:color="auto" w:sz="4" w:space="0"/>
              <w:right w:val="single" w:color="auto" w:sz="4" w:space="0"/>
            </w:tcBorders>
          </w:tcPr>
          <w:p w14:paraId="4CD17A13">
            <w:pPr>
              <w:snapToGrid w:val="0"/>
              <w:spacing w:before="120" w:beforeLines="50"/>
              <w:jc w:val="center"/>
              <w:rPr>
                <w:rFonts w:hint="eastAsia" w:ascii="宋体" w:hAnsi="宋体"/>
                <w:color w:val="auto"/>
                <w:sz w:val="24"/>
                <w:highlight w:val="none"/>
              </w:rPr>
            </w:pPr>
            <w:r>
              <w:rPr>
                <w:rFonts w:hint="eastAsia" w:ascii="宋体" w:hAnsi="宋体"/>
                <w:color w:val="auto"/>
                <w:sz w:val="24"/>
                <w:highlight w:val="none"/>
              </w:rPr>
              <w:t>投标人的承诺</w:t>
            </w:r>
          </w:p>
        </w:tc>
        <w:tc>
          <w:tcPr>
            <w:tcW w:w="2035" w:type="dxa"/>
            <w:tcBorders>
              <w:top w:val="single" w:color="auto" w:sz="4" w:space="0"/>
              <w:left w:val="single" w:color="auto" w:sz="4" w:space="0"/>
              <w:bottom w:val="single" w:color="auto" w:sz="4" w:space="0"/>
              <w:right w:val="single" w:color="auto" w:sz="4" w:space="0"/>
            </w:tcBorders>
          </w:tcPr>
          <w:p w14:paraId="30303F11">
            <w:pPr>
              <w:snapToGrid w:val="0"/>
              <w:spacing w:before="120" w:beforeLines="50"/>
              <w:jc w:val="center"/>
              <w:rPr>
                <w:rFonts w:hint="eastAsia" w:ascii="宋体" w:hAnsi="宋体"/>
                <w:color w:val="auto"/>
                <w:sz w:val="24"/>
                <w:highlight w:val="none"/>
              </w:rPr>
            </w:pPr>
            <w:r>
              <w:rPr>
                <w:rFonts w:hint="eastAsia" w:ascii="宋体" w:hAnsi="宋体"/>
                <w:color w:val="auto"/>
                <w:sz w:val="24"/>
                <w:highlight w:val="none"/>
              </w:rPr>
              <w:t>偏离说明</w:t>
            </w:r>
          </w:p>
        </w:tc>
      </w:tr>
      <w:tr w14:paraId="3F5749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10" w:type="dxa"/>
            <w:tcBorders>
              <w:top w:val="single" w:color="auto" w:sz="4" w:space="0"/>
              <w:left w:val="single" w:color="auto" w:sz="4" w:space="0"/>
              <w:bottom w:val="single" w:color="auto" w:sz="4" w:space="0"/>
              <w:right w:val="single" w:color="auto" w:sz="4" w:space="0"/>
            </w:tcBorders>
          </w:tcPr>
          <w:p w14:paraId="04218FE4">
            <w:pPr>
              <w:snapToGrid w:val="0"/>
              <w:spacing w:line="360" w:lineRule="auto"/>
              <w:jc w:val="left"/>
              <w:rPr>
                <w:rFonts w:ascii="宋体" w:hAnsi="宋体"/>
                <w:color w:val="auto"/>
                <w:szCs w:val="21"/>
                <w:highlight w:val="none"/>
              </w:rPr>
            </w:pPr>
            <w:r>
              <w:rPr>
                <w:rFonts w:hint="eastAsia" w:ascii="宋体" w:hAnsi="宋体"/>
                <w:color w:val="auto"/>
                <w:szCs w:val="21"/>
                <w:highlight w:val="none"/>
              </w:rPr>
              <w:t>投标报价</w:t>
            </w:r>
          </w:p>
        </w:tc>
        <w:tc>
          <w:tcPr>
            <w:tcW w:w="3336" w:type="dxa"/>
            <w:tcBorders>
              <w:top w:val="single" w:color="auto" w:sz="4" w:space="0"/>
              <w:left w:val="single" w:color="auto" w:sz="4" w:space="0"/>
              <w:bottom w:val="single" w:color="auto" w:sz="4" w:space="0"/>
              <w:right w:val="single" w:color="auto" w:sz="4" w:space="0"/>
            </w:tcBorders>
          </w:tcPr>
          <w:p w14:paraId="0ECE6ADE">
            <w:pPr>
              <w:snapToGrid w:val="0"/>
              <w:spacing w:before="120" w:beforeLines="50"/>
              <w:jc w:val="center"/>
              <w:rPr>
                <w:rFonts w:hint="eastAsia" w:ascii="宋体" w:hAnsi="宋体"/>
                <w:color w:val="auto"/>
                <w:sz w:val="24"/>
                <w:highlight w:val="none"/>
              </w:rPr>
            </w:pPr>
          </w:p>
        </w:tc>
        <w:tc>
          <w:tcPr>
            <w:tcW w:w="2469" w:type="dxa"/>
            <w:tcBorders>
              <w:top w:val="single" w:color="auto" w:sz="4" w:space="0"/>
              <w:left w:val="single" w:color="auto" w:sz="4" w:space="0"/>
              <w:bottom w:val="single" w:color="auto" w:sz="4" w:space="0"/>
              <w:right w:val="single" w:color="auto" w:sz="4" w:space="0"/>
            </w:tcBorders>
          </w:tcPr>
          <w:p w14:paraId="42E33A18">
            <w:pPr>
              <w:snapToGrid w:val="0"/>
              <w:spacing w:before="120" w:beforeLines="50"/>
              <w:jc w:val="center"/>
              <w:rPr>
                <w:rFonts w:hint="eastAsia"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7A8C1E55">
            <w:pPr>
              <w:snapToGrid w:val="0"/>
              <w:spacing w:before="120" w:beforeLines="50"/>
              <w:jc w:val="center"/>
              <w:rPr>
                <w:rFonts w:hint="eastAsia" w:ascii="宋体" w:hAnsi="宋体"/>
                <w:color w:val="auto"/>
                <w:sz w:val="24"/>
                <w:highlight w:val="none"/>
              </w:rPr>
            </w:pPr>
          </w:p>
        </w:tc>
      </w:tr>
      <w:tr w14:paraId="720AE6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510" w:type="dxa"/>
            <w:tcBorders>
              <w:top w:val="single" w:color="auto" w:sz="4" w:space="0"/>
              <w:left w:val="single" w:color="auto" w:sz="4" w:space="0"/>
              <w:bottom w:val="single" w:color="auto" w:sz="4" w:space="0"/>
              <w:right w:val="single" w:color="auto" w:sz="4" w:space="0"/>
            </w:tcBorders>
            <w:vAlign w:val="center"/>
          </w:tcPr>
          <w:p w14:paraId="4E04DEED">
            <w:pPr>
              <w:spacing w:line="360" w:lineRule="auto"/>
              <w:rPr>
                <w:rFonts w:ascii="宋体" w:hAnsi="宋体"/>
                <w:b/>
                <w:color w:val="auto"/>
                <w:szCs w:val="21"/>
                <w:highlight w:val="none"/>
              </w:rPr>
            </w:pPr>
            <w:r>
              <w:rPr>
                <w:rFonts w:hint="eastAsia" w:ascii="宋体" w:hAnsi="宋体" w:cs="宋体"/>
                <w:color w:val="auto"/>
                <w:szCs w:val="21"/>
                <w:highlight w:val="none"/>
              </w:rPr>
              <w:t>交付地点</w:t>
            </w:r>
          </w:p>
        </w:tc>
        <w:tc>
          <w:tcPr>
            <w:tcW w:w="3336" w:type="dxa"/>
            <w:tcBorders>
              <w:top w:val="single" w:color="auto" w:sz="4" w:space="0"/>
              <w:left w:val="single" w:color="auto" w:sz="4" w:space="0"/>
              <w:bottom w:val="single" w:color="auto" w:sz="4" w:space="0"/>
              <w:right w:val="single" w:color="auto" w:sz="4" w:space="0"/>
            </w:tcBorders>
          </w:tcPr>
          <w:p w14:paraId="1473370D">
            <w:pPr>
              <w:snapToGrid w:val="0"/>
              <w:spacing w:before="120" w:beforeLines="50"/>
              <w:rPr>
                <w:rFonts w:hint="eastAsia" w:ascii="宋体" w:hAnsi="宋体"/>
                <w:color w:val="auto"/>
                <w:sz w:val="24"/>
                <w:highlight w:val="none"/>
                <w:u w:val="single"/>
              </w:rPr>
            </w:pPr>
          </w:p>
        </w:tc>
        <w:tc>
          <w:tcPr>
            <w:tcW w:w="2469" w:type="dxa"/>
            <w:tcBorders>
              <w:top w:val="single" w:color="auto" w:sz="4" w:space="0"/>
              <w:left w:val="single" w:color="auto" w:sz="4" w:space="0"/>
              <w:bottom w:val="single" w:color="auto" w:sz="4" w:space="0"/>
              <w:right w:val="single" w:color="auto" w:sz="4" w:space="0"/>
            </w:tcBorders>
          </w:tcPr>
          <w:p w14:paraId="1075A3BA">
            <w:pPr>
              <w:snapToGrid w:val="0"/>
              <w:spacing w:before="120" w:beforeLines="50"/>
              <w:ind w:left="43"/>
              <w:jc w:val="center"/>
              <w:rPr>
                <w:rFonts w:hint="eastAsia"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1989A6DF">
            <w:pPr>
              <w:snapToGrid w:val="0"/>
              <w:spacing w:before="120" w:beforeLines="50"/>
              <w:ind w:left="43"/>
              <w:jc w:val="center"/>
              <w:rPr>
                <w:rFonts w:hint="eastAsia" w:ascii="宋体" w:hAnsi="宋体"/>
                <w:color w:val="auto"/>
                <w:sz w:val="24"/>
                <w:highlight w:val="none"/>
              </w:rPr>
            </w:pPr>
          </w:p>
        </w:tc>
      </w:tr>
      <w:tr w14:paraId="057875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10" w:type="dxa"/>
            <w:tcBorders>
              <w:top w:val="single" w:color="auto" w:sz="4" w:space="0"/>
              <w:left w:val="single" w:color="auto" w:sz="4" w:space="0"/>
              <w:bottom w:val="single" w:color="auto" w:sz="4" w:space="0"/>
              <w:right w:val="single" w:color="auto" w:sz="4" w:space="0"/>
            </w:tcBorders>
            <w:vAlign w:val="center"/>
          </w:tcPr>
          <w:p w14:paraId="4D588620">
            <w:pPr>
              <w:spacing w:line="360" w:lineRule="auto"/>
              <w:rPr>
                <w:rFonts w:ascii="宋体" w:hAnsi="宋体"/>
                <w:b/>
                <w:color w:val="auto"/>
                <w:szCs w:val="21"/>
                <w:highlight w:val="none"/>
              </w:rPr>
            </w:pPr>
            <w:r>
              <w:rPr>
                <w:rFonts w:hint="eastAsia" w:ascii="宋体" w:hAnsi="宋体"/>
                <w:color w:val="auto"/>
                <w:szCs w:val="21"/>
                <w:highlight w:val="none"/>
              </w:rPr>
              <w:t>合同签订时间</w:t>
            </w:r>
          </w:p>
        </w:tc>
        <w:tc>
          <w:tcPr>
            <w:tcW w:w="3336" w:type="dxa"/>
            <w:tcBorders>
              <w:top w:val="single" w:color="auto" w:sz="4" w:space="0"/>
              <w:left w:val="single" w:color="auto" w:sz="4" w:space="0"/>
              <w:bottom w:val="single" w:color="auto" w:sz="4" w:space="0"/>
              <w:right w:val="single" w:color="auto" w:sz="4" w:space="0"/>
            </w:tcBorders>
          </w:tcPr>
          <w:p w14:paraId="2AF46F41">
            <w:pPr>
              <w:snapToGrid w:val="0"/>
              <w:spacing w:before="120" w:beforeLines="50"/>
              <w:jc w:val="center"/>
              <w:rPr>
                <w:rFonts w:hint="eastAsia" w:ascii="宋体" w:hAnsi="宋体"/>
                <w:color w:val="auto"/>
                <w:sz w:val="24"/>
                <w:highlight w:val="none"/>
              </w:rPr>
            </w:pPr>
          </w:p>
        </w:tc>
        <w:tc>
          <w:tcPr>
            <w:tcW w:w="2469" w:type="dxa"/>
            <w:tcBorders>
              <w:top w:val="single" w:color="auto" w:sz="4" w:space="0"/>
              <w:left w:val="single" w:color="auto" w:sz="4" w:space="0"/>
              <w:bottom w:val="single" w:color="auto" w:sz="4" w:space="0"/>
              <w:right w:val="single" w:color="auto" w:sz="4" w:space="0"/>
            </w:tcBorders>
          </w:tcPr>
          <w:p w14:paraId="29B6CB01">
            <w:pPr>
              <w:snapToGrid w:val="0"/>
              <w:spacing w:before="120" w:beforeLines="50"/>
              <w:jc w:val="center"/>
              <w:rPr>
                <w:rFonts w:hint="eastAsia"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1503AD2D">
            <w:pPr>
              <w:snapToGrid w:val="0"/>
              <w:spacing w:before="120" w:beforeLines="50"/>
              <w:jc w:val="center"/>
              <w:rPr>
                <w:rFonts w:hint="eastAsia" w:ascii="宋体" w:hAnsi="宋体"/>
                <w:color w:val="auto"/>
                <w:sz w:val="24"/>
                <w:highlight w:val="none"/>
              </w:rPr>
            </w:pPr>
          </w:p>
        </w:tc>
      </w:tr>
      <w:tr w14:paraId="72AFF8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10" w:type="dxa"/>
            <w:tcBorders>
              <w:top w:val="single" w:color="auto" w:sz="4" w:space="0"/>
              <w:left w:val="single" w:color="auto" w:sz="4" w:space="0"/>
              <w:bottom w:val="single" w:color="auto" w:sz="4" w:space="0"/>
              <w:right w:val="single" w:color="auto" w:sz="4" w:space="0"/>
            </w:tcBorders>
            <w:vAlign w:val="center"/>
          </w:tcPr>
          <w:p w14:paraId="24D623AA">
            <w:pPr>
              <w:spacing w:line="360" w:lineRule="auto"/>
              <w:rPr>
                <w:rFonts w:ascii="宋体" w:hAnsi="宋体"/>
                <w:b/>
                <w:color w:val="auto"/>
                <w:szCs w:val="21"/>
                <w:highlight w:val="none"/>
              </w:rPr>
            </w:pPr>
            <w:r>
              <w:rPr>
                <w:rFonts w:hint="eastAsia" w:ascii="宋体" w:hAnsi="宋体"/>
                <w:color w:val="auto"/>
                <w:szCs w:val="21"/>
                <w:highlight w:val="none"/>
              </w:rPr>
              <w:t>付款条件</w:t>
            </w:r>
          </w:p>
        </w:tc>
        <w:tc>
          <w:tcPr>
            <w:tcW w:w="3336" w:type="dxa"/>
            <w:tcBorders>
              <w:top w:val="single" w:color="auto" w:sz="4" w:space="0"/>
              <w:left w:val="single" w:color="auto" w:sz="4" w:space="0"/>
              <w:bottom w:val="single" w:color="auto" w:sz="4" w:space="0"/>
              <w:right w:val="single" w:color="auto" w:sz="4" w:space="0"/>
            </w:tcBorders>
          </w:tcPr>
          <w:p w14:paraId="11B38F9F">
            <w:pPr>
              <w:snapToGrid w:val="0"/>
              <w:spacing w:before="120" w:beforeLines="50"/>
              <w:jc w:val="center"/>
              <w:rPr>
                <w:rFonts w:hint="eastAsia" w:ascii="宋体" w:hAnsi="宋体"/>
                <w:color w:val="auto"/>
                <w:sz w:val="24"/>
                <w:highlight w:val="none"/>
              </w:rPr>
            </w:pPr>
          </w:p>
        </w:tc>
        <w:tc>
          <w:tcPr>
            <w:tcW w:w="2469" w:type="dxa"/>
            <w:tcBorders>
              <w:top w:val="single" w:color="auto" w:sz="4" w:space="0"/>
              <w:left w:val="single" w:color="auto" w:sz="4" w:space="0"/>
              <w:bottom w:val="single" w:color="auto" w:sz="4" w:space="0"/>
              <w:right w:val="single" w:color="auto" w:sz="4" w:space="0"/>
            </w:tcBorders>
          </w:tcPr>
          <w:p w14:paraId="4B4818FA">
            <w:pPr>
              <w:snapToGrid w:val="0"/>
              <w:spacing w:before="120" w:beforeLines="50"/>
              <w:jc w:val="center"/>
              <w:rPr>
                <w:rFonts w:hint="eastAsia"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34F74934">
            <w:pPr>
              <w:snapToGrid w:val="0"/>
              <w:spacing w:before="120" w:beforeLines="50"/>
              <w:jc w:val="center"/>
              <w:rPr>
                <w:rFonts w:hint="eastAsia" w:ascii="宋体" w:hAnsi="宋体"/>
                <w:color w:val="auto"/>
                <w:sz w:val="24"/>
                <w:highlight w:val="none"/>
              </w:rPr>
            </w:pPr>
          </w:p>
        </w:tc>
      </w:tr>
      <w:tr w14:paraId="005928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10" w:type="dxa"/>
            <w:tcBorders>
              <w:top w:val="single" w:color="auto" w:sz="4" w:space="0"/>
              <w:left w:val="single" w:color="auto" w:sz="4" w:space="0"/>
              <w:bottom w:val="single" w:color="auto" w:sz="4" w:space="0"/>
              <w:right w:val="single" w:color="auto" w:sz="4" w:space="0"/>
            </w:tcBorders>
            <w:vAlign w:val="center"/>
          </w:tcPr>
          <w:p w14:paraId="73500381">
            <w:pPr>
              <w:spacing w:line="360" w:lineRule="auto"/>
              <w:rPr>
                <w:rFonts w:ascii="宋体" w:hAnsi="宋体"/>
                <w:color w:val="auto"/>
                <w:szCs w:val="21"/>
                <w:highlight w:val="none"/>
              </w:rPr>
            </w:pPr>
            <w:r>
              <w:rPr>
                <w:rFonts w:hint="eastAsia" w:ascii="宋体" w:hAnsi="宋体"/>
                <w:color w:val="auto"/>
                <w:szCs w:val="21"/>
                <w:highlight w:val="none"/>
              </w:rPr>
              <w:t>验收标准</w:t>
            </w:r>
          </w:p>
        </w:tc>
        <w:tc>
          <w:tcPr>
            <w:tcW w:w="3336" w:type="dxa"/>
            <w:tcBorders>
              <w:top w:val="single" w:color="auto" w:sz="4" w:space="0"/>
              <w:left w:val="single" w:color="auto" w:sz="4" w:space="0"/>
              <w:bottom w:val="single" w:color="auto" w:sz="4" w:space="0"/>
              <w:right w:val="single" w:color="auto" w:sz="4" w:space="0"/>
            </w:tcBorders>
          </w:tcPr>
          <w:p w14:paraId="0D431D3E">
            <w:pPr>
              <w:snapToGrid w:val="0"/>
              <w:spacing w:before="120" w:beforeLines="50"/>
              <w:jc w:val="center"/>
              <w:rPr>
                <w:rFonts w:hint="eastAsia" w:ascii="宋体" w:hAnsi="宋体"/>
                <w:color w:val="auto"/>
                <w:sz w:val="24"/>
                <w:highlight w:val="none"/>
              </w:rPr>
            </w:pPr>
          </w:p>
        </w:tc>
        <w:tc>
          <w:tcPr>
            <w:tcW w:w="2469" w:type="dxa"/>
            <w:tcBorders>
              <w:top w:val="single" w:color="auto" w:sz="4" w:space="0"/>
              <w:left w:val="single" w:color="auto" w:sz="4" w:space="0"/>
              <w:bottom w:val="single" w:color="auto" w:sz="4" w:space="0"/>
              <w:right w:val="single" w:color="auto" w:sz="4" w:space="0"/>
            </w:tcBorders>
          </w:tcPr>
          <w:p w14:paraId="7064933E">
            <w:pPr>
              <w:snapToGrid w:val="0"/>
              <w:spacing w:before="120" w:beforeLines="50"/>
              <w:jc w:val="center"/>
              <w:rPr>
                <w:rFonts w:hint="eastAsia"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2021DBE4">
            <w:pPr>
              <w:snapToGrid w:val="0"/>
              <w:spacing w:before="120" w:beforeLines="50"/>
              <w:jc w:val="center"/>
              <w:rPr>
                <w:rFonts w:hint="eastAsia" w:ascii="宋体" w:hAnsi="宋体"/>
                <w:color w:val="auto"/>
                <w:sz w:val="24"/>
                <w:highlight w:val="none"/>
              </w:rPr>
            </w:pPr>
          </w:p>
        </w:tc>
      </w:tr>
      <w:tr w14:paraId="375E9F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10" w:type="dxa"/>
            <w:tcBorders>
              <w:top w:val="single" w:color="auto" w:sz="4" w:space="0"/>
              <w:left w:val="single" w:color="auto" w:sz="4" w:space="0"/>
              <w:bottom w:val="single" w:color="auto" w:sz="4" w:space="0"/>
              <w:right w:val="single" w:color="auto" w:sz="4" w:space="0"/>
            </w:tcBorders>
            <w:vAlign w:val="center"/>
          </w:tcPr>
          <w:p w14:paraId="2C376BDE">
            <w:pPr>
              <w:spacing w:line="360" w:lineRule="auto"/>
              <w:rPr>
                <w:rFonts w:ascii="宋体" w:hAnsi="宋体"/>
                <w:color w:val="auto"/>
                <w:szCs w:val="21"/>
                <w:highlight w:val="none"/>
              </w:rPr>
            </w:pPr>
            <w:r>
              <w:rPr>
                <w:rFonts w:hint="eastAsia" w:ascii="宋体" w:hAnsi="宋体"/>
                <w:color w:val="auto"/>
                <w:szCs w:val="21"/>
                <w:highlight w:val="none"/>
              </w:rPr>
              <w:t>其他要求</w:t>
            </w:r>
          </w:p>
        </w:tc>
        <w:tc>
          <w:tcPr>
            <w:tcW w:w="3336" w:type="dxa"/>
            <w:tcBorders>
              <w:top w:val="single" w:color="auto" w:sz="4" w:space="0"/>
              <w:left w:val="single" w:color="auto" w:sz="4" w:space="0"/>
              <w:bottom w:val="single" w:color="auto" w:sz="4" w:space="0"/>
              <w:right w:val="single" w:color="auto" w:sz="4" w:space="0"/>
            </w:tcBorders>
          </w:tcPr>
          <w:p w14:paraId="16DB4B0A">
            <w:pPr>
              <w:snapToGrid w:val="0"/>
              <w:spacing w:before="120" w:beforeLines="50"/>
              <w:jc w:val="center"/>
              <w:rPr>
                <w:rFonts w:hint="eastAsia" w:ascii="宋体" w:hAnsi="宋体"/>
                <w:color w:val="auto"/>
                <w:sz w:val="24"/>
                <w:highlight w:val="none"/>
              </w:rPr>
            </w:pPr>
          </w:p>
        </w:tc>
        <w:tc>
          <w:tcPr>
            <w:tcW w:w="2469" w:type="dxa"/>
            <w:tcBorders>
              <w:top w:val="single" w:color="auto" w:sz="4" w:space="0"/>
              <w:left w:val="single" w:color="auto" w:sz="4" w:space="0"/>
              <w:bottom w:val="single" w:color="auto" w:sz="4" w:space="0"/>
              <w:right w:val="single" w:color="auto" w:sz="4" w:space="0"/>
            </w:tcBorders>
          </w:tcPr>
          <w:p w14:paraId="265D75D7">
            <w:pPr>
              <w:snapToGrid w:val="0"/>
              <w:spacing w:before="120" w:beforeLines="50"/>
              <w:jc w:val="center"/>
              <w:rPr>
                <w:rFonts w:hint="eastAsia"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52863B38">
            <w:pPr>
              <w:snapToGrid w:val="0"/>
              <w:spacing w:before="120" w:beforeLines="50"/>
              <w:jc w:val="center"/>
              <w:rPr>
                <w:rFonts w:hint="eastAsia" w:ascii="宋体" w:hAnsi="宋体"/>
                <w:color w:val="auto"/>
                <w:sz w:val="24"/>
                <w:highlight w:val="none"/>
              </w:rPr>
            </w:pPr>
          </w:p>
        </w:tc>
      </w:tr>
      <w:tr w14:paraId="4354DC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10" w:type="dxa"/>
            <w:tcBorders>
              <w:top w:val="single" w:color="auto" w:sz="4" w:space="0"/>
              <w:left w:val="single" w:color="auto" w:sz="4" w:space="0"/>
              <w:bottom w:val="single" w:color="auto" w:sz="4" w:space="0"/>
              <w:right w:val="single" w:color="auto" w:sz="4" w:space="0"/>
            </w:tcBorders>
            <w:vAlign w:val="center"/>
          </w:tcPr>
          <w:p w14:paraId="39F49B6C">
            <w:pPr>
              <w:spacing w:line="360" w:lineRule="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w:t>
            </w:r>
          </w:p>
        </w:tc>
        <w:tc>
          <w:tcPr>
            <w:tcW w:w="3336" w:type="dxa"/>
            <w:tcBorders>
              <w:top w:val="single" w:color="auto" w:sz="4" w:space="0"/>
              <w:left w:val="single" w:color="auto" w:sz="4" w:space="0"/>
              <w:bottom w:val="single" w:color="auto" w:sz="4" w:space="0"/>
              <w:right w:val="single" w:color="auto" w:sz="4" w:space="0"/>
            </w:tcBorders>
          </w:tcPr>
          <w:p w14:paraId="1B90060A">
            <w:pPr>
              <w:snapToGrid w:val="0"/>
              <w:spacing w:before="120" w:beforeLines="50"/>
              <w:jc w:val="center"/>
              <w:rPr>
                <w:rFonts w:hint="eastAsia" w:ascii="宋体" w:hAnsi="宋体"/>
                <w:color w:val="auto"/>
                <w:sz w:val="24"/>
                <w:highlight w:val="none"/>
              </w:rPr>
            </w:pPr>
          </w:p>
        </w:tc>
        <w:tc>
          <w:tcPr>
            <w:tcW w:w="2469" w:type="dxa"/>
            <w:tcBorders>
              <w:top w:val="single" w:color="auto" w:sz="4" w:space="0"/>
              <w:left w:val="single" w:color="auto" w:sz="4" w:space="0"/>
              <w:bottom w:val="single" w:color="auto" w:sz="4" w:space="0"/>
              <w:right w:val="single" w:color="auto" w:sz="4" w:space="0"/>
            </w:tcBorders>
          </w:tcPr>
          <w:p w14:paraId="162BE46A">
            <w:pPr>
              <w:snapToGrid w:val="0"/>
              <w:spacing w:before="120" w:beforeLines="50"/>
              <w:jc w:val="center"/>
              <w:rPr>
                <w:rFonts w:hint="eastAsia"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3EFAC1FB">
            <w:pPr>
              <w:snapToGrid w:val="0"/>
              <w:spacing w:before="120" w:beforeLines="50"/>
              <w:jc w:val="center"/>
              <w:rPr>
                <w:rFonts w:hint="eastAsia" w:ascii="宋体" w:hAnsi="宋体"/>
                <w:color w:val="auto"/>
                <w:sz w:val="24"/>
                <w:highlight w:val="none"/>
              </w:rPr>
            </w:pPr>
          </w:p>
        </w:tc>
      </w:tr>
      <w:tr w14:paraId="666039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10" w:type="dxa"/>
            <w:tcBorders>
              <w:top w:val="single" w:color="auto" w:sz="4" w:space="0"/>
              <w:left w:val="single" w:color="auto" w:sz="4" w:space="0"/>
              <w:bottom w:val="single" w:color="auto" w:sz="4" w:space="0"/>
              <w:right w:val="single" w:color="auto" w:sz="4" w:space="0"/>
            </w:tcBorders>
            <w:vAlign w:val="center"/>
          </w:tcPr>
          <w:p w14:paraId="6117B3D0">
            <w:pPr>
              <w:spacing w:line="360" w:lineRule="auto"/>
              <w:rPr>
                <w:rFonts w:ascii="宋体" w:hAnsi="宋体"/>
                <w:color w:val="auto"/>
                <w:szCs w:val="21"/>
                <w:highlight w:val="none"/>
              </w:rPr>
            </w:pPr>
          </w:p>
        </w:tc>
        <w:tc>
          <w:tcPr>
            <w:tcW w:w="3336" w:type="dxa"/>
            <w:tcBorders>
              <w:top w:val="single" w:color="auto" w:sz="4" w:space="0"/>
              <w:left w:val="single" w:color="auto" w:sz="4" w:space="0"/>
              <w:bottom w:val="single" w:color="auto" w:sz="4" w:space="0"/>
              <w:right w:val="single" w:color="auto" w:sz="4" w:space="0"/>
            </w:tcBorders>
          </w:tcPr>
          <w:p w14:paraId="6C65034F">
            <w:pPr>
              <w:snapToGrid w:val="0"/>
              <w:spacing w:before="120" w:beforeLines="50"/>
              <w:jc w:val="center"/>
              <w:rPr>
                <w:rFonts w:hint="eastAsia" w:ascii="宋体" w:hAnsi="宋体"/>
                <w:color w:val="auto"/>
                <w:sz w:val="24"/>
                <w:highlight w:val="none"/>
              </w:rPr>
            </w:pPr>
          </w:p>
        </w:tc>
        <w:tc>
          <w:tcPr>
            <w:tcW w:w="2469" w:type="dxa"/>
            <w:tcBorders>
              <w:top w:val="single" w:color="auto" w:sz="4" w:space="0"/>
              <w:left w:val="single" w:color="auto" w:sz="4" w:space="0"/>
              <w:bottom w:val="single" w:color="auto" w:sz="4" w:space="0"/>
              <w:right w:val="single" w:color="auto" w:sz="4" w:space="0"/>
            </w:tcBorders>
          </w:tcPr>
          <w:p w14:paraId="35AC48BE">
            <w:pPr>
              <w:snapToGrid w:val="0"/>
              <w:spacing w:before="120" w:beforeLines="50"/>
              <w:jc w:val="center"/>
              <w:rPr>
                <w:rFonts w:hint="eastAsia"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299E4F4F">
            <w:pPr>
              <w:snapToGrid w:val="0"/>
              <w:spacing w:before="120" w:beforeLines="50"/>
              <w:jc w:val="center"/>
              <w:rPr>
                <w:rFonts w:hint="eastAsia" w:ascii="宋体" w:hAnsi="宋体"/>
                <w:color w:val="auto"/>
                <w:sz w:val="24"/>
                <w:highlight w:val="none"/>
              </w:rPr>
            </w:pPr>
          </w:p>
        </w:tc>
      </w:tr>
    </w:tbl>
    <w:p w14:paraId="3302399A">
      <w:pPr>
        <w:pStyle w:val="17"/>
        <w:rPr>
          <w:rFonts w:hint="eastAsia" w:ascii="宋体" w:hAnsi="宋体"/>
          <w:color w:val="auto"/>
          <w:highlight w:val="none"/>
        </w:rPr>
      </w:pPr>
      <w:r>
        <w:rPr>
          <w:rFonts w:hint="eastAsia" w:ascii="宋体" w:hAnsi="宋体"/>
          <w:color w:val="auto"/>
          <w:highlight w:val="none"/>
        </w:rPr>
        <w:t>注：</w:t>
      </w:r>
    </w:p>
    <w:p w14:paraId="01D63BEB">
      <w:pPr>
        <w:pStyle w:val="19"/>
        <w:spacing w:line="520" w:lineRule="exact"/>
        <w:ind w:firstLine="0" w:firstLineChars="0"/>
        <w:rPr>
          <w:rFonts w:hint="eastAsia" w:ascii="宋体" w:hAnsi="宋体" w:eastAsia="宋体" w:cs="仿宋_GB2312"/>
          <w:color w:val="auto"/>
          <w:szCs w:val="32"/>
          <w:highlight w:val="none"/>
        </w:rPr>
      </w:pPr>
      <w:r>
        <w:rPr>
          <w:rFonts w:hint="eastAsia" w:ascii="宋体" w:hAnsi="宋体" w:eastAsia="宋体"/>
          <w:color w:val="auto"/>
          <w:sz w:val="24"/>
          <w:szCs w:val="24"/>
          <w:highlight w:val="none"/>
        </w:rPr>
        <w:t>1.</w:t>
      </w:r>
      <w:r>
        <w:rPr>
          <w:rFonts w:hint="eastAsia" w:ascii="宋体" w:hAnsi="宋体" w:eastAsia="宋体"/>
          <w:color w:val="auto"/>
          <w:highlight w:val="none"/>
        </w:rPr>
        <w:t xml:space="preserve"> </w:t>
      </w:r>
      <w:r>
        <w:rPr>
          <w:rFonts w:hint="eastAsia" w:ascii="宋体" w:hAnsi="宋体" w:eastAsia="宋体"/>
          <w:color w:val="auto"/>
          <w:sz w:val="24"/>
          <w:szCs w:val="24"/>
          <w:highlight w:val="none"/>
        </w:rPr>
        <w:t>说明：应对照招标文件“第二章 采购需求”中的商务要求逐条作明确的投标响应，并作出偏离说明。</w:t>
      </w:r>
    </w:p>
    <w:p w14:paraId="64234EBD">
      <w:pPr>
        <w:pStyle w:val="17"/>
        <w:rPr>
          <w:rFonts w:ascii="宋体" w:hAnsi="宋体"/>
          <w:b w:val="0"/>
          <w:bCs w:val="0"/>
          <w:color w:val="auto"/>
          <w:highlight w:val="none"/>
        </w:rPr>
      </w:pPr>
      <w:r>
        <w:rPr>
          <w:rFonts w:ascii="宋体" w:hAnsi="宋体"/>
          <w:b w:val="0"/>
          <w:bCs w:val="0"/>
          <w:color w:val="auto"/>
          <w:highlight w:val="none"/>
        </w:rPr>
        <w:t>2.</w:t>
      </w:r>
      <w:r>
        <w:rPr>
          <w:rFonts w:hint="eastAsia" w:ascii="宋体" w:hAnsi="宋体"/>
          <w:b w:val="0"/>
          <w:bCs w:val="0"/>
          <w:color w:val="auto"/>
          <w:highlight w:val="none"/>
        </w:rPr>
        <w:t>投标人应根据自身的承诺，对照招标文件要求在“偏离说明”中注明“</w:t>
      </w:r>
      <w:r>
        <w:rPr>
          <w:rFonts w:hint="eastAsia" w:ascii="宋体" w:hAnsi="宋体"/>
          <w:color w:val="auto"/>
          <w:highlight w:val="none"/>
        </w:rPr>
        <w:t>正偏离</w:t>
      </w:r>
      <w:r>
        <w:rPr>
          <w:rFonts w:hint="eastAsia" w:ascii="宋体" w:hAnsi="宋体"/>
          <w:color w:val="auto"/>
          <w:highlight w:val="none"/>
          <w:lang w:eastAsia="zh-CN"/>
        </w:rPr>
        <w:t>”“</w:t>
      </w:r>
      <w:r>
        <w:rPr>
          <w:rFonts w:hint="eastAsia" w:ascii="宋体" w:hAnsi="宋体"/>
          <w:color w:val="auto"/>
          <w:highlight w:val="none"/>
        </w:rPr>
        <w:t>负偏离</w:t>
      </w:r>
      <w:r>
        <w:rPr>
          <w:rFonts w:hint="eastAsia" w:ascii="宋体" w:hAnsi="宋体"/>
          <w:b w:val="0"/>
          <w:bCs w:val="0"/>
          <w:color w:val="auto"/>
          <w:highlight w:val="none"/>
        </w:rPr>
        <w:t>”或者“</w:t>
      </w:r>
      <w:r>
        <w:rPr>
          <w:rFonts w:hint="eastAsia" w:ascii="宋体" w:hAnsi="宋体"/>
          <w:color w:val="auto"/>
          <w:highlight w:val="none"/>
        </w:rPr>
        <w:t>无偏离</w:t>
      </w:r>
      <w:r>
        <w:rPr>
          <w:rFonts w:hint="eastAsia" w:ascii="宋体" w:hAnsi="宋体"/>
          <w:b w:val="0"/>
          <w:bCs w:val="0"/>
          <w:color w:val="auto"/>
          <w:highlight w:val="none"/>
        </w:rPr>
        <w:t>”。既不属于“</w:t>
      </w:r>
      <w:r>
        <w:rPr>
          <w:rFonts w:hint="eastAsia" w:ascii="宋体" w:hAnsi="宋体"/>
          <w:color w:val="auto"/>
          <w:highlight w:val="none"/>
        </w:rPr>
        <w:t>正偏离</w:t>
      </w:r>
      <w:r>
        <w:rPr>
          <w:rFonts w:hint="eastAsia" w:ascii="宋体" w:hAnsi="宋体"/>
          <w:b w:val="0"/>
          <w:bCs w:val="0"/>
          <w:color w:val="auto"/>
          <w:highlight w:val="none"/>
        </w:rPr>
        <w:t>”也不属于“</w:t>
      </w:r>
      <w:r>
        <w:rPr>
          <w:rFonts w:hint="eastAsia" w:ascii="宋体" w:hAnsi="宋体"/>
          <w:color w:val="auto"/>
          <w:highlight w:val="none"/>
        </w:rPr>
        <w:t>负偏离</w:t>
      </w:r>
      <w:r>
        <w:rPr>
          <w:rFonts w:hint="eastAsia" w:ascii="宋体" w:hAnsi="宋体"/>
          <w:b w:val="0"/>
          <w:bCs w:val="0"/>
          <w:color w:val="auto"/>
          <w:highlight w:val="none"/>
        </w:rPr>
        <w:t>”即为“</w:t>
      </w:r>
      <w:r>
        <w:rPr>
          <w:rFonts w:hint="eastAsia" w:ascii="宋体" w:hAnsi="宋体"/>
          <w:color w:val="auto"/>
          <w:highlight w:val="none"/>
        </w:rPr>
        <w:t>无偏离</w:t>
      </w:r>
      <w:r>
        <w:rPr>
          <w:rFonts w:hint="eastAsia" w:ascii="宋体" w:hAnsi="宋体"/>
          <w:b w:val="0"/>
          <w:bCs w:val="0"/>
          <w:color w:val="auto"/>
          <w:highlight w:val="none"/>
        </w:rPr>
        <w:t>”。</w:t>
      </w:r>
    </w:p>
    <w:p w14:paraId="1EAA1A18">
      <w:pPr>
        <w:snapToGrid w:val="0"/>
        <w:spacing w:before="50" w:after="50"/>
        <w:rPr>
          <w:rFonts w:ascii="宋体" w:hAnsi="宋体"/>
          <w:color w:val="auto"/>
          <w:sz w:val="24"/>
          <w:highlight w:val="none"/>
        </w:rPr>
      </w:pPr>
    </w:p>
    <w:p w14:paraId="0ED7775F">
      <w:pPr>
        <w:snapToGrid w:val="0"/>
        <w:spacing w:before="50" w:after="50"/>
        <w:rPr>
          <w:rFonts w:hint="eastAsia" w:ascii="宋体" w:hAnsi="宋体"/>
          <w:color w:val="auto"/>
          <w:spacing w:val="20"/>
          <w:sz w:val="24"/>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（签字或者电子签名）：</w:t>
      </w:r>
      <w:r>
        <w:rPr>
          <w:rFonts w:hint="eastAsia" w:ascii="宋体" w:hAnsi="宋体"/>
          <w:color w:val="auto"/>
          <w:spacing w:val="20"/>
          <w:sz w:val="24"/>
          <w:highlight w:val="none"/>
          <w:u w:val="single"/>
        </w:rPr>
        <w:t xml:space="preserve">        </w:t>
      </w:r>
    </w:p>
    <w:p w14:paraId="02626D2E">
      <w:pPr>
        <w:snapToGrid w:val="0"/>
        <w:spacing w:before="120" w:beforeLines="50"/>
        <w:rPr>
          <w:rFonts w:hint="eastAsia" w:ascii="宋体" w:hAnsi="宋体"/>
          <w:color w:val="auto"/>
          <w:spacing w:val="20"/>
          <w:sz w:val="24"/>
          <w:highlight w:val="none"/>
        </w:rPr>
      </w:pPr>
      <w:r>
        <w:rPr>
          <w:rFonts w:hint="eastAsia" w:ascii="宋体" w:hAnsi="宋体"/>
          <w:color w:val="auto"/>
          <w:spacing w:val="20"/>
          <w:sz w:val="24"/>
          <w:highlight w:val="none"/>
        </w:rPr>
        <w:t>投标人名称（</w:t>
      </w:r>
      <w:r>
        <w:rPr>
          <w:rFonts w:hint="eastAsia" w:ascii="宋体" w:hAnsi="宋体"/>
          <w:color w:val="auto"/>
          <w:spacing w:val="20"/>
          <w:sz w:val="24"/>
          <w:highlight w:val="none"/>
          <w:lang w:eastAsia="zh-CN"/>
        </w:rPr>
        <w:t>公章或电子签章</w:t>
      </w:r>
      <w:r>
        <w:rPr>
          <w:rFonts w:hint="eastAsia" w:ascii="宋体" w:hAnsi="宋体"/>
          <w:color w:val="auto"/>
          <w:spacing w:val="20"/>
          <w:sz w:val="24"/>
          <w:highlight w:val="none"/>
        </w:rPr>
        <w:t>）：</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w:t>
      </w:r>
    </w:p>
    <w:p w14:paraId="7FBE5268">
      <w:pPr>
        <w:snapToGrid w:val="0"/>
        <w:spacing w:before="120" w:beforeLines="50"/>
        <w:rPr>
          <w:rFonts w:hint="eastAsia" w:ascii="宋体" w:hAnsi="宋体"/>
          <w:color w:val="auto"/>
          <w:sz w:val="24"/>
          <w:szCs w:val="20"/>
          <w:highlight w:val="none"/>
        </w:rPr>
      </w:pPr>
      <w:r>
        <w:rPr>
          <w:rFonts w:hint="eastAsia" w:ascii="宋体" w:hAnsi="宋体"/>
          <w:color w:val="auto"/>
          <w:spacing w:val="20"/>
          <w:sz w:val="24"/>
          <w:highlight w:val="none"/>
        </w:rPr>
        <w:t>日  期：</w:t>
      </w:r>
      <w:r>
        <w:rPr>
          <w:rFonts w:hint="eastAsia" w:ascii="宋体" w:hAnsi="宋体"/>
          <w:color w:val="auto"/>
          <w:spacing w:val="20"/>
          <w:sz w:val="24"/>
          <w:highlight w:val="none"/>
          <w:u w:val="single"/>
        </w:rPr>
        <w:t xml:space="preserve">         </w:t>
      </w:r>
    </w:p>
    <w:p w14:paraId="2D3B673B">
      <w:pPr>
        <w:snapToGrid w:val="0"/>
        <w:spacing w:before="120" w:beforeLines="50"/>
        <w:rPr>
          <w:rFonts w:hint="eastAsia" w:ascii="宋体" w:hAnsi="宋体"/>
          <w:color w:val="auto"/>
          <w:sz w:val="24"/>
          <w:szCs w:val="20"/>
          <w:highlight w:val="none"/>
        </w:rPr>
      </w:pPr>
    </w:p>
    <w:p w14:paraId="651AEA36">
      <w:pPr>
        <w:snapToGrid w:val="0"/>
        <w:spacing w:before="120" w:beforeLines="50"/>
        <w:rPr>
          <w:rFonts w:hint="eastAsia" w:ascii="宋体" w:hAnsi="宋体"/>
          <w:color w:val="auto"/>
          <w:sz w:val="24"/>
          <w:szCs w:val="20"/>
          <w:highlight w:val="none"/>
        </w:rPr>
      </w:pPr>
    </w:p>
    <w:p w14:paraId="5D8D5B45">
      <w:pPr>
        <w:snapToGrid w:val="0"/>
        <w:spacing w:before="120" w:beforeLines="50"/>
        <w:rPr>
          <w:rFonts w:hint="eastAsia" w:ascii="宋体" w:hAnsi="宋体"/>
          <w:color w:val="auto"/>
          <w:sz w:val="24"/>
          <w:szCs w:val="20"/>
          <w:highlight w:val="none"/>
        </w:rPr>
      </w:pPr>
    </w:p>
    <w:p w14:paraId="3D6D7E47">
      <w:pPr>
        <w:snapToGrid w:val="0"/>
        <w:spacing w:before="120" w:beforeLines="50"/>
        <w:rPr>
          <w:rFonts w:hint="eastAsia" w:ascii="宋体" w:hAnsi="宋体"/>
          <w:color w:val="auto"/>
          <w:sz w:val="24"/>
          <w:szCs w:val="20"/>
          <w:highlight w:val="none"/>
        </w:rPr>
      </w:pPr>
    </w:p>
    <w:p w14:paraId="74613D8B">
      <w:pPr>
        <w:snapToGrid w:val="0"/>
        <w:spacing w:before="120" w:beforeLines="50"/>
        <w:rPr>
          <w:rFonts w:hint="eastAsia" w:ascii="宋体" w:hAnsi="宋体"/>
          <w:color w:val="auto"/>
          <w:sz w:val="24"/>
          <w:szCs w:val="20"/>
          <w:highlight w:val="none"/>
        </w:rPr>
      </w:pPr>
    </w:p>
    <w:p w14:paraId="0C3424D7">
      <w:pPr>
        <w:snapToGrid w:val="0"/>
        <w:spacing w:before="120" w:beforeLines="50"/>
        <w:rPr>
          <w:rFonts w:hint="eastAsia" w:ascii="宋体" w:hAnsi="宋体"/>
          <w:color w:val="auto"/>
          <w:sz w:val="24"/>
          <w:szCs w:val="20"/>
          <w:highlight w:val="none"/>
        </w:rPr>
      </w:pPr>
    </w:p>
    <w:p w14:paraId="09135A52">
      <w:pPr>
        <w:snapToGrid w:val="0"/>
        <w:spacing w:before="120" w:beforeLines="50"/>
        <w:rPr>
          <w:rFonts w:hint="eastAsia" w:ascii="宋体" w:hAnsi="宋体"/>
          <w:color w:val="auto"/>
          <w:sz w:val="24"/>
          <w:szCs w:val="20"/>
          <w:highlight w:val="none"/>
        </w:rPr>
      </w:pPr>
    </w:p>
    <w:p w14:paraId="1333E294">
      <w:pPr>
        <w:snapToGrid w:val="0"/>
        <w:spacing w:before="120" w:beforeLines="50"/>
        <w:rPr>
          <w:rFonts w:hint="eastAsia" w:ascii="宋体" w:hAnsi="宋体"/>
          <w:color w:val="auto"/>
          <w:sz w:val="24"/>
          <w:szCs w:val="20"/>
          <w:highlight w:val="none"/>
        </w:rPr>
      </w:pPr>
    </w:p>
    <w:p w14:paraId="7D4B0E60">
      <w:pPr>
        <w:snapToGrid w:val="0"/>
        <w:spacing w:before="120" w:beforeLines="50"/>
        <w:rPr>
          <w:rFonts w:hint="eastAsia" w:ascii="宋体" w:hAnsi="宋体"/>
          <w:color w:val="auto"/>
          <w:sz w:val="24"/>
          <w:szCs w:val="20"/>
          <w:highlight w:val="none"/>
        </w:rPr>
      </w:pPr>
    </w:p>
    <w:p w14:paraId="2EDCA35B">
      <w:pPr>
        <w:snapToGrid w:val="0"/>
        <w:spacing w:before="120" w:beforeLines="50" w:after="50"/>
        <w:jc w:val="left"/>
        <w:rPr>
          <w:rFonts w:hint="eastAsia" w:ascii="宋体" w:hAnsi="宋体"/>
          <w:b/>
          <w:color w:val="auto"/>
          <w:sz w:val="24"/>
          <w:highlight w:val="none"/>
        </w:rPr>
      </w:pPr>
      <w:r>
        <w:rPr>
          <w:rFonts w:hint="eastAsia" w:ascii="宋体" w:hAnsi="宋体"/>
          <w:b/>
          <w:color w:val="auto"/>
          <w:sz w:val="24"/>
          <w:highlight w:val="none"/>
        </w:rPr>
        <w:t>7.投标人业绩证明材料</w:t>
      </w:r>
    </w:p>
    <w:p w14:paraId="462AD307">
      <w:pPr>
        <w:pStyle w:val="36"/>
        <w:snapToGrid w:val="0"/>
        <w:ind w:left="480" w:hanging="480"/>
        <w:rPr>
          <w:rFonts w:hint="eastAsia" w:ascii="宋体" w:hAnsi="宋体"/>
          <w:color w:val="auto"/>
          <w:sz w:val="24"/>
          <w:highlight w:val="none"/>
        </w:rPr>
      </w:pPr>
    </w:p>
    <w:p w14:paraId="3F72E9A5">
      <w:pPr>
        <w:pStyle w:val="36"/>
        <w:snapToGrid w:val="0"/>
        <w:ind w:left="480" w:hanging="480"/>
        <w:rPr>
          <w:rFonts w:hint="eastAsia" w:ascii="宋体" w:hAnsi="宋体"/>
          <w:color w:val="auto"/>
          <w:sz w:val="24"/>
          <w:highlight w:val="none"/>
        </w:rPr>
      </w:pPr>
      <w:r>
        <w:rPr>
          <w:rFonts w:hint="eastAsia" w:ascii="宋体" w:hAnsi="宋体"/>
          <w:color w:val="auto"/>
          <w:sz w:val="24"/>
          <w:highlight w:val="none"/>
        </w:rPr>
        <w:t xml:space="preserve">投标人业绩情况一览表格式： </w:t>
      </w:r>
    </w:p>
    <w:tbl>
      <w:tblPr>
        <w:tblStyle w:val="48"/>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357"/>
        <w:gridCol w:w="1958"/>
        <w:gridCol w:w="1958"/>
        <w:gridCol w:w="3157"/>
      </w:tblGrid>
      <w:tr w14:paraId="4D4392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250" w:type="pct"/>
            <w:vMerge w:val="restart"/>
            <w:tcBorders>
              <w:top w:val="single" w:color="auto" w:sz="4" w:space="0"/>
              <w:left w:val="single" w:color="auto" w:sz="4" w:space="0"/>
              <w:bottom w:val="single" w:color="auto" w:sz="4" w:space="0"/>
              <w:right w:val="single" w:color="auto" w:sz="4" w:space="0"/>
            </w:tcBorders>
            <w:vAlign w:val="center"/>
          </w:tcPr>
          <w:p w14:paraId="4042C9AD">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采购人名称</w:t>
            </w:r>
          </w:p>
        </w:tc>
        <w:tc>
          <w:tcPr>
            <w:tcW w:w="1038" w:type="pct"/>
            <w:vMerge w:val="restart"/>
            <w:tcBorders>
              <w:top w:val="single" w:color="auto" w:sz="4" w:space="0"/>
              <w:left w:val="single" w:color="auto" w:sz="4" w:space="0"/>
              <w:bottom w:val="single" w:color="auto" w:sz="4" w:space="0"/>
              <w:right w:val="single" w:color="auto" w:sz="4" w:space="0"/>
            </w:tcBorders>
            <w:vAlign w:val="center"/>
          </w:tcPr>
          <w:p w14:paraId="5F032C4F">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项目名称</w:t>
            </w:r>
          </w:p>
        </w:tc>
        <w:tc>
          <w:tcPr>
            <w:tcW w:w="1038" w:type="pct"/>
            <w:vMerge w:val="restart"/>
            <w:tcBorders>
              <w:top w:val="single" w:color="auto" w:sz="4" w:space="0"/>
              <w:left w:val="single" w:color="auto" w:sz="4" w:space="0"/>
              <w:bottom w:val="single" w:color="auto" w:sz="4" w:space="0"/>
              <w:right w:val="single" w:color="auto" w:sz="4" w:space="0"/>
            </w:tcBorders>
            <w:vAlign w:val="center"/>
          </w:tcPr>
          <w:p w14:paraId="4C3F90F3">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合同金额</w:t>
            </w:r>
          </w:p>
          <w:p w14:paraId="44EF6E36">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（万元）</w:t>
            </w:r>
          </w:p>
        </w:tc>
        <w:tc>
          <w:tcPr>
            <w:tcW w:w="1674" w:type="pct"/>
            <w:vMerge w:val="restart"/>
            <w:tcBorders>
              <w:top w:val="single" w:color="auto" w:sz="4" w:space="0"/>
              <w:left w:val="single" w:color="auto" w:sz="4" w:space="0"/>
              <w:bottom w:val="single" w:color="auto" w:sz="4" w:space="0"/>
              <w:right w:val="single" w:color="auto" w:sz="4" w:space="0"/>
            </w:tcBorders>
            <w:vAlign w:val="center"/>
          </w:tcPr>
          <w:p w14:paraId="01EE6386">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采购人联系人及</w:t>
            </w:r>
          </w:p>
          <w:p w14:paraId="4718FEEF">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联系电话</w:t>
            </w:r>
          </w:p>
        </w:tc>
      </w:tr>
      <w:tr w14:paraId="02B414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250" w:type="pct"/>
            <w:vMerge w:val="continue"/>
            <w:tcBorders>
              <w:top w:val="single" w:color="auto" w:sz="4" w:space="0"/>
              <w:left w:val="single" w:color="auto" w:sz="4" w:space="0"/>
              <w:bottom w:val="single" w:color="auto" w:sz="4" w:space="0"/>
              <w:right w:val="single" w:color="auto" w:sz="4" w:space="0"/>
            </w:tcBorders>
            <w:vAlign w:val="center"/>
          </w:tcPr>
          <w:p w14:paraId="3824D645">
            <w:pPr>
              <w:jc w:val="left"/>
              <w:rPr>
                <w:rFonts w:hint="eastAsia" w:ascii="宋体" w:hAnsi="宋体"/>
                <w:color w:val="auto"/>
                <w:sz w:val="24"/>
                <w:highlight w:val="none"/>
              </w:rPr>
            </w:pPr>
          </w:p>
        </w:tc>
        <w:tc>
          <w:tcPr>
            <w:tcW w:w="1038" w:type="pct"/>
            <w:vMerge w:val="continue"/>
            <w:tcBorders>
              <w:top w:val="single" w:color="auto" w:sz="4" w:space="0"/>
              <w:left w:val="single" w:color="auto" w:sz="4" w:space="0"/>
              <w:bottom w:val="single" w:color="auto" w:sz="4" w:space="0"/>
              <w:right w:val="single" w:color="auto" w:sz="4" w:space="0"/>
            </w:tcBorders>
            <w:vAlign w:val="center"/>
          </w:tcPr>
          <w:p w14:paraId="4423781D">
            <w:pPr>
              <w:jc w:val="left"/>
              <w:rPr>
                <w:rFonts w:hint="eastAsia" w:ascii="宋体" w:hAnsi="宋体"/>
                <w:color w:val="auto"/>
                <w:sz w:val="24"/>
                <w:highlight w:val="none"/>
              </w:rPr>
            </w:pPr>
          </w:p>
        </w:tc>
        <w:tc>
          <w:tcPr>
            <w:tcW w:w="1038" w:type="pct"/>
            <w:vMerge w:val="continue"/>
            <w:tcBorders>
              <w:top w:val="single" w:color="auto" w:sz="4" w:space="0"/>
              <w:left w:val="single" w:color="auto" w:sz="4" w:space="0"/>
              <w:bottom w:val="single" w:color="auto" w:sz="4" w:space="0"/>
              <w:right w:val="single" w:color="auto" w:sz="4" w:space="0"/>
            </w:tcBorders>
            <w:vAlign w:val="center"/>
          </w:tcPr>
          <w:p w14:paraId="304752E4">
            <w:pPr>
              <w:jc w:val="left"/>
              <w:rPr>
                <w:rFonts w:hint="eastAsia" w:ascii="宋体" w:hAnsi="宋体"/>
                <w:color w:val="auto"/>
                <w:sz w:val="24"/>
                <w:highlight w:val="none"/>
              </w:rPr>
            </w:pPr>
          </w:p>
        </w:tc>
        <w:tc>
          <w:tcPr>
            <w:tcW w:w="1674" w:type="pct"/>
            <w:vMerge w:val="continue"/>
            <w:tcBorders>
              <w:top w:val="single" w:color="auto" w:sz="4" w:space="0"/>
              <w:left w:val="single" w:color="auto" w:sz="4" w:space="0"/>
              <w:bottom w:val="single" w:color="auto" w:sz="4" w:space="0"/>
              <w:right w:val="single" w:color="auto" w:sz="4" w:space="0"/>
            </w:tcBorders>
            <w:vAlign w:val="center"/>
          </w:tcPr>
          <w:p w14:paraId="5319A924">
            <w:pPr>
              <w:jc w:val="left"/>
              <w:rPr>
                <w:rFonts w:hint="eastAsia" w:ascii="宋体" w:hAnsi="宋体"/>
                <w:color w:val="auto"/>
                <w:sz w:val="24"/>
                <w:highlight w:val="none"/>
              </w:rPr>
            </w:pPr>
          </w:p>
        </w:tc>
      </w:tr>
      <w:tr w14:paraId="0A3B5A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250" w:type="pct"/>
            <w:tcBorders>
              <w:top w:val="single" w:color="auto" w:sz="4" w:space="0"/>
              <w:left w:val="single" w:color="auto" w:sz="4" w:space="0"/>
              <w:bottom w:val="single" w:color="auto" w:sz="4" w:space="0"/>
              <w:right w:val="single" w:color="auto" w:sz="4" w:space="0"/>
            </w:tcBorders>
          </w:tcPr>
          <w:p w14:paraId="397BF001">
            <w:pPr>
              <w:snapToGrid w:val="0"/>
              <w:spacing w:line="24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6FC4F616">
            <w:pPr>
              <w:snapToGrid w:val="0"/>
              <w:spacing w:line="24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75AC8225">
            <w:pPr>
              <w:snapToGrid w:val="0"/>
              <w:spacing w:line="240" w:lineRule="exact"/>
              <w:jc w:val="left"/>
              <w:rPr>
                <w:rFonts w:hint="eastAsia"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043BD4F0">
            <w:pPr>
              <w:snapToGrid w:val="0"/>
              <w:spacing w:line="240" w:lineRule="exact"/>
              <w:jc w:val="left"/>
              <w:rPr>
                <w:rFonts w:hint="eastAsia" w:ascii="宋体" w:hAnsi="宋体"/>
                <w:color w:val="auto"/>
                <w:sz w:val="24"/>
                <w:highlight w:val="none"/>
              </w:rPr>
            </w:pPr>
          </w:p>
        </w:tc>
      </w:tr>
      <w:tr w14:paraId="5665D0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tcPr>
          <w:p w14:paraId="07C49A1B">
            <w:pPr>
              <w:snapToGrid w:val="0"/>
              <w:spacing w:before="50" w:after="120" w:afterLines="5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24252366">
            <w:pPr>
              <w:snapToGrid w:val="0"/>
              <w:spacing w:before="50" w:after="120" w:afterLines="5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36169E6C">
            <w:pPr>
              <w:snapToGrid w:val="0"/>
              <w:spacing w:before="50" w:after="120" w:afterLines="50" w:line="400" w:lineRule="exact"/>
              <w:jc w:val="left"/>
              <w:rPr>
                <w:rFonts w:hint="eastAsia"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0CBDA4A1">
            <w:pPr>
              <w:snapToGrid w:val="0"/>
              <w:spacing w:before="50" w:after="120" w:afterLines="50" w:line="400" w:lineRule="exact"/>
              <w:jc w:val="left"/>
              <w:rPr>
                <w:rFonts w:hint="eastAsia" w:ascii="宋体" w:hAnsi="宋体"/>
                <w:color w:val="auto"/>
                <w:sz w:val="24"/>
                <w:highlight w:val="none"/>
              </w:rPr>
            </w:pPr>
          </w:p>
        </w:tc>
      </w:tr>
      <w:tr w14:paraId="20137D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250" w:type="pct"/>
            <w:tcBorders>
              <w:top w:val="single" w:color="auto" w:sz="4" w:space="0"/>
              <w:left w:val="single" w:color="auto" w:sz="4" w:space="0"/>
              <w:bottom w:val="single" w:color="auto" w:sz="4" w:space="0"/>
              <w:right w:val="single" w:color="auto" w:sz="4" w:space="0"/>
            </w:tcBorders>
          </w:tcPr>
          <w:p w14:paraId="140B89E7">
            <w:pPr>
              <w:snapToGrid w:val="0"/>
              <w:spacing w:before="50" w:after="120" w:afterLines="5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4ECAF631">
            <w:pPr>
              <w:snapToGrid w:val="0"/>
              <w:spacing w:before="50" w:after="120" w:afterLines="5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6C5F8CEA">
            <w:pPr>
              <w:snapToGrid w:val="0"/>
              <w:spacing w:before="50" w:after="120" w:afterLines="50" w:line="400" w:lineRule="exact"/>
              <w:jc w:val="left"/>
              <w:rPr>
                <w:rFonts w:hint="eastAsia"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4F55B73C">
            <w:pPr>
              <w:snapToGrid w:val="0"/>
              <w:spacing w:before="50" w:after="120" w:afterLines="50" w:line="400" w:lineRule="exact"/>
              <w:jc w:val="left"/>
              <w:rPr>
                <w:rFonts w:hint="eastAsia" w:ascii="宋体" w:hAnsi="宋体"/>
                <w:color w:val="auto"/>
                <w:sz w:val="24"/>
                <w:highlight w:val="none"/>
              </w:rPr>
            </w:pPr>
          </w:p>
        </w:tc>
      </w:tr>
      <w:tr w14:paraId="0C0D73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tcPr>
          <w:p w14:paraId="09E218A8">
            <w:pPr>
              <w:snapToGrid w:val="0"/>
              <w:spacing w:before="50" w:after="120" w:afterLines="5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151A3584">
            <w:pPr>
              <w:snapToGrid w:val="0"/>
              <w:spacing w:before="50" w:after="120" w:afterLines="5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61055A9F">
            <w:pPr>
              <w:snapToGrid w:val="0"/>
              <w:spacing w:before="50" w:after="120" w:afterLines="50" w:line="400" w:lineRule="exact"/>
              <w:jc w:val="left"/>
              <w:rPr>
                <w:rFonts w:hint="eastAsia"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1D69C686">
            <w:pPr>
              <w:snapToGrid w:val="0"/>
              <w:spacing w:before="50" w:after="120" w:afterLines="50" w:line="400" w:lineRule="exact"/>
              <w:jc w:val="left"/>
              <w:rPr>
                <w:rFonts w:hint="eastAsia" w:ascii="宋体" w:hAnsi="宋体"/>
                <w:color w:val="auto"/>
                <w:sz w:val="24"/>
                <w:highlight w:val="none"/>
              </w:rPr>
            </w:pPr>
          </w:p>
        </w:tc>
      </w:tr>
      <w:tr w14:paraId="6C04DB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tcPr>
          <w:p w14:paraId="73F73037">
            <w:pPr>
              <w:snapToGrid w:val="0"/>
              <w:spacing w:before="50" w:after="120" w:afterLines="5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67039877">
            <w:pPr>
              <w:snapToGrid w:val="0"/>
              <w:spacing w:before="50" w:after="120" w:afterLines="5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39E8CFDD">
            <w:pPr>
              <w:snapToGrid w:val="0"/>
              <w:spacing w:before="50" w:after="120" w:afterLines="50" w:line="400" w:lineRule="exact"/>
              <w:jc w:val="left"/>
              <w:rPr>
                <w:rFonts w:hint="eastAsia"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79F11E76">
            <w:pPr>
              <w:snapToGrid w:val="0"/>
              <w:spacing w:before="50" w:after="120" w:afterLines="50" w:line="400" w:lineRule="exact"/>
              <w:jc w:val="left"/>
              <w:rPr>
                <w:rFonts w:hint="eastAsia" w:ascii="宋体" w:hAnsi="宋体"/>
                <w:color w:val="auto"/>
                <w:sz w:val="24"/>
                <w:highlight w:val="none"/>
              </w:rPr>
            </w:pPr>
          </w:p>
        </w:tc>
      </w:tr>
    </w:tbl>
    <w:p w14:paraId="5E35CFED">
      <w:pPr>
        <w:pStyle w:val="14"/>
        <w:spacing w:before="0" w:after="0" w:line="360" w:lineRule="auto"/>
        <w:contextualSpacing/>
        <w:rPr>
          <w:rFonts w:hint="eastAsia" w:ascii="宋体" w:hAnsi="宋体" w:eastAsia="宋体"/>
          <w:color w:val="auto"/>
          <w:sz w:val="24"/>
          <w:szCs w:val="24"/>
          <w:highlight w:val="none"/>
        </w:rPr>
      </w:pPr>
    </w:p>
    <w:p w14:paraId="434B5FB0">
      <w:pPr>
        <w:pStyle w:val="14"/>
        <w:spacing w:before="0" w:after="0" w:line="360" w:lineRule="auto"/>
        <w:contextualSpacing/>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注：</w:t>
      </w:r>
      <w:r>
        <w:rPr>
          <w:rFonts w:hint="eastAsia" w:ascii="宋体" w:hAnsi="宋体"/>
          <w:color w:val="auto"/>
          <w:sz w:val="24"/>
          <w:highlight w:val="none"/>
        </w:rPr>
        <w:t>投标人根据评标标准具体要求附业绩证明材料。</w:t>
      </w:r>
    </w:p>
    <w:p w14:paraId="3506BD8C">
      <w:pPr>
        <w:pStyle w:val="14"/>
        <w:spacing w:before="0" w:after="0" w:line="360" w:lineRule="auto"/>
        <w:contextualSpacing/>
        <w:jc w:val="left"/>
        <w:rPr>
          <w:rFonts w:hint="eastAsia" w:ascii="宋体" w:hAnsi="宋体" w:eastAsia="宋体"/>
          <w:color w:val="auto"/>
          <w:sz w:val="24"/>
          <w:szCs w:val="24"/>
          <w:highlight w:val="none"/>
          <w:u w:val="single"/>
        </w:rPr>
      </w:pPr>
      <w:r>
        <w:rPr>
          <w:rFonts w:hint="eastAsia" w:ascii="宋体" w:hAnsi="宋体" w:eastAsia="宋体"/>
          <w:color w:val="auto"/>
          <w:sz w:val="24"/>
          <w:szCs w:val="24"/>
          <w:highlight w:val="none"/>
        </w:rPr>
        <w:t>法定代表人或者委托代理人（签字或者电子签名）：</w:t>
      </w:r>
      <w:r>
        <w:rPr>
          <w:rFonts w:hint="eastAsia" w:ascii="宋体" w:hAnsi="宋体" w:eastAsia="宋体"/>
          <w:color w:val="auto"/>
          <w:sz w:val="24"/>
          <w:szCs w:val="24"/>
          <w:highlight w:val="none"/>
          <w:u w:val="single"/>
        </w:rPr>
        <w:t>　　　　　</w:t>
      </w:r>
    </w:p>
    <w:p w14:paraId="56205B0F">
      <w:pPr>
        <w:spacing w:line="360" w:lineRule="auto"/>
        <w:ind w:right="480"/>
        <w:contextualSpacing/>
        <w:jc w:val="left"/>
        <w:rPr>
          <w:rFonts w:hint="eastAsia" w:ascii="宋体" w:hAnsi="宋体"/>
          <w:color w:val="auto"/>
          <w:sz w:val="24"/>
          <w:szCs w:val="20"/>
          <w:highlight w:val="none"/>
        </w:rPr>
      </w:pPr>
      <w:r>
        <w:rPr>
          <w:rFonts w:hint="eastAsia" w:ascii="宋体" w:hAnsi="宋体" w:cs="Arial"/>
          <w:color w:val="auto"/>
          <w:sz w:val="24"/>
          <w:highlight w:val="none"/>
        </w:rPr>
        <w:t>投标人名称（</w:t>
      </w:r>
      <w:r>
        <w:rPr>
          <w:rFonts w:hint="eastAsia" w:ascii="宋体" w:hAnsi="宋体" w:cs="Arial"/>
          <w:color w:val="auto"/>
          <w:sz w:val="24"/>
          <w:highlight w:val="none"/>
          <w:lang w:eastAsia="zh-CN"/>
        </w:rPr>
        <w:t>公章或电子签章</w:t>
      </w:r>
      <w:r>
        <w:rPr>
          <w:rFonts w:hint="eastAsia" w:ascii="宋体" w:hAnsi="宋体" w:cs="Arial"/>
          <w:color w:val="auto"/>
          <w:sz w:val="24"/>
          <w:highlight w:val="non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年    月    日</w:t>
      </w:r>
    </w:p>
    <w:p w14:paraId="6E369C9A">
      <w:pPr>
        <w:snapToGrid w:val="0"/>
        <w:spacing w:before="120" w:beforeLines="50" w:after="50"/>
        <w:jc w:val="left"/>
        <w:rPr>
          <w:rFonts w:ascii="宋体" w:hAnsi="宋体"/>
          <w:color w:val="auto"/>
          <w:sz w:val="24"/>
          <w:szCs w:val="20"/>
          <w:highlight w:val="none"/>
        </w:rPr>
      </w:pPr>
    </w:p>
    <w:p w14:paraId="6DB6261A">
      <w:pPr>
        <w:snapToGrid w:val="0"/>
        <w:spacing w:before="120" w:beforeLines="50" w:after="50"/>
        <w:jc w:val="left"/>
        <w:rPr>
          <w:rFonts w:hint="eastAsia" w:ascii="宋体" w:hAnsi="宋体"/>
          <w:b/>
          <w:color w:val="auto"/>
          <w:sz w:val="28"/>
          <w:szCs w:val="28"/>
          <w:highlight w:val="none"/>
        </w:rPr>
      </w:pPr>
      <w:r>
        <w:rPr>
          <w:rFonts w:ascii="宋体" w:hAnsi="宋体"/>
          <w:color w:val="auto"/>
          <w:sz w:val="24"/>
          <w:szCs w:val="20"/>
          <w:highlight w:val="none"/>
        </w:rPr>
        <w:br w:type="page"/>
      </w:r>
      <w:r>
        <w:rPr>
          <w:rFonts w:hint="eastAsia" w:ascii="宋体" w:hAnsi="宋体"/>
          <w:b/>
          <w:color w:val="auto"/>
          <w:sz w:val="28"/>
          <w:szCs w:val="28"/>
          <w:highlight w:val="none"/>
        </w:rPr>
        <w:t>四、技术文件格式</w:t>
      </w:r>
    </w:p>
    <w:p w14:paraId="51B48AC9">
      <w:pPr>
        <w:snapToGrid w:val="0"/>
        <w:spacing w:before="120" w:beforeLines="50" w:after="50"/>
        <w:ind w:left="142"/>
        <w:jc w:val="left"/>
        <w:rPr>
          <w:rFonts w:hint="eastAsia" w:ascii="宋体" w:hAnsi="宋体"/>
          <w:b/>
          <w:color w:val="auto"/>
          <w:sz w:val="24"/>
          <w:highlight w:val="none"/>
        </w:rPr>
      </w:pPr>
      <w:r>
        <w:rPr>
          <w:rFonts w:hint="eastAsia" w:ascii="宋体" w:hAnsi="宋体"/>
          <w:b/>
          <w:color w:val="auto"/>
          <w:sz w:val="24"/>
          <w:highlight w:val="none"/>
        </w:rPr>
        <w:t xml:space="preserve">1. 技术文件封面格式： </w:t>
      </w:r>
    </w:p>
    <w:p w14:paraId="3EF81DD6">
      <w:pPr>
        <w:snapToGrid w:val="0"/>
        <w:spacing w:before="120" w:beforeLines="50" w:after="50" w:line="360" w:lineRule="auto"/>
        <w:ind w:left="142"/>
        <w:jc w:val="center"/>
        <w:rPr>
          <w:rFonts w:hint="eastAsia" w:ascii="宋体" w:hAnsi="宋体"/>
          <w:bCs/>
          <w:color w:val="auto"/>
          <w:sz w:val="48"/>
          <w:szCs w:val="48"/>
          <w:highlight w:val="none"/>
        </w:rPr>
      </w:pPr>
      <w:r>
        <w:rPr>
          <w:rFonts w:hint="eastAsia" w:ascii="宋体" w:hAnsi="宋体"/>
          <w:bCs/>
          <w:color w:val="auto"/>
          <w:sz w:val="48"/>
          <w:szCs w:val="48"/>
          <w:highlight w:val="none"/>
        </w:rPr>
        <w:t>电子投标文件</w:t>
      </w:r>
    </w:p>
    <w:p w14:paraId="352CF780">
      <w:pPr>
        <w:snapToGrid w:val="0"/>
        <w:spacing w:before="120" w:beforeLines="50" w:after="50"/>
        <w:jc w:val="center"/>
        <w:rPr>
          <w:rFonts w:hint="eastAsia" w:ascii="宋体" w:hAnsi="宋体"/>
          <w:b/>
          <w:bCs/>
          <w:color w:val="auto"/>
          <w:sz w:val="32"/>
          <w:szCs w:val="32"/>
          <w:highlight w:val="none"/>
        </w:rPr>
      </w:pPr>
      <w:r>
        <w:rPr>
          <w:rFonts w:hint="eastAsia" w:ascii="宋体" w:hAnsi="宋体"/>
          <w:b/>
          <w:bCs/>
          <w:color w:val="auto"/>
          <w:sz w:val="32"/>
          <w:szCs w:val="32"/>
          <w:highlight w:val="none"/>
        </w:rPr>
        <w:t>技术文件</w:t>
      </w:r>
    </w:p>
    <w:p w14:paraId="39541EB2">
      <w:pPr>
        <w:snapToGrid w:val="0"/>
        <w:spacing w:before="120" w:beforeLines="50" w:after="50"/>
        <w:rPr>
          <w:rFonts w:hint="eastAsia" w:ascii="宋体" w:hAnsi="宋体"/>
          <w:bCs/>
          <w:color w:val="auto"/>
          <w:sz w:val="24"/>
          <w:szCs w:val="20"/>
          <w:highlight w:val="none"/>
        </w:rPr>
      </w:pPr>
    </w:p>
    <w:p w14:paraId="768FDFAB">
      <w:pPr>
        <w:snapToGrid w:val="0"/>
        <w:spacing w:before="120" w:beforeLines="50" w:after="50" w:line="400" w:lineRule="exact"/>
        <w:ind w:firstLine="360" w:firstLineChars="150"/>
        <w:rPr>
          <w:rFonts w:hint="eastAsia" w:ascii="宋体" w:hAnsi="宋体"/>
          <w:bCs/>
          <w:color w:val="auto"/>
          <w:sz w:val="24"/>
          <w:szCs w:val="20"/>
          <w:highlight w:val="none"/>
        </w:rPr>
      </w:pPr>
      <w:r>
        <w:rPr>
          <w:rFonts w:hint="eastAsia" w:ascii="宋体" w:hAnsi="宋体"/>
          <w:bCs/>
          <w:color w:val="auto"/>
          <w:sz w:val="24"/>
          <w:highlight w:val="none"/>
        </w:rPr>
        <w:t xml:space="preserve">项目名称： </w:t>
      </w:r>
    </w:p>
    <w:p w14:paraId="7400877B">
      <w:pPr>
        <w:snapToGrid w:val="0"/>
        <w:spacing w:before="120"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 xml:space="preserve">项目编号： </w:t>
      </w:r>
    </w:p>
    <w:p w14:paraId="42CFDD61">
      <w:pPr>
        <w:snapToGrid w:val="0"/>
        <w:spacing w:before="120"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投标人名称：</w:t>
      </w:r>
    </w:p>
    <w:p w14:paraId="29A32C66">
      <w:pPr>
        <w:snapToGrid w:val="0"/>
        <w:spacing w:before="120"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投标人地址：</w:t>
      </w:r>
    </w:p>
    <w:p w14:paraId="672B3798">
      <w:pPr>
        <w:snapToGrid w:val="0"/>
        <w:spacing w:before="120" w:beforeLines="50" w:after="50"/>
        <w:ind w:firstLine="645"/>
        <w:jc w:val="center"/>
        <w:rPr>
          <w:rFonts w:hint="eastAsia" w:ascii="宋体" w:hAnsi="宋体"/>
          <w:color w:val="auto"/>
          <w:sz w:val="24"/>
          <w:highlight w:val="none"/>
        </w:rPr>
      </w:pPr>
      <w:r>
        <w:rPr>
          <w:rFonts w:hint="eastAsia" w:ascii="宋体" w:hAnsi="宋体"/>
          <w:color w:val="auto"/>
          <w:sz w:val="24"/>
          <w:highlight w:val="none"/>
        </w:rPr>
        <w:t xml:space="preserve">                        年    月    日</w:t>
      </w:r>
    </w:p>
    <w:p w14:paraId="266C7D03">
      <w:pPr>
        <w:snapToGrid w:val="0"/>
        <w:spacing w:before="120" w:beforeLines="50" w:after="50"/>
        <w:ind w:firstLine="645"/>
        <w:jc w:val="center"/>
        <w:rPr>
          <w:rFonts w:hint="eastAsia" w:ascii="宋体" w:hAnsi="宋体"/>
          <w:color w:val="auto"/>
          <w:sz w:val="24"/>
          <w:szCs w:val="20"/>
          <w:highlight w:val="none"/>
        </w:rPr>
      </w:pPr>
    </w:p>
    <w:p w14:paraId="2F1CE0C7">
      <w:pPr>
        <w:snapToGrid w:val="0"/>
        <w:spacing w:before="120" w:beforeLines="50" w:after="50"/>
        <w:ind w:left="142"/>
        <w:jc w:val="left"/>
        <w:rPr>
          <w:rFonts w:hint="eastAsia" w:ascii="宋体" w:hAnsi="宋体"/>
          <w:b/>
          <w:color w:val="auto"/>
          <w:sz w:val="24"/>
          <w:highlight w:val="none"/>
        </w:rPr>
      </w:pPr>
      <w:r>
        <w:rPr>
          <w:rFonts w:ascii="宋体" w:hAnsi="宋体"/>
          <w:b/>
          <w:bCs/>
          <w:color w:val="auto"/>
          <w:sz w:val="24"/>
          <w:highlight w:val="none"/>
        </w:rPr>
        <w:br w:type="page"/>
      </w:r>
      <w:r>
        <w:rPr>
          <w:rFonts w:hint="eastAsia" w:ascii="宋体" w:hAnsi="宋体"/>
          <w:b/>
          <w:color w:val="auto"/>
          <w:sz w:val="24"/>
          <w:highlight w:val="none"/>
        </w:rPr>
        <w:t>2.技术文件目录</w:t>
      </w:r>
    </w:p>
    <w:p w14:paraId="34A7CFAF">
      <w:pPr>
        <w:snapToGrid w:val="0"/>
        <w:spacing w:before="50" w:after="120" w:afterLines="50" w:line="360" w:lineRule="auto"/>
        <w:ind w:firstLine="560" w:firstLineChars="200"/>
        <w:jc w:val="left"/>
        <w:rPr>
          <w:rFonts w:hint="eastAsia" w:ascii="宋体" w:hAnsi="宋体"/>
          <w:color w:val="auto"/>
          <w:sz w:val="28"/>
          <w:szCs w:val="28"/>
          <w:highlight w:val="none"/>
        </w:rPr>
      </w:pPr>
      <w:r>
        <w:rPr>
          <w:rFonts w:hint="eastAsia" w:ascii="宋体" w:hAnsi="宋体"/>
          <w:color w:val="auto"/>
          <w:sz w:val="28"/>
          <w:szCs w:val="28"/>
          <w:highlight w:val="none"/>
        </w:rPr>
        <w:t>根据招标文件规定及投标人提供的材料自行编写目录。</w:t>
      </w:r>
    </w:p>
    <w:p w14:paraId="15C9E625">
      <w:pPr>
        <w:snapToGrid w:val="0"/>
        <w:spacing w:before="120" w:beforeLines="50" w:after="50"/>
        <w:ind w:left="142"/>
        <w:jc w:val="left"/>
        <w:rPr>
          <w:rFonts w:hint="eastAsia"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3. 技术需求偏离表格式</w:t>
      </w:r>
    </w:p>
    <w:p w14:paraId="2597CC36">
      <w:pPr>
        <w:snapToGrid w:val="0"/>
        <w:spacing w:before="120" w:beforeLines="50" w:after="50"/>
        <w:ind w:left="142"/>
        <w:jc w:val="left"/>
        <w:rPr>
          <w:rFonts w:hint="eastAsia" w:ascii="宋体" w:hAnsi="宋体"/>
          <w:b/>
          <w:color w:val="auto"/>
          <w:sz w:val="24"/>
          <w:highlight w:val="none"/>
        </w:rPr>
      </w:pPr>
    </w:p>
    <w:p w14:paraId="7886FED0">
      <w:pPr>
        <w:spacing w:before="98" w:line="219" w:lineRule="auto"/>
        <w:ind w:left="3999"/>
        <w:rPr>
          <w:rFonts w:ascii="宋体" w:hAnsi="宋体" w:eastAsia="宋体" w:cs="宋体"/>
          <w:color w:val="auto"/>
          <w:sz w:val="30"/>
          <w:szCs w:val="30"/>
          <w:highlight w:val="none"/>
        </w:rPr>
      </w:pPr>
      <w:r>
        <w:rPr>
          <w:rFonts w:ascii="宋体" w:hAnsi="宋体" w:eastAsia="宋体" w:cs="宋体"/>
          <w:b/>
          <w:bCs/>
          <w:color w:val="auto"/>
          <w:spacing w:val="-4"/>
          <w:sz w:val="30"/>
          <w:szCs w:val="30"/>
          <w:highlight w:val="none"/>
        </w:rPr>
        <w:t>技术需求偏离表</w:t>
      </w:r>
    </w:p>
    <w:p w14:paraId="76F8A664">
      <w:pPr>
        <w:spacing w:before="261" w:line="360" w:lineRule="auto"/>
        <w:ind w:left="403" w:right="274" w:firstLine="476"/>
        <w:jc w:val="both"/>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请根据所投服务的实际技术参数，</w:t>
      </w:r>
      <w:r>
        <w:rPr>
          <w:rFonts w:ascii="宋体" w:hAnsi="宋体" w:eastAsia="宋体" w:cs="宋体"/>
          <w:b/>
          <w:bCs/>
          <w:color w:val="auto"/>
          <w:spacing w:val="-4"/>
          <w:sz w:val="28"/>
          <w:szCs w:val="28"/>
          <w:highlight w:val="none"/>
        </w:rPr>
        <w:t>逐条对应</w:t>
      </w:r>
      <w:r>
        <w:rPr>
          <w:rFonts w:ascii="宋体" w:hAnsi="宋体" w:eastAsia="宋体" w:cs="宋体"/>
          <w:color w:val="auto"/>
          <w:spacing w:val="-4"/>
          <w:sz w:val="24"/>
          <w:szCs w:val="24"/>
          <w:highlight w:val="none"/>
        </w:rPr>
        <w:t>本项目招</w:t>
      </w:r>
      <w:r>
        <w:rPr>
          <w:rFonts w:ascii="宋体" w:hAnsi="宋体" w:eastAsia="宋体" w:cs="宋体"/>
          <w:color w:val="auto"/>
          <w:spacing w:val="-5"/>
          <w:sz w:val="24"/>
          <w:szCs w:val="24"/>
          <w:highlight w:val="none"/>
        </w:rPr>
        <w:t>标文件第二章“采购需求</w:t>
      </w:r>
      <w:r>
        <w:rPr>
          <w:rFonts w:ascii="宋体" w:hAnsi="宋体" w:eastAsia="宋体" w:cs="宋体"/>
          <w:color w:val="auto"/>
          <w:spacing w:val="-88"/>
          <w:sz w:val="24"/>
          <w:szCs w:val="24"/>
          <w:highlight w:val="none"/>
        </w:rPr>
        <w:t xml:space="preserve"> </w:t>
      </w:r>
      <w:r>
        <w:rPr>
          <w:rFonts w:ascii="宋体" w:hAnsi="宋体" w:eastAsia="宋体" w:cs="宋体"/>
          <w:color w:val="auto"/>
          <w:spacing w:val="-5"/>
          <w:sz w:val="24"/>
          <w:szCs w:val="24"/>
          <w:highlight w:val="none"/>
        </w:rPr>
        <w:t>”中的</w:t>
      </w:r>
      <w:r>
        <w:rPr>
          <w:rFonts w:ascii="宋体" w:hAnsi="宋体" w:eastAsia="宋体" w:cs="宋体"/>
          <w:b/>
          <w:bCs/>
          <w:color w:val="auto"/>
          <w:spacing w:val="-3"/>
          <w:sz w:val="28"/>
          <w:szCs w:val="28"/>
          <w:highlight w:val="none"/>
        </w:rPr>
        <w:t>服务要求</w:t>
      </w:r>
      <w:r>
        <w:rPr>
          <w:rFonts w:ascii="宋体" w:hAnsi="宋体" w:eastAsia="宋体" w:cs="宋体"/>
          <w:color w:val="auto"/>
          <w:spacing w:val="-3"/>
          <w:sz w:val="24"/>
          <w:szCs w:val="24"/>
          <w:highlight w:val="none"/>
        </w:rPr>
        <w:t>详细填写相应的具体内容。“偏离说明</w:t>
      </w:r>
      <w:r>
        <w:rPr>
          <w:rFonts w:ascii="宋体" w:hAnsi="宋体" w:eastAsia="宋体" w:cs="宋体"/>
          <w:color w:val="auto"/>
          <w:spacing w:val="-83"/>
          <w:sz w:val="24"/>
          <w:szCs w:val="24"/>
          <w:highlight w:val="none"/>
        </w:rPr>
        <w:t xml:space="preserve"> </w:t>
      </w:r>
      <w:r>
        <w:rPr>
          <w:rFonts w:ascii="宋体" w:hAnsi="宋体" w:eastAsia="宋体" w:cs="宋体"/>
          <w:color w:val="auto"/>
          <w:spacing w:val="-3"/>
          <w:sz w:val="24"/>
          <w:szCs w:val="24"/>
          <w:highlight w:val="none"/>
        </w:rPr>
        <w:t>”一栏应当选择“正偏离</w:t>
      </w:r>
      <w:r>
        <w:rPr>
          <w:rFonts w:ascii="宋体" w:hAnsi="宋体" w:eastAsia="宋体" w:cs="宋体"/>
          <w:color w:val="auto"/>
          <w:spacing w:val="-88"/>
          <w:sz w:val="24"/>
          <w:szCs w:val="24"/>
          <w:highlight w:val="none"/>
        </w:rPr>
        <w:t xml:space="preserve"> </w:t>
      </w:r>
      <w:r>
        <w:rPr>
          <w:rFonts w:ascii="宋体" w:hAnsi="宋体" w:eastAsia="宋体" w:cs="宋体"/>
          <w:color w:val="auto"/>
          <w:spacing w:val="-3"/>
          <w:sz w:val="24"/>
          <w:szCs w:val="24"/>
          <w:highlight w:val="none"/>
        </w:rPr>
        <w:t>”、“负偏离</w:t>
      </w:r>
      <w:r>
        <w:rPr>
          <w:rFonts w:ascii="宋体" w:hAnsi="宋体" w:eastAsia="宋体" w:cs="宋体"/>
          <w:color w:val="auto"/>
          <w:spacing w:val="-88"/>
          <w:sz w:val="24"/>
          <w:szCs w:val="24"/>
          <w:highlight w:val="none"/>
        </w:rPr>
        <w:t xml:space="preserve"> </w:t>
      </w:r>
      <w:r>
        <w:rPr>
          <w:rFonts w:ascii="宋体" w:hAnsi="宋体" w:eastAsia="宋体" w:cs="宋体"/>
          <w:color w:val="auto"/>
          <w:spacing w:val="-3"/>
          <w:sz w:val="24"/>
          <w:szCs w:val="24"/>
          <w:highlight w:val="none"/>
        </w:rPr>
        <w:t>”</w:t>
      </w:r>
      <w:r>
        <w:rPr>
          <w:rFonts w:ascii="宋体" w:hAnsi="宋体" w:eastAsia="宋体" w:cs="宋体"/>
          <w:color w:val="auto"/>
          <w:spacing w:val="-4"/>
          <w:sz w:val="24"/>
          <w:szCs w:val="24"/>
          <w:highlight w:val="none"/>
        </w:rPr>
        <w:t>或“无偏离</w:t>
      </w:r>
      <w:r>
        <w:rPr>
          <w:rFonts w:ascii="宋体" w:hAnsi="宋体" w:eastAsia="宋体" w:cs="宋体"/>
          <w:color w:val="auto"/>
          <w:spacing w:val="-88"/>
          <w:sz w:val="24"/>
          <w:szCs w:val="24"/>
          <w:highlight w:val="none"/>
        </w:rPr>
        <w:t xml:space="preserve"> </w:t>
      </w:r>
      <w:r>
        <w:rPr>
          <w:rFonts w:ascii="宋体" w:hAnsi="宋体" w:eastAsia="宋体" w:cs="宋体"/>
          <w:color w:val="auto"/>
          <w:spacing w:val="-4"/>
          <w:sz w:val="24"/>
          <w:szCs w:val="24"/>
          <w:highlight w:val="none"/>
        </w:rPr>
        <w:t>”进行填写。</w:t>
      </w:r>
    </w:p>
    <w:tbl>
      <w:tblPr>
        <w:tblStyle w:val="255"/>
        <w:tblW w:w="1018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9"/>
        <w:gridCol w:w="1259"/>
        <w:gridCol w:w="2309"/>
        <w:gridCol w:w="1515"/>
        <w:gridCol w:w="3295"/>
        <w:gridCol w:w="1172"/>
      </w:tblGrid>
      <w:tr w14:paraId="50DB8E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trPr>
        <w:tc>
          <w:tcPr>
            <w:tcW w:w="639" w:type="dxa"/>
            <w:vMerge w:val="restart"/>
            <w:tcBorders>
              <w:bottom w:val="nil"/>
            </w:tcBorders>
            <w:textDirection w:val="tbRlV"/>
          </w:tcPr>
          <w:p w14:paraId="03E301C8">
            <w:pPr>
              <w:spacing w:line="243" w:lineRule="auto"/>
              <w:rPr>
                <w:rFonts w:ascii="Arial" w:hAnsi="Calibri" w:eastAsia="Times New Roman"/>
                <w:color w:val="auto"/>
                <w:sz w:val="21"/>
                <w:highlight w:val="none"/>
              </w:rPr>
            </w:pPr>
          </w:p>
          <w:p w14:paraId="2EA532F9">
            <w:pPr>
              <w:pStyle w:val="190"/>
              <w:spacing w:before="67" w:line="213" w:lineRule="auto"/>
              <w:ind w:left="112"/>
              <w:rPr>
                <w:color w:val="auto"/>
                <w:sz w:val="20"/>
                <w:szCs w:val="20"/>
                <w:highlight w:val="none"/>
              </w:rPr>
            </w:pPr>
            <w:r>
              <w:rPr>
                <w:color w:val="auto"/>
                <w:spacing w:val="8"/>
                <w:sz w:val="20"/>
                <w:szCs w:val="20"/>
                <w:highlight w:val="none"/>
              </w:rPr>
              <w:t>项</w:t>
            </w:r>
            <w:r>
              <w:rPr>
                <w:color w:val="auto"/>
                <w:spacing w:val="-35"/>
                <w:sz w:val="20"/>
                <w:szCs w:val="20"/>
                <w:highlight w:val="none"/>
              </w:rPr>
              <w:t xml:space="preserve"> </w:t>
            </w:r>
            <w:r>
              <w:rPr>
                <w:color w:val="auto"/>
                <w:spacing w:val="8"/>
                <w:sz w:val="20"/>
                <w:szCs w:val="20"/>
                <w:highlight w:val="none"/>
              </w:rPr>
              <w:t>号</w:t>
            </w:r>
          </w:p>
        </w:tc>
        <w:tc>
          <w:tcPr>
            <w:tcW w:w="3568" w:type="dxa"/>
            <w:gridSpan w:val="2"/>
          </w:tcPr>
          <w:p w14:paraId="7E49D742">
            <w:pPr>
              <w:pStyle w:val="190"/>
              <w:spacing w:before="107" w:line="228" w:lineRule="auto"/>
              <w:ind w:left="1159"/>
              <w:rPr>
                <w:color w:val="auto"/>
                <w:sz w:val="20"/>
                <w:szCs w:val="20"/>
                <w:highlight w:val="none"/>
              </w:rPr>
            </w:pPr>
            <w:r>
              <w:rPr>
                <w:color w:val="auto"/>
                <w:spacing w:val="8"/>
                <w:sz w:val="20"/>
                <w:szCs w:val="20"/>
                <w:highlight w:val="none"/>
              </w:rPr>
              <w:t>招标文件需求</w:t>
            </w:r>
          </w:p>
        </w:tc>
        <w:tc>
          <w:tcPr>
            <w:tcW w:w="4810" w:type="dxa"/>
            <w:gridSpan w:val="2"/>
          </w:tcPr>
          <w:p w14:paraId="6C60733C">
            <w:pPr>
              <w:pStyle w:val="190"/>
              <w:spacing w:before="107" w:line="228" w:lineRule="auto"/>
              <w:ind w:left="1783"/>
              <w:rPr>
                <w:color w:val="auto"/>
                <w:sz w:val="20"/>
                <w:szCs w:val="20"/>
                <w:highlight w:val="none"/>
              </w:rPr>
            </w:pPr>
            <w:r>
              <w:rPr>
                <w:color w:val="auto"/>
                <w:spacing w:val="7"/>
                <w:sz w:val="20"/>
                <w:szCs w:val="20"/>
                <w:highlight w:val="none"/>
              </w:rPr>
              <w:t>投标文件承诺</w:t>
            </w:r>
          </w:p>
        </w:tc>
        <w:tc>
          <w:tcPr>
            <w:tcW w:w="1172" w:type="dxa"/>
            <w:vMerge w:val="restart"/>
            <w:tcBorders>
              <w:bottom w:val="nil"/>
            </w:tcBorders>
          </w:tcPr>
          <w:p w14:paraId="047F09CD">
            <w:pPr>
              <w:pStyle w:val="190"/>
              <w:spacing w:before="249" w:line="228" w:lineRule="auto"/>
              <w:ind w:left="114"/>
              <w:rPr>
                <w:color w:val="auto"/>
                <w:sz w:val="20"/>
                <w:szCs w:val="20"/>
                <w:highlight w:val="none"/>
              </w:rPr>
            </w:pPr>
            <w:r>
              <w:rPr>
                <w:color w:val="auto"/>
                <w:spacing w:val="7"/>
                <w:sz w:val="20"/>
                <w:szCs w:val="20"/>
                <w:highlight w:val="none"/>
              </w:rPr>
              <w:t>偏离说明</w:t>
            </w:r>
          </w:p>
        </w:tc>
      </w:tr>
      <w:tr w14:paraId="6CA292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639" w:type="dxa"/>
            <w:vMerge w:val="continue"/>
            <w:tcBorders>
              <w:top w:val="nil"/>
            </w:tcBorders>
            <w:textDirection w:val="tbRlV"/>
          </w:tcPr>
          <w:p w14:paraId="4C67308F">
            <w:pPr>
              <w:rPr>
                <w:rFonts w:ascii="Arial" w:hAnsi="Calibri" w:eastAsia="Times New Roman"/>
                <w:color w:val="auto"/>
                <w:sz w:val="21"/>
                <w:highlight w:val="none"/>
              </w:rPr>
            </w:pPr>
          </w:p>
        </w:tc>
        <w:tc>
          <w:tcPr>
            <w:tcW w:w="1259" w:type="dxa"/>
          </w:tcPr>
          <w:p w14:paraId="3846AE30">
            <w:pPr>
              <w:pStyle w:val="190"/>
              <w:spacing w:before="31" w:line="217" w:lineRule="auto"/>
              <w:ind w:left="213"/>
              <w:rPr>
                <w:color w:val="auto"/>
                <w:sz w:val="20"/>
                <w:szCs w:val="20"/>
                <w:highlight w:val="none"/>
              </w:rPr>
            </w:pPr>
            <w:r>
              <w:rPr>
                <w:color w:val="auto"/>
                <w:spacing w:val="7"/>
                <w:sz w:val="20"/>
                <w:szCs w:val="20"/>
                <w:highlight w:val="none"/>
              </w:rPr>
              <w:t>标的名称</w:t>
            </w:r>
          </w:p>
        </w:tc>
        <w:tc>
          <w:tcPr>
            <w:tcW w:w="2309" w:type="dxa"/>
          </w:tcPr>
          <w:p w14:paraId="1D9DC978">
            <w:pPr>
              <w:pStyle w:val="190"/>
              <w:spacing w:before="31" w:line="217" w:lineRule="auto"/>
              <w:ind w:left="739"/>
              <w:rPr>
                <w:color w:val="auto"/>
                <w:sz w:val="20"/>
                <w:szCs w:val="20"/>
                <w:highlight w:val="none"/>
              </w:rPr>
            </w:pPr>
            <w:r>
              <w:rPr>
                <w:color w:val="auto"/>
                <w:spacing w:val="7"/>
                <w:sz w:val="20"/>
                <w:szCs w:val="20"/>
                <w:highlight w:val="none"/>
              </w:rPr>
              <w:t>服务要求</w:t>
            </w:r>
          </w:p>
        </w:tc>
        <w:tc>
          <w:tcPr>
            <w:tcW w:w="1515" w:type="dxa"/>
          </w:tcPr>
          <w:p w14:paraId="723E5ED8">
            <w:pPr>
              <w:pStyle w:val="190"/>
              <w:spacing w:before="31" w:line="217" w:lineRule="auto"/>
              <w:ind w:left="344"/>
              <w:rPr>
                <w:color w:val="auto"/>
                <w:sz w:val="20"/>
                <w:szCs w:val="20"/>
                <w:highlight w:val="none"/>
              </w:rPr>
            </w:pPr>
            <w:r>
              <w:rPr>
                <w:color w:val="auto"/>
                <w:spacing w:val="7"/>
                <w:sz w:val="20"/>
                <w:szCs w:val="20"/>
                <w:highlight w:val="none"/>
              </w:rPr>
              <w:t>标的名称</w:t>
            </w:r>
          </w:p>
        </w:tc>
        <w:tc>
          <w:tcPr>
            <w:tcW w:w="3295" w:type="dxa"/>
          </w:tcPr>
          <w:p w14:paraId="180A0759">
            <w:pPr>
              <w:pStyle w:val="190"/>
              <w:spacing w:before="31" w:line="217" w:lineRule="auto"/>
              <w:ind w:left="813"/>
              <w:rPr>
                <w:color w:val="auto"/>
                <w:sz w:val="20"/>
                <w:szCs w:val="20"/>
                <w:highlight w:val="none"/>
              </w:rPr>
            </w:pPr>
            <w:r>
              <w:rPr>
                <w:color w:val="auto"/>
                <w:spacing w:val="8"/>
                <w:sz w:val="20"/>
                <w:szCs w:val="20"/>
                <w:highlight w:val="none"/>
              </w:rPr>
              <w:t>所提供服务的内容</w:t>
            </w:r>
          </w:p>
        </w:tc>
        <w:tc>
          <w:tcPr>
            <w:tcW w:w="1172" w:type="dxa"/>
            <w:vMerge w:val="continue"/>
            <w:tcBorders>
              <w:top w:val="nil"/>
            </w:tcBorders>
          </w:tcPr>
          <w:p w14:paraId="66DFB43E">
            <w:pPr>
              <w:rPr>
                <w:rFonts w:ascii="Arial" w:hAnsi="Calibri" w:eastAsia="Times New Roman"/>
                <w:color w:val="auto"/>
                <w:sz w:val="21"/>
                <w:highlight w:val="none"/>
              </w:rPr>
            </w:pPr>
          </w:p>
        </w:tc>
      </w:tr>
      <w:tr w14:paraId="617444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3" w:hRule="atLeast"/>
        </w:trPr>
        <w:tc>
          <w:tcPr>
            <w:tcW w:w="639" w:type="dxa"/>
          </w:tcPr>
          <w:p w14:paraId="209E3EE3">
            <w:pPr>
              <w:spacing w:line="374" w:lineRule="auto"/>
              <w:rPr>
                <w:rFonts w:ascii="Arial" w:hAnsi="Calibri" w:eastAsia="Times New Roman"/>
                <w:color w:val="auto"/>
                <w:sz w:val="21"/>
                <w:highlight w:val="none"/>
              </w:rPr>
            </w:pPr>
          </w:p>
          <w:p w14:paraId="72A60AE7">
            <w:pPr>
              <w:pStyle w:val="190"/>
              <w:spacing w:before="65" w:line="270" w:lineRule="exact"/>
              <w:ind w:left="130"/>
              <w:rPr>
                <w:color w:val="auto"/>
                <w:sz w:val="20"/>
                <w:szCs w:val="20"/>
                <w:highlight w:val="none"/>
              </w:rPr>
            </w:pPr>
            <w:r>
              <w:rPr>
                <w:color w:val="auto"/>
                <w:position w:val="1"/>
                <w:sz w:val="20"/>
                <w:szCs w:val="20"/>
                <w:highlight w:val="none"/>
              </w:rPr>
              <w:t>1</w:t>
            </w:r>
          </w:p>
        </w:tc>
        <w:tc>
          <w:tcPr>
            <w:tcW w:w="1259" w:type="dxa"/>
          </w:tcPr>
          <w:p w14:paraId="20C5C195">
            <w:pPr>
              <w:spacing w:line="374" w:lineRule="auto"/>
              <w:rPr>
                <w:rFonts w:ascii="Arial" w:hAnsi="Calibri" w:eastAsia="Times New Roman"/>
                <w:color w:val="auto"/>
                <w:sz w:val="21"/>
                <w:highlight w:val="none"/>
              </w:rPr>
            </w:pPr>
          </w:p>
          <w:p w14:paraId="63604D5C">
            <w:pPr>
              <w:pStyle w:val="190"/>
              <w:spacing w:before="65" w:line="324" w:lineRule="exact"/>
              <w:ind w:left="122"/>
              <w:rPr>
                <w:color w:val="auto"/>
                <w:sz w:val="20"/>
                <w:szCs w:val="20"/>
                <w:highlight w:val="none"/>
              </w:rPr>
            </w:pPr>
            <w:r>
              <w:rPr>
                <w:color w:val="auto"/>
                <w:spacing w:val="-2"/>
                <w:position w:val="2"/>
                <w:sz w:val="20"/>
                <w:szCs w:val="20"/>
                <w:highlight w:val="none"/>
              </w:rPr>
              <w:t>……</w:t>
            </w:r>
          </w:p>
        </w:tc>
        <w:tc>
          <w:tcPr>
            <w:tcW w:w="2309" w:type="dxa"/>
          </w:tcPr>
          <w:p w14:paraId="4C125EA0">
            <w:pPr>
              <w:pStyle w:val="190"/>
              <w:spacing w:before="33" w:line="270" w:lineRule="exact"/>
              <w:ind w:left="126"/>
              <w:rPr>
                <w:color w:val="auto"/>
                <w:sz w:val="20"/>
                <w:szCs w:val="20"/>
                <w:highlight w:val="none"/>
              </w:rPr>
            </w:pPr>
            <w:r>
              <w:rPr>
                <w:color w:val="auto"/>
                <w:spacing w:val="-8"/>
                <w:position w:val="1"/>
                <w:sz w:val="20"/>
                <w:szCs w:val="20"/>
                <w:highlight w:val="none"/>
              </w:rPr>
              <w:t>1</w:t>
            </w:r>
            <w:r>
              <w:rPr>
                <w:color w:val="auto"/>
                <w:spacing w:val="16"/>
                <w:position w:val="1"/>
                <w:sz w:val="20"/>
                <w:szCs w:val="20"/>
                <w:highlight w:val="none"/>
              </w:rPr>
              <w:t xml:space="preserve">  </w:t>
            </w:r>
            <w:r>
              <w:rPr>
                <w:color w:val="auto"/>
                <w:spacing w:val="-8"/>
                <w:position w:val="1"/>
                <w:sz w:val="20"/>
                <w:szCs w:val="20"/>
                <w:highlight w:val="none"/>
              </w:rPr>
              <w:t>……</w:t>
            </w:r>
          </w:p>
          <w:p w14:paraId="283C04E3">
            <w:pPr>
              <w:pStyle w:val="190"/>
              <w:spacing w:before="1" w:line="270" w:lineRule="exact"/>
              <w:ind w:left="113"/>
              <w:rPr>
                <w:color w:val="auto"/>
                <w:sz w:val="20"/>
                <w:szCs w:val="20"/>
                <w:highlight w:val="none"/>
              </w:rPr>
            </w:pPr>
            <w:r>
              <w:rPr>
                <w:color w:val="auto"/>
                <w:spacing w:val="-4"/>
                <w:position w:val="1"/>
                <w:sz w:val="20"/>
                <w:szCs w:val="20"/>
                <w:highlight w:val="none"/>
              </w:rPr>
              <w:t>2</w:t>
            </w:r>
            <w:r>
              <w:rPr>
                <w:color w:val="auto"/>
                <w:spacing w:val="17"/>
                <w:position w:val="1"/>
                <w:sz w:val="20"/>
                <w:szCs w:val="20"/>
                <w:highlight w:val="none"/>
              </w:rPr>
              <w:t xml:space="preserve">  </w:t>
            </w:r>
            <w:r>
              <w:rPr>
                <w:color w:val="auto"/>
                <w:spacing w:val="-4"/>
                <w:position w:val="1"/>
                <w:sz w:val="20"/>
                <w:szCs w:val="20"/>
                <w:highlight w:val="none"/>
              </w:rPr>
              <w:t>……</w:t>
            </w:r>
          </w:p>
          <w:p w14:paraId="46F98153">
            <w:pPr>
              <w:pStyle w:val="190"/>
              <w:spacing w:before="1" w:line="268" w:lineRule="exact"/>
              <w:ind w:left="114"/>
              <w:rPr>
                <w:color w:val="auto"/>
                <w:sz w:val="20"/>
                <w:szCs w:val="20"/>
                <w:highlight w:val="none"/>
              </w:rPr>
            </w:pPr>
            <w:r>
              <w:rPr>
                <w:color w:val="auto"/>
                <w:spacing w:val="-4"/>
                <w:position w:val="1"/>
                <w:sz w:val="20"/>
                <w:szCs w:val="20"/>
                <w:highlight w:val="none"/>
              </w:rPr>
              <w:t>3</w:t>
            </w:r>
            <w:r>
              <w:rPr>
                <w:color w:val="auto"/>
                <w:spacing w:val="16"/>
                <w:position w:val="1"/>
                <w:sz w:val="20"/>
                <w:szCs w:val="20"/>
                <w:highlight w:val="none"/>
              </w:rPr>
              <w:t xml:space="preserve">  </w:t>
            </w:r>
            <w:r>
              <w:rPr>
                <w:color w:val="auto"/>
                <w:spacing w:val="-4"/>
                <w:position w:val="1"/>
                <w:sz w:val="20"/>
                <w:szCs w:val="20"/>
                <w:highlight w:val="none"/>
              </w:rPr>
              <w:t>……</w:t>
            </w:r>
          </w:p>
          <w:p w14:paraId="0772FCE5">
            <w:pPr>
              <w:spacing w:before="81" w:line="38" w:lineRule="exact"/>
              <w:ind w:firstLine="123"/>
              <w:rPr>
                <w:rFonts w:ascii="Calibri" w:hAnsi="Calibri" w:eastAsia="Times New Roman"/>
                <w:color w:val="auto"/>
                <w:highlight w:val="none"/>
              </w:rPr>
            </w:pPr>
            <w:r>
              <w:rPr>
                <w:rFonts w:ascii="Calibri" w:hAnsi="Calibri" w:eastAsia="Times New Roman"/>
                <w:color w:val="auto"/>
                <w:highlight w:val="none"/>
              </w:rPr>
              <w:drawing>
                <wp:inline distT="0" distB="0" distL="114300" distR="114300">
                  <wp:extent cx="251460" cy="23495"/>
                  <wp:effectExtent l="0" t="0" r="15240" b="508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9"/>
                          <a:stretch>
                            <a:fillRect/>
                          </a:stretch>
                        </pic:blipFill>
                        <pic:spPr>
                          <a:xfrm>
                            <a:off x="0" y="0"/>
                            <a:ext cx="251460" cy="23495"/>
                          </a:xfrm>
                          <a:prstGeom prst="rect">
                            <a:avLst/>
                          </a:prstGeom>
                          <a:noFill/>
                          <a:ln>
                            <a:noFill/>
                          </a:ln>
                        </pic:spPr>
                      </pic:pic>
                    </a:graphicData>
                  </a:graphic>
                </wp:inline>
              </w:drawing>
            </w:r>
          </w:p>
        </w:tc>
        <w:tc>
          <w:tcPr>
            <w:tcW w:w="1515" w:type="dxa"/>
          </w:tcPr>
          <w:p w14:paraId="794873EF">
            <w:pPr>
              <w:spacing w:line="374" w:lineRule="auto"/>
              <w:rPr>
                <w:rFonts w:ascii="Arial" w:hAnsi="Calibri" w:eastAsia="Times New Roman"/>
                <w:color w:val="auto"/>
                <w:sz w:val="21"/>
                <w:highlight w:val="none"/>
              </w:rPr>
            </w:pPr>
          </w:p>
          <w:p w14:paraId="091E2B54">
            <w:pPr>
              <w:pStyle w:val="190"/>
              <w:spacing w:before="65" w:line="324" w:lineRule="exact"/>
              <w:ind w:left="126"/>
              <w:rPr>
                <w:color w:val="auto"/>
                <w:sz w:val="20"/>
                <w:szCs w:val="20"/>
                <w:highlight w:val="none"/>
              </w:rPr>
            </w:pPr>
            <w:r>
              <w:rPr>
                <w:color w:val="auto"/>
                <w:spacing w:val="-2"/>
                <w:position w:val="2"/>
                <w:sz w:val="20"/>
                <w:szCs w:val="20"/>
                <w:highlight w:val="none"/>
              </w:rPr>
              <w:t>……</w:t>
            </w:r>
          </w:p>
        </w:tc>
        <w:tc>
          <w:tcPr>
            <w:tcW w:w="3295" w:type="dxa"/>
          </w:tcPr>
          <w:p w14:paraId="381CCBDC">
            <w:pPr>
              <w:pStyle w:val="190"/>
              <w:spacing w:before="33" w:line="270" w:lineRule="exact"/>
              <w:ind w:left="130"/>
              <w:rPr>
                <w:color w:val="auto"/>
                <w:sz w:val="20"/>
                <w:szCs w:val="20"/>
                <w:highlight w:val="none"/>
              </w:rPr>
            </w:pPr>
            <w:r>
              <w:rPr>
                <w:color w:val="auto"/>
                <w:spacing w:val="-8"/>
                <w:position w:val="1"/>
                <w:sz w:val="20"/>
                <w:szCs w:val="20"/>
                <w:highlight w:val="none"/>
              </w:rPr>
              <w:t>1</w:t>
            </w:r>
            <w:r>
              <w:rPr>
                <w:color w:val="auto"/>
                <w:spacing w:val="15"/>
                <w:position w:val="1"/>
                <w:sz w:val="20"/>
                <w:szCs w:val="20"/>
                <w:highlight w:val="none"/>
              </w:rPr>
              <w:t xml:space="preserve">  </w:t>
            </w:r>
            <w:r>
              <w:rPr>
                <w:color w:val="auto"/>
                <w:spacing w:val="-8"/>
                <w:position w:val="1"/>
                <w:sz w:val="20"/>
                <w:szCs w:val="20"/>
                <w:highlight w:val="none"/>
              </w:rPr>
              <w:t>……</w:t>
            </w:r>
          </w:p>
          <w:p w14:paraId="382B7B82">
            <w:pPr>
              <w:pStyle w:val="190"/>
              <w:spacing w:before="1" w:line="270" w:lineRule="exact"/>
              <w:ind w:left="117"/>
              <w:rPr>
                <w:color w:val="auto"/>
                <w:sz w:val="20"/>
                <w:szCs w:val="20"/>
                <w:highlight w:val="none"/>
              </w:rPr>
            </w:pPr>
            <w:r>
              <w:rPr>
                <w:color w:val="auto"/>
                <w:spacing w:val="-4"/>
                <w:position w:val="1"/>
                <w:sz w:val="20"/>
                <w:szCs w:val="20"/>
                <w:highlight w:val="none"/>
              </w:rPr>
              <w:t>2</w:t>
            </w:r>
            <w:r>
              <w:rPr>
                <w:color w:val="auto"/>
                <w:spacing w:val="16"/>
                <w:position w:val="1"/>
                <w:sz w:val="20"/>
                <w:szCs w:val="20"/>
                <w:highlight w:val="none"/>
              </w:rPr>
              <w:t xml:space="preserve">  </w:t>
            </w:r>
            <w:r>
              <w:rPr>
                <w:color w:val="auto"/>
                <w:spacing w:val="-4"/>
                <w:position w:val="1"/>
                <w:sz w:val="20"/>
                <w:szCs w:val="20"/>
                <w:highlight w:val="none"/>
              </w:rPr>
              <w:t>……</w:t>
            </w:r>
          </w:p>
          <w:p w14:paraId="581D5867">
            <w:pPr>
              <w:pStyle w:val="190"/>
              <w:spacing w:before="1" w:line="268" w:lineRule="exact"/>
              <w:ind w:left="118"/>
              <w:rPr>
                <w:color w:val="auto"/>
                <w:sz w:val="20"/>
                <w:szCs w:val="20"/>
                <w:highlight w:val="none"/>
              </w:rPr>
            </w:pPr>
            <w:r>
              <w:rPr>
                <w:color w:val="auto"/>
                <w:spacing w:val="-4"/>
                <w:position w:val="1"/>
                <w:sz w:val="20"/>
                <w:szCs w:val="20"/>
                <w:highlight w:val="none"/>
              </w:rPr>
              <w:t>3</w:t>
            </w:r>
            <w:r>
              <w:rPr>
                <w:color w:val="auto"/>
                <w:spacing w:val="15"/>
                <w:position w:val="1"/>
                <w:sz w:val="20"/>
                <w:szCs w:val="20"/>
                <w:highlight w:val="none"/>
              </w:rPr>
              <w:t xml:space="preserve">  </w:t>
            </w:r>
            <w:r>
              <w:rPr>
                <w:color w:val="auto"/>
                <w:spacing w:val="-4"/>
                <w:position w:val="1"/>
                <w:sz w:val="20"/>
                <w:szCs w:val="20"/>
                <w:highlight w:val="none"/>
              </w:rPr>
              <w:t>……</w:t>
            </w:r>
          </w:p>
          <w:p w14:paraId="332A33EA">
            <w:pPr>
              <w:spacing w:before="81" w:line="38" w:lineRule="exact"/>
              <w:ind w:firstLine="127"/>
              <w:rPr>
                <w:rFonts w:ascii="Calibri" w:hAnsi="Calibri" w:eastAsia="Times New Roman"/>
                <w:color w:val="auto"/>
                <w:highlight w:val="none"/>
              </w:rPr>
            </w:pPr>
            <w:r>
              <w:rPr>
                <w:rFonts w:ascii="Calibri" w:hAnsi="Calibri" w:eastAsia="Times New Roman"/>
                <w:color w:val="auto"/>
                <w:highlight w:val="none"/>
              </w:rPr>
              <w:drawing>
                <wp:inline distT="0" distB="0" distL="114300" distR="114300">
                  <wp:extent cx="227330" cy="23495"/>
                  <wp:effectExtent l="0" t="0" r="1270" b="5080"/>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10"/>
                          <a:stretch>
                            <a:fillRect/>
                          </a:stretch>
                        </pic:blipFill>
                        <pic:spPr>
                          <a:xfrm>
                            <a:off x="0" y="0"/>
                            <a:ext cx="227330" cy="23495"/>
                          </a:xfrm>
                          <a:prstGeom prst="rect">
                            <a:avLst/>
                          </a:prstGeom>
                          <a:noFill/>
                          <a:ln>
                            <a:noFill/>
                          </a:ln>
                        </pic:spPr>
                      </pic:pic>
                    </a:graphicData>
                  </a:graphic>
                </wp:inline>
              </w:drawing>
            </w:r>
          </w:p>
        </w:tc>
        <w:tc>
          <w:tcPr>
            <w:tcW w:w="1172" w:type="dxa"/>
          </w:tcPr>
          <w:p w14:paraId="1064F8B7">
            <w:pPr>
              <w:pStyle w:val="190"/>
              <w:spacing w:before="168" w:line="251" w:lineRule="auto"/>
              <w:ind w:left="114" w:right="107" w:firstLine="4"/>
              <w:jc w:val="both"/>
              <w:rPr>
                <w:color w:val="auto"/>
                <w:sz w:val="20"/>
                <w:szCs w:val="20"/>
                <w:highlight w:val="none"/>
              </w:rPr>
            </w:pPr>
            <w:r>
              <w:rPr>
                <w:color w:val="auto"/>
                <w:spacing w:val="-12"/>
                <w:sz w:val="20"/>
                <w:szCs w:val="20"/>
                <w:highlight w:val="none"/>
              </w:rPr>
              <w:t>正偏离（负</w:t>
            </w:r>
            <w:r>
              <w:rPr>
                <w:color w:val="auto"/>
                <w:spacing w:val="35"/>
                <w:sz w:val="20"/>
                <w:szCs w:val="20"/>
                <w:highlight w:val="none"/>
              </w:rPr>
              <w:t>偏离或无</w:t>
            </w:r>
            <w:r>
              <w:rPr>
                <w:color w:val="auto"/>
                <w:spacing w:val="3"/>
                <w:sz w:val="20"/>
                <w:szCs w:val="20"/>
                <w:highlight w:val="none"/>
              </w:rPr>
              <w:t>偏离）</w:t>
            </w:r>
          </w:p>
        </w:tc>
      </w:tr>
      <w:tr w14:paraId="26E4AF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2" w:hRule="atLeast"/>
        </w:trPr>
        <w:tc>
          <w:tcPr>
            <w:tcW w:w="639" w:type="dxa"/>
          </w:tcPr>
          <w:p w14:paraId="73F779B4">
            <w:pPr>
              <w:spacing w:line="372" w:lineRule="auto"/>
              <w:rPr>
                <w:rFonts w:ascii="Arial" w:hAnsi="Calibri" w:eastAsia="Times New Roman"/>
                <w:color w:val="auto"/>
                <w:sz w:val="21"/>
                <w:highlight w:val="none"/>
              </w:rPr>
            </w:pPr>
          </w:p>
          <w:p w14:paraId="431B783E">
            <w:pPr>
              <w:pStyle w:val="190"/>
              <w:spacing w:before="65" w:line="271" w:lineRule="exact"/>
              <w:ind w:left="117"/>
              <w:rPr>
                <w:color w:val="auto"/>
                <w:sz w:val="20"/>
                <w:szCs w:val="20"/>
                <w:highlight w:val="none"/>
              </w:rPr>
            </w:pPr>
            <w:r>
              <w:rPr>
                <w:color w:val="auto"/>
                <w:position w:val="1"/>
                <w:sz w:val="20"/>
                <w:szCs w:val="20"/>
                <w:highlight w:val="none"/>
              </w:rPr>
              <w:t>2</w:t>
            </w:r>
          </w:p>
        </w:tc>
        <w:tc>
          <w:tcPr>
            <w:tcW w:w="1259" w:type="dxa"/>
          </w:tcPr>
          <w:p w14:paraId="184300BE">
            <w:pPr>
              <w:spacing w:line="372" w:lineRule="auto"/>
              <w:rPr>
                <w:rFonts w:ascii="Arial" w:hAnsi="Calibri" w:eastAsia="Times New Roman"/>
                <w:color w:val="auto"/>
                <w:sz w:val="21"/>
                <w:highlight w:val="none"/>
              </w:rPr>
            </w:pPr>
          </w:p>
          <w:p w14:paraId="11A3C12C">
            <w:pPr>
              <w:pStyle w:val="190"/>
              <w:spacing w:before="65" w:line="324" w:lineRule="exact"/>
              <w:ind w:left="122"/>
              <w:rPr>
                <w:color w:val="auto"/>
                <w:sz w:val="20"/>
                <w:szCs w:val="20"/>
                <w:highlight w:val="none"/>
              </w:rPr>
            </w:pPr>
            <w:r>
              <w:rPr>
                <w:color w:val="auto"/>
                <w:spacing w:val="-2"/>
                <w:position w:val="2"/>
                <w:sz w:val="20"/>
                <w:szCs w:val="20"/>
                <w:highlight w:val="none"/>
              </w:rPr>
              <w:t>……</w:t>
            </w:r>
          </w:p>
        </w:tc>
        <w:tc>
          <w:tcPr>
            <w:tcW w:w="2309" w:type="dxa"/>
          </w:tcPr>
          <w:p w14:paraId="428F2764">
            <w:pPr>
              <w:pStyle w:val="190"/>
              <w:spacing w:before="32" w:line="270" w:lineRule="exact"/>
              <w:ind w:left="126"/>
              <w:rPr>
                <w:color w:val="auto"/>
                <w:sz w:val="20"/>
                <w:szCs w:val="20"/>
                <w:highlight w:val="none"/>
              </w:rPr>
            </w:pPr>
            <w:r>
              <w:rPr>
                <w:color w:val="auto"/>
                <w:spacing w:val="-8"/>
                <w:position w:val="1"/>
                <w:sz w:val="20"/>
                <w:szCs w:val="20"/>
                <w:highlight w:val="none"/>
              </w:rPr>
              <w:t>1</w:t>
            </w:r>
            <w:r>
              <w:rPr>
                <w:color w:val="auto"/>
                <w:spacing w:val="16"/>
                <w:position w:val="1"/>
                <w:sz w:val="20"/>
                <w:szCs w:val="20"/>
                <w:highlight w:val="none"/>
              </w:rPr>
              <w:t xml:space="preserve">  </w:t>
            </w:r>
            <w:r>
              <w:rPr>
                <w:color w:val="auto"/>
                <w:spacing w:val="-8"/>
                <w:position w:val="1"/>
                <w:sz w:val="20"/>
                <w:szCs w:val="20"/>
                <w:highlight w:val="none"/>
              </w:rPr>
              <w:t>……</w:t>
            </w:r>
          </w:p>
          <w:p w14:paraId="1004B2D7">
            <w:pPr>
              <w:pStyle w:val="190"/>
              <w:spacing w:before="3" w:line="270" w:lineRule="exact"/>
              <w:ind w:left="113"/>
              <w:rPr>
                <w:color w:val="auto"/>
                <w:sz w:val="20"/>
                <w:szCs w:val="20"/>
                <w:highlight w:val="none"/>
              </w:rPr>
            </w:pPr>
            <w:r>
              <w:rPr>
                <w:color w:val="auto"/>
                <w:spacing w:val="-4"/>
                <w:position w:val="1"/>
                <w:sz w:val="20"/>
                <w:szCs w:val="20"/>
                <w:highlight w:val="none"/>
              </w:rPr>
              <w:t>2</w:t>
            </w:r>
            <w:r>
              <w:rPr>
                <w:color w:val="auto"/>
                <w:spacing w:val="17"/>
                <w:position w:val="1"/>
                <w:sz w:val="20"/>
                <w:szCs w:val="20"/>
                <w:highlight w:val="none"/>
              </w:rPr>
              <w:t xml:space="preserve">  </w:t>
            </w:r>
            <w:r>
              <w:rPr>
                <w:color w:val="auto"/>
                <w:spacing w:val="-4"/>
                <w:position w:val="1"/>
                <w:sz w:val="20"/>
                <w:szCs w:val="20"/>
                <w:highlight w:val="none"/>
              </w:rPr>
              <w:t>……</w:t>
            </w:r>
          </w:p>
          <w:p w14:paraId="7C82069C">
            <w:pPr>
              <w:pStyle w:val="190"/>
              <w:spacing w:before="1" w:line="268" w:lineRule="exact"/>
              <w:ind w:left="114"/>
              <w:rPr>
                <w:color w:val="auto"/>
                <w:sz w:val="20"/>
                <w:szCs w:val="20"/>
                <w:highlight w:val="none"/>
              </w:rPr>
            </w:pPr>
            <w:r>
              <w:rPr>
                <w:color w:val="auto"/>
                <w:spacing w:val="-4"/>
                <w:position w:val="1"/>
                <w:sz w:val="20"/>
                <w:szCs w:val="20"/>
                <w:highlight w:val="none"/>
              </w:rPr>
              <w:t>3</w:t>
            </w:r>
            <w:r>
              <w:rPr>
                <w:color w:val="auto"/>
                <w:spacing w:val="16"/>
                <w:position w:val="1"/>
                <w:sz w:val="20"/>
                <w:szCs w:val="20"/>
                <w:highlight w:val="none"/>
              </w:rPr>
              <w:t xml:space="preserve">  </w:t>
            </w:r>
            <w:r>
              <w:rPr>
                <w:color w:val="auto"/>
                <w:spacing w:val="-4"/>
                <w:position w:val="1"/>
                <w:sz w:val="20"/>
                <w:szCs w:val="20"/>
                <w:highlight w:val="none"/>
              </w:rPr>
              <w:t>……</w:t>
            </w:r>
          </w:p>
          <w:p w14:paraId="44ED0184">
            <w:pPr>
              <w:spacing w:before="81" w:line="37" w:lineRule="exact"/>
              <w:ind w:firstLine="123"/>
              <w:rPr>
                <w:rFonts w:ascii="Calibri" w:hAnsi="Calibri" w:eastAsia="Times New Roman"/>
                <w:color w:val="auto"/>
                <w:highlight w:val="none"/>
              </w:rPr>
            </w:pPr>
            <w:r>
              <w:rPr>
                <w:rFonts w:ascii="Calibri" w:hAnsi="Calibri" w:eastAsia="Times New Roman"/>
                <w:color w:val="auto"/>
                <w:highlight w:val="none"/>
              </w:rPr>
              <w:drawing>
                <wp:inline distT="0" distB="0" distL="114300" distR="114300">
                  <wp:extent cx="251460" cy="23495"/>
                  <wp:effectExtent l="0" t="0" r="15240" b="508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9"/>
                          <a:stretch>
                            <a:fillRect/>
                          </a:stretch>
                        </pic:blipFill>
                        <pic:spPr>
                          <a:xfrm>
                            <a:off x="0" y="0"/>
                            <a:ext cx="251460" cy="23495"/>
                          </a:xfrm>
                          <a:prstGeom prst="rect">
                            <a:avLst/>
                          </a:prstGeom>
                          <a:noFill/>
                          <a:ln>
                            <a:noFill/>
                          </a:ln>
                        </pic:spPr>
                      </pic:pic>
                    </a:graphicData>
                  </a:graphic>
                </wp:inline>
              </w:drawing>
            </w:r>
          </w:p>
        </w:tc>
        <w:tc>
          <w:tcPr>
            <w:tcW w:w="1515" w:type="dxa"/>
          </w:tcPr>
          <w:p w14:paraId="6B48C5FB">
            <w:pPr>
              <w:spacing w:line="372" w:lineRule="auto"/>
              <w:rPr>
                <w:rFonts w:ascii="Arial" w:hAnsi="Calibri" w:eastAsia="Times New Roman"/>
                <w:color w:val="auto"/>
                <w:sz w:val="21"/>
                <w:highlight w:val="none"/>
              </w:rPr>
            </w:pPr>
          </w:p>
          <w:p w14:paraId="3E6D61E5">
            <w:pPr>
              <w:pStyle w:val="190"/>
              <w:spacing w:before="65" w:line="324" w:lineRule="exact"/>
              <w:ind w:left="126"/>
              <w:rPr>
                <w:color w:val="auto"/>
                <w:sz w:val="20"/>
                <w:szCs w:val="20"/>
                <w:highlight w:val="none"/>
              </w:rPr>
            </w:pPr>
            <w:r>
              <w:rPr>
                <w:color w:val="auto"/>
                <w:spacing w:val="-2"/>
                <w:position w:val="2"/>
                <w:sz w:val="20"/>
                <w:szCs w:val="20"/>
                <w:highlight w:val="none"/>
              </w:rPr>
              <w:t>……</w:t>
            </w:r>
          </w:p>
        </w:tc>
        <w:tc>
          <w:tcPr>
            <w:tcW w:w="3295" w:type="dxa"/>
          </w:tcPr>
          <w:p w14:paraId="552F4CD0">
            <w:pPr>
              <w:pStyle w:val="190"/>
              <w:spacing w:before="32" w:line="270" w:lineRule="exact"/>
              <w:ind w:left="130"/>
              <w:rPr>
                <w:color w:val="auto"/>
                <w:sz w:val="20"/>
                <w:szCs w:val="20"/>
                <w:highlight w:val="none"/>
              </w:rPr>
            </w:pPr>
            <w:r>
              <w:rPr>
                <w:color w:val="auto"/>
                <w:spacing w:val="-8"/>
                <w:position w:val="1"/>
                <w:sz w:val="20"/>
                <w:szCs w:val="20"/>
                <w:highlight w:val="none"/>
              </w:rPr>
              <w:t>1</w:t>
            </w:r>
            <w:r>
              <w:rPr>
                <w:color w:val="auto"/>
                <w:spacing w:val="15"/>
                <w:position w:val="1"/>
                <w:sz w:val="20"/>
                <w:szCs w:val="20"/>
                <w:highlight w:val="none"/>
              </w:rPr>
              <w:t xml:space="preserve">  </w:t>
            </w:r>
            <w:r>
              <w:rPr>
                <w:color w:val="auto"/>
                <w:spacing w:val="-8"/>
                <w:position w:val="1"/>
                <w:sz w:val="20"/>
                <w:szCs w:val="20"/>
                <w:highlight w:val="none"/>
              </w:rPr>
              <w:t>……</w:t>
            </w:r>
          </w:p>
          <w:p w14:paraId="5C49CB4A">
            <w:pPr>
              <w:pStyle w:val="190"/>
              <w:spacing w:before="3" w:line="270" w:lineRule="exact"/>
              <w:ind w:left="117"/>
              <w:rPr>
                <w:color w:val="auto"/>
                <w:sz w:val="20"/>
                <w:szCs w:val="20"/>
                <w:highlight w:val="none"/>
              </w:rPr>
            </w:pPr>
            <w:r>
              <w:rPr>
                <w:color w:val="auto"/>
                <w:spacing w:val="-4"/>
                <w:position w:val="1"/>
                <w:sz w:val="20"/>
                <w:szCs w:val="20"/>
                <w:highlight w:val="none"/>
              </w:rPr>
              <w:t>2</w:t>
            </w:r>
            <w:r>
              <w:rPr>
                <w:color w:val="auto"/>
                <w:spacing w:val="16"/>
                <w:position w:val="1"/>
                <w:sz w:val="20"/>
                <w:szCs w:val="20"/>
                <w:highlight w:val="none"/>
              </w:rPr>
              <w:t xml:space="preserve">  </w:t>
            </w:r>
            <w:r>
              <w:rPr>
                <w:color w:val="auto"/>
                <w:spacing w:val="-4"/>
                <w:position w:val="1"/>
                <w:sz w:val="20"/>
                <w:szCs w:val="20"/>
                <w:highlight w:val="none"/>
              </w:rPr>
              <w:t>……</w:t>
            </w:r>
          </w:p>
          <w:p w14:paraId="3EF585B7">
            <w:pPr>
              <w:pStyle w:val="190"/>
              <w:spacing w:before="1" w:line="268" w:lineRule="exact"/>
              <w:ind w:left="118"/>
              <w:rPr>
                <w:color w:val="auto"/>
                <w:sz w:val="20"/>
                <w:szCs w:val="20"/>
                <w:highlight w:val="none"/>
              </w:rPr>
            </w:pPr>
            <w:r>
              <w:rPr>
                <w:color w:val="auto"/>
                <w:spacing w:val="-4"/>
                <w:position w:val="1"/>
                <w:sz w:val="20"/>
                <w:szCs w:val="20"/>
                <w:highlight w:val="none"/>
              </w:rPr>
              <w:t>3</w:t>
            </w:r>
            <w:r>
              <w:rPr>
                <w:color w:val="auto"/>
                <w:spacing w:val="15"/>
                <w:position w:val="1"/>
                <w:sz w:val="20"/>
                <w:szCs w:val="20"/>
                <w:highlight w:val="none"/>
              </w:rPr>
              <w:t xml:space="preserve">  </w:t>
            </w:r>
            <w:r>
              <w:rPr>
                <w:color w:val="auto"/>
                <w:spacing w:val="-4"/>
                <w:position w:val="1"/>
                <w:sz w:val="20"/>
                <w:szCs w:val="20"/>
                <w:highlight w:val="none"/>
              </w:rPr>
              <w:t>……</w:t>
            </w:r>
          </w:p>
          <w:p w14:paraId="30C32F02">
            <w:pPr>
              <w:spacing w:before="81" w:line="37" w:lineRule="exact"/>
              <w:ind w:firstLine="127"/>
              <w:rPr>
                <w:rFonts w:ascii="Calibri" w:hAnsi="Calibri" w:eastAsia="Times New Roman"/>
                <w:color w:val="auto"/>
                <w:highlight w:val="none"/>
              </w:rPr>
            </w:pPr>
            <w:r>
              <w:rPr>
                <w:rFonts w:ascii="Calibri" w:hAnsi="Calibri" w:eastAsia="Times New Roman"/>
                <w:color w:val="auto"/>
                <w:highlight w:val="none"/>
              </w:rPr>
              <w:drawing>
                <wp:inline distT="0" distB="0" distL="114300" distR="114300">
                  <wp:extent cx="227330" cy="23495"/>
                  <wp:effectExtent l="0" t="0" r="1270" b="5080"/>
                  <wp:docPr id="4" name="图片 4"/>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10"/>
                          <a:stretch>
                            <a:fillRect/>
                          </a:stretch>
                        </pic:blipFill>
                        <pic:spPr>
                          <a:xfrm>
                            <a:off x="0" y="0"/>
                            <a:ext cx="227330" cy="23495"/>
                          </a:xfrm>
                          <a:prstGeom prst="rect">
                            <a:avLst/>
                          </a:prstGeom>
                          <a:noFill/>
                          <a:ln>
                            <a:noFill/>
                          </a:ln>
                        </pic:spPr>
                      </pic:pic>
                    </a:graphicData>
                  </a:graphic>
                </wp:inline>
              </w:drawing>
            </w:r>
          </w:p>
        </w:tc>
        <w:tc>
          <w:tcPr>
            <w:tcW w:w="1172" w:type="dxa"/>
          </w:tcPr>
          <w:p w14:paraId="33606324">
            <w:pPr>
              <w:pStyle w:val="190"/>
              <w:spacing w:before="169" w:line="251" w:lineRule="auto"/>
              <w:ind w:left="114" w:right="107" w:firstLine="4"/>
              <w:jc w:val="both"/>
              <w:rPr>
                <w:color w:val="auto"/>
                <w:sz w:val="20"/>
                <w:szCs w:val="20"/>
                <w:highlight w:val="none"/>
              </w:rPr>
            </w:pPr>
            <w:r>
              <w:rPr>
                <w:color w:val="auto"/>
                <w:spacing w:val="-12"/>
                <w:sz w:val="20"/>
                <w:szCs w:val="20"/>
                <w:highlight w:val="none"/>
              </w:rPr>
              <w:t>正偏离（负</w:t>
            </w:r>
            <w:r>
              <w:rPr>
                <w:color w:val="auto"/>
                <w:spacing w:val="35"/>
                <w:sz w:val="20"/>
                <w:szCs w:val="20"/>
                <w:highlight w:val="none"/>
              </w:rPr>
              <w:t>偏离或无</w:t>
            </w:r>
            <w:r>
              <w:rPr>
                <w:color w:val="auto"/>
                <w:spacing w:val="3"/>
                <w:sz w:val="20"/>
                <w:szCs w:val="20"/>
                <w:highlight w:val="none"/>
              </w:rPr>
              <w:t>偏离）</w:t>
            </w:r>
          </w:p>
        </w:tc>
      </w:tr>
      <w:tr w14:paraId="0868C9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639" w:type="dxa"/>
          </w:tcPr>
          <w:p w14:paraId="235F1CE1">
            <w:pPr>
              <w:pStyle w:val="190"/>
              <w:spacing w:before="190" w:line="77" w:lineRule="exact"/>
              <w:ind w:left="120"/>
              <w:rPr>
                <w:color w:val="auto"/>
                <w:sz w:val="20"/>
                <w:szCs w:val="20"/>
                <w:highlight w:val="none"/>
              </w:rPr>
            </w:pPr>
            <w:r>
              <w:rPr>
                <w:color w:val="auto"/>
                <w:spacing w:val="3"/>
                <w:position w:val="1"/>
                <w:sz w:val="20"/>
                <w:szCs w:val="20"/>
                <w:highlight w:val="none"/>
              </w:rPr>
              <w:t>...</w:t>
            </w:r>
          </w:p>
        </w:tc>
        <w:tc>
          <w:tcPr>
            <w:tcW w:w="1259" w:type="dxa"/>
          </w:tcPr>
          <w:p w14:paraId="6BE33D4E">
            <w:pPr>
              <w:rPr>
                <w:rFonts w:ascii="Arial" w:hAnsi="Calibri" w:eastAsia="Times New Roman"/>
                <w:color w:val="auto"/>
                <w:sz w:val="21"/>
                <w:highlight w:val="none"/>
              </w:rPr>
            </w:pPr>
          </w:p>
        </w:tc>
        <w:tc>
          <w:tcPr>
            <w:tcW w:w="2309" w:type="dxa"/>
          </w:tcPr>
          <w:p w14:paraId="7BD9400C">
            <w:pPr>
              <w:rPr>
                <w:rFonts w:ascii="Arial" w:hAnsi="Calibri" w:eastAsia="Times New Roman"/>
                <w:color w:val="auto"/>
                <w:sz w:val="21"/>
                <w:highlight w:val="none"/>
              </w:rPr>
            </w:pPr>
          </w:p>
        </w:tc>
        <w:tc>
          <w:tcPr>
            <w:tcW w:w="1515" w:type="dxa"/>
          </w:tcPr>
          <w:p w14:paraId="163B35EA">
            <w:pPr>
              <w:rPr>
                <w:rFonts w:ascii="Arial" w:hAnsi="Calibri" w:eastAsia="Times New Roman"/>
                <w:color w:val="auto"/>
                <w:sz w:val="21"/>
                <w:highlight w:val="none"/>
              </w:rPr>
            </w:pPr>
          </w:p>
        </w:tc>
        <w:tc>
          <w:tcPr>
            <w:tcW w:w="3295" w:type="dxa"/>
          </w:tcPr>
          <w:p w14:paraId="55DB597E">
            <w:pPr>
              <w:rPr>
                <w:rFonts w:ascii="Arial" w:hAnsi="Calibri" w:eastAsia="Times New Roman"/>
                <w:color w:val="auto"/>
                <w:sz w:val="21"/>
                <w:highlight w:val="none"/>
              </w:rPr>
            </w:pPr>
          </w:p>
        </w:tc>
        <w:tc>
          <w:tcPr>
            <w:tcW w:w="1172" w:type="dxa"/>
          </w:tcPr>
          <w:p w14:paraId="18FB7F80">
            <w:pPr>
              <w:rPr>
                <w:rFonts w:ascii="Arial" w:hAnsi="Calibri" w:eastAsia="Times New Roman"/>
                <w:color w:val="auto"/>
                <w:sz w:val="21"/>
                <w:highlight w:val="none"/>
              </w:rPr>
            </w:pPr>
          </w:p>
        </w:tc>
      </w:tr>
      <w:tr w14:paraId="5EA187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7" w:hRule="atLeast"/>
        </w:trPr>
        <w:tc>
          <w:tcPr>
            <w:tcW w:w="10189" w:type="dxa"/>
            <w:gridSpan w:val="6"/>
          </w:tcPr>
          <w:p w14:paraId="7B49D09C">
            <w:pPr>
              <w:spacing w:line="257" w:lineRule="auto"/>
              <w:rPr>
                <w:rFonts w:ascii="Arial" w:hAnsi="Calibri" w:eastAsia="Times New Roman"/>
                <w:color w:val="auto"/>
                <w:sz w:val="21"/>
                <w:highlight w:val="none"/>
              </w:rPr>
            </w:pPr>
          </w:p>
          <w:p w14:paraId="5B83F6B0">
            <w:pPr>
              <w:pStyle w:val="190"/>
              <w:tabs>
                <w:tab w:val="left" w:pos="525"/>
              </w:tabs>
              <w:spacing w:before="65" w:line="228" w:lineRule="auto"/>
              <w:ind w:left="106"/>
              <w:rPr>
                <w:color w:val="auto"/>
                <w:sz w:val="20"/>
                <w:szCs w:val="20"/>
                <w:highlight w:val="none"/>
              </w:rPr>
            </w:pPr>
            <w:r>
              <w:rPr>
                <w:color w:val="auto"/>
                <w:sz w:val="20"/>
                <w:szCs w:val="20"/>
                <w:highlight w:val="none"/>
                <w:u w:val="single" w:color="auto"/>
              </w:rPr>
              <w:tab/>
            </w:r>
            <w:r>
              <w:rPr>
                <w:color w:val="auto"/>
                <w:spacing w:val="-83"/>
                <w:sz w:val="20"/>
                <w:szCs w:val="20"/>
                <w:highlight w:val="none"/>
              </w:rPr>
              <w:t xml:space="preserve"> </w:t>
            </w:r>
            <w:r>
              <w:rPr>
                <w:color w:val="auto"/>
                <w:spacing w:val="9"/>
                <w:sz w:val="20"/>
                <w:szCs w:val="20"/>
                <w:highlight w:val="none"/>
              </w:rPr>
              <w:t>分标（此处有分标时填写具体分标号，无分标时填写“无</w:t>
            </w:r>
            <w:r>
              <w:rPr>
                <w:color w:val="auto"/>
                <w:spacing w:val="-70"/>
                <w:sz w:val="20"/>
                <w:szCs w:val="20"/>
                <w:highlight w:val="none"/>
              </w:rPr>
              <w:t xml:space="preserve"> </w:t>
            </w:r>
            <w:r>
              <w:rPr>
                <w:color w:val="auto"/>
                <w:spacing w:val="9"/>
                <w:sz w:val="20"/>
                <w:szCs w:val="20"/>
                <w:highlight w:val="none"/>
              </w:rPr>
              <w:t>”）</w:t>
            </w:r>
          </w:p>
        </w:tc>
      </w:tr>
    </w:tbl>
    <w:p w14:paraId="35AC5C62">
      <w:pPr>
        <w:spacing w:before="32" w:line="232" w:lineRule="auto"/>
        <w:ind w:left="400"/>
        <w:rPr>
          <w:rFonts w:ascii="宋体" w:hAnsi="宋体" w:eastAsia="宋体" w:cs="宋体"/>
          <w:color w:val="auto"/>
          <w:sz w:val="20"/>
          <w:szCs w:val="20"/>
          <w:highlight w:val="none"/>
        </w:rPr>
      </w:pPr>
      <w:r>
        <w:rPr>
          <w:rFonts w:ascii="宋体" w:hAnsi="宋体" w:eastAsia="宋体" w:cs="宋体"/>
          <w:color w:val="auto"/>
          <w:sz w:val="20"/>
          <w:szCs w:val="20"/>
          <w:highlight w:val="none"/>
        </w:rPr>
        <w:t>注：</w:t>
      </w:r>
    </w:p>
    <w:p w14:paraId="3E34D51D">
      <w:pPr>
        <w:spacing w:before="156" w:line="227" w:lineRule="auto"/>
        <w:ind w:left="416"/>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1.表格内容均需按要求填写并盖章，不得留空，否则按投标无效处理。</w:t>
      </w:r>
    </w:p>
    <w:p w14:paraId="74BBC718">
      <w:pPr>
        <w:spacing w:before="162" w:line="302" w:lineRule="auto"/>
        <w:ind w:left="400" w:right="393" w:firstLine="2"/>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2.如招标文件需求中出现小于或大于某个数值标准时，投标文</w:t>
      </w:r>
      <w:r>
        <w:rPr>
          <w:rFonts w:ascii="宋体" w:hAnsi="宋体" w:eastAsia="宋体" w:cs="宋体"/>
          <w:color w:val="auto"/>
          <w:spacing w:val="8"/>
          <w:sz w:val="20"/>
          <w:szCs w:val="20"/>
          <w:highlight w:val="none"/>
        </w:rPr>
        <w:t>件不得直接复制招标文件需求，投标文件</w:t>
      </w:r>
      <w:r>
        <w:rPr>
          <w:rFonts w:ascii="宋体" w:hAnsi="宋体" w:eastAsia="宋体" w:cs="宋体"/>
          <w:color w:val="auto"/>
          <w:spacing w:val="9"/>
          <w:sz w:val="20"/>
          <w:szCs w:val="20"/>
          <w:highlight w:val="none"/>
        </w:rPr>
        <w:t>承诺内容应当写明投标具体参数，否则按投标无效处理。</w:t>
      </w:r>
    </w:p>
    <w:p w14:paraId="0AA98B22">
      <w:pPr>
        <w:spacing w:before="163" w:line="227" w:lineRule="auto"/>
        <w:ind w:left="405"/>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3.当投标文件的服务内容低于招标文件要求时，投标人应</w:t>
      </w:r>
      <w:r>
        <w:rPr>
          <w:rFonts w:ascii="宋体" w:hAnsi="宋体" w:eastAsia="宋体" w:cs="宋体"/>
          <w:color w:val="auto"/>
          <w:spacing w:val="8"/>
          <w:sz w:val="20"/>
          <w:szCs w:val="20"/>
          <w:highlight w:val="none"/>
        </w:rPr>
        <w:t>当如实写明“负偏离</w:t>
      </w:r>
      <w:r>
        <w:rPr>
          <w:rFonts w:ascii="宋体" w:hAnsi="宋体" w:eastAsia="宋体" w:cs="宋体"/>
          <w:color w:val="auto"/>
          <w:spacing w:val="-70"/>
          <w:sz w:val="20"/>
          <w:szCs w:val="20"/>
          <w:highlight w:val="none"/>
        </w:rPr>
        <w:t xml:space="preserve"> </w:t>
      </w:r>
      <w:r>
        <w:rPr>
          <w:rFonts w:ascii="宋体" w:hAnsi="宋体" w:eastAsia="宋体" w:cs="宋体"/>
          <w:color w:val="auto"/>
          <w:spacing w:val="8"/>
          <w:sz w:val="20"/>
          <w:szCs w:val="20"/>
          <w:highlight w:val="none"/>
        </w:rPr>
        <w:t>”，否则视为虚假应标。</w:t>
      </w:r>
    </w:p>
    <w:p w14:paraId="6162A58F">
      <w:pPr>
        <w:spacing w:before="162" w:line="227" w:lineRule="auto"/>
        <w:ind w:left="400"/>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4.采购需求中带“▲</w:t>
      </w:r>
      <w:r>
        <w:rPr>
          <w:rFonts w:ascii="宋体" w:hAnsi="宋体" w:eastAsia="宋体" w:cs="宋体"/>
          <w:color w:val="auto"/>
          <w:spacing w:val="-69"/>
          <w:sz w:val="20"/>
          <w:szCs w:val="20"/>
          <w:highlight w:val="none"/>
        </w:rPr>
        <w:t xml:space="preserve"> </w:t>
      </w:r>
      <w:r>
        <w:rPr>
          <w:rFonts w:ascii="宋体" w:hAnsi="宋体" w:eastAsia="宋体" w:cs="宋体"/>
          <w:color w:val="auto"/>
          <w:spacing w:val="4"/>
          <w:sz w:val="20"/>
          <w:szCs w:val="20"/>
          <w:highlight w:val="none"/>
        </w:rPr>
        <w:t>”及“★</w:t>
      </w:r>
      <w:r>
        <w:rPr>
          <w:rFonts w:ascii="宋体" w:hAnsi="宋体" w:eastAsia="宋体" w:cs="宋体"/>
          <w:color w:val="auto"/>
          <w:spacing w:val="-73"/>
          <w:sz w:val="20"/>
          <w:szCs w:val="20"/>
          <w:highlight w:val="none"/>
        </w:rPr>
        <w:t xml:space="preserve"> </w:t>
      </w:r>
      <w:r>
        <w:rPr>
          <w:rFonts w:ascii="宋体" w:hAnsi="宋体" w:eastAsia="宋体" w:cs="宋体"/>
          <w:color w:val="auto"/>
          <w:spacing w:val="4"/>
          <w:sz w:val="20"/>
          <w:szCs w:val="20"/>
          <w:highlight w:val="none"/>
        </w:rPr>
        <w:t>”的条款，也要分别在本表“服务要求</w:t>
      </w:r>
      <w:r>
        <w:rPr>
          <w:rFonts w:ascii="宋体" w:hAnsi="宋体" w:eastAsia="宋体" w:cs="宋体"/>
          <w:color w:val="auto"/>
          <w:spacing w:val="-70"/>
          <w:sz w:val="20"/>
          <w:szCs w:val="20"/>
          <w:highlight w:val="none"/>
        </w:rPr>
        <w:t xml:space="preserve"> </w:t>
      </w:r>
      <w:r>
        <w:rPr>
          <w:rFonts w:ascii="宋体" w:hAnsi="宋体" w:eastAsia="宋体" w:cs="宋体"/>
          <w:color w:val="auto"/>
          <w:spacing w:val="4"/>
          <w:sz w:val="20"/>
          <w:szCs w:val="20"/>
          <w:highlight w:val="none"/>
        </w:rPr>
        <w:t>”、“所提供</w:t>
      </w:r>
      <w:r>
        <w:rPr>
          <w:rFonts w:ascii="宋体" w:hAnsi="宋体" w:eastAsia="宋体" w:cs="宋体"/>
          <w:color w:val="auto"/>
          <w:spacing w:val="3"/>
          <w:sz w:val="20"/>
          <w:szCs w:val="20"/>
          <w:highlight w:val="none"/>
        </w:rPr>
        <w:t>服务的内容</w:t>
      </w:r>
      <w:r>
        <w:rPr>
          <w:rFonts w:ascii="宋体" w:hAnsi="宋体" w:eastAsia="宋体" w:cs="宋体"/>
          <w:color w:val="auto"/>
          <w:spacing w:val="-70"/>
          <w:sz w:val="20"/>
          <w:szCs w:val="20"/>
          <w:highlight w:val="none"/>
        </w:rPr>
        <w:t xml:space="preserve"> </w:t>
      </w:r>
      <w:r>
        <w:rPr>
          <w:rFonts w:ascii="宋体" w:hAnsi="宋体" w:eastAsia="宋体" w:cs="宋体"/>
          <w:color w:val="auto"/>
          <w:spacing w:val="3"/>
          <w:sz w:val="20"/>
          <w:szCs w:val="20"/>
          <w:highlight w:val="none"/>
        </w:rPr>
        <w:t>”中标记。</w:t>
      </w:r>
    </w:p>
    <w:p w14:paraId="26AEAB40">
      <w:pPr>
        <w:spacing w:line="283" w:lineRule="auto"/>
        <w:rPr>
          <w:rFonts w:ascii="Arial"/>
          <w:color w:val="auto"/>
          <w:sz w:val="21"/>
          <w:highlight w:val="none"/>
        </w:rPr>
      </w:pPr>
    </w:p>
    <w:p w14:paraId="021C51D6">
      <w:pPr>
        <w:spacing w:line="284" w:lineRule="auto"/>
        <w:rPr>
          <w:rFonts w:ascii="Arial"/>
          <w:color w:val="auto"/>
          <w:sz w:val="21"/>
          <w:highlight w:val="none"/>
        </w:rPr>
      </w:pPr>
    </w:p>
    <w:p w14:paraId="1FDE20A6">
      <w:pPr>
        <w:spacing w:line="360" w:lineRule="auto"/>
        <w:contextualSpacing/>
        <w:jc w:val="right"/>
        <w:rPr>
          <w:rFonts w:hint="eastAsia" w:ascii="宋体" w:hAnsi="宋体" w:eastAsia="宋体" w:cs="Times New Roman"/>
          <w:color w:val="auto"/>
          <w:spacing w:val="20"/>
          <w:sz w:val="24"/>
          <w:highlight w:val="none"/>
          <w:lang w:eastAsia="zh-CN"/>
        </w:rPr>
      </w:pPr>
      <w:r>
        <w:rPr>
          <w:rFonts w:hint="eastAsia" w:ascii="宋体" w:hAnsi="宋体" w:eastAsia="宋体" w:cs="Times New Roman"/>
          <w:color w:val="auto"/>
          <w:spacing w:val="20"/>
          <w:sz w:val="24"/>
          <w:highlight w:val="none"/>
          <w:lang w:eastAsia="zh-CN"/>
        </w:rPr>
        <w:t>投标人名称（公章或电子签章）：</w:t>
      </w:r>
    </w:p>
    <w:p w14:paraId="2DCE20E3">
      <w:pPr>
        <w:spacing w:line="360" w:lineRule="auto"/>
        <w:contextualSpacing/>
        <w:jc w:val="right"/>
        <w:rPr>
          <w:rFonts w:hint="eastAsia" w:ascii="宋体" w:hAnsi="宋体" w:eastAsia="宋体" w:cs="Times New Roman"/>
          <w:color w:val="auto"/>
          <w:spacing w:val="20"/>
          <w:sz w:val="24"/>
          <w:highlight w:val="none"/>
          <w:lang w:eastAsia="zh-CN"/>
        </w:rPr>
      </w:pPr>
      <w:r>
        <w:rPr>
          <w:rFonts w:hint="eastAsia" w:ascii="宋体" w:hAnsi="宋体" w:eastAsia="宋体" w:cs="Times New Roman"/>
          <w:color w:val="auto"/>
          <w:spacing w:val="20"/>
          <w:sz w:val="24"/>
          <w:highlight w:val="none"/>
          <w:lang w:eastAsia="zh-CN"/>
        </w:rPr>
        <w:t>日期：  年  月   日</w:t>
      </w:r>
    </w:p>
    <w:p w14:paraId="58E469E1">
      <w:pPr>
        <w:snapToGrid w:val="0"/>
        <w:spacing w:before="50" w:after="50" w:line="360" w:lineRule="auto"/>
        <w:rPr>
          <w:rFonts w:hint="eastAsia" w:ascii="宋体" w:hAnsi="宋体"/>
          <w:color w:val="auto"/>
          <w:sz w:val="24"/>
          <w:szCs w:val="20"/>
          <w:highlight w:val="none"/>
        </w:rPr>
      </w:pPr>
    </w:p>
    <w:p w14:paraId="2561E72D">
      <w:pPr>
        <w:snapToGrid w:val="0"/>
        <w:spacing w:before="120" w:beforeLines="50" w:after="50"/>
        <w:ind w:left="142"/>
        <w:jc w:val="left"/>
        <w:rPr>
          <w:rFonts w:hint="eastAsia"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4. 项目实施人员一览表格式</w:t>
      </w:r>
    </w:p>
    <w:p w14:paraId="6FF61713">
      <w:pPr>
        <w:snapToGrid w:val="0"/>
        <w:spacing w:before="120" w:beforeLines="50" w:after="50"/>
        <w:ind w:left="142"/>
        <w:jc w:val="left"/>
        <w:rPr>
          <w:rFonts w:hint="eastAsia" w:ascii="宋体" w:hAnsi="宋体"/>
          <w:b/>
          <w:color w:val="auto"/>
          <w:sz w:val="24"/>
          <w:highlight w:val="none"/>
        </w:rPr>
      </w:pPr>
    </w:p>
    <w:p w14:paraId="7520C0A8">
      <w:pPr>
        <w:snapToGrid w:val="0"/>
        <w:spacing w:before="120" w:beforeLines="50" w:after="50"/>
        <w:ind w:left="142"/>
        <w:jc w:val="center"/>
        <w:rPr>
          <w:rFonts w:hint="eastAsia" w:ascii="宋体" w:hAnsi="宋体"/>
          <w:b/>
          <w:color w:val="auto"/>
          <w:sz w:val="32"/>
          <w:szCs w:val="32"/>
          <w:highlight w:val="none"/>
        </w:rPr>
      </w:pPr>
      <w:r>
        <w:rPr>
          <w:rFonts w:hint="eastAsia" w:ascii="宋体" w:hAnsi="宋体"/>
          <w:b/>
          <w:color w:val="auto"/>
          <w:sz w:val="32"/>
          <w:szCs w:val="32"/>
          <w:highlight w:val="none"/>
        </w:rPr>
        <w:t>项目实施人员一览表</w:t>
      </w:r>
    </w:p>
    <w:p w14:paraId="6D64EB6C">
      <w:pPr>
        <w:pStyle w:val="25"/>
        <w:rPr>
          <w:rFonts w:hint="eastAsia" w:hAnsi="宋体"/>
          <w:color w:val="auto"/>
          <w:sz w:val="24"/>
          <w:szCs w:val="24"/>
          <w:highlight w:val="none"/>
        </w:rPr>
      </w:pPr>
    </w:p>
    <w:tbl>
      <w:tblPr>
        <w:tblStyle w:val="48"/>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2835"/>
        <w:gridCol w:w="1701"/>
        <w:gridCol w:w="1698"/>
        <w:gridCol w:w="1137"/>
      </w:tblGrid>
      <w:tr w14:paraId="37B47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9306963">
            <w:pPr>
              <w:snapToGrid w:val="0"/>
              <w:spacing w:before="50" w:after="120" w:afterLines="50"/>
              <w:jc w:val="center"/>
              <w:rPr>
                <w:rFonts w:hint="eastAsia" w:ascii="宋体" w:hAnsi="宋体"/>
                <w:color w:val="auto"/>
                <w:sz w:val="24"/>
                <w:szCs w:val="20"/>
                <w:highlight w:val="none"/>
              </w:rPr>
            </w:pPr>
            <w:r>
              <w:rPr>
                <w:rFonts w:hint="eastAsia" w:ascii="宋体" w:hAnsi="宋体"/>
                <w:color w:val="auto"/>
                <w:sz w:val="24"/>
                <w:szCs w:val="20"/>
                <w:highlight w:val="none"/>
              </w:rPr>
              <w:t>姓名</w:t>
            </w:r>
          </w:p>
        </w:tc>
        <w:tc>
          <w:tcPr>
            <w:tcW w:w="709" w:type="dxa"/>
            <w:vAlign w:val="center"/>
          </w:tcPr>
          <w:p w14:paraId="6B18A430">
            <w:pPr>
              <w:snapToGrid w:val="0"/>
              <w:spacing w:before="50" w:after="120" w:afterLines="50"/>
              <w:jc w:val="center"/>
              <w:rPr>
                <w:rFonts w:hint="eastAsia" w:ascii="宋体" w:hAnsi="宋体"/>
                <w:color w:val="auto"/>
                <w:sz w:val="24"/>
                <w:szCs w:val="20"/>
                <w:highlight w:val="none"/>
              </w:rPr>
            </w:pPr>
            <w:r>
              <w:rPr>
                <w:rFonts w:hint="eastAsia" w:ascii="宋体" w:hAnsi="宋体"/>
                <w:color w:val="auto"/>
                <w:sz w:val="24"/>
                <w:szCs w:val="20"/>
                <w:highlight w:val="none"/>
              </w:rPr>
              <w:t>本项目中的职责</w:t>
            </w:r>
          </w:p>
        </w:tc>
        <w:tc>
          <w:tcPr>
            <w:tcW w:w="2835" w:type="dxa"/>
            <w:vAlign w:val="center"/>
          </w:tcPr>
          <w:p w14:paraId="17D52A25">
            <w:pPr>
              <w:snapToGrid w:val="0"/>
              <w:spacing w:before="50" w:after="120" w:afterLines="50"/>
              <w:jc w:val="center"/>
              <w:rPr>
                <w:rFonts w:hint="eastAsia" w:ascii="宋体" w:hAnsi="宋体"/>
                <w:color w:val="auto"/>
                <w:sz w:val="24"/>
                <w:szCs w:val="20"/>
                <w:highlight w:val="none"/>
              </w:rPr>
            </w:pPr>
            <w:r>
              <w:rPr>
                <w:rFonts w:hint="eastAsia" w:ascii="宋体" w:hAnsi="宋体"/>
                <w:color w:val="auto"/>
                <w:sz w:val="24"/>
                <w:szCs w:val="20"/>
                <w:highlight w:val="none"/>
              </w:rPr>
              <w:t>专业技术资格（职称）或者职业资格或者执业资格证或者其他证书</w:t>
            </w:r>
          </w:p>
        </w:tc>
        <w:tc>
          <w:tcPr>
            <w:tcW w:w="1701" w:type="dxa"/>
            <w:vAlign w:val="center"/>
          </w:tcPr>
          <w:p w14:paraId="4B6B3B06">
            <w:pPr>
              <w:snapToGrid w:val="0"/>
              <w:spacing w:before="50" w:after="120" w:afterLines="50"/>
              <w:jc w:val="center"/>
              <w:rPr>
                <w:rFonts w:hint="eastAsia" w:ascii="宋体" w:hAnsi="宋体"/>
                <w:color w:val="auto"/>
                <w:sz w:val="24"/>
                <w:szCs w:val="20"/>
                <w:highlight w:val="none"/>
              </w:rPr>
            </w:pPr>
            <w:r>
              <w:rPr>
                <w:rFonts w:hint="eastAsia" w:ascii="宋体" w:hAnsi="宋体"/>
                <w:color w:val="auto"/>
                <w:sz w:val="24"/>
                <w:szCs w:val="20"/>
                <w:highlight w:val="none"/>
              </w:rPr>
              <w:t>证书编号</w:t>
            </w:r>
          </w:p>
        </w:tc>
        <w:tc>
          <w:tcPr>
            <w:tcW w:w="1698" w:type="dxa"/>
            <w:vAlign w:val="center"/>
          </w:tcPr>
          <w:p w14:paraId="7D22394E">
            <w:pPr>
              <w:snapToGrid w:val="0"/>
              <w:spacing w:before="50" w:after="120" w:afterLines="50"/>
              <w:jc w:val="center"/>
              <w:rPr>
                <w:rFonts w:hint="eastAsia" w:ascii="宋体" w:hAnsi="宋体"/>
                <w:color w:val="auto"/>
                <w:sz w:val="24"/>
                <w:szCs w:val="20"/>
                <w:highlight w:val="none"/>
              </w:rPr>
            </w:pPr>
            <w:r>
              <w:rPr>
                <w:rFonts w:hint="eastAsia" w:ascii="宋体" w:hAnsi="宋体"/>
                <w:color w:val="auto"/>
                <w:sz w:val="24"/>
                <w:szCs w:val="20"/>
                <w:highlight w:val="none"/>
              </w:rPr>
              <w:t>参加本单位</w:t>
            </w:r>
          </w:p>
          <w:p w14:paraId="3F42DC97">
            <w:pPr>
              <w:snapToGrid w:val="0"/>
              <w:spacing w:before="50" w:after="120" w:afterLines="50"/>
              <w:jc w:val="center"/>
              <w:rPr>
                <w:rFonts w:hint="eastAsia" w:ascii="宋体" w:hAnsi="宋体"/>
                <w:color w:val="auto"/>
                <w:sz w:val="24"/>
                <w:szCs w:val="20"/>
                <w:highlight w:val="none"/>
              </w:rPr>
            </w:pPr>
            <w:r>
              <w:rPr>
                <w:rFonts w:hint="eastAsia" w:ascii="宋体" w:hAnsi="宋体"/>
                <w:color w:val="auto"/>
                <w:sz w:val="24"/>
                <w:szCs w:val="20"/>
                <w:highlight w:val="none"/>
              </w:rPr>
              <w:t>工作时间</w:t>
            </w:r>
          </w:p>
        </w:tc>
        <w:tc>
          <w:tcPr>
            <w:tcW w:w="1137" w:type="dxa"/>
            <w:vAlign w:val="center"/>
          </w:tcPr>
          <w:p w14:paraId="3B6F00FD">
            <w:pPr>
              <w:snapToGrid w:val="0"/>
              <w:spacing w:before="50" w:after="120" w:afterLines="50"/>
              <w:jc w:val="center"/>
              <w:rPr>
                <w:rFonts w:hint="eastAsia" w:ascii="宋体" w:hAnsi="宋体"/>
                <w:color w:val="auto"/>
                <w:sz w:val="24"/>
                <w:szCs w:val="20"/>
                <w:highlight w:val="none"/>
              </w:rPr>
            </w:pPr>
            <w:r>
              <w:rPr>
                <w:rFonts w:hint="eastAsia" w:ascii="宋体" w:hAnsi="宋体"/>
                <w:color w:val="auto"/>
                <w:sz w:val="24"/>
                <w:szCs w:val="20"/>
                <w:highlight w:val="none"/>
              </w:rPr>
              <w:t>劳动合同编号</w:t>
            </w:r>
          </w:p>
        </w:tc>
      </w:tr>
      <w:tr w14:paraId="74D93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F1A3271">
            <w:pPr>
              <w:snapToGrid w:val="0"/>
              <w:spacing w:before="50" w:after="120" w:afterLines="50"/>
              <w:jc w:val="center"/>
              <w:rPr>
                <w:rFonts w:hint="eastAsia" w:ascii="宋体" w:hAnsi="宋体"/>
                <w:color w:val="auto"/>
                <w:sz w:val="24"/>
                <w:szCs w:val="20"/>
                <w:highlight w:val="none"/>
              </w:rPr>
            </w:pPr>
          </w:p>
        </w:tc>
        <w:tc>
          <w:tcPr>
            <w:tcW w:w="709" w:type="dxa"/>
            <w:vAlign w:val="center"/>
          </w:tcPr>
          <w:p w14:paraId="03E0F50B">
            <w:pPr>
              <w:snapToGrid w:val="0"/>
              <w:spacing w:before="50" w:after="120" w:afterLines="50"/>
              <w:jc w:val="center"/>
              <w:rPr>
                <w:rFonts w:hint="eastAsia" w:ascii="宋体" w:hAnsi="宋体"/>
                <w:color w:val="auto"/>
                <w:sz w:val="24"/>
                <w:szCs w:val="20"/>
                <w:highlight w:val="none"/>
              </w:rPr>
            </w:pPr>
          </w:p>
        </w:tc>
        <w:tc>
          <w:tcPr>
            <w:tcW w:w="2835" w:type="dxa"/>
            <w:vAlign w:val="center"/>
          </w:tcPr>
          <w:p w14:paraId="57DB81E4">
            <w:pPr>
              <w:snapToGrid w:val="0"/>
              <w:spacing w:before="50" w:after="120" w:afterLines="50"/>
              <w:jc w:val="center"/>
              <w:rPr>
                <w:rFonts w:hint="eastAsia" w:ascii="宋体" w:hAnsi="宋体"/>
                <w:color w:val="auto"/>
                <w:sz w:val="24"/>
                <w:szCs w:val="20"/>
                <w:highlight w:val="none"/>
              </w:rPr>
            </w:pPr>
          </w:p>
        </w:tc>
        <w:tc>
          <w:tcPr>
            <w:tcW w:w="1701" w:type="dxa"/>
            <w:vAlign w:val="center"/>
          </w:tcPr>
          <w:p w14:paraId="526A6D25">
            <w:pPr>
              <w:snapToGrid w:val="0"/>
              <w:spacing w:before="50" w:after="120" w:afterLines="50"/>
              <w:jc w:val="center"/>
              <w:rPr>
                <w:rFonts w:hint="eastAsia" w:ascii="宋体" w:hAnsi="宋体"/>
                <w:color w:val="auto"/>
                <w:sz w:val="24"/>
                <w:szCs w:val="20"/>
                <w:highlight w:val="none"/>
              </w:rPr>
            </w:pPr>
          </w:p>
        </w:tc>
        <w:tc>
          <w:tcPr>
            <w:tcW w:w="1698" w:type="dxa"/>
            <w:vAlign w:val="center"/>
          </w:tcPr>
          <w:p w14:paraId="6E7C0376">
            <w:pPr>
              <w:snapToGrid w:val="0"/>
              <w:spacing w:before="50" w:after="120" w:afterLines="50"/>
              <w:jc w:val="center"/>
              <w:rPr>
                <w:rFonts w:hint="eastAsia" w:ascii="宋体" w:hAnsi="宋体"/>
                <w:color w:val="auto"/>
                <w:sz w:val="24"/>
                <w:szCs w:val="20"/>
                <w:highlight w:val="none"/>
              </w:rPr>
            </w:pPr>
          </w:p>
        </w:tc>
        <w:tc>
          <w:tcPr>
            <w:tcW w:w="1137" w:type="dxa"/>
            <w:vAlign w:val="center"/>
          </w:tcPr>
          <w:p w14:paraId="6AAF405F">
            <w:pPr>
              <w:snapToGrid w:val="0"/>
              <w:spacing w:before="50" w:after="120" w:afterLines="50"/>
              <w:jc w:val="center"/>
              <w:rPr>
                <w:rFonts w:hint="eastAsia" w:ascii="宋体" w:hAnsi="宋体"/>
                <w:color w:val="auto"/>
                <w:sz w:val="24"/>
                <w:szCs w:val="20"/>
                <w:highlight w:val="none"/>
              </w:rPr>
            </w:pPr>
          </w:p>
        </w:tc>
      </w:tr>
      <w:tr w14:paraId="4F6DB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965257E">
            <w:pPr>
              <w:snapToGrid w:val="0"/>
              <w:spacing w:before="50" w:after="120" w:afterLines="50"/>
              <w:jc w:val="center"/>
              <w:rPr>
                <w:rFonts w:hint="eastAsia" w:ascii="宋体" w:hAnsi="宋体"/>
                <w:color w:val="auto"/>
                <w:sz w:val="24"/>
                <w:szCs w:val="20"/>
                <w:highlight w:val="none"/>
              </w:rPr>
            </w:pPr>
          </w:p>
        </w:tc>
        <w:tc>
          <w:tcPr>
            <w:tcW w:w="709" w:type="dxa"/>
            <w:vAlign w:val="center"/>
          </w:tcPr>
          <w:p w14:paraId="67E449D3">
            <w:pPr>
              <w:snapToGrid w:val="0"/>
              <w:spacing w:before="50" w:after="120" w:afterLines="50"/>
              <w:jc w:val="center"/>
              <w:rPr>
                <w:rFonts w:hint="eastAsia" w:ascii="宋体" w:hAnsi="宋体"/>
                <w:color w:val="auto"/>
                <w:sz w:val="24"/>
                <w:szCs w:val="20"/>
                <w:highlight w:val="none"/>
              </w:rPr>
            </w:pPr>
          </w:p>
        </w:tc>
        <w:tc>
          <w:tcPr>
            <w:tcW w:w="2835" w:type="dxa"/>
            <w:vAlign w:val="center"/>
          </w:tcPr>
          <w:p w14:paraId="4E118520">
            <w:pPr>
              <w:snapToGrid w:val="0"/>
              <w:spacing w:before="50" w:after="120" w:afterLines="50"/>
              <w:jc w:val="center"/>
              <w:rPr>
                <w:rFonts w:hint="eastAsia" w:ascii="宋体" w:hAnsi="宋体"/>
                <w:color w:val="auto"/>
                <w:sz w:val="24"/>
                <w:szCs w:val="20"/>
                <w:highlight w:val="none"/>
              </w:rPr>
            </w:pPr>
          </w:p>
        </w:tc>
        <w:tc>
          <w:tcPr>
            <w:tcW w:w="1701" w:type="dxa"/>
            <w:vAlign w:val="center"/>
          </w:tcPr>
          <w:p w14:paraId="3ECD76CF">
            <w:pPr>
              <w:snapToGrid w:val="0"/>
              <w:spacing w:before="50" w:after="120" w:afterLines="50"/>
              <w:jc w:val="center"/>
              <w:rPr>
                <w:rFonts w:hint="eastAsia" w:ascii="宋体" w:hAnsi="宋体"/>
                <w:color w:val="auto"/>
                <w:sz w:val="24"/>
                <w:szCs w:val="20"/>
                <w:highlight w:val="none"/>
              </w:rPr>
            </w:pPr>
          </w:p>
        </w:tc>
        <w:tc>
          <w:tcPr>
            <w:tcW w:w="1698" w:type="dxa"/>
            <w:vAlign w:val="center"/>
          </w:tcPr>
          <w:p w14:paraId="10DD34C5">
            <w:pPr>
              <w:snapToGrid w:val="0"/>
              <w:spacing w:before="50" w:after="120" w:afterLines="50"/>
              <w:jc w:val="center"/>
              <w:rPr>
                <w:rFonts w:hint="eastAsia" w:ascii="宋体" w:hAnsi="宋体"/>
                <w:color w:val="auto"/>
                <w:sz w:val="24"/>
                <w:szCs w:val="20"/>
                <w:highlight w:val="none"/>
              </w:rPr>
            </w:pPr>
          </w:p>
        </w:tc>
        <w:tc>
          <w:tcPr>
            <w:tcW w:w="1137" w:type="dxa"/>
            <w:vAlign w:val="center"/>
          </w:tcPr>
          <w:p w14:paraId="30DCA9FA">
            <w:pPr>
              <w:snapToGrid w:val="0"/>
              <w:spacing w:before="50" w:after="120" w:afterLines="50"/>
              <w:jc w:val="center"/>
              <w:rPr>
                <w:rFonts w:hint="eastAsia" w:ascii="宋体" w:hAnsi="宋体"/>
                <w:color w:val="auto"/>
                <w:sz w:val="24"/>
                <w:szCs w:val="20"/>
                <w:highlight w:val="none"/>
              </w:rPr>
            </w:pPr>
          </w:p>
        </w:tc>
      </w:tr>
      <w:tr w14:paraId="37DA0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72AF3B7">
            <w:pPr>
              <w:snapToGrid w:val="0"/>
              <w:spacing w:before="50" w:after="120" w:afterLines="50"/>
              <w:jc w:val="center"/>
              <w:rPr>
                <w:rFonts w:hint="eastAsia" w:ascii="宋体" w:hAnsi="宋体"/>
                <w:color w:val="auto"/>
                <w:sz w:val="24"/>
                <w:szCs w:val="20"/>
                <w:highlight w:val="none"/>
              </w:rPr>
            </w:pPr>
          </w:p>
        </w:tc>
        <w:tc>
          <w:tcPr>
            <w:tcW w:w="709" w:type="dxa"/>
            <w:vAlign w:val="center"/>
          </w:tcPr>
          <w:p w14:paraId="1259F7B7">
            <w:pPr>
              <w:snapToGrid w:val="0"/>
              <w:spacing w:before="50" w:after="120" w:afterLines="50"/>
              <w:jc w:val="center"/>
              <w:rPr>
                <w:rFonts w:hint="eastAsia" w:ascii="宋体" w:hAnsi="宋体"/>
                <w:color w:val="auto"/>
                <w:sz w:val="24"/>
                <w:szCs w:val="20"/>
                <w:highlight w:val="none"/>
              </w:rPr>
            </w:pPr>
          </w:p>
        </w:tc>
        <w:tc>
          <w:tcPr>
            <w:tcW w:w="2835" w:type="dxa"/>
            <w:vAlign w:val="center"/>
          </w:tcPr>
          <w:p w14:paraId="3549FD10">
            <w:pPr>
              <w:snapToGrid w:val="0"/>
              <w:spacing w:before="50" w:after="120" w:afterLines="50"/>
              <w:jc w:val="center"/>
              <w:rPr>
                <w:rFonts w:hint="eastAsia" w:ascii="宋体" w:hAnsi="宋体"/>
                <w:color w:val="auto"/>
                <w:sz w:val="24"/>
                <w:szCs w:val="20"/>
                <w:highlight w:val="none"/>
              </w:rPr>
            </w:pPr>
          </w:p>
        </w:tc>
        <w:tc>
          <w:tcPr>
            <w:tcW w:w="1701" w:type="dxa"/>
            <w:vAlign w:val="center"/>
          </w:tcPr>
          <w:p w14:paraId="5ECD9A4E">
            <w:pPr>
              <w:snapToGrid w:val="0"/>
              <w:spacing w:before="50" w:after="120" w:afterLines="50"/>
              <w:jc w:val="center"/>
              <w:rPr>
                <w:rFonts w:hint="eastAsia" w:ascii="宋体" w:hAnsi="宋体"/>
                <w:color w:val="auto"/>
                <w:sz w:val="24"/>
                <w:szCs w:val="20"/>
                <w:highlight w:val="none"/>
              </w:rPr>
            </w:pPr>
          </w:p>
        </w:tc>
        <w:tc>
          <w:tcPr>
            <w:tcW w:w="1698" w:type="dxa"/>
            <w:vAlign w:val="center"/>
          </w:tcPr>
          <w:p w14:paraId="4A5363BE">
            <w:pPr>
              <w:snapToGrid w:val="0"/>
              <w:spacing w:before="50" w:after="120" w:afterLines="50"/>
              <w:jc w:val="center"/>
              <w:rPr>
                <w:rFonts w:hint="eastAsia" w:ascii="宋体" w:hAnsi="宋体"/>
                <w:color w:val="auto"/>
                <w:sz w:val="24"/>
                <w:szCs w:val="20"/>
                <w:highlight w:val="none"/>
              </w:rPr>
            </w:pPr>
          </w:p>
        </w:tc>
        <w:tc>
          <w:tcPr>
            <w:tcW w:w="1137" w:type="dxa"/>
            <w:vAlign w:val="center"/>
          </w:tcPr>
          <w:p w14:paraId="5DD4205E">
            <w:pPr>
              <w:snapToGrid w:val="0"/>
              <w:spacing w:before="50" w:after="120" w:afterLines="50"/>
              <w:jc w:val="center"/>
              <w:rPr>
                <w:rFonts w:hint="eastAsia" w:ascii="宋体" w:hAnsi="宋体"/>
                <w:color w:val="auto"/>
                <w:sz w:val="24"/>
                <w:szCs w:val="20"/>
                <w:highlight w:val="none"/>
              </w:rPr>
            </w:pPr>
          </w:p>
        </w:tc>
      </w:tr>
    </w:tbl>
    <w:p w14:paraId="1DACFD89">
      <w:pPr>
        <w:snapToGrid w:val="0"/>
        <w:spacing w:before="50" w:after="120" w:afterLines="50"/>
        <w:jc w:val="left"/>
        <w:rPr>
          <w:rFonts w:hint="eastAsia" w:ascii="宋体" w:hAnsi="宋体"/>
          <w:color w:val="auto"/>
          <w:sz w:val="24"/>
          <w:szCs w:val="20"/>
          <w:highlight w:val="none"/>
        </w:rPr>
      </w:pPr>
    </w:p>
    <w:p w14:paraId="286B0501">
      <w:pPr>
        <w:spacing w:line="360" w:lineRule="auto"/>
        <w:contextualSpacing/>
        <w:jc w:val="left"/>
        <w:rPr>
          <w:rFonts w:ascii="宋体" w:hAnsi="宋体"/>
          <w:color w:val="auto"/>
          <w:sz w:val="24"/>
          <w:szCs w:val="20"/>
          <w:highlight w:val="none"/>
        </w:rPr>
      </w:pPr>
      <w:r>
        <w:rPr>
          <w:rFonts w:hint="eastAsia" w:ascii="宋体" w:hAnsi="宋体"/>
          <w:color w:val="auto"/>
          <w:sz w:val="24"/>
          <w:szCs w:val="20"/>
          <w:highlight w:val="none"/>
        </w:rPr>
        <w:t>注：</w:t>
      </w:r>
    </w:p>
    <w:p w14:paraId="66FAF059">
      <w:pPr>
        <w:spacing w:line="360" w:lineRule="auto"/>
        <w:contextualSpacing/>
        <w:jc w:val="left"/>
        <w:rPr>
          <w:rFonts w:ascii="宋体" w:hAnsi="宋体"/>
          <w:color w:val="auto"/>
          <w:sz w:val="24"/>
          <w:szCs w:val="20"/>
          <w:highlight w:val="none"/>
        </w:rPr>
      </w:pPr>
      <w:r>
        <w:rPr>
          <w:rFonts w:hint="eastAsia" w:ascii="宋体" w:hAnsi="宋体"/>
          <w:color w:val="auto"/>
          <w:sz w:val="24"/>
          <w:szCs w:val="20"/>
          <w:highlight w:val="none"/>
        </w:rPr>
        <w:t>1</w:t>
      </w:r>
      <w:r>
        <w:rPr>
          <w:rFonts w:ascii="宋体" w:hAnsi="宋体"/>
          <w:color w:val="auto"/>
          <w:sz w:val="24"/>
          <w:szCs w:val="20"/>
          <w:highlight w:val="none"/>
        </w:rPr>
        <w:t>.</w:t>
      </w:r>
      <w:r>
        <w:rPr>
          <w:rFonts w:hint="eastAsia" w:ascii="宋体" w:hAnsi="宋体"/>
          <w:color w:val="auto"/>
          <w:sz w:val="24"/>
          <w:szCs w:val="20"/>
          <w:highlight w:val="none"/>
        </w:rPr>
        <w:t>在填写时，如本表格不适合投标单位的实际情况，可根据本表格式自行制表填写。</w:t>
      </w:r>
    </w:p>
    <w:p w14:paraId="703196F1">
      <w:pPr>
        <w:spacing w:line="360" w:lineRule="auto"/>
        <w:contextualSpacing/>
        <w:jc w:val="left"/>
        <w:rPr>
          <w:rFonts w:hint="eastAsia" w:ascii="宋体" w:hAnsi="宋体"/>
          <w:color w:val="auto"/>
          <w:sz w:val="24"/>
          <w:szCs w:val="20"/>
          <w:highlight w:val="none"/>
        </w:rPr>
      </w:pPr>
      <w:r>
        <w:rPr>
          <w:rFonts w:ascii="宋体" w:hAnsi="宋体"/>
          <w:color w:val="auto"/>
          <w:sz w:val="24"/>
          <w:szCs w:val="20"/>
          <w:highlight w:val="none"/>
        </w:rPr>
        <w:t>2.</w:t>
      </w:r>
      <w:r>
        <w:rPr>
          <w:rFonts w:hint="eastAsia" w:ascii="宋体" w:hAnsi="宋体"/>
          <w:color w:val="auto"/>
          <w:sz w:val="24"/>
          <w:szCs w:val="20"/>
          <w:highlight w:val="none"/>
        </w:rPr>
        <w:t>投标人应当附本表所列证书的复印件并加盖投标人</w:t>
      </w:r>
      <w:r>
        <w:rPr>
          <w:rFonts w:hint="eastAsia" w:ascii="宋体" w:hAnsi="宋体"/>
          <w:color w:val="auto"/>
          <w:sz w:val="24"/>
          <w:szCs w:val="20"/>
          <w:highlight w:val="none"/>
          <w:lang w:eastAsia="zh-CN"/>
        </w:rPr>
        <w:t>公章或电子签章</w:t>
      </w:r>
      <w:r>
        <w:rPr>
          <w:rFonts w:hint="eastAsia" w:ascii="宋体" w:hAnsi="宋体"/>
          <w:color w:val="auto"/>
          <w:sz w:val="24"/>
          <w:szCs w:val="20"/>
          <w:highlight w:val="none"/>
        </w:rPr>
        <w:t>。</w:t>
      </w:r>
    </w:p>
    <w:p w14:paraId="49776BB7">
      <w:pPr>
        <w:spacing w:line="360" w:lineRule="auto"/>
        <w:contextualSpacing/>
        <w:jc w:val="left"/>
        <w:rPr>
          <w:rFonts w:hint="eastAsia" w:ascii="宋体" w:hAnsi="宋体"/>
          <w:color w:val="auto"/>
          <w:sz w:val="24"/>
          <w:szCs w:val="20"/>
          <w:highlight w:val="none"/>
        </w:rPr>
      </w:pPr>
    </w:p>
    <w:p w14:paraId="0576756D">
      <w:pPr>
        <w:spacing w:line="360" w:lineRule="auto"/>
        <w:contextualSpacing/>
        <w:jc w:val="left"/>
        <w:rPr>
          <w:rFonts w:hint="eastAsia" w:ascii="宋体" w:hAnsi="宋体"/>
          <w:color w:val="auto"/>
          <w:sz w:val="24"/>
          <w:szCs w:val="20"/>
          <w:highlight w:val="none"/>
        </w:rPr>
      </w:pPr>
    </w:p>
    <w:p w14:paraId="0F53CB50">
      <w:pPr>
        <w:spacing w:line="360" w:lineRule="auto"/>
        <w:contextualSpacing/>
        <w:rPr>
          <w:rFonts w:hint="eastAsia" w:ascii="宋体" w:hAnsi="宋体"/>
          <w:color w:val="auto"/>
          <w:spacing w:val="20"/>
          <w:sz w:val="24"/>
          <w:szCs w:val="20"/>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（签字或者电子签名）：</w:t>
      </w:r>
      <w:r>
        <w:rPr>
          <w:rFonts w:hint="eastAsia" w:ascii="宋体" w:hAnsi="宋体"/>
          <w:color w:val="auto"/>
          <w:spacing w:val="20"/>
          <w:sz w:val="24"/>
          <w:highlight w:val="none"/>
          <w:u w:val="single"/>
        </w:rPr>
        <w:t xml:space="preserve">        </w:t>
      </w:r>
    </w:p>
    <w:p w14:paraId="24C8C45A">
      <w:pPr>
        <w:spacing w:line="360" w:lineRule="auto"/>
        <w:contextualSpacing/>
        <w:jc w:val="left"/>
        <w:rPr>
          <w:rFonts w:hint="eastAsia" w:ascii="宋体" w:hAnsi="宋体"/>
          <w:color w:val="auto"/>
          <w:spacing w:val="20"/>
          <w:sz w:val="24"/>
          <w:highlight w:val="none"/>
        </w:rPr>
      </w:pPr>
      <w:r>
        <w:rPr>
          <w:rFonts w:hint="eastAsia" w:ascii="宋体" w:hAnsi="宋体"/>
          <w:color w:val="auto"/>
          <w:spacing w:val="20"/>
          <w:sz w:val="24"/>
          <w:highlight w:val="none"/>
        </w:rPr>
        <w:t>投标人名称（</w:t>
      </w:r>
      <w:r>
        <w:rPr>
          <w:rFonts w:hint="eastAsia" w:ascii="宋体" w:hAnsi="宋体"/>
          <w:color w:val="auto"/>
          <w:spacing w:val="20"/>
          <w:sz w:val="24"/>
          <w:highlight w:val="none"/>
          <w:lang w:eastAsia="zh-CN"/>
        </w:rPr>
        <w:t>公章或电子签章</w:t>
      </w:r>
      <w:r>
        <w:rPr>
          <w:rFonts w:hint="eastAsia" w:ascii="宋体" w:hAnsi="宋体"/>
          <w:color w:val="auto"/>
          <w:spacing w:val="20"/>
          <w:sz w:val="24"/>
          <w:highlight w:val="none"/>
        </w:rPr>
        <w:t>）：</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w:t>
      </w:r>
    </w:p>
    <w:p w14:paraId="65550C22">
      <w:pPr>
        <w:spacing w:line="360" w:lineRule="auto"/>
        <w:contextualSpacing/>
        <w:jc w:val="left"/>
        <w:rPr>
          <w:rFonts w:hint="eastAsia" w:ascii="宋体" w:hAnsi="宋体"/>
          <w:color w:val="auto"/>
          <w:sz w:val="24"/>
          <w:szCs w:val="20"/>
          <w:highlight w:val="none"/>
        </w:rPr>
      </w:pPr>
      <w:r>
        <w:rPr>
          <w:rFonts w:hint="eastAsia" w:ascii="宋体" w:hAnsi="宋体"/>
          <w:color w:val="auto"/>
          <w:spacing w:val="20"/>
          <w:sz w:val="24"/>
          <w:highlight w:val="none"/>
        </w:rPr>
        <w:t>日 期：</w:t>
      </w:r>
      <w:r>
        <w:rPr>
          <w:rFonts w:hint="eastAsia" w:ascii="宋体" w:hAnsi="宋体"/>
          <w:color w:val="auto"/>
          <w:spacing w:val="20"/>
          <w:sz w:val="24"/>
          <w:highlight w:val="none"/>
          <w:u w:val="single"/>
        </w:rPr>
        <w:t xml:space="preserve">         </w:t>
      </w:r>
    </w:p>
    <w:p w14:paraId="0B2B5E0B">
      <w:pPr>
        <w:snapToGrid w:val="0"/>
        <w:spacing w:before="50" w:after="120" w:afterLines="50"/>
        <w:jc w:val="left"/>
        <w:rPr>
          <w:rFonts w:hint="eastAsia" w:ascii="宋体" w:hAnsi="宋体"/>
          <w:color w:val="auto"/>
          <w:sz w:val="24"/>
          <w:szCs w:val="20"/>
          <w:highlight w:val="none"/>
        </w:rPr>
      </w:pPr>
    </w:p>
    <w:p w14:paraId="7D0B0F30">
      <w:pPr>
        <w:snapToGrid w:val="0"/>
        <w:spacing w:before="50" w:after="120" w:afterLines="50"/>
        <w:jc w:val="left"/>
        <w:rPr>
          <w:rFonts w:hint="eastAsia" w:ascii="宋体" w:hAnsi="宋体"/>
          <w:color w:val="auto"/>
          <w:sz w:val="24"/>
          <w:szCs w:val="20"/>
          <w:highlight w:val="none"/>
        </w:rPr>
      </w:pPr>
    </w:p>
    <w:p w14:paraId="080DE818">
      <w:pPr>
        <w:snapToGrid w:val="0"/>
        <w:spacing w:before="50" w:after="120" w:afterLines="50"/>
        <w:jc w:val="left"/>
        <w:rPr>
          <w:rFonts w:hint="eastAsia" w:ascii="宋体" w:hAnsi="宋体"/>
          <w:color w:val="auto"/>
          <w:sz w:val="24"/>
          <w:szCs w:val="20"/>
          <w:highlight w:val="none"/>
        </w:rPr>
      </w:pPr>
    </w:p>
    <w:p w14:paraId="7F4C9B38">
      <w:pPr>
        <w:snapToGrid w:val="0"/>
        <w:spacing w:before="50" w:after="120" w:afterLines="50"/>
        <w:jc w:val="left"/>
        <w:rPr>
          <w:rFonts w:hint="eastAsia" w:ascii="宋体" w:hAnsi="宋体"/>
          <w:color w:val="auto"/>
          <w:sz w:val="24"/>
          <w:szCs w:val="20"/>
          <w:highlight w:val="none"/>
        </w:rPr>
      </w:pPr>
    </w:p>
    <w:p w14:paraId="12F94621">
      <w:pPr>
        <w:snapToGrid w:val="0"/>
        <w:spacing w:before="50" w:after="120" w:afterLines="50"/>
        <w:jc w:val="left"/>
        <w:rPr>
          <w:rFonts w:hint="eastAsia" w:ascii="宋体" w:hAnsi="宋体"/>
          <w:color w:val="auto"/>
          <w:sz w:val="24"/>
          <w:szCs w:val="20"/>
          <w:highlight w:val="none"/>
        </w:rPr>
      </w:pPr>
    </w:p>
    <w:p w14:paraId="417D9D54">
      <w:pPr>
        <w:snapToGrid w:val="0"/>
        <w:spacing w:before="50" w:after="120" w:afterLines="50"/>
        <w:jc w:val="left"/>
        <w:rPr>
          <w:rFonts w:hint="eastAsia" w:ascii="宋体" w:hAnsi="宋体"/>
          <w:color w:val="auto"/>
          <w:sz w:val="24"/>
          <w:szCs w:val="20"/>
          <w:highlight w:val="none"/>
        </w:rPr>
      </w:pPr>
    </w:p>
    <w:p w14:paraId="3559E5F3">
      <w:pPr>
        <w:snapToGrid w:val="0"/>
        <w:spacing w:before="50" w:after="120" w:afterLines="50"/>
        <w:jc w:val="left"/>
        <w:rPr>
          <w:rFonts w:hint="eastAsia" w:ascii="宋体" w:hAnsi="宋体"/>
          <w:color w:val="auto"/>
          <w:sz w:val="24"/>
          <w:szCs w:val="20"/>
          <w:highlight w:val="none"/>
        </w:rPr>
      </w:pPr>
    </w:p>
    <w:p w14:paraId="51E2A591">
      <w:pPr>
        <w:snapToGrid w:val="0"/>
        <w:spacing w:before="50" w:after="120" w:afterLines="50"/>
        <w:jc w:val="left"/>
        <w:rPr>
          <w:rFonts w:hint="eastAsia" w:ascii="宋体" w:hAnsi="宋体"/>
          <w:color w:val="auto"/>
          <w:sz w:val="24"/>
          <w:szCs w:val="20"/>
          <w:highlight w:val="none"/>
        </w:rPr>
      </w:pPr>
    </w:p>
    <w:p w14:paraId="57694698">
      <w:pPr>
        <w:snapToGrid w:val="0"/>
        <w:spacing w:before="50" w:after="120" w:afterLines="50"/>
        <w:jc w:val="left"/>
        <w:rPr>
          <w:rFonts w:hint="eastAsia" w:ascii="宋体" w:hAnsi="宋体"/>
          <w:color w:val="auto"/>
          <w:sz w:val="24"/>
          <w:szCs w:val="20"/>
          <w:highlight w:val="none"/>
        </w:rPr>
      </w:pPr>
    </w:p>
    <w:p w14:paraId="6A399E25">
      <w:pPr>
        <w:snapToGrid w:val="0"/>
        <w:spacing w:before="50" w:after="120" w:afterLines="50"/>
        <w:jc w:val="left"/>
        <w:rPr>
          <w:rFonts w:hint="eastAsia" w:ascii="宋体" w:hAnsi="宋体"/>
          <w:color w:val="auto"/>
          <w:sz w:val="24"/>
          <w:szCs w:val="20"/>
          <w:highlight w:val="none"/>
        </w:rPr>
      </w:pPr>
    </w:p>
    <w:p w14:paraId="78ACDC37">
      <w:pPr>
        <w:snapToGrid w:val="0"/>
        <w:spacing w:before="50" w:after="120" w:afterLines="50"/>
        <w:jc w:val="left"/>
        <w:rPr>
          <w:rFonts w:hint="eastAsia" w:ascii="宋体" w:hAnsi="宋体"/>
          <w:color w:val="auto"/>
          <w:sz w:val="24"/>
          <w:szCs w:val="20"/>
          <w:highlight w:val="none"/>
        </w:rPr>
      </w:pPr>
    </w:p>
    <w:p w14:paraId="614BE2F5">
      <w:pPr>
        <w:snapToGrid w:val="0"/>
        <w:spacing w:before="50" w:after="120" w:afterLines="50"/>
        <w:jc w:val="left"/>
        <w:rPr>
          <w:rFonts w:hint="eastAsia" w:ascii="宋体" w:hAnsi="宋体"/>
          <w:color w:val="auto"/>
          <w:sz w:val="24"/>
          <w:szCs w:val="20"/>
          <w:highlight w:val="none"/>
        </w:rPr>
      </w:pPr>
    </w:p>
    <w:p w14:paraId="5B76E040">
      <w:pPr>
        <w:snapToGrid w:val="0"/>
        <w:spacing w:before="120" w:beforeLines="50" w:after="50"/>
        <w:ind w:left="142"/>
        <w:jc w:val="left"/>
        <w:rPr>
          <w:rFonts w:ascii="宋体" w:hAnsi="宋体" w:eastAsia="宋体" w:cs="宋体"/>
          <w:color w:val="auto"/>
          <w:sz w:val="31"/>
          <w:szCs w:val="31"/>
          <w:highlight w:val="none"/>
        </w:rPr>
      </w:pPr>
      <w:r>
        <w:rPr>
          <w:rFonts w:hint="eastAsia" w:ascii="宋体" w:hAnsi="宋体" w:eastAsia="宋体" w:cs="Times New Roman"/>
          <w:b/>
          <w:color w:val="auto"/>
          <w:sz w:val="24"/>
          <w:highlight w:val="none"/>
          <w:lang w:val="en-US" w:eastAsia="zh-CN"/>
        </w:rPr>
        <w:t>5.</w:t>
      </w:r>
      <w:r>
        <w:rPr>
          <w:rFonts w:hint="eastAsia" w:ascii="宋体" w:hAnsi="宋体" w:eastAsia="宋体" w:cs="Times New Roman"/>
          <w:b/>
          <w:color w:val="auto"/>
          <w:sz w:val="24"/>
          <w:highlight w:val="none"/>
        </w:rPr>
        <w:t>拟投入本项目的主要机械设备</w:t>
      </w:r>
    </w:p>
    <w:p w14:paraId="1645751C">
      <w:pPr>
        <w:pStyle w:val="18"/>
        <w:spacing w:before="75" w:line="221" w:lineRule="auto"/>
        <w:rPr>
          <w:color w:val="auto"/>
          <w:sz w:val="24"/>
          <w:szCs w:val="24"/>
          <w:highlight w:val="none"/>
        </w:rPr>
      </w:pPr>
      <w:r>
        <w:rPr>
          <w:color w:val="auto"/>
          <w:spacing w:val="-1"/>
          <w:sz w:val="24"/>
          <w:szCs w:val="24"/>
          <w:highlight w:val="none"/>
        </w:rPr>
        <w:t>（由投标人根据采购需求及招标文件要求编制）</w:t>
      </w:r>
    </w:p>
    <w:p w14:paraId="100A612D">
      <w:pPr>
        <w:spacing w:line="289" w:lineRule="auto"/>
        <w:rPr>
          <w:rFonts w:ascii="Arial"/>
          <w:color w:val="auto"/>
          <w:sz w:val="21"/>
          <w:highlight w:val="none"/>
        </w:rPr>
      </w:pPr>
    </w:p>
    <w:p w14:paraId="645D6697">
      <w:pPr>
        <w:spacing w:line="290" w:lineRule="auto"/>
        <w:rPr>
          <w:rFonts w:ascii="Arial"/>
          <w:color w:val="auto"/>
          <w:sz w:val="21"/>
          <w:highlight w:val="none"/>
        </w:rPr>
      </w:pPr>
    </w:p>
    <w:p w14:paraId="0DD7498F">
      <w:pPr>
        <w:spacing w:line="360" w:lineRule="auto"/>
        <w:contextualSpacing/>
        <w:jc w:val="right"/>
        <w:rPr>
          <w:color w:val="auto"/>
          <w:sz w:val="24"/>
          <w:szCs w:val="24"/>
          <w:highlight w:val="none"/>
        </w:rPr>
      </w:pPr>
      <w:r>
        <w:rPr>
          <w:rFonts w:hint="eastAsia" w:ascii="宋体" w:hAnsi="宋体" w:eastAsia="宋体" w:cs="Times New Roman"/>
          <w:color w:val="auto"/>
          <w:spacing w:val="20"/>
          <w:sz w:val="24"/>
          <w:highlight w:val="none"/>
          <w:lang w:eastAsia="zh-CN"/>
        </w:rPr>
        <w:t>投标人名称(公章或电子签章)：</w:t>
      </w:r>
    </w:p>
    <w:p w14:paraId="64FDF470">
      <w:pPr>
        <w:spacing w:line="360" w:lineRule="auto"/>
        <w:contextualSpacing/>
        <w:jc w:val="right"/>
        <w:rPr>
          <w:rFonts w:hint="eastAsia" w:ascii="宋体" w:hAnsi="宋体" w:eastAsia="宋体" w:cs="Times New Roman"/>
          <w:color w:val="auto"/>
          <w:spacing w:val="20"/>
          <w:sz w:val="24"/>
          <w:highlight w:val="none"/>
          <w:lang w:eastAsia="zh-CN"/>
        </w:rPr>
      </w:pPr>
      <w:r>
        <w:rPr>
          <w:rFonts w:hint="eastAsia" w:ascii="宋体" w:hAnsi="宋体" w:eastAsia="宋体" w:cs="Times New Roman"/>
          <w:color w:val="auto"/>
          <w:spacing w:val="20"/>
          <w:sz w:val="24"/>
          <w:highlight w:val="none"/>
          <w:lang w:eastAsia="zh-CN"/>
        </w:rPr>
        <w:t>日期：  年  月   日</w:t>
      </w:r>
    </w:p>
    <w:p w14:paraId="0732FDF1">
      <w:pPr>
        <w:spacing w:line="360" w:lineRule="auto"/>
        <w:contextualSpacing/>
        <w:jc w:val="left"/>
        <w:rPr>
          <w:rFonts w:hint="eastAsia" w:ascii="宋体" w:hAnsi="宋体" w:eastAsia="宋体" w:cs="Times New Roman"/>
          <w:color w:val="auto"/>
          <w:spacing w:val="20"/>
          <w:sz w:val="24"/>
          <w:highlight w:val="none"/>
          <w:lang w:eastAsia="zh-CN"/>
        </w:rPr>
      </w:pPr>
    </w:p>
    <w:p w14:paraId="1DD8AABE">
      <w:pPr>
        <w:snapToGrid w:val="0"/>
        <w:spacing w:before="120" w:beforeLines="50" w:after="50"/>
        <w:ind w:left="142"/>
        <w:jc w:val="left"/>
        <w:rPr>
          <w:rFonts w:hint="eastAsia" w:ascii="宋体" w:hAnsi="宋体" w:eastAsia="宋体" w:cs="Times New Roman"/>
          <w:b/>
          <w:color w:val="auto"/>
          <w:sz w:val="24"/>
          <w:highlight w:val="none"/>
        </w:rPr>
      </w:pPr>
      <w:r>
        <w:rPr>
          <w:rFonts w:hint="eastAsia" w:ascii="宋体" w:hAnsi="宋体" w:eastAsia="宋体" w:cs="Times New Roman"/>
          <w:b/>
          <w:color w:val="auto"/>
          <w:sz w:val="24"/>
          <w:highlight w:val="none"/>
          <w:lang w:val="en-US" w:eastAsia="zh-CN"/>
        </w:rPr>
        <w:t>6.</w:t>
      </w:r>
      <w:r>
        <w:rPr>
          <w:rFonts w:hint="eastAsia" w:ascii="宋体" w:hAnsi="宋体" w:eastAsia="宋体" w:cs="Times New Roman"/>
          <w:b/>
          <w:color w:val="auto"/>
          <w:sz w:val="24"/>
          <w:highlight w:val="none"/>
        </w:rPr>
        <w:t>投标人针对各类工程的质量、安全、文明施工保证措施方案</w:t>
      </w:r>
    </w:p>
    <w:p w14:paraId="6554A7AD">
      <w:pPr>
        <w:pStyle w:val="18"/>
        <w:spacing w:before="233" w:line="221" w:lineRule="auto"/>
        <w:rPr>
          <w:color w:val="auto"/>
          <w:sz w:val="24"/>
          <w:szCs w:val="24"/>
          <w:highlight w:val="none"/>
        </w:rPr>
      </w:pPr>
      <w:r>
        <w:rPr>
          <w:color w:val="auto"/>
          <w:spacing w:val="-1"/>
          <w:sz w:val="24"/>
          <w:szCs w:val="24"/>
          <w:highlight w:val="none"/>
        </w:rPr>
        <w:t>（由投标人根据采购需求及招标文件要求编制）</w:t>
      </w:r>
    </w:p>
    <w:p w14:paraId="14C4653E">
      <w:pPr>
        <w:spacing w:line="290" w:lineRule="auto"/>
        <w:rPr>
          <w:rFonts w:ascii="Arial"/>
          <w:color w:val="auto"/>
          <w:sz w:val="21"/>
          <w:highlight w:val="none"/>
        </w:rPr>
      </w:pPr>
    </w:p>
    <w:p w14:paraId="57E15A87">
      <w:pPr>
        <w:spacing w:line="360" w:lineRule="auto"/>
        <w:contextualSpacing/>
        <w:jc w:val="right"/>
        <w:rPr>
          <w:rFonts w:hint="eastAsia" w:ascii="宋体" w:hAnsi="宋体" w:eastAsia="宋体" w:cs="Times New Roman"/>
          <w:color w:val="auto"/>
          <w:spacing w:val="20"/>
          <w:sz w:val="24"/>
          <w:highlight w:val="none"/>
          <w:lang w:eastAsia="zh-CN"/>
        </w:rPr>
      </w:pPr>
      <w:r>
        <w:rPr>
          <w:rFonts w:hint="eastAsia" w:ascii="宋体" w:hAnsi="宋体" w:eastAsia="宋体" w:cs="Times New Roman"/>
          <w:color w:val="auto"/>
          <w:spacing w:val="20"/>
          <w:sz w:val="24"/>
          <w:highlight w:val="none"/>
          <w:lang w:eastAsia="zh-CN"/>
        </w:rPr>
        <w:t>投标人名称(公章或电子签章)：</w:t>
      </w:r>
    </w:p>
    <w:p w14:paraId="5ADB3B1B">
      <w:pPr>
        <w:spacing w:line="360" w:lineRule="auto"/>
        <w:contextualSpacing/>
        <w:jc w:val="right"/>
        <w:rPr>
          <w:rFonts w:hint="eastAsia" w:ascii="宋体" w:hAnsi="宋体" w:eastAsia="宋体" w:cs="Times New Roman"/>
          <w:color w:val="auto"/>
          <w:spacing w:val="20"/>
          <w:sz w:val="24"/>
          <w:highlight w:val="none"/>
          <w:lang w:eastAsia="zh-CN"/>
        </w:rPr>
      </w:pPr>
      <w:r>
        <w:rPr>
          <w:rFonts w:hint="eastAsia" w:ascii="宋体" w:hAnsi="宋体" w:eastAsia="宋体" w:cs="Times New Roman"/>
          <w:color w:val="auto"/>
          <w:spacing w:val="20"/>
          <w:sz w:val="24"/>
          <w:highlight w:val="none"/>
          <w:lang w:eastAsia="zh-CN"/>
        </w:rPr>
        <w:t>日期：  年  月   日</w:t>
      </w:r>
    </w:p>
    <w:p w14:paraId="5FCA5254">
      <w:pPr>
        <w:spacing w:line="354" w:lineRule="auto"/>
        <w:rPr>
          <w:rFonts w:ascii="Arial"/>
          <w:color w:val="auto"/>
          <w:sz w:val="21"/>
          <w:highlight w:val="none"/>
        </w:rPr>
      </w:pPr>
    </w:p>
    <w:p w14:paraId="7986FD19">
      <w:pPr>
        <w:spacing w:line="355" w:lineRule="auto"/>
        <w:rPr>
          <w:rFonts w:ascii="Arial"/>
          <w:color w:val="auto"/>
          <w:sz w:val="21"/>
          <w:highlight w:val="none"/>
        </w:rPr>
      </w:pPr>
    </w:p>
    <w:p w14:paraId="5ED5416B">
      <w:pPr>
        <w:snapToGrid w:val="0"/>
        <w:spacing w:before="120" w:beforeLines="50" w:after="50"/>
        <w:ind w:left="142"/>
        <w:jc w:val="left"/>
        <w:rPr>
          <w:rFonts w:ascii="宋体" w:hAnsi="宋体" w:eastAsia="宋体" w:cs="宋体"/>
          <w:color w:val="auto"/>
          <w:sz w:val="31"/>
          <w:szCs w:val="31"/>
          <w:highlight w:val="none"/>
        </w:rPr>
      </w:pPr>
      <w:r>
        <w:rPr>
          <w:rFonts w:hint="eastAsia" w:ascii="宋体" w:hAnsi="宋体" w:eastAsia="宋体" w:cs="Times New Roman"/>
          <w:b/>
          <w:color w:val="auto"/>
          <w:sz w:val="24"/>
          <w:highlight w:val="none"/>
          <w:lang w:val="en-US" w:eastAsia="zh-CN"/>
        </w:rPr>
        <w:t>7.</w:t>
      </w:r>
      <w:r>
        <w:rPr>
          <w:rFonts w:hint="eastAsia" w:ascii="宋体" w:hAnsi="宋体" w:eastAsia="宋体" w:cs="Times New Roman"/>
          <w:b/>
          <w:color w:val="auto"/>
          <w:sz w:val="24"/>
          <w:highlight w:val="none"/>
        </w:rPr>
        <w:t>除招标文件规定必须提供以外，投标人需要说明的其他文件和说明。</w:t>
      </w:r>
    </w:p>
    <w:p w14:paraId="57B82093">
      <w:pPr>
        <w:pStyle w:val="18"/>
        <w:spacing w:before="230" w:line="221" w:lineRule="auto"/>
        <w:rPr>
          <w:color w:val="auto"/>
          <w:sz w:val="24"/>
          <w:szCs w:val="24"/>
          <w:highlight w:val="none"/>
        </w:rPr>
      </w:pPr>
      <w:r>
        <w:rPr>
          <w:color w:val="auto"/>
          <w:spacing w:val="-1"/>
          <w:sz w:val="24"/>
          <w:szCs w:val="24"/>
          <w:highlight w:val="none"/>
        </w:rPr>
        <w:t>（由投标人根据采购需求及招标文件要求编制）</w:t>
      </w:r>
    </w:p>
    <w:p w14:paraId="546EF4B2">
      <w:pPr>
        <w:spacing w:line="282" w:lineRule="auto"/>
        <w:rPr>
          <w:rFonts w:ascii="Arial"/>
          <w:color w:val="auto"/>
          <w:sz w:val="21"/>
          <w:highlight w:val="none"/>
        </w:rPr>
      </w:pPr>
    </w:p>
    <w:p w14:paraId="42E3E899">
      <w:pPr>
        <w:spacing w:line="282" w:lineRule="auto"/>
        <w:rPr>
          <w:rFonts w:ascii="Arial"/>
          <w:color w:val="auto"/>
          <w:sz w:val="21"/>
          <w:highlight w:val="none"/>
        </w:rPr>
      </w:pPr>
    </w:p>
    <w:p w14:paraId="7070C69D">
      <w:pPr>
        <w:spacing w:line="360" w:lineRule="auto"/>
        <w:contextualSpacing/>
        <w:jc w:val="right"/>
        <w:rPr>
          <w:rFonts w:hint="eastAsia" w:ascii="宋体" w:hAnsi="宋体" w:eastAsia="宋体" w:cs="Times New Roman"/>
          <w:color w:val="auto"/>
          <w:spacing w:val="20"/>
          <w:sz w:val="24"/>
          <w:highlight w:val="none"/>
          <w:lang w:eastAsia="zh-CN"/>
        </w:rPr>
      </w:pPr>
      <w:r>
        <w:rPr>
          <w:rFonts w:hint="eastAsia" w:ascii="宋体" w:hAnsi="宋体" w:eastAsia="宋体" w:cs="Times New Roman"/>
          <w:color w:val="auto"/>
          <w:spacing w:val="20"/>
          <w:sz w:val="24"/>
          <w:highlight w:val="none"/>
          <w:lang w:eastAsia="zh-CN"/>
        </w:rPr>
        <w:t>投标人名称(公章或电子签章)：</w:t>
      </w:r>
    </w:p>
    <w:p w14:paraId="2D6FCF23">
      <w:pPr>
        <w:spacing w:line="360" w:lineRule="auto"/>
        <w:contextualSpacing/>
        <w:jc w:val="right"/>
        <w:rPr>
          <w:rFonts w:hint="eastAsia" w:ascii="宋体" w:hAnsi="宋体" w:eastAsia="宋体" w:cs="Times New Roman"/>
          <w:color w:val="auto"/>
          <w:spacing w:val="20"/>
          <w:sz w:val="24"/>
          <w:highlight w:val="none"/>
          <w:lang w:eastAsia="zh-CN"/>
        </w:rPr>
      </w:pPr>
      <w:r>
        <w:rPr>
          <w:rFonts w:hint="eastAsia" w:ascii="宋体" w:hAnsi="宋体" w:eastAsia="宋体" w:cs="Times New Roman"/>
          <w:color w:val="auto"/>
          <w:spacing w:val="20"/>
          <w:sz w:val="24"/>
          <w:highlight w:val="none"/>
          <w:lang w:eastAsia="zh-CN"/>
        </w:rPr>
        <w:t>日期：  年  月   日</w:t>
      </w:r>
    </w:p>
    <w:p w14:paraId="67921A70">
      <w:pPr>
        <w:snapToGrid w:val="0"/>
        <w:spacing w:before="120" w:beforeLines="50" w:after="50"/>
        <w:jc w:val="left"/>
        <w:rPr>
          <w:rFonts w:hint="eastAsia" w:ascii="宋体" w:hAnsi="宋体"/>
          <w:b/>
          <w:color w:val="auto"/>
          <w:sz w:val="28"/>
          <w:szCs w:val="28"/>
          <w:highlight w:val="none"/>
        </w:rPr>
      </w:pPr>
      <w:r>
        <w:rPr>
          <w:rFonts w:ascii="宋体" w:hAnsi="宋体"/>
          <w:b/>
          <w:color w:val="auto"/>
          <w:sz w:val="24"/>
          <w:highlight w:val="none"/>
        </w:rPr>
        <w:br w:type="page"/>
      </w:r>
      <w:r>
        <w:rPr>
          <w:rFonts w:hint="eastAsia" w:ascii="宋体" w:hAnsi="宋体"/>
          <w:b/>
          <w:color w:val="auto"/>
          <w:sz w:val="28"/>
          <w:szCs w:val="28"/>
          <w:highlight w:val="none"/>
        </w:rPr>
        <w:t>五、其他文书、文件格式</w:t>
      </w:r>
    </w:p>
    <w:p w14:paraId="7EA95931">
      <w:pPr>
        <w:spacing w:line="360" w:lineRule="auto"/>
        <w:jc w:val="left"/>
        <w:rPr>
          <w:rFonts w:ascii="宋体" w:hAnsi="宋体"/>
          <w:color w:val="auto"/>
          <w:sz w:val="24"/>
          <w:highlight w:val="none"/>
        </w:rPr>
      </w:pPr>
      <w:r>
        <w:rPr>
          <w:rFonts w:ascii="宋体" w:hAnsi="宋体"/>
          <w:b/>
          <w:color w:val="auto"/>
          <w:sz w:val="24"/>
          <w:highlight w:val="none"/>
        </w:rPr>
        <w:t>1</w:t>
      </w:r>
      <w:r>
        <w:rPr>
          <w:rFonts w:hint="eastAsia" w:ascii="宋体" w:hAnsi="宋体"/>
          <w:b/>
          <w:color w:val="auto"/>
          <w:sz w:val="24"/>
          <w:highlight w:val="none"/>
        </w:rPr>
        <w:t>.质疑函（格式）</w:t>
      </w:r>
    </w:p>
    <w:p w14:paraId="34870047">
      <w:pPr>
        <w:spacing w:line="360" w:lineRule="auto"/>
        <w:jc w:val="center"/>
        <w:rPr>
          <w:rFonts w:hint="eastAsia" w:ascii="宋体" w:hAnsi="宋体" w:cs="方正小标宋简体"/>
          <w:color w:val="auto"/>
          <w:sz w:val="44"/>
          <w:szCs w:val="44"/>
          <w:highlight w:val="none"/>
        </w:rPr>
      </w:pPr>
      <w:r>
        <w:rPr>
          <w:rFonts w:hint="eastAsia" w:ascii="宋体" w:hAnsi="宋体" w:cs="方正小标宋简体"/>
          <w:color w:val="auto"/>
          <w:sz w:val="44"/>
          <w:szCs w:val="44"/>
          <w:highlight w:val="none"/>
        </w:rPr>
        <w:t>质疑函（格式）</w:t>
      </w:r>
    </w:p>
    <w:p w14:paraId="57DD8DDD">
      <w:pPr>
        <w:pStyle w:val="25"/>
        <w:snapToGrid w:val="0"/>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一、质疑供应商基本信息：</w:t>
      </w:r>
    </w:p>
    <w:p w14:paraId="41E7FFDA">
      <w:pPr>
        <w:pStyle w:val="25"/>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质疑供应商：</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43E59C11">
      <w:pPr>
        <w:pStyle w:val="25"/>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780E7B9F">
      <w:pPr>
        <w:pStyle w:val="25"/>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联系人</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30D2D984">
      <w:pPr>
        <w:pStyle w:val="25"/>
        <w:snapToGrid w:val="0"/>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p>
    <w:p w14:paraId="70239D61">
      <w:pPr>
        <w:pStyle w:val="25"/>
        <w:snapToGrid w:val="0"/>
        <w:spacing w:line="360" w:lineRule="auto"/>
        <w:ind w:firstLine="480" w:firstLineChars="200"/>
        <w:rPr>
          <w:rFonts w:hint="eastAsia" w:hAnsi="宋体"/>
          <w:bCs/>
          <w:color w:val="auto"/>
          <w:sz w:val="24"/>
          <w:szCs w:val="24"/>
          <w:highlight w:val="none"/>
          <w:u w:val="single"/>
        </w:rPr>
      </w:pP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5A749D4C">
      <w:pPr>
        <w:pStyle w:val="25"/>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1C6B06A2">
      <w:pPr>
        <w:pStyle w:val="25"/>
        <w:snapToGrid w:val="0"/>
        <w:spacing w:line="360" w:lineRule="auto"/>
        <w:ind w:firstLine="482" w:firstLineChars="200"/>
        <w:rPr>
          <w:rFonts w:hint="eastAsia" w:hAnsi="宋体"/>
          <w:b/>
          <w:bCs/>
          <w:color w:val="auto"/>
          <w:sz w:val="24"/>
          <w:szCs w:val="24"/>
          <w:highlight w:val="none"/>
        </w:rPr>
      </w:pPr>
      <w:r>
        <w:rPr>
          <w:rFonts w:hint="eastAsia" w:hAnsi="宋体"/>
          <w:b/>
          <w:bCs/>
          <w:color w:val="auto"/>
          <w:sz w:val="24"/>
          <w:szCs w:val="24"/>
          <w:highlight w:val="none"/>
        </w:rPr>
        <w:t>二、质疑项目基本情况：</w:t>
      </w:r>
    </w:p>
    <w:p w14:paraId="653EB3C8">
      <w:pPr>
        <w:pStyle w:val="25"/>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00A4FF08">
      <w:pPr>
        <w:pStyle w:val="25"/>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3B25799C">
      <w:pPr>
        <w:pStyle w:val="25"/>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3D6FF65B">
      <w:pPr>
        <w:pStyle w:val="25"/>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质疑事项：</w:t>
      </w:r>
    </w:p>
    <w:p w14:paraId="75EDB870">
      <w:pPr>
        <w:pStyle w:val="25"/>
        <w:spacing w:line="360" w:lineRule="auto"/>
        <w:ind w:left="25" w:leftChars="12" w:firstLine="352" w:firstLineChars="147"/>
        <w:rPr>
          <w:rFonts w:hint="eastAsia" w:hAnsi="宋体"/>
          <w:color w:val="auto"/>
          <w:sz w:val="24"/>
          <w:szCs w:val="24"/>
          <w:highlight w:val="none"/>
        </w:rPr>
      </w:pPr>
      <w:r>
        <w:rPr>
          <w:rFonts w:hint="eastAsia" w:hAnsi="宋体"/>
          <w:color w:val="auto"/>
          <w:sz w:val="24"/>
          <w:szCs w:val="24"/>
          <w:highlight w:val="none"/>
        </w:rPr>
        <w:t>□采购文件   采购文件获取日期：</w:t>
      </w:r>
      <w:r>
        <w:rPr>
          <w:rFonts w:hint="eastAsia" w:hAnsi="宋体"/>
          <w:bCs/>
          <w:color w:val="auto"/>
          <w:sz w:val="24"/>
          <w:szCs w:val="24"/>
          <w:highlight w:val="none"/>
          <w:u w:val="single"/>
        </w:rPr>
        <w:t xml:space="preserve">                                   </w:t>
      </w:r>
    </w:p>
    <w:p w14:paraId="0FDA74DB">
      <w:pPr>
        <w:pStyle w:val="25"/>
        <w:spacing w:line="360" w:lineRule="auto"/>
        <w:ind w:left="25" w:leftChars="12" w:firstLine="352" w:firstLineChars="147"/>
        <w:rPr>
          <w:rFonts w:hint="eastAsia" w:hAnsi="宋体"/>
          <w:color w:val="auto"/>
          <w:sz w:val="24"/>
          <w:szCs w:val="24"/>
          <w:highlight w:val="none"/>
        </w:rPr>
      </w:pPr>
      <w:r>
        <w:rPr>
          <w:rFonts w:hint="eastAsia" w:hAnsi="宋体"/>
          <w:color w:val="auto"/>
          <w:sz w:val="24"/>
          <w:szCs w:val="24"/>
          <w:highlight w:val="none"/>
        </w:rPr>
        <w:t xml:space="preserve">□采购过程   </w:t>
      </w:r>
    </w:p>
    <w:p w14:paraId="1BEAF8CB">
      <w:pPr>
        <w:pStyle w:val="25"/>
        <w:spacing w:line="360" w:lineRule="auto"/>
        <w:ind w:left="25" w:leftChars="12" w:firstLine="352" w:firstLineChars="147"/>
        <w:rPr>
          <w:rFonts w:hint="eastAsia" w:hAnsi="宋体"/>
          <w:bCs/>
          <w:color w:val="auto"/>
          <w:sz w:val="24"/>
          <w:szCs w:val="24"/>
          <w:highlight w:val="none"/>
          <w:u w:val="single"/>
        </w:rPr>
      </w:pPr>
      <w:r>
        <w:rPr>
          <w:rFonts w:hint="eastAsia" w:hAnsi="宋体"/>
          <w:color w:val="auto"/>
          <w:sz w:val="24"/>
          <w:szCs w:val="24"/>
          <w:highlight w:val="none"/>
        </w:rPr>
        <w:t xml:space="preserve">□采购结果   </w:t>
      </w:r>
    </w:p>
    <w:p w14:paraId="6097B6BA">
      <w:pPr>
        <w:pStyle w:val="25"/>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三、质疑事项具体内容</w:t>
      </w:r>
    </w:p>
    <w:p w14:paraId="1D0A0378">
      <w:pPr>
        <w:pStyle w:val="25"/>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质疑事项1：</w:t>
      </w:r>
      <w:r>
        <w:rPr>
          <w:rFonts w:hint="eastAsia" w:hAnsi="宋体"/>
          <w:bCs/>
          <w:color w:val="auto"/>
          <w:sz w:val="24"/>
          <w:szCs w:val="24"/>
          <w:highlight w:val="none"/>
          <w:u w:val="single"/>
        </w:rPr>
        <w:t xml:space="preserve">                                                                    </w:t>
      </w:r>
    </w:p>
    <w:p w14:paraId="7B428174">
      <w:pPr>
        <w:pStyle w:val="25"/>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事实依据：</w:t>
      </w:r>
      <w:r>
        <w:rPr>
          <w:rFonts w:hint="eastAsia" w:hAnsi="宋体"/>
          <w:bCs/>
          <w:color w:val="auto"/>
          <w:sz w:val="24"/>
          <w:szCs w:val="24"/>
          <w:highlight w:val="none"/>
          <w:u w:val="single"/>
        </w:rPr>
        <w:t xml:space="preserve">                                                                      </w:t>
      </w:r>
    </w:p>
    <w:p w14:paraId="5145BE64">
      <w:pPr>
        <w:pStyle w:val="25"/>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法律依据：</w:t>
      </w:r>
      <w:r>
        <w:rPr>
          <w:rFonts w:hint="eastAsia" w:hAnsi="宋体"/>
          <w:color w:val="auto"/>
          <w:sz w:val="24"/>
          <w:szCs w:val="24"/>
          <w:highlight w:val="none"/>
          <w:u w:val="single"/>
        </w:rPr>
        <w:t xml:space="preserve">                                                        </w:t>
      </w:r>
      <w:r>
        <w:rPr>
          <w:rFonts w:hint="eastAsia" w:hAnsi="宋体"/>
          <w:bCs/>
          <w:color w:val="auto"/>
          <w:sz w:val="24"/>
          <w:szCs w:val="24"/>
          <w:highlight w:val="none"/>
          <w:u w:val="single"/>
        </w:rPr>
        <w:t xml:space="preserve">               </w:t>
      </w:r>
    </w:p>
    <w:p w14:paraId="38A82493">
      <w:pPr>
        <w:pStyle w:val="25"/>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质疑事项2</w:t>
      </w:r>
    </w:p>
    <w:p w14:paraId="3466EEA0">
      <w:pPr>
        <w:pStyle w:val="25"/>
        <w:spacing w:line="360" w:lineRule="auto"/>
        <w:ind w:left="25" w:leftChars="12" w:firstLine="472" w:firstLineChars="197"/>
        <w:rPr>
          <w:rFonts w:hint="eastAsia" w:hAnsi="宋体"/>
          <w:color w:val="auto"/>
          <w:sz w:val="24"/>
          <w:szCs w:val="24"/>
          <w:highlight w:val="none"/>
        </w:rPr>
      </w:pPr>
      <w:r>
        <w:rPr>
          <w:rFonts w:hAnsi="宋体"/>
          <w:color w:val="auto"/>
          <w:sz w:val="24"/>
          <w:szCs w:val="24"/>
          <w:highlight w:val="none"/>
        </w:rPr>
        <w:t>……</w:t>
      </w:r>
    </w:p>
    <w:p w14:paraId="12DCCCF0">
      <w:pPr>
        <w:pStyle w:val="25"/>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四、与质疑事项相关的质疑请求：</w:t>
      </w:r>
    </w:p>
    <w:p w14:paraId="31D9EF1E">
      <w:pPr>
        <w:pStyle w:val="25"/>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0A0F498C">
      <w:pPr>
        <w:pStyle w:val="25"/>
        <w:spacing w:line="360" w:lineRule="auto"/>
        <w:ind w:left="25" w:leftChars="12" w:firstLine="352" w:firstLineChars="147"/>
        <w:rPr>
          <w:rFonts w:hint="eastAsia" w:hAnsi="宋体"/>
          <w:color w:val="auto"/>
          <w:sz w:val="24"/>
          <w:szCs w:val="24"/>
          <w:highlight w:val="none"/>
        </w:rPr>
      </w:pPr>
    </w:p>
    <w:p w14:paraId="18B627B0">
      <w:pPr>
        <w:pStyle w:val="25"/>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签字（签章）：                                       公章：</w:t>
      </w:r>
    </w:p>
    <w:p w14:paraId="630B5DB2">
      <w:pPr>
        <w:pStyle w:val="25"/>
        <w:spacing w:line="360" w:lineRule="auto"/>
        <w:ind w:left="25" w:leftChars="12" w:firstLine="352" w:firstLineChars="147"/>
        <w:rPr>
          <w:rFonts w:hint="eastAsia" w:hAnsi="宋体"/>
          <w:color w:val="auto"/>
          <w:sz w:val="24"/>
          <w:szCs w:val="24"/>
          <w:highlight w:val="none"/>
        </w:rPr>
      </w:pPr>
    </w:p>
    <w:p w14:paraId="5D381752">
      <w:pPr>
        <w:pStyle w:val="25"/>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日期：</w:t>
      </w:r>
    </w:p>
    <w:p w14:paraId="3707C9C9">
      <w:pPr>
        <w:pStyle w:val="25"/>
        <w:snapToGrid w:val="0"/>
        <w:spacing w:line="360" w:lineRule="auto"/>
        <w:rPr>
          <w:rFonts w:hint="eastAsia" w:hAnsi="宋体"/>
          <w:b/>
          <w:color w:val="auto"/>
          <w:sz w:val="24"/>
          <w:szCs w:val="24"/>
          <w:highlight w:val="none"/>
        </w:rPr>
      </w:pPr>
    </w:p>
    <w:p w14:paraId="4A0FB55A">
      <w:pPr>
        <w:pStyle w:val="25"/>
        <w:snapToGrid w:val="0"/>
        <w:spacing w:line="360" w:lineRule="auto"/>
        <w:rPr>
          <w:rFonts w:hint="eastAsia" w:hAnsi="宋体"/>
          <w:b/>
          <w:color w:val="auto"/>
          <w:sz w:val="24"/>
          <w:szCs w:val="24"/>
          <w:highlight w:val="none"/>
        </w:rPr>
      </w:pPr>
      <w:r>
        <w:rPr>
          <w:rFonts w:hint="eastAsia" w:hAnsi="宋体"/>
          <w:b/>
          <w:color w:val="auto"/>
          <w:sz w:val="24"/>
          <w:szCs w:val="24"/>
          <w:highlight w:val="none"/>
        </w:rPr>
        <w:t>说明：</w:t>
      </w:r>
    </w:p>
    <w:p w14:paraId="434FE366">
      <w:pPr>
        <w:pStyle w:val="25"/>
        <w:spacing w:line="360" w:lineRule="auto"/>
        <w:ind w:left="25" w:leftChars="12" w:firstLine="354" w:firstLineChars="147"/>
        <w:rPr>
          <w:rFonts w:hint="eastAsia" w:hAnsi="宋体"/>
          <w:b/>
          <w:bCs/>
          <w:color w:val="auto"/>
          <w:sz w:val="24"/>
          <w:szCs w:val="24"/>
          <w:highlight w:val="none"/>
        </w:rPr>
      </w:pPr>
      <w:r>
        <w:rPr>
          <w:rFonts w:hint="eastAsia" w:hAnsi="宋体"/>
          <w:b/>
          <w:color w:val="auto"/>
          <w:sz w:val="24"/>
          <w:szCs w:val="24"/>
          <w:highlight w:val="none"/>
        </w:rPr>
        <w:t>1.供应商提出质疑时，应提交质疑函和必要的证明材料</w:t>
      </w:r>
      <w:r>
        <w:rPr>
          <w:rFonts w:hint="eastAsia" w:hAnsi="宋体"/>
          <w:b/>
          <w:bCs/>
          <w:color w:val="auto"/>
          <w:sz w:val="24"/>
          <w:szCs w:val="24"/>
          <w:highlight w:val="none"/>
        </w:rPr>
        <w:t>。</w:t>
      </w:r>
    </w:p>
    <w:p w14:paraId="1884F94C">
      <w:pPr>
        <w:pStyle w:val="25"/>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8F10633">
      <w:pPr>
        <w:pStyle w:val="25"/>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3.质疑函的质疑事项应具体、明确，并有必要的事实依据和法律依据。</w:t>
      </w:r>
    </w:p>
    <w:p w14:paraId="0DE980D5">
      <w:pPr>
        <w:pStyle w:val="25"/>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4.质疑函的质疑请求应与质疑事项相关。</w:t>
      </w:r>
    </w:p>
    <w:p w14:paraId="66C3C6CA">
      <w:pPr>
        <w:pStyle w:val="25"/>
        <w:spacing w:line="360" w:lineRule="auto"/>
        <w:ind w:left="25" w:leftChars="12" w:firstLine="354" w:firstLineChars="147"/>
        <w:rPr>
          <w:rFonts w:hint="eastAsia" w:hAnsi="宋体"/>
          <w:b/>
          <w:color w:val="auto"/>
          <w:highlight w:val="none"/>
        </w:rPr>
      </w:pPr>
      <w:r>
        <w:rPr>
          <w:rFonts w:hint="eastAsia" w:hAnsi="宋体"/>
          <w:b/>
          <w:color w:val="auto"/>
          <w:sz w:val="24"/>
          <w:szCs w:val="24"/>
          <w:highlight w:val="none"/>
        </w:rPr>
        <w:t>5.质疑供应商为法人或者其他组织的，质疑函应由法定代表人、主要负责人，或者其授权代表签字或者盖章，并加盖公章。</w:t>
      </w:r>
    </w:p>
    <w:p w14:paraId="54FB2B31">
      <w:pPr>
        <w:pStyle w:val="25"/>
        <w:snapToGrid w:val="0"/>
        <w:rPr>
          <w:rFonts w:hint="eastAsia" w:hAnsi="宋体"/>
          <w:b/>
          <w:color w:val="auto"/>
          <w:sz w:val="24"/>
          <w:szCs w:val="24"/>
          <w:highlight w:val="none"/>
        </w:rPr>
      </w:pPr>
    </w:p>
    <w:p w14:paraId="074AB935">
      <w:pPr>
        <w:spacing w:line="360" w:lineRule="auto"/>
        <w:jc w:val="left"/>
        <w:rPr>
          <w:rFonts w:hint="eastAsia" w:ascii="宋体" w:hAnsi="宋体"/>
          <w:b/>
          <w:bCs/>
          <w:color w:val="auto"/>
          <w:sz w:val="32"/>
          <w:szCs w:val="32"/>
          <w:highlight w:val="none"/>
        </w:rPr>
      </w:pPr>
      <w:r>
        <w:rPr>
          <w:rFonts w:ascii="宋体" w:hAnsi="宋体"/>
          <w:color w:val="auto"/>
          <w:sz w:val="44"/>
          <w:highlight w:val="none"/>
        </w:rPr>
        <w:br w:type="page"/>
      </w:r>
      <w:r>
        <w:rPr>
          <w:rFonts w:ascii="宋体" w:hAnsi="宋体"/>
          <w:b/>
          <w:color w:val="auto"/>
          <w:sz w:val="24"/>
          <w:highlight w:val="none"/>
        </w:rPr>
        <w:t>2</w:t>
      </w:r>
      <w:r>
        <w:rPr>
          <w:rFonts w:hint="eastAsia" w:ascii="宋体" w:hAnsi="宋体"/>
          <w:b/>
          <w:color w:val="auto"/>
          <w:sz w:val="24"/>
          <w:highlight w:val="none"/>
        </w:rPr>
        <w:t>.投诉书（格式）</w:t>
      </w:r>
    </w:p>
    <w:p w14:paraId="03811308">
      <w:pPr>
        <w:spacing w:line="360" w:lineRule="auto"/>
        <w:jc w:val="center"/>
        <w:rPr>
          <w:rFonts w:hint="eastAsia" w:ascii="宋体" w:hAnsi="宋体" w:cs="方正小标宋简体"/>
          <w:color w:val="auto"/>
          <w:sz w:val="44"/>
          <w:szCs w:val="44"/>
          <w:highlight w:val="none"/>
        </w:rPr>
      </w:pPr>
      <w:r>
        <w:rPr>
          <w:rFonts w:hint="eastAsia" w:ascii="宋体" w:hAnsi="宋体" w:cs="方正小标宋简体"/>
          <w:color w:val="auto"/>
          <w:sz w:val="44"/>
          <w:szCs w:val="44"/>
          <w:highlight w:val="none"/>
        </w:rPr>
        <w:t>投诉书（格式）</w:t>
      </w:r>
    </w:p>
    <w:p w14:paraId="387EFE8F">
      <w:pPr>
        <w:pStyle w:val="25"/>
        <w:snapToGrid w:val="0"/>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一、投诉相关主体基本情况：</w:t>
      </w:r>
    </w:p>
    <w:p w14:paraId="4C5AFF39">
      <w:pPr>
        <w:pStyle w:val="25"/>
        <w:snapToGrid w:val="0"/>
        <w:spacing w:line="360" w:lineRule="auto"/>
        <w:ind w:firstLine="480" w:firstLineChars="200"/>
        <w:jc w:val="left"/>
        <w:rPr>
          <w:rFonts w:hint="eastAsia" w:hAnsi="宋体"/>
          <w:bCs/>
          <w:color w:val="auto"/>
          <w:sz w:val="24"/>
          <w:szCs w:val="24"/>
          <w:highlight w:val="none"/>
          <w:u w:val="single"/>
        </w:rPr>
      </w:pPr>
      <w:r>
        <w:rPr>
          <w:rFonts w:hint="eastAsia" w:hAnsi="宋体"/>
          <w:bCs/>
          <w:color w:val="auto"/>
          <w:sz w:val="24"/>
          <w:szCs w:val="24"/>
          <w:highlight w:val="none"/>
        </w:rPr>
        <w:t>投标人：</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05DC20BE">
      <w:pPr>
        <w:pStyle w:val="25"/>
        <w:snapToGrid w:val="0"/>
        <w:spacing w:line="360" w:lineRule="auto"/>
        <w:ind w:firstLine="480" w:firstLineChars="200"/>
        <w:jc w:val="left"/>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2F17854E">
      <w:pPr>
        <w:pStyle w:val="25"/>
        <w:snapToGrid w:val="0"/>
        <w:spacing w:line="360" w:lineRule="auto"/>
        <w:ind w:firstLine="480" w:firstLineChars="200"/>
        <w:jc w:val="left"/>
        <w:rPr>
          <w:rFonts w:hint="eastAsia" w:hAnsi="宋体"/>
          <w:bCs/>
          <w:color w:val="auto"/>
          <w:sz w:val="24"/>
          <w:szCs w:val="24"/>
          <w:highlight w:val="none"/>
          <w:u w:val="single"/>
        </w:rPr>
      </w:pPr>
      <w:r>
        <w:rPr>
          <w:rFonts w:hint="eastAsia" w:hAnsi="宋体"/>
          <w:bCs/>
          <w:color w:val="auto"/>
          <w:sz w:val="24"/>
          <w:szCs w:val="24"/>
          <w:highlight w:val="none"/>
        </w:rPr>
        <w:t>法定代表人/主要负责人：</w:t>
      </w:r>
      <w:r>
        <w:rPr>
          <w:rFonts w:hint="eastAsia" w:hAnsi="宋体"/>
          <w:bCs/>
          <w:color w:val="auto"/>
          <w:sz w:val="24"/>
          <w:szCs w:val="24"/>
          <w:highlight w:val="none"/>
          <w:u w:val="single"/>
        </w:rPr>
        <w:t xml:space="preserve">                                                         </w:t>
      </w:r>
    </w:p>
    <w:p w14:paraId="4660BA8E">
      <w:pPr>
        <w:pStyle w:val="25"/>
        <w:snapToGrid w:val="0"/>
        <w:spacing w:line="360" w:lineRule="auto"/>
        <w:ind w:firstLine="480" w:firstLineChars="200"/>
        <w:jc w:val="left"/>
        <w:rPr>
          <w:rFonts w:hint="eastAsia" w:hAnsi="宋体"/>
          <w:bCs/>
          <w:color w:val="auto"/>
          <w:sz w:val="24"/>
          <w:szCs w:val="24"/>
          <w:highlight w:val="none"/>
        </w:rPr>
      </w:pP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51CBE1FD">
      <w:pPr>
        <w:pStyle w:val="25"/>
        <w:snapToGrid w:val="0"/>
        <w:spacing w:line="360" w:lineRule="auto"/>
        <w:ind w:firstLine="480" w:firstLineChars="200"/>
        <w:jc w:val="left"/>
        <w:rPr>
          <w:rFonts w:hint="eastAsia" w:hAnsi="宋体"/>
          <w:bCs/>
          <w:color w:val="auto"/>
          <w:sz w:val="24"/>
          <w:szCs w:val="24"/>
          <w:highlight w:val="none"/>
          <w:u w:val="singl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0B67BBB6">
      <w:pPr>
        <w:pStyle w:val="25"/>
        <w:snapToGrid w:val="0"/>
        <w:spacing w:line="360" w:lineRule="auto"/>
        <w:ind w:firstLine="480" w:firstLineChars="200"/>
        <w:jc w:val="left"/>
        <w:rPr>
          <w:rFonts w:hint="eastAsia"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65723989">
      <w:pPr>
        <w:pStyle w:val="25"/>
        <w:snapToGrid w:val="0"/>
        <w:spacing w:line="360" w:lineRule="auto"/>
        <w:ind w:firstLine="480" w:firstLineChars="200"/>
        <w:jc w:val="left"/>
        <w:rPr>
          <w:rFonts w:hint="eastAsia"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0BD4426C">
      <w:pPr>
        <w:pStyle w:val="25"/>
        <w:snapToGrid w:val="0"/>
        <w:spacing w:line="360" w:lineRule="auto"/>
        <w:ind w:firstLine="480" w:firstLineChars="200"/>
        <w:jc w:val="left"/>
        <w:rPr>
          <w:rFonts w:hint="eastAsia" w:hAnsi="宋体"/>
          <w:bCs/>
          <w:color w:val="auto"/>
          <w:sz w:val="24"/>
          <w:szCs w:val="24"/>
          <w:highlight w:val="none"/>
        </w:rPr>
      </w:pPr>
      <w:r>
        <w:rPr>
          <w:rFonts w:hint="eastAsia" w:hAnsi="宋体"/>
          <w:bCs/>
          <w:color w:val="auto"/>
          <w:sz w:val="24"/>
          <w:szCs w:val="24"/>
          <w:highlight w:val="none"/>
        </w:rPr>
        <w:t>被投诉人1：</w:t>
      </w:r>
    </w:p>
    <w:p w14:paraId="7E5DB56A">
      <w:pPr>
        <w:pStyle w:val="25"/>
        <w:snapToGrid w:val="0"/>
        <w:spacing w:line="360" w:lineRule="auto"/>
        <w:ind w:firstLine="480" w:firstLineChars="200"/>
        <w:jc w:val="left"/>
        <w:rPr>
          <w:rFonts w:hint="eastAsia" w:hAnsi="宋体"/>
          <w:bCs/>
          <w:color w:val="auto"/>
          <w:sz w:val="24"/>
          <w:szCs w:val="24"/>
          <w:highlight w:val="none"/>
          <w:u w:val="single"/>
        </w:rPr>
      </w:pPr>
      <w:r>
        <w:rPr>
          <w:rFonts w:hint="eastAsia" w:hAnsi="宋体"/>
          <w:bCs/>
          <w:color w:val="auto"/>
          <w:sz w:val="24"/>
          <w:szCs w:val="24"/>
          <w:highlight w:val="none"/>
        </w:rPr>
        <w:t>地址：</w:t>
      </w:r>
      <w:r>
        <w:rPr>
          <w:rFonts w:hint="eastAsia" w:hAnsi="宋体"/>
          <w:bCs/>
          <w:color w:val="auto"/>
          <w:sz w:val="24"/>
          <w:szCs w:val="24"/>
          <w:highlight w:val="none"/>
          <w:u w:val="single"/>
        </w:rPr>
        <w:t xml:space="preserve">                                                            </w:t>
      </w:r>
    </w:p>
    <w:p w14:paraId="6943D2B1">
      <w:pPr>
        <w:pStyle w:val="25"/>
        <w:snapToGrid w:val="0"/>
        <w:spacing w:line="360" w:lineRule="auto"/>
        <w:ind w:firstLine="480" w:firstLineChars="200"/>
        <w:jc w:val="left"/>
        <w:rPr>
          <w:rFonts w:hint="eastAsia"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3635BCAC">
      <w:pPr>
        <w:pStyle w:val="25"/>
        <w:snapToGrid w:val="0"/>
        <w:spacing w:line="360" w:lineRule="auto"/>
        <w:ind w:firstLine="480" w:firstLineChars="200"/>
        <w:jc w:val="left"/>
        <w:rPr>
          <w:rFonts w:hint="eastAsia" w:hAnsi="宋体"/>
          <w:bCs/>
          <w:color w:val="auto"/>
          <w:sz w:val="24"/>
          <w:szCs w:val="24"/>
          <w:highlight w:val="none"/>
          <w:u w:val="singl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2D4DA30F">
      <w:pPr>
        <w:pStyle w:val="25"/>
        <w:snapToGrid w:val="0"/>
        <w:spacing w:line="360" w:lineRule="auto"/>
        <w:ind w:firstLine="480" w:firstLineChars="200"/>
        <w:jc w:val="left"/>
        <w:rPr>
          <w:rFonts w:hint="eastAsia" w:hAnsi="宋体"/>
          <w:bCs/>
          <w:color w:val="auto"/>
          <w:sz w:val="24"/>
          <w:szCs w:val="24"/>
          <w:highlight w:val="none"/>
        </w:rPr>
      </w:pPr>
      <w:r>
        <w:rPr>
          <w:rFonts w:hint="eastAsia" w:hAnsi="宋体"/>
          <w:bCs/>
          <w:color w:val="auto"/>
          <w:sz w:val="24"/>
          <w:szCs w:val="24"/>
          <w:highlight w:val="none"/>
        </w:rPr>
        <w:t>被投诉人2：</w:t>
      </w:r>
    </w:p>
    <w:p w14:paraId="148BE389">
      <w:pPr>
        <w:pStyle w:val="25"/>
        <w:snapToGrid w:val="0"/>
        <w:spacing w:line="360" w:lineRule="auto"/>
        <w:ind w:firstLine="480" w:firstLineChars="200"/>
        <w:jc w:val="left"/>
        <w:rPr>
          <w:rFonts w:hint="eastAsia" w:hAnsi="宋体"/>
          <w:bCs/>
          <w:color w:val="auto"/>
          <w:sz w:val="24"/>
          <w:szCs w:val="24"/>
          <w:highlight w:val="none"/>
        </w:rPr>
      </w:pPr>
      <w:r>
        <w:rPr>
          <w:rFonts w:hAnsi="宋体"/>
          <w:bCs/>
          <w:color w:val="auto"/>
          <w:sz w:val="24"/>
          <w:szCs w:val="24"/>
          <w:highlight w:val="none"/>
        </w:rPr>
        <w:t>……</w:t>
      </w:r>
    </w:p>
    <w:p w14:paraId="15271521">
      <w:pPr>
        <w:pStyle w:val="25"/>
        <w:snapToGrid w:val="0"/>
        <w:spacing w:line="360" w:lineRule="auto"/>
        <w:ind w:firstLine="480" w:firstLineChars="200"/>
        <w:jc w:val="left"/>
        <w:rPr>
          <w:rFonts w:hint="eastAsia" w:hAnsi="宋体"/>
          <w:bCs/>
          <w:color w:val="auto"/>
          <w:sz w:val="24"/>
          <w:szCs w:val="24"/>
          <w:highlight w:val="none"/>
          <w:u w:val="single"/>
        </w:rPr>
      </w:pPr>
      <w:r>
        <w:rPr>
          <w:rFonts w:hint="eastAsia" w:hAnsi="宋体"/>
          <w:bCs/>
          <w:color w:val="auto"/>
          <w:sz w:val="24"/>
          <w:szCs w:val="24"/>
          <w:highlight w:val="none"/>
        </w:rPr>
        <w:t>相关供应商：</w:t>
      </w:r>
      <w:r>
        <w:rPr>
          <w:rFonts w:hint="eastAsia" w:hAnsi="宋体"/>
          <w:bCs/>
          <w:color w:val="auto"/>
          <w:sz w:val="24"/>
          <w:szCs w:val="24"/>
          <w:highlight w:val="none"/>
          <w:u w:val="single"/>
        </w:rPr>
        <w:t xml:space="preserve">                                                                       </w:t>
      </w:r>
    </w:p>
    <w:p w14:paraId="205B727C">
      <w:pPr>
        <w:pStyle w:val="25"/>
        <w:snapToGrid w:val="0"/>
        <w:spacing w:line="360" w:lineRule="auto"/>
        <w:ind w:firstLine="480" w:firstLineChars="200"/>
        <w:jc w:val="left"/>
        <w:rPr>
          <w:rFonts w:hint="eastAsia"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693CE948">
      <w:pPr>
        <w:pStyle w:val="25"/>
        <w:snapToGrid w:val="0"/>
        <w:spacing w:line="360" w:lineRule="auto"/>
        <w:ind w:firstLine="480" w:firstLineChars="200"/>
        <w:jc w:val="left"/>
        <w:rPr>
          <w:rFonts w:hint="eastAsia" w:hAnsi="宋体"/>
          <w:bCs/>
          <w:color w:val="auto"/>
          <w:sz w:val="24"/>
          <w:szCs w:val="24"/>
          <w:highlight w:val="non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74566BF8">
      <w:pPr>
        <w:pStyle w:val="25"/>
        <w:snapToGrid w:val="0"/>
        <w:spacing w:line="360" w:lineRule="auto"/>
        <w:ind w:firstLine="482" w:firstLineChars="200"/>
        <w:rPr>
          <w:rFonts w:hint="eastAsia" w:hAnsi="宋体"/>
          <w:b/>
          <w:bCs/>
          <w:color w:val="auto"/>
          <w:sz w:val="24"/>
          <w:szCs w:val="24"/>
          <w:highlight w:val="none"/>
        </w:rPr>
      </w:pPr>
      <w:r>
        <w:rPr>
          <w:rFonts w:hint="eastAsia" w:hAnsi="宋体"/>
          <w:b/>
          <w:bCs/>
          <w:color w:val="auto"/>
          <w:sz w:val="24"/>
          <w:szCs w:val="24"/>
          <w:highlight w:val="none"/>
        </w:rPr>
        <w:t>二、投诉项目基本情况：</w:t>
      </w:r>
    </w:p>
    <w:p w14:paraId="04065F2F">
      <w:pPr>
        <w:pStyle w:val="25"/>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512624BE">
      <w:pPr>
        <w:pStyle w:val="25"/>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40447D78">
      <w:pPr>
        <w:pStyle w:val="25"/>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59C25411">
      <w:pPr>
        <w:pStyle w:val="25"/>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代理机构名称：</w:t>
      </w:r>
      <w:r>
        <w:rPr>
          <w:rFonts w:hint="eastAsia" w:hAnsi="宋体"/>
          <w:bCs/>
          <w:color w:val="auto"/>
          <w:sz w:val="24"/>
          <w:szCs w:val="24"/>
          <w:highlight w:val="none"/>
          <w:u w:val="single"/>
        </w:rPr>
        <w:t xml:space="preserve">                                                                      </w:t>
      </w:r>
    </w:p>
    <w:p w14:paraId="4E35909F">
      <w:pPr>
        <w:pStyle w:val="25"/>
        <w:spacing w:line="360" w:lineRule="auto"/>
        <w:ind w:left="25" w:leftChars="12" w:firstLine="472" w:firstLineChars="197"/>
        <w:rPr>
          <w:rFonts w:hint="eastAsia" w:hAnsi="宋体"/>
          <w:bCs/>
          <w:color w:val="auto"/>
          <w:sz w:val="24"/>
          <w:szCs w:val="24"/>
          <w:highlight w:val="none"/>
          <w:u w:val="single"/>
        </w:rPr>
      </w:pPr>
      <w:r>
        <w:rPr>
          <w:rFonts w:hint="eastAsia" w:hAnsi="宋体"/>
          <w:bCs/>
          <w:color w:val="auto"/>
          <w:sz w:val="24"/>
          <w:szCs w:val="24"/>
          <w:highlight w:val="none"/>
        </w:rPr>
        <w:t>采购文件公告：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2E992EF4">
      <w:pPr>
        <w:pStyle w:val="25"/>
        <w:spacing w:line="360" w:lineRule="auto"/>
        <w:ind w:left="25" w:leftChars="12" w:firstLine="472" w:firstLineChars="197"/>
        <w:rPr>
          <w:rFonts w:hint="eastAsia" w:hAnsi="宋体"/>
          <w:b/>
          <w:color w:val="auto"/>
          <w:sz w:val="24"/>
          <w:szCs w:val="24"/>
          <w:highlight w:val="none"/>
        </w:rPr>
      </w:pPr>
      <w:r>
        <w:rPr>
          <w:rFonts w:hint="eastAsia" w:hAnsi="宋体"/>
          <w:bCs/>
          <w:color w:val="auto"/>
          <w:sz w:val="24"/>
          <w:szCs w:val="24"/>
          <w:highlight w:val="none"/>
        </w:rPr>
        <w:t>采购结果公告：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2D107F81">
      <w:pPr>
        <w:pStyle w:val="25"/>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三、质疑基本情况</w:t>
      </w:r>
    </w:p>
    <w:p w14:paraId="56B50AB2">
      <w:pPr>
        <w:pStyle w:val="25"/>
        <w:spacing w:line="360" w:lineRule="auto"/>
        <w:ind w:left="25" w:leftChars="12" w:firstLine="480" w:firstLineChars="200"/>
        <w:rPr>
          <w:rFonts w:hint="eastAsia" w:hAnsi="宋体"/>
          <w:color w:val="auto"/>
          <w:sz w:val="24"/>
          <w:szCs w:val="24"/>
          <w:highlight w:val="none"/>
        </w:rPr>
      </w:pPr>
      <w:r>
        <w:rPr>
          <w:rFonts w:hint="eastAsia" w:hAnsi="宋体"/>
          <w:color w:val="auto"/>
          <w:sz w:val="24"/>
          <w:szCs w:val="24"/>
          <w:highlight w:val="none"/>
        </w:rPr>
        <w:t>投诉人于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日，向</w:t>
      </w:r>
      <w:r>
        <w:rPr>
          <w:rFonts w:hint="eastAsia" w:hAnsi="宋体"/>
          <w:color w:val="auto"/>
          <w:sz w:val="24"/>
          <w:szCs w:val="24"/>
          <w:highlight w:val="none"/>
          <w:u w:val="single"/>
        </w:rPr>
        <w:t xml:space="preserve">                                </w:t>
      </w:r>
      <w:r>
        <w:rPr>
          <w:rFonts w:hint="eastAsia" w:hAnsi="宋体"/>
          <w:color w:val="auto"/>
          <w:sz w:val="24"/>
          <w:szCs w:val="24"/>
          <w:highlight w:val="none"/>
        </w:rPr>
        <w:t>提出质疑，质疑事项为：</w:t>
      </w:r>
    </w:p>
    <w:p w14:paraId="6B3593E3">
      <w:pPr>
        <w:pStyle w:val="25"/>
        <w:spacing w:line="360" w:lineRule="auto"/>
        <w:ind w:firstLine="241"/>
        <w:rPr>
          <w:rFonts w:hint="eastAsia" w:hAnsi="宋体"/>
          <w:bCs/>
          <w:color w:val="auto"/>
          <w:sz w:val="24"/>
          <w:szCs w:val="24"/>
          <w:highlight w:val="none"/>
          <w:u w:val="single"/>
        </w:rPr>
      </w:pP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40252AC4">
      <w:pPr>
        <w:pStyle w:val="25"/>
        <w:spacing w:line="360" w:lineRule="auto"/>
        <w:ind w:firstLine="241"/>
        <w:rPr>
          <w:rFonts w:hint="eastAsia"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219E37CB">
      <w:pPr>
        <w:pStyle w:val="25"/>
        <w:spacing w:line="360" w:lineRule="auto"/>
        <w:ind w:firstLine="480" w:firstLineChars="200"/>
        <w:rPr>
          <w:rFonts w:hint="eastAsia" w:hAnsi="宋体"/>
          <w:color w:val="auto"/>
          <w:sz w:val="24"/>
          <w:szCs w:val="24"/>
          <w:highlight w:val="none"/>
        </w:rPr>
      </w:pPr>
      <w:r>
        <w:rPr>
          <w:rFonts w:hint="eastAsia" w:hAnsi="宋体"/>
          <w:bCs/>
          <w:color w:val="auto"/>
          <w:sz w:val="24"/>
          <w:szCs w:val="24"/>
          <w:highlight w:val="none"/>
          <w:u w:val="single"/>
        </w:rPr>
        <w:t>采购人/代理机构</w:t>
      </w:r>
      <w:r>
        <w:rPr>
          <w:rFonts w:hint="eastAsia" w:hAnsi="宋体"/>
          <w:bCs/>
          <w:color w:val="auto"/>
          <w:sz w:val="24"/>
          <w:szCs w:val="24"/>
          <w:highlight w:val="none"/>
        </w:rPr>
        <w:t>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w:t>
      </w:r>
      <w:r>
        <w:rPr>
          <w:rFonts w:hint="eastAsia" w:hAnsi="宋体"/>
          <w:bCs/>
          <w:color w:val="auto"/>
          <w:sz w:val="24"/>
          <w:szCs w:val="24"/>
          <w:highlight w:val="none"/>
        </w:rPr>
        <w:t xml:space="preserve">就质疑事项作出了答复/没有在法定期限内作出答复。                                                                                             </w:t>
      </w:r>
    </w:p>
    <w:p w14:paraId="023AA539">
      <w:pPr>
        <w:pStyle w:val="25"/>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四、投诉事项具体内容</w:t>
      </w:r>
    </w:p>
    <w:p w14:paraId="17880D87">
      <w:pPr>
        <w:pStyle w:val="25"/>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投诉事项1：</w:t>
      </w:r>
      <w:r>
        <w:rPr>
          <w:rFonts w:hint="eastAsia" w:hAnsi="宋体"/>
          <w:bCs/>
          <w:color w:val="auto"/>
          <w:sz w:val="24"/>
          <w:szCs w:val="24"/>
          <w:highlight w:val="none"/>
          <w:u w:val="single"/>
        </w:rPr>
        <w:t xml:space="preserve">                                                                           </w:t>
      </w:r>
    </w:p>
    <w:p w14:paraId="41B98844">
      <w:pPr>
        <w:pStyle w:val="25"/>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事实依据：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4DA8D431">
      <w:pPr>
        <w:pStyle w:val="25"/>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u w:val="single"/>
        </w:rPr>
        <w:t xml:space="preserve">                                                                                        </w:t>
      </w:r>
    </w:p>
    <w:p w14:paraId="5A3C43BE">
      <w:pPr>
        <w:pStyle w:val="25"/>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法律依据：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0AC4CE3F">
      <w:pPr>
        <w:pStyle w:val="25"/>
        <w:spacing w:line="360" w:lineRule="auto"/>
        <w:ind w:left="25" w:leftChars="12" w:firstLine="352" w:firstLineChars="147"/>
        <w:rPr>
          <w:rFonts w:hint="eastAsia"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7B5EFF3C">
      <w:pPr>
        <w:pStyle w:val="25"/>
        <w:spacing w:line="360" w:lineRule="auto"/>
        <w:ind w:left="25" w:leftChars="12" w:firstLine="472" w:firstLineChars="197"/>
        <w:rPr>
          <w:rFonts w:hint="eastAsia" w:hAnsi="宋体"/>
          <w:bCs/>
          <w:color w:val="auto"/>
          <w:sz w:val="24"/>
          <w:szCs w:val="24"/>
          <w:highlight w:val="none"/>
        </w:rPr>
      </w:pPr>
      <w:r>
        <w:rPr>
          <w:rFonts w:hint="eastAsia" w:hAnsi="宋体"/>
          <w:color w:val="auto"/>
          <w:sz w:val="24"/>
          <w:szCs w:val="24"/>
          <w:highlight w:val="none"/>
        </w:rPr>
        <w:t xml:space="preserve">投诉事项2  </w:t>
      </w:r>
      <w:r>
        <w:rPr>
          <w:rFonts w:hint="eastAsia" w:hAnsi="宋体"/>
          <w:bCs/>
          <w:color w:val="auto"/>
          <w:sz w:val="24"/>
          <w:szCs w:val="24"/>
          <w:highlight w:val="none"/>
        </w:rPr>
        <w:t xml:space="preserve">   </w:t>
      </w:r>
    </w:p>
    <w:p w14:paraId="79665C6A">
      <w:pPr>
        <w:pStyle w:val="25"/>
        <w:spacing w:line="360" w:lineRule="auto"/>
        <w:ind w:left="25" w:leftChars="12" w:firstLine="472" w:firstLineChars="197"/>
        <w:rPr>
          <w:rFonts w:hint="eastAsia" w:hAnsi="宋体"/>
          <w:bCs/>
          <w:color w:val="auto"/>
          <w:sz w:val="24"/>
          <w:szCs w:val="24"/>
          <w:highlight w:val="none"/>
        </w:rPr>
      </w:pPr>
      <w:r>
        <w:rPr>
          <w:rFonts w:hAnsi="宋体"/>
          <w:bCs/>
          <w:color w:val="auto"/>
          <w:sz w:val="24"/>
          <w:szCs w:val="24"/>
          <w:highlight w:val="none"/>
        </w:rPr>
        <w:t>……</w:t>
      </w:r>
    </w:p>
    <w:p w14:paraId="03452D5C">
      <w:pPr>
        <w:pStyle w:val="25"/>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五、与投诉事项相关的投诉请求：</w:t>
      </w:r>
    </w:p>
    <w:p w14:paraId="228BB1B2">
      <w:pPr>
        <w:pStyle w:val="25"/>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5DCCD739">
      <w:pPr>
        <w:pStyle w:val="25"/>
        <w:spacing w:line="360" w:lineRule="auto"/>
        <w:ind w:left="25" w:leftChars="12" w:firstLine="352" w:firstLineChars="147"/>
        <w:rPr>
          <w:rFonts w:hint="eastAsia" w:hAnsi="宋体"/>
          <w:color w:val="auto"/>
          <w:sz w:val="24"/>
          <w:szCs w:val="24"/>
          <w:highlight w:val="none"/>
        </w:rPr>
      </w:pPr>
    </w:p>
    <w:p w14:paraId="64385AFC">
      <w:pPr>
        <w:pStyle w:val="25"/>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签字（签章）：                                       公章：</w:t>
      </w:r>
    </w:p>
    <w:p w14:paraId="60EEEBAF">
      <w:pPr>
        <w:pStyle w:val="25"/>
        <w:spacing w:line="360" w:lineRule="auto"/>
        <w:ind w:left="25" w:leftChars="12" w:firstLine="352" w:firstLineChars="147"/>
        <w:rPr>
          <w:rFonts w:hint="eastAsia" w:hAnsi="宋体"/>
          <w:color w:val="auto"/>
          <w:sz w:val="24"/>
          <w:szCs w:val="24"/>
          <w:highlight w:val="none"/>
        </w:rPr>
      </w:pPr>
    </w:p>
    <w:p w14:paraId="0ADE9396">
      <w:pPr>
        <w:pStyle w:val="25"/>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日期：</w:t>
      </w:r>
    </w:p>
    <w:p w14:paraId="6A5CA421">
      <w:pPr>
        <w:pStyle w:val="25"/>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 xml:space="preserve">                                                                              </w:t>
      </w:r>
    </w:p>
    <w:p w14:paraId="6F4FAE75">
      <w:pPr>
        <w:pStyle w:val="25"/>
        <w:snapToGrid w:val="0"/>
        <w:spacing w:line="360" w:lineRule="auto"/>
        <w:rPr>
          <w:rFonts w:hint="eastAsia" w:hAnsi="宋体"/>
          <w:b/>
          <w:color w:val="auto"/>
          <w:sz w:val="24"/>
          <w:szCs w:val="24"/>
          <w:highlight w:val="none"/>
        </w:rPr>
      </w:pPr>
      <w:r>
        <w:rPr>
          <w:rFonts w:hint="eastAsia" w:hAnsi="宋体"/>
          <w:b/>
          <w:color w:val="auto"/>
          <w:sz w:val="24"/>
          <w:szCs w:val="24"/>
          <w:highlight w:val="none"/>
        </w:rPr>
        <w:t>说明：</w:t>
      </w:r>
    </w:p>
    <w:p w14:paraId="24B52E6A">
      <w:pPr>
        <w:pStyle w:val="25"/>
        <w:spacing w:line="360" w:lineRule="auto"/>
        <w:ind w:left="25" w:leftChars="12" w:firstLine="354" w:firstLineChars="147"/>
        <w:rPr>
          <w:rFonts w:hint="eastAsia" w:hAnsi="宋体"/>
          <w:b/>
          <w:bCs/>
          <w:color w:val="auto"/>
          <w:sz w:val="24"/>
          <w:szCs w:val="24"/>
          <w:highlight w:val="none"/>
        </w:rPr>
      </w:pPr>
      <w:r>
        <w:rPr>
          <w:rFonts w:hint="eastAsia" w:hAnsi="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b/>
          <w:bCs/>
          <w:color w:val="auto"/>
          <w:sz w:val="24"/>
          <w:szCs w:val="24"/>
          <w:highlight w:val="none"/>
        </w:rPr>
        <w:t>。</w:t>
      </w:r>
    </w:p>
    <w:p w14:paraId="29E16FEE">
      <w:pPr>
        <w:pStyle w:val="25"/>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61165236">
      <w:pPr>
        <w:pStyle w:val="25"/>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3.投诉书应简要列明质疑事项，质疑函、质疑答复等作为附件材料提供。</w:t>
      </w:r>
    </w:p>
    <w:p w14:paraId="3C387571">
      <w:pPr>
        <w:pStyle w:val="25"/>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4.投诉书的投诉事项应具体、明确，并有必要的事实依据和法律依据。</w:t>
      </w:r>
    </w:p>
    <w:p w14:paraId="3C7E5D44">
      <w:pPr>
        <w:pStyle w:val="25"/>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5.投诉书的投诉请求应与投诉事项相关。</w:t>
      </w:r>
    </w:p>
    <w:p w14:paraId="35CBD16B">
      <w:pPr>
        <w:pStyle w:val="25"/>
        <w:spacing w:line="360" w:lineRule="auto"/>
        <w:ind w:left="25" w:leftChars="12" w:firstLine="354" w:firstLineChars="147"/>
        <w:rPr>
          <w:rFonts w:hint="eastAsia" w:hAnsi="宋体"/>
          <w:b/>
          <w:color w:val="auto"/>
          <w:highlight w:val="none"/>
        </w:rPr>
      </w:pPr>
      <w:r>
        <w:rPr>
          <w:rFonts w:hint="eastAsia" w:hAnsi="宋体"/>
          <w:b/>
          <w:color w:val="auto"/>
          <w:sz w:val="24"/>
          <w:szCs w:val="24"/>
          <w:highlight w:val="none"/>
        </w:rPr>
        <w:t>6.投诉人为法人或者其他组织的，投诉书应由法定代表人、主要负责人，或者其授权代表签字或者盖章，并加盖公章。</w:t>
      </w:r>
    </w:p>
    <w:bookmarkEnd w:id="183"/>
    <w:sectPr>
      <w:footerReference r:id="rId7" w:type="default"/>
      <w:pgSz w:w="11906" w:h="16838"/>
      <w:pgMar w:top="1440" w:right="1274" w:bottom="1440" w:left="1418"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9B0A6D6-41C6-4203-AC1D-2A1158FE86E8}"/>
  </w:font>
  <w:font w:name="黑体">
    <w:panose1 w:val="02010609060101010101"/>
    <w:charset w:val="86"/>
    <w:family w:val="auto"/>
    <w:pitch w:val="default"/>
    <w:sig w:usb0="800002BF" w:usb1="38CF7CFA" w:usb2="00000016" w:usb3="00000000" w:csb0="00040001" w:csb1="00000000"/>
    <w:embedRegular r:id="rId2" w:fontKey="{61644697-A6E3-4E81-B213-E0A787201762}"/>
  </w:font>
  <w:font w:name="Courier New">
    <w:panose1 w:val="02070309020205020404"/>
    <w:charset w:val="01"/>
    <w:family w:val="modern"/>
    <w:pitch w:val="default"/>
    <w:sig w:usb0="E0002EFF" w:usb1="C0007843" w:usb2="00000009" w:usb3="00000000" w:csb0="400001FF" w:csb1="FFFF0000"/>
    <w:embedRegular r:id="rId3" w:fontKey="{6FB6BACF-7705-4208-A8C8-556CF849F08C}"/>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4" w:fontKey="{36407437-2233-4183-8340-83F717B0AE00}"/>
  </w:font>
  <w:font w:name="仿宋_GB2312">
    <w:altName w:val="仿宋"/>
    <w:panose1 w:val="02010609030101010101"/>
    <w:charset w:val="86"/>
    <w:family w:val="modern"/>
    <w:pitch w:val="default"/>
    <w:sig w:usb0="00000000" w:usb1="00000000" w:usb2="00000000" w:usb3="00000000" w:csb0="00040000" w:csb1="00000000"/>
    <w:embedRegular r:id="rId5" w:fontKey="{073656CE-BC91-4597-9E93-C160CC175292}"/>
  </w:font>
  <w:font w:name="仿宋">
    <w:panose1 w:val="02010609060101010101"/>
    <w:charset w:val="86"/>
    <w:family w:val="auto"/>
    <w:pitch w:val="default"/>
    <w:sig w:usb0="800002BF" w:usb1="38CF7CFA" w:usb2="00000016" w:usb3="00000000" w:csb0="00040001" w:csb1="00000000"/>
    <w:embedRegular r:id="rId6" w:fontKey="{6D0C45F8-9374-4F37-8600-5A682961ADF0}"/>
  </w:font>
  <w:font w:name="Cambria">
    <w:panose1 w:val="02040503050406030204"/>
    <w:charset w:val="00"/>
    <w:family w:val="roman"/>
    <w:pitch w:val="default"/>
    <w:sig w:usb0="E00006FF" w:usb1="420024FF" w:usb2="02000000" w:usb3="00000000" w:csb0="2000019F" w:csb1="00000000"/>
  </w:font>
  <w:font w:name="Liberation Sans">
    <w:altName w:val="宋体"/>
    <w:panose1 w:val="00000000000000000000"/>
    <w:charset w:val="86"/>
    <w:family w:val="swiss"/>
    <w:pitch w:val="default"/>
    <w:sig w:usb0="00000000" w:usb1="00000000" w:usb2="00000000" w:usb3="00000000" w:csb0="00040001" w:csb1="00000000"/>
  </w:font>
  <w:font w:name="DejaVu LGC Sans">
    <w:altName w:val="宋体"/>
    <w:panose1 w:val="00000000000000000000"/>
    <w:charset w:val="86"/>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Century">
    <w:panose1 w:val="02040604050505020304"/>
    <w:charset w:val="00"/>
    <w:family w:val="roman"/>
    <w:pitch w:val="default"/>
    <w:sig w:usb0="00000287"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auto"/>
    <w:pitch w:val="default"/>
    <w:sig w:usb0="A00006FF" w:usb1="4000205B" w:usb2="00000010" w:usb3="00000000" w:csb0="2000019F" w:csb1="00000000"/>
    <w:embedRegular r:id="rId7" w:fontKey="{3352DE52-ECD1-4DB7-871A-B5D2F7112768}"/>
  </w:font>
  <w:font w:name="华文中宋">
    <w:panose1 w:val="02010600040101010101"/>
    <w:charset w:val="86"/>
    <w:family w:val="auto"/>
    <w:pitch w:val="default"/>
    <w:sig w:usb0="00000287" w:usb1="080F0000" w:usb2="00000000" w:usb3="00000000" w:csb0="0004009F" w:csb1="DFD70000"/>
    <w:embedRegular r:id="rId8" w:fontKey="{5982383D-655F-4C3B-AB41-9921DE139435}"/>
  </w:font>
  <w:font w:name="方正小标宋简体">
    <w:altName w:val="黑体"/>
    <w:panose1 w:val="02000000000000000000"/>
    <w:charset w:val="86"/>
    <w:family w:val="script"/>
    <w:pitch w:val="default"/>
    <w:sig w:usb0="00000000" w:usb1="00000000" w:usb2="00000012" w:usb3="00000000" w:csb0="00040001" w:csb1="00000000"/>
    <w:embedRegular r:id="rId9" w:fontKey="{E91E31C9-A71E-4F39-BAEF-46D7242B6FA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3FBDA">
    <w:pPr>
      <w:pStyle w:val="3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AF4DE1">
                          <w:pPr>
                            <w:pStyle w:val="31"/>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1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wGTNcoBAACaAwAADgAAAGRycy9lMm9Eb2MueG1srVPNjtMwEL4j8Q6W&#10;79RppUV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Hl&#10;Te5PH6DGtPuAiWl46wfcmtkP6MyyBxVt/qIggnHs7vnaXTkkIvKj9Wq9rjAkMDZfEJ89PA8R0jvp&#10;LclGQyOOr3SVnz5AGlPnlFzN+TttTBmhcX85EDN7WOY+csxWGvbDJGjv2zPq6XHyDXW46JSY9w4b&#10;m5dkNuJs7GfjGKI+dEhtWXhBeHNMSKJwyxVG2Kkwjqyom9Yr78Tje8l6+KW2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wGTNcoBAACaAwAADgAAAAAAAAABACAAAAAeAQAAZHJzL2Uyb0Rv&#10;Yy54bWxQSwUGAAAAAAYABgBZAQAAWgUAAAAA&#10;">
              <v:fill on="f" focussize="0,0"/>
              <v:stroke on="f"/>
              <v:imagedata o:title=""/>
              <o:lock v:ext="edit" aspectratio="f"/>
              <v:textbox inset="0mm,0mm,0mm,0mm" style="mso-fit-shape-to-text:t;">
                <w:txbxContent>
                  <w:p w14:paraId="58AF4DE1">
                    <w:pPr>
                      <w:pStyle w:val="3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7B027">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245" cy="114935"/>
              <wp:effectExtent l="0" t="0" r="0" b="0"/>
              <wp:wrapNone/>
              <wp:docPr id="6" name="文本框 16"/>
              <wp:cNvGraphicFramePr/>
              <a:graphic xmlns:a="http://schemas.openxmlformats.org/drawingml/2006/main">
                <a:graphicData uri="http://schemas.microsoft.com/office/word/2010/wordprocessingShape">
                  <wps:wsp>
                    <wps:cNvSpPr txBox="1"/>
                    <wps:spPr>
                      <a:xfrm>
                        <a:off x="0" y="0"/>
                        <a:ext cx="182245" cy="114935"/>
                      </a:xfrm>
                      <a:prstGeom prst="rect">
                        <a:avLst/>
                      </a:prstGeom>
                      <a:noFill/>
                      <a:ln>
                        <a:noFill/>
                      </a:ln>
                    </wps:spPr>
                    <wps:txbx>
                      <w:txbxContent>
                        <w:p w14:paraId="6D7AE1D5">
                          <w:pPr>
                            <w:pStyle w:val="31"/>
                          </w:pPr>
                          <w:r>
                            <w:fldChar w:fldCharType="begin"/>
                          </w:r>
                          <w:r>
                            <w:instrText xml:space="preserve"> PAGE  \* MERGEFORMAT </w:instrText>
                          </w:r>
                          <w:r>
                            <w:fldChar w:fldCharType="separate"/>
                          </w:r>
                          <w:r>
                            <w:t>20</w:t>
                          </w:r>
                          <w:r>
                            <w:fldChar w:fldCharType="end"/>
                          </w:r>
                        </w:p>
                      </w:txbxContent>
                    </wps:txbx>
                    <wps:bodyPr lIns="0" tIns="0" rIns="0" bIns="0" upright="1"/>
                  </wps:wsp>
                </a:graphicData>
              </a:graphic>
            </wp:anchor>
          </w:drawing>
        </mc:Choice>
        <mc:Fallback>
          <w:pict>
            <v:shape id="文本框 16" o:spid="_x0000_s1026" o:spt="202" type="#_x0000_t202" style="position:absolute;left:0pt;margin-top:0pt;height:9.05pt;width:14.35pt;mso-position-horizontal:center;mso-position-horizontal-relative:margin;z-index:251660288;mso-width-relative:page;mso-height-relative:page;" filled="f" stroked="f" coordsize="21600,21600" o:gfxdata="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A5oT60gAAAAMBAAAPAAAAAAAAAAEAIAAAACIAAABkcnMvZG93bnJldi54bWxQSwECFAAUAAAA&#10;CACHTuJASRDHz7sBAAByAwAADgAAAAAAAAABACAAAAAhAQAAZHJzL2Uyb0RvYy54bWxQSwUGAAAA&#10;AAYABgBZAQAATgUAAAAA&#10;">
              <v:fill on="f" focussize="0,0"/>
              <v:stroke on="f"/>
              <v:imagedata o:title=""/>
              <o:lock v:ext="edit" aspectratio="f"/>
              <v:textbox inset="0mm,0mm,0mm,0mm">
                <w:txbxContent>
                  <w:p w14:paraId="6D7AE1D5">
                    <w:pPr>
                      <w:pStyle w:val="31"/>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32A4C">
    <w:pPr>
      <w:spacing w:line="176" w:lineRule="auto"/>
      <w:ind w:left="473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835CF9D">
                          <w:pPr>
                            <w:pStyle w:val="31"/>
                          </w:pPr>
                          <w:r>
                            <w:fldChar w:fldCharType="begin"/>
                          </w:r>
                          <w:r>
                            <w:instrText xml:space="preserve"> PAGE  \* MERGEFORMAT </w:instrText>
                          </w:r>
                          <w:r>
                            <w:fldChar w:fldCharType="separate"/>
                          </w:r>
                          <w:r>
                            <w:t>51</w:t>
                          </w:r>
                          <w:r>
                            <w:fldChar w:fldCharType="end"/>
                          </w:r>
                        </w:p>
                      </w:txbxContent>
                    </wps:txbx>
                    <wps:bodyPr wrap="none" lIns="0" tIns="0" rIns="0" bIns="0" upright="1">
                      <a:spAutoFit/>
                    </wps:bodyPr>
                  </wps:wsp>
                </a:graphicData>
              </a:graphic>
            </wp:anchor>
          </w:drawing>
        </mc:Choice>
        <mc:Fallback>
          <w:pict>
            <v:shape id="文本框 1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mwGhNyQEAAJoDAAAOAAAAAAAAAAEAIAAAAB4BAABkcnMvZTJvRG9j&#10;LnhtbFBLBQYAAAAABgAGAFkBAABZBQAAAAA=&#10;">
              <v:fill on="f" focussize="0,0"/>
              <v:stroke on="f"/>
              <v:imagedata o:title=""/>
              <o:lock v:ext="edit" aspectratio="f"/>
              <v:textbox inset="0mm,0mm,0mm,0mm" style="mso-fit-shape-to-text:t;">
                <w:txbxContent>
                  <w:p w14:paraId="3835CF9D">
                    <w:pPr>
                      <w:pStyle w:val="31"/>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E35E0">
    <w:pPr>
      <w:pStyle w:val="31"/>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ECBB6BE">
                          <w:pPr>
                            <w:pStyle w:val="31"/>
                          </w:pPr>
                          <w:r>
                            <w:fldChar w:fldCharType="begin"/>
                          </w:r>
                          <w:r>
                            <w:instrText xml:space="preserve"> PAGE  \* MERGEFORMAT </w:instrText>
                          </w:r>
                          <w:r>
                            <w:fldChar w:fldCharType="separate"/>
                          </w:r>
                          <w:r>
                            <w:t>75</w:t>
                          </w:r>
                          <w:r>
                            <w:fldChar w:fldCharType="end"/>
                          </w:r>
                        </w:p>
                      </w:txbxContent>
                    </wps:txbx>
                    <wps:bodyPr wrap="none" lIns="0" tIns="0" rIns="0" bIns="0" upright="1">
                      <a:spAutoFit/>
                    </wps:bodyPr>
                  </wps:wsp>
                </a:graphicData>
              </a:graphic>
            </wp:anchor>
          </w:drawing>
        </mc:Choice>
        <mc:Fallback>
          <w:pict>
            <v:shape id="文本框 1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44j8tyQEAAJoDAAAOAAAAAAAAAAEAIAAAAB4BAABkcnMvZTJvRG9j&#10;LnhtbFBLBQYAAAAABgAGAFkBAABZBQAAAAA=&#10;">
              <v:fill on="f" focussize="0,0"/>
              <v:stroke on="f"/>
              <v:imagedata o:title=""/>
              <o:lock v:ext="edit" aspectratio="f"/>
              <v:textbox inset="0mm,0mm,0mm,0mm" style="mso-fit-shape-to-text:t;">
                <w:txbxContent>
                  <w:p w14:paraId="1ECBB6BE">
                    <w:pPr>
                      <w:pStyle w:val="31"/>
                    </w:pPr>
                    <w:r>
                      <w:fldChar w:fldCharType="begin"/>
                    </w:r>
                    <w:r>
                      <w:instrText xml:space="preserve"> PAGE  \* MERGEFORMAT </w:instrText>
                    </w:r>
                    <w:r>
                      <w:fldChar w:fldCharType="separate"/>
                    </w:r>
                    <w:r>
                      <w:t>75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2CE41">
    <w:pPr>
      <w:pStyle w:val="3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200"/>
        </w:tabs>
        <w:ind w:left="1200" w:hanging="360"/>
      </w:pPr>
    </w:lvl>
  </w:abstractNum>
  <w:abstractNum w:abstractNumId="1">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pacing w:val="0"/>
        <w:w w:val="100"/>
        <w:kern w:val="21"/>
        <w:sz w:val="21"/>
      </w:rPr>
    </w:lvl>
    <w:lvl w:ilvl="2" w:tentative="0">
      <w:start w:val="1"/>
      <w:numFmt w:val="decimal"/>
      <w:pStyle w:val="249"/>
      <w:suff w:val="nothing"/>
      <w:lvlText w:val="%1%2.%3　"/>
      <w:lvlJc w:val="left"/>
      <w:pPr>
        <w:ind w:left="0" w:firstLine="0"/>
      </w:pPr>
      <w:rPr>
        <w:rFonts w:hint="eastAsia" w:ascii="黑体" w:hAnsi="Times New Roman" w:eastAsia="黑体"/>
        <w:b w:val="0"/>
        <w:i w:val="0"/>
        <w:sz w:val="21"/>
      </w:rPr>
    </w:lvl>
    <w:lvl w:ilvl="3" w:tentative="0">
      <w:start w:val="1"/>
      <w:numFmt w:val="decimal"/>
      <w:pStyle w:val="217"/>
      <w:suff w:val="nothing"/>
      <w:lvlText w:val="%1%2.%3.%4　"/>
      <w:lvlJc w:val="left"/>
      <w:pPr>
        <w:ind w:left="0" w:firstLine="0"/>
      </w:pPr>
      <w:rPr>
        <w:rFonts w:hint="eastAsia" w:ascii="黑体" w:hAnsi="Times New Roman" w:eastAsia="黑体"/>
        <w:b w:val="0"/>
        <w:i w:val="0"/>
        <w:sz w:val="21"/>
      </w:rPr>
    </w:lvl>
    <w:lvl w:ilvl="4" w:tentative="0">
      <w:start w:val="1"/>
      <w:numFmt w:val="decimal"/>
      <w:pStyle w:val="244"/>
      <w:suff w:val="nothing"/>
      <w:lvlText w:val="%1%2.%3.%4.%5　"/>
      <w:lvlJc w:val="left"/>
      <w:pPr>
        <w:ind w:left="0" w:firstLine="0"/>
      </w:pPr>
      <w:rPr>
        <w:rFonts w:hint="eastAsia" w:ascii="黑体" w:hAnsi="Times New Roman" w:eastAsia="黑体"/>
        <w:b w:val="0"/>
        <w:i w:val="0"/>
        <w:sz w:val="21"/>
      </w:rPr>
    </w:lvl>
    <w:lvl w:ilvl="5" w:tentative="0">
      <w:start w:val="1"/>
      <w:numFmt w:val="decimal"/>
      <w:pStyle w:val="168"/>
      <w:suff w:val="nothing"/>
      <w:lvlText w:val="%1%2.%3.%4.%5.%6　"/>
      <w:lvlJc w:val="left"/>
      <w:pPr>
        <w:ind w:left="0" w:firstLine="0"/>
      </w:pPr>
      <w:rPr>
        <w:rFonts w:hint="eastAsia" w:ascii="黑体" w:hAnsi="Times New Roman" w:eastAsia="黑体"/>
        <w:b w:val="0"/>
        <w:i w:val="0"/>
        <w:sz w:val="21"/>
      </w:rPr>
    </w:lvl>
    <w:lvl w:ilvl="6" w:tentative="0">
      <w:start w:val="1"/>
      <w:numFmt w:val="decimal"/>
      <w:pStyle w:val="248"/>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AE367E9"/>
    <w:multiLevelType w:val="multilevel"/>
    <w:tmpl w:val="0AE367E9"/>
    <w:lvl w:ilvl="0" w:tentative="0">
      <w:start w:val="1"/>
      <w:numFmt w:val="none"/>
      <w:pStyle w:val="246"/>
      <w:lvlText w:val="%1示例"/>
      <w:lvlJc w:val="left"/>
      <w:pPr>
        <w:tabs>
          <w:tab w:val="left" w:pos="1120"/>
        </w:tabs>
        <w:ind w:left="0" w:firstLine="400"/>
      </w:pPr>
      <w:rPr>
        <w:rFonts w:hint="eastAsia" w:ascii="宋体" w:hAnsi="Times New Roman" w:eastAsia="宋体"/>
        <w:b w:val="0"/>
        <w:i w:val="0"/>
        <w:sz w:val="18"/>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4">
    <w:nsid w:val="407E65F9"/>
    <w:multiLevelType w:val="multilevel"/>
    <w:tmpl w:val="407E65F9"/>
    <w:lvl w:ilvl="0" w:tentative="0">
      <w:start w:val="1"/>
      <w:numFmt w:val="none"/>
      <w:pStyle w:val="241"/>
      <w:lvlText w:val="%1·　"/>
      <w:lvlJc w:val="left"/>
      <w:pPr>
        <w:tabs>
          <w:tab w:val="left" w:pos="1140"/>
        </w:tabs>
        <w:ind w:left="737" w:hanging="317"/>
      </w:pPr>
      <w:rPr>
        <w:rFonts w:hint="eastAsia" w:ascii="宋体" w:hAnsi="Times New Roman" w:eastAsia="宋体"/>
        <w:b w:val="0"/>
        <w:i w:val="0"/>
        <w:sz w:val="21"/>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496E4D7B"/>
    <w:multiLevelType w:val="multilevel"/>
    <w:tmpl w:val="496E4D7B"/>
    <w:lvl w:ilvl="0" w:tentative="0">
      <w:start w:val="1"/>
      <w:numFmt w:val="none"/>
      <w:pStyle w:val="198"/>
      <w:lvlText w:val="%1注"/>
      <w:lvlJc w:val="left"/>
      <w:pPr>
        <w:tabs>
          <w:tab w:val="left" w:pos="900"/>
        </w:tabs>
        <w:ind w:left="900" w:hanging="500"/>
      </w:pPr>
      <w:rPr>
        <w:rFonts w:hint="eastAsia" w:ascii="宋体" w:hAnsi="Times New Roman" w:eastAsia="宋体"/>
        <w:b w:val="0"/>
        <w:i w:val="0"/>
        <w:sz w:val="18"/>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4C601917"/>
    <w:multiLevelType w:val="singleLevel"/>
    <w:tmpl w:val="4C601917"/>
    <w:lvl w:ilvl="0" w:tentative="0">
      <w:start w:val="1"/>
      <w:numFmt w:val="decimal"/>
      <w:suff w:val="nothing"/>
      <w:lvlText w:val="（%1）"/>
      <w:lvlJc w:val="left"/>
      <w:pPr>
        <w:ind w:left="-2"/>
      </w:pPr>
    </w:lvl>
  </w:abstractNum>
  <w:abstractNum w:abstractNumId="7">
    <w:nsid w:val="557C2AF5"/>
    <w:multiLevelType w:val="multilevel"/>
    <w:tmpl w:val="557C2AF5"/>
    <w:lvl w:ilvl="0" w:tentative="0">
      <w:start w:val="1"/>
      <w:numFmt w:val="decimal"/>
      <w:pStyle w:val="251"/>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cs="Times New Roman"/>
        <w:b w:val="0"/>
        <w:i w:val="0"/>
        <w:sz w:val="21"/>
      </w:rPr>
    </w:lvl>
    <w:lvl w:ilvl="2" w:tentative="0">
      <w:start w:val="1"/>
      <w:numFmt w:val="decimal"/>
      <w:suff w:val="nothing"/>
      <w:lvlText w:val="%1%2.%3　"/>
      <w:lvlJc w:val="left"/>
      <w:pPr>
        <w:ind w:left="0" w:firstLine="0"/>
      </w:pPr>
      <w:rPr>
        <w:rFonts w:hint="default" w:ascii="Times New Roman" w:hAnsi="Times New Roman" w:eastAsia="黑体" w:cs="Times New Roman"/>
        <w:b w:val="0"/>
        <w:i w:val="0"/>
        <w:sz w:val="21"/>
      </w:rPr>
    </w:lvl>
    <w:lvl w:ilvl="3" w:tentative="0">
      <w:start w:val="1"/>
      <w:numFmt w:val="decimal"/>
      <w:suff w:val="nothing"/>
      <w:lvlText w:val="%1%2.%3.%4　"/>
      <w:lvlJc w:val="left"/>
      <w:pPr>
        <w:ind w:left="0" w:firstLine="0"/>
      </w:pPr>
      <w:rPr>
        <w:rFonts w:hint="default" w:ascii="Times New Roman" w:hAnsi="Times New Roman" w:eastAsia="黑体" w:cs="Times New Roman"/>
        <w:b w:val="0"/>
        <w:i w:val="0"/>
        <w:sz w:val="21"/>
      </w:rPr>
    </w:lvl>
    <w:lvl w:ilvl="4" w:tentative="0">
      <w:start w:val="1"/>
      <w:numFmt w:val="decimal"/>
      <w:suff w:val="nothing"/>
      <w:lvlText w:val="%1%2.%3.%4.%5　"/>
      <w:lvlJc w:val="left"/>
      <w:pPr>
        <w:ind w:left="0" w:firstLine="0"/>
      </w:pPr>
      <w:rPr>
        <w:rFonts w:hint="default" w:ascii="Times New Roman" w:hAnsi="Times New Roman" w:eastAsia="黑体" w:cs="Times New Roman"/>
        <w:b w:val="0"/>
        <w:i w:val="0"/>
        <w:sz w:val="21"/>
      </w:rPr>
    </w:lvl>
    <w:lvl w:ilvl="5" w:tentative="0">
      <w:start w:val="1"/>
      <w:numFmt w:val="decimal"/>
      <w:suff w:val="nothing"/>
      <w:lvlText w:val="%1%2.%3.%4.%5.%6　"/>
      <w:lvlJc w:val="left"/>
      <w:pPr>
        <w:ind w:left="0" w:firstLine="0"/>
      </w:pPr>
      <w:rPr>
        <w:rFonts w:hint="default" w:ascii="Times New Roman" w:hAnsi="Times New Roman" w:eastAsia="黑体" w:cs="Times New Roman"/>
        <w:b w:val="0"/>
        <w:i w:val="0"/>
        <w:sz w:val="21"/>
      </w:rPr>
    </w:lvl>
    <w:lvl w:ilvl="6" w:tentative="0">
      <w:start w:val="1"/>
      <w:numFmt w:val="decimal"/>
      <w:suff w:val="nothing"/>
      <w:lvlText w:val="%1%2.%3.%4.%5.%6.%7　"/>
      <w:lvlJc w:val="left"/>
      <w:pPr>
        <w:ind w:left="0" w:firstLine="0"/>
      </w:pPr>
      <w:rPr>
        <w:rFonts w:hint="default" w:ascii="Times New Roman" w:hAnsi="Times New Roman" w:eastAsia="黑体" w:cs="Times New Roman"/>
        <w:b w:val="0"/>
        <w:i w:val="0"/>
        <w:sz w:val="21"/>
      </w:rPr>
    </w:lvl>
    <w:lvl w:ilvl="7" w:tentative="0">
      <w:start w:val="1"/>
      <w:numFmt w:val="decimal"/>
      <w:lvlText w:val="%1.%2.%3.%4.%5.%6.%7.%8"/>
      <w:lvlJc w:val="left"/>
      <w:pPr>
        <w:tabs>
          <w:tab w:val="left" w:pos="4351"/>
        </w:tabs>
        <w:ind w:left="3969" w:hanging="1418"/>
      </w:pPr>
    </w:lvl>
    <w:lvl w:ilvl="8" w:tentative="0">
      <w:start w:val="1"/>
      <w:numFmt w:val="decimal"/>
      <w:lvlText w:val="%1.%2.%3.%4.%5.%6.%7.%8.%9"/>
      <w:lvlJc w:val="left"/>
      <w:pPr>
        <w:tabs>
          <w:tab w:val="left" w:pos="4777"/>
        </w:tabs>
        <w:ind w:left="4677" w:hanging="1700"/>
      </w:pPr>
    </w:lvl>
  </w:abstractNum>
  <w:abstractNum w:abstractNumId="8">
    <w:nsid w:val="5FABD14B"/>
    <w:multiLevelType w:val="singleLevel"/>
    <w:tmpl w:val="5FABD14B"/>
    <w:lvl w:ilvl="0" w:tentative="0">
      <w:start w:val="1"/>
      <w:numFmt w:val="decimal"/>
      <w:suff w:val="nothing"/>
      <w:lvlText w:val="（%1）"/>
      <w:lvlJc w:val="left"/>
    </w:lvl>
  </w:abstractNum>
  <w:abstractNum w:abstractNumId="9">
    <w:nsid w:val="646260FA"/>
    <w:multiLevelType w:val="multilevel"/>
    <w:tmpl w:val="646260FA"/>
    <w:lvl w:ilvl="0" w:tentative="0">
      <w:start w:val="1"/>
      <w:numFmt w:val="decimal"/>
      <w:pStyle w:val="250"/>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8"/>
        </w:tabs>
        <w:ind w:left="1418"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0">
    <w:nsid w:val="657D3FBC"/>
    <w:multiLevelType w:val="multilevel"/>
    <w:tmpl w:val="657D3FBC"/>
    <w:lvl w:ilvl="0" w:tentative="0">
      <w:start w:val="1"/>
      <w:numFmt w:val="upperLetter"/>
      <w:pStyle w:val="231"/>
      <w:suff w:val="nothing"/>
      <w:lvlText w:val="附　录　%1"/>
      <w:lvlJc w:val="left"/>
      <w:pPr>
        <w:ind w:left="0" w:firstLine="0"/>
      </w:pPr>
      <w:rPr>
        <w:rFonts w:hint="eastAsia" w:ascii="黑体" w:hAnsi="Times New Roman" w:eastAsia="黑体"/>
        <w:b w:val="0"/>
        <w:i w:val="0"/>
        <w:sz w:val="21"/>
      </w:rPr>
    </w:lvl>
    <w:lvl w:ilvl="1" w:tentative="0">
      <w:start w:val="1"/>
      <w:numFmt w:val="decimal"/>
      <w:pStyle w:val="233"/>
      <w:suff w:val="nothing"/>
      <w:lvlText w:val="%1.%2　"/>
      <w:lvlJc w:val="left"/>
      <w:pPr>
        <w:ind w:left="0" w:firstLine="0"/>
      </w:pPr>
      <w:rPr>
        <w:rFonts w:hint="eastAsia" w:ascii="黑体" w:hAnsi="Times New Roman" w:eastAsia="黑体"/>
        <w:b w:val="0"/>
        <w:i w:val="0"/>
        <w:spacing w:val="0"/>
        <w:w w:val="100"/>
        <w:kern w:val="21"/>
        <w:sz w:val="21"/>
      </w:rPr>
    </w:lvl>
    <w:lvl w:ilvl="2" w:tentative="0">
      <w:start w:val="1"/>
      <w:numFmt w:val="decimal"/>
      <w:pStyle w:val="234"/>
      <w:suff w:val="nothing"/>
      <w:lvlText w:val="%1.%2.%3　"/>
      <w:lvlJc w:val="left"/>
      <w:pPr>
        <w:ind w:left="0" w:firstLine="0"/>
      </w:pPr>
      <w:rPr>
        <w:rFonts w:hint="eastAsia" w:ascii="黑体" w:hAnsi="Times New Roman" w:eastAsia="黑体"/>
        <w:b w:val="0"/>
        <w:i w:val="0"/>
        <w:sz w:val="21"/>
      </w:rPr>
    </w:lvl>
    <w:lvl w:ilvl="3" w:tentative="0">
      <w:start w:val="1"/>
      <w:numFmt w:val="decimal"/>
      <w:pStyle w:val="235"/>
      <w:suff w:val="nothing"/>
      <w:lvlText w:val="%1.%2.%3.%4　"/>
      <w:lvlJc w:val="left"/>
      <w:pPr>
        <w:ind w:left="0" w:firstLine="0"/>
      </w:pPr>
      <w:rPr>
        <w:rFonts w:hint="eastAsia" w:ascii="黑体" w:hAnsi="Times New Roman" w:eastAsia="黑体"/>
        <w:b w:val="0"/>
        <w:i w:val="0"/>
        <w:sz w:val="21"/>
      </w:rPr>
    </w:lvl>
    <w:lvl w:ilvl="4" w:tentative="0">
      <w:start w:val="1"/>
      <w:numFmt w:val="decimal"/>
      <w:pStyle w:val="236"/>
      <w:suff w:val="nothing"/>
      <w:lvlText w:val="%1.%2.%3.%4.%5　"/>
      <w:lvlJc w:val="left"/>
      <w:pPr>
        <w:ind w:left="0" w:firstLine="0"/>
      </w:pPr>
      <w:rPr>
        <w:rFonts w:hint="eastAsia" w:ascii="黑体" w:hAnsi="Times New Roman" w:eastAsia="黑体"/>
        <w:b w:val="0"/>
        <w:i w:val="0"/>
        <w:sz w:val="21"/>
      </w:rPr>
    </w:lvl>
    <w:lvl w:ilvl="5" w:tentative="0">
      <w:start w:val="1"/>
      <w:numFmt w:val="decimal"/>
      <w:pStyle w:val="237"/>
      <w:suff w:val="nothing"/>
      <w:lvlText w:val="%1.%2.%3.%4.%5.%6　"/>
      <w:lvlJc w:val="left"/>
      <w:pPr>
        <w:ind w:left="0" w:firstLine="0"/>
      </w:pPr>
      <w:rPr>
        <w:rFonts w:hint="eastAsia" w:ascii="黑体" w:hAnsi="Times New Roman" w:eastAsia="黑体"/>
        <w:b w:val="0"/>
        <w:i w:val="0"/>
        <w:sz w:val="21"/>
      </w:rPr>
    </w:lvl>
    <w:lvl w:ilvl="6" w:tentative="0">
      <w:start w:val="1"/>
      <w:numFmt w:val="decimal"/>
      <w:pStyle w:val="239"/>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1">
    <w:nsid w:val="6CEA2025"/>
    <w:multiLevelType w:val="multilevel"/>
    <w:tmpl w:val="6CEA2025"/>
    <w:lvl w:ilvl="0" w:tentative="0">
      <w:start w:val="1"/>
      <w:numFmt w:val="none"/>
      <w:pStyle w:val="215"/>
      <w:suff w:val="nothing"/>
      <w:lvlText w:val="%1"/>
      <w:lvlJc w:val="left"/>
      <w:pPr>
        <w:ind w:left="0" w:firstLine="0"/>
      </w:pPr>
      <w:rPr>
        <w:rFonts w:hint="default" w:ascii="Times New Roman" w:hAnsi="Times New Roman" w:cs="Times New Roman"/>
        <w:b/>
        <w:i w:val="0"/>
        <w:sz w:val="21"/>
      </w:rPr>
    </w:lvl>
    <w:lvl w:ilvl="1" w:tentative="0">
      <w:start w:val="1"/>
      <w:numFmt w:val="decimal"/>
      <w:pStyle w:val="177"/>
      <w:suff w:val="nothing"/>
      <w:lvlText w:val="%1%2　"/>
      <w:lvlJc w:val="left"/>
      <w:pPr>
        <w:ind w:left="0" w:firstLine="0"/>
      </w:pPr>
      <w:rPr>
        <w:rFonts w:hint="eastAsia" w:ascii="黑体" w:hAnsi="Times New Roman" w:eastAsia="黑体"/>
        <w:b w:val="0"/>
        <w:i w:val="0"/>
        <w:sz w:val="21"/>
      </w:rPr>
    </w:lvl>
    <w:lvl w:ilvl="2" w:tentative="0">
      <w:start w:val="1"/>
      <w:numFmt w:val="decimal"/>
      <w:pStyle w:val="176"/>
      <w:suff w:val="nothing"/>
      <w:lvlText w:val="%1%2.%3　"/>
      <w:lvlJc w:val="left"/>
      <w:pPr>
        <w:ind w:left="0" w:firstLine="0"/>
      </w:pPr>
      <w:rPr>
        <w:rFonts w:hint="eastAsia" w:ascii="黑体" w:hAnsi="Times New Roman" w:eastAsia="黑体"/>
        <w:b w:val="0"/>
        <w:i w:val="0"/>
        <w:sz w:val="21"/>
      </w:rPr>
    </w:lvl>
    <w:lvl w:ilvl="3" w:tentative="0">
      <w:start w:val="1"/>
      <w:numFmt w:val="decimal"/>
      <w:pStyle w:val="175"/>
      <w:suff w:val="nothing"/>
      <w:lvlText w:val="%1%2.%3.%4　"/>
      <w:lvlJc w:val="left"/>
      <w:pPr>
        <w:ind w:left="0" w:firstLine="0"/>
      </w:pPr>
      <w:rPr>
        <w:rFonts w:hint="eastAsia" w:ascii="黑体" w:hAnsi="Times New Roman" w:eastAsia="黑体"/>
        <w:b w:val="0"/>
        <w:i w:val="0"/>
        <w:sz w:val="21"/>
      </w:rPr>
    </w:lvl>
    <w:lvl w:ilvl="4" w:tentative="0">
      <w:start w:val="1"/>
      <w:numFmt w:val="decimal"/>
      <w:pStyle w:val="174"/>
      <w:suff w:val="nothing"/>
      <w:lvlText w:val="%1%2.%3.%4.%5　"/>
      <w:lvlJc w:val="left"/>
      <w:pPr>
        <w:ind w:left="0" w:firstLine="0"/>
      </w:pPr>
      <w:rPr>
        <w:rFonts w:hint="eastAsia" w:ascii="黑体" w:hAnsi="Times New Roman" w:eastAsia="黑体"/>
        <w:b w:val="0"/>
        <w:i w:val="0"/>
        <w:sz w:val="21"/>
      </w:rPr>
    </w:lvl>
    <w:lvl w:ilvl="5" w:tentative="0">
      <w:start w:val="1"/>
      <w:numFmt w:val="decimal"/>
      <w:pStyle w:val="173"/>
      <w:suff w:val="nothing"/>
      <w:lvlText w:val="%1%2.%3.%4.%5.%6　"/>
      <w:lvlJc w:val="left"/>
      <w:pPr>
        <w:ind w:left="0" w:firstLine="0"/>
      </w:pPr>
      <w:rPr>
        <w:rFonts w:hint="eastAsia" w:ascii="黑体" w:hAnsi="Times New Roman" w:eastAsia="黑体"/>
        <w:b w:val="0"/>
        <w:i w:val="0"/>
        <w:sz w:val="21"/>
      </w:rPr>
    </w:lvl>
    <w:lvl w:ilvl="6" w:tentative="0">
      <w:start w:val="1"/>
      <w:numFmt w:val="decimal"/>
      <w:pStyle w:val="247"/>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lvl>
    <w:lvl w:ilvl="8" w:tentative="0">
      <w:start w:val="1"/>
      <w:numFmt w:val="decimal"/>
      <w:lvlText w:val="%1.%2.%3.%4.%5.%6.%7.%8.%9"/>
      <w:lvlJc w:val="left"/>
      <w:pPr>
        <w:tabs>
          <w:tab w:val="left" w:pos="4777"/>
        </w:tabs>
        <w:ind w:left="4677" w:hanging="1700"/>
      </w:pPr>
    </w:lvl>
  </w:abstractNum>
  <w:abstractNum w:abstractNumId="12">
    <w:nsid w:val="6DBF04F4"/>
    <w:multiLevelType w:val="multilevel"/>
    <w:tmpl w:val="6DBF04F4"/>
    <w:lvl w:ilvl="0" w:tentative="0">
      <w:start w:val="1"/>
      <w:numFmt w:val="none"/>
      <w:pStyle w:val="252"/>
      <w:lvlText w:val="%1注："/>
      <w:lvlJc w:val="left"/>
      <w:pPr>
        <w:tabs>
          <w:tab w:val="left" w:pos="1140"/>
        </w:tabs>
        <w:ind w:left="840" w:hanging="420"/>
      </w:pPr>
      <w:rPr>
        <w:rFonts w:hint="eastAsia" w:ascii="宋体" w:hAnsi="Times New Roman" w:eastAsia="宋体"/>
        <w:b w:val="0"/>
        <w:i w:val="0"/>
        <w:sz w:val="18"/>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
    <w:nsid w:val="763060DB"/>
    <w:multiLevelType w:val="multilevel"/>
    <w:tmpl w:val="763060DB"/>
    <w:lvl w:ilvl="0" w:tentative="0">
      <w:start w:val="1"/>
      <w:numFmt w:val="japaneseCounting"/>
      <w:lvlText w:val="第%1章"/>
      <w:lvlJc w:val="left"/>
      <w:pPr>
        <w:tabs>
          <w:tab w:val="left" w:pos="1815"/>
        </w:tabs>
        <w:ind w:left="1815" w:hanging="1275"/>
      </w:pPr>
      <w:rPr>
        <w:rFonts w:hint="eastAsia"/>
        <w:lang w:val="en-US"/>
      </w:rPr>
    </w:lvl>
    <w:lvl w:ilvl="1" w:tentative="0">
      <w:start w:val="1"/>
      <w:numFmt w:val="japaneseCounting"/>
      <w:lvlText w:val="%2、"/>
      <w:lvlJc w:val="left"/>
      <w:pPr>
        <w:tabs>
          <w:tab w:val="left" w:pos="1680"/>
        </w:tabs>
        <w:ind w:left="1680" w:hanging="720"/>
      </w:pPr>
      <w:rPr>
        <w:rFonts w:hint="eastAsia"/>
      </w:rPr>
    </w:lvl>
    <w:lvl w:ilvl="2" w:tentative="0">
      <w:start w:val="1"/>
      <w:numFmt w:val="decimal"/>
      <w:lvlText w:val="%3."/>
      <w:lvlJc w:val="left"/>
      <w:pPr>
        <w:ind w:left="502" w:hanging="360"/>
      </w:pPr>
      <w:rPr>
        <w:rFonts w:hint="default"/>
        <w:sz w:val="24"/>
        <w:szCs w:val="24"/>
      </w:r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14">
    <w:nsid w:val="76933334"/>
    <w:multiLevelType w:val="multilevel"/>
    <w:tmpl w:val="76933334"/>
    <w:lvl w:ilvl="0" w:tentative="0">
      <w:start w:val="1"/>
      <w:numFmt w:val="none"/>
      <w:pStyle w:val="240"/>
      <w:lvlText w:val="%1——"/>
      <w:lvlJc w:val="left"/>
      <w:pPr>
        <w:tabs>
          <w:tab w:val="left" w:pos="1140"/>
        </w:tabs>
        <w:ind w:left="840" w:hanging="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3"/>
  </w:num>
  <w:num w:numId="2">
    <w:abstractNumId w:val="0"/>
  </w:num>
  <w:num w:numId="3">
    <w:abstractNumId w:val="1"/>
  </w:num>
  <w:num w:numId="4">
    <w:abstractNumId w:val="11"/>
  </w:num>
  <w:num w:numId="5">
    <w:abstractNumId w:val="5"/>
  </w:num>
  <w:num w:numId="6">
    <w:abstractNumId w:val="10"/>
  </w:num>
  <w:num w:numId="7">
    <w:abstractNumId w:val="14"/>
  </w:num>
  <w:num w:numId="8">
    <w:abstractNumId w:val="4"/>
  </w:num>
  <w:num w:numId="9">
    <w:abstractNumId w:val="2"/>
  </w:num>
  <w:num w:numId="10">
    <w:abstractNumId w:val="9"/>
  </w:num>
  <w:num w:numId="11">
    <w:abstractNumId w:val="7"/>
  </w:num>
  <w:num w:numId="12">
    <w:abstractNumId w:val="12"/>
  </w:num>
  <w:num w:numId="13">
    <w:abstractNumId w:val="6"/>
  </w:num>
  <w:num w:numId="14">
    <w:abstractNumId w:val="8"/>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documentProtection w:enforcement="0"/>
  <w:defaultTabStop w:val="420"/>
  <w:drawingGridHorizontalSpacing w:val="105"/>
  <w:drawingGridVerticalSpacing w:val="156"/>
  <w:noPunctuationKerning w:val="1"/>
  <w:characterSpacingControl w:val="compressPunctuation"/>
  <w:noLineBreaksAfter w:lang="zh-CN" w:val="([{·‘“〈《「『【〔〖（．［｛￡￥"/>
  <w:noLineBreaksBefore w:lang="zh-CN" w:val="!),.:;?]}¨·ˇˉ―‖’”…∶、。〃々〉》」』】〕〗！＂＇），．：；？］｀｜｝～￠"/>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Q1Yzg0MTU4M2U4NWRlMjViZWMzYzIzN2NlNDdjY2UifQ=="/>
  </w:docVars>
  <w:rsids>
    <w:rsidRoot w:val="00172A27"/>
    <w:rsid w:val="0000010C"/>
    <w:rsid w:val="00000266"/>
    <w:rsid w:val="000004FE"/>
    <w:rsid w:val="00000FE0"/>
    <w:rsid w:val="00001068"/>
    <w:rsid w:val="0000114A"/>
    <w:rsid w:val="000011FA"/>
    <w:rsid w:val="00001731"/>
    <w:rsid w:val="00001C2D"/>
    <w:rsid w:val="00001C55"/>
    <w:rsid w:val="00001CA8"/>
    <w:rsid w:val="00001FAE"/>
    <w:rsid w:val="00002291"/>
    <w:rsid w:val="0000257D"/>
    <w:rsid w:val="00002DBF"/>
    <w:rsid w:val="00002E1A"/>
    <w:rsid w:val="00002EC0"/>
    <w:rsid w:val="00003224"/>
    <w:rsid w:val="000033F5"/>
    <w:rsid w:val="0000358C"/>
    <w:rsid w:val="00003BEF"/>
    <w:rsid w:val="00003D90"/>
    <w:rsid w:val="00004130"/>
    <w:rsid w:val="0000431F"/>
    <w:rsid w:val="00004634"/>
    <w:rsid w:val="0000494E"/>
    <w:rsid w:val="00004D8B"/>
    <w:rsid w:val="000059E2"/>
    <w:rsid w:val="000061EA"/>
    <w:rsid w:val="00006AE7"/>
    <w:rsid w:val="00006B9B"/>
    <w:rsid w:val="00006BCA"/>
    <w:rsid w:val="00006C35"/>
    <w:rsid w:val="000072B1"/>
    <w:rsid w:val="00007329"/>
    <w:rsid w:val="00007E28"/>
    <w:rsid w:val="00007E84"/>
    <w:rsid w:val="00010401"/>
    <w:rsid w:val="000105A1"/>
    <w:rsid w:val="000107AD"/>
    <w:rsid w:val="00010835"/>
    <w:rsid w:val="000117D5"/>
    <w:rsid w:val="00011842"/>
    <w:rsid w:val="00012137"/>
    <w:rsid w:val="000121FF"/>
    <w:rsid w:val="00012456"/>
    <w:rsid w:val="000125B8"/>
    <w:rsid w:val="00012692"/>
    <w:rsid w:val="00013446"/>
    <w:rsid w:val="00013509"/>
    <w:rsid w:val="000135BC"/>
    <w:rsid w:val="000135D0"/>
    <w:rsid w:val="000135DC"/>
    <w:rsid w:val="000136D6"/>
    <w:rsid w:val="00014085"/>
    <w:rsid w:val="00014601"/>
    <w:rsid w:val="00014D89"/>
    <w:rsid w:val="00014DD9"/>
    <w:rsid w:val="00014EE0"/>
    <w:rsid w:val="000151E4"/>
    <w:rsid w:val="00015577"/>
    <w:rsid w:val="000156E4"/>
    <w:rsid w:val="000159A7"/>
    <w:rsid w:val="00015FB8"/>
    <w:rsid w:val="0001609F"/>
    <w:rsid w:val="0001635B"/>
    <w:rsid w:val="00016549"/>
    <w:rsid w:val="00016814"/>
    <w:rsid w:val="00016BF7"/>
    <w:rsid w:val="000170A9"/>
    <w:rsid w:val="0001720C"/>
    <w:rsid w:val="0001767E"/>
    <w:rsid w:val="0001776D"/>
    <w:rsid w:val="00017F31"/>
    <w:rsid w:val="00020607"/>
    <w:rsid w:val="0002103A"/>
    <w:rsid w:val="000217E4"/>
    <w:rsid w:val="00021852"/>
    <w:rsid w:val="00021A12"/>
    <w:rsid w:val="00022524"/>
    <w:rsid w:val="00022622"/>
    <w:rsid w:val="0002316F"/>
    <w:rsid w:val="00023363"/>
    <w:rsid w:val="00023403"/>
    <w:rsid w:val="000235F3"/>
    <w:rsid w:val="00023644"/>
    <w:rsid w:val="00023712"/>
    <w:rsid w:val="00024E3C"/>
    <w:rsid w:val="00024EB0"/>
    <w:rsid w:val="000262C0"/>
    <w:rsid w:val="0002646A"/>
    <w:rsid w:val="0002651D"/>
    <w:rsid w:val="00026CFD"/>
    <w:rsid w:val="00027C8B"/>
    <w:rsid w:val="00027CD9"/>
    <w:rsid w:val="00030242"/>
    <w:rsid w:val="00030B06"/>
    <w:rsid w:val="0003183A"/>
    <w:rsid w:val="00031CDC"/>
    <w:rsid w:val="000323D8"/>
    <w:rsid w:val="00032461"/>
    <w:rsid w:val="0003263B"/>
    <w:rsid w:val="0003282C"/>
    <w:rsid w:val="00032F6D"/>
    <w:rsid w:val="0003304A"/>
    <w:rsid w:val="0003317E"/>
    <w:rsid w:val="00033413"/>
    <w:rsid w:val="000337F3"/>
    <w:rsid w:val="00034B24"/>
    <w:rsid w:val="00034C27"/>
    <w:rsid w:val="00034E2A"/>
    <w:rsid w:val="0003577F"/>
    <w:rsid w:val="00036466"/>
    <w:rsid w:val="0003675E"/>
    <w:rsid w:val="00037F87"/>
    <w:rsid w:val="00037FA2"/>
    <w:rsid w:val="000400D0"/>
    <w:rsid w:val="00040343"/>
    <w:rsid w:val="000425AC"/>
    <w:rsid w:val="00042F4A"/>
    <w:rsid w:val="00043AC8"/>
    <w:rsid w:val="00043BE5"/>
    <w:rsid w:val="00043D69"/>
    <w:rsid w:val="00044003"/>
    <w:rsid w:val="00044527"/>
    <w:rsid w:val="00044897"/>
    <w:rsid w:val="00044ACF"/>
    <w:rsid w:val="00044FD5"/>
    <w:rsid w:val="000454F4"/>
    <w:rsid w:val="00045D1E"/>
    <w:rsid w:val="00045E69"/>
    <w:rsid w:val="00045EF4"/>
    <w:rsid w:val="00046547"/>
    <w:rsid w:val="000466D7"/>
    <w:rsid w:val="00046753"/>
    <w:rsid w:val="00047254"/>
    <w:rsid w:val="00047E41"/>
    <w:rsid w:val="0005022B"/>
    <w:rsid w:val="00050771"/>
    <w:rsid w:val="000509BA"/>
    <w:rsid w:val="000513F3"/>
    <w:rsid w:val="00052287"/>
    <w:rsid w:val="000522E0"/>
    <w:rsid w:val="000532F4"/>
    <w:rsid w:val="000535A9"/>
    <w:rsid w:val="000536AE"/>
    <w:rsid w:val="00054CD5"/>
    <w:rsid w:val="00054D03"/>
    <w:rsid w:val="000550AC"/>
    <w:rsid w:val="0005584D"/>
    <w:rsid w:val="00055CC3"/>
    <w:rsid w:val="00055CD8"/>
    <w:rsid w:val="00055CEE"/>
    <w:rsid w:val="00055FB7"/>
    <w:rsid w:val="000566FA"/>
    <w:rsid w:val="00056A2B"/>
    <w:rsid w:val="00056D18"/>
    <w:rsid w:val="00056DA8"/>
    <w:rsid w:val="00056E37"/>
    <w:rsid w:val="00056EE2"/>
    <w:rsid w:val="00056FE2"/>
    <w:rsid w:val="000570FB"/>
    <w:rsid w:val="000575B8"/>
    <w:rsid w:val="00060131"/>
    <w:rsid w:val="0006026B"/>
    <w:rsid w:val="00060293"/>
    <w:rsid w:val="00061341"/>
    <w:rsid w:val="00061BD3"/>
    <w:rsid w:val="00061BDA"/>
    <w:rsid w:val="000621FE"/>
    <w:rsid w:val="00062B90"/>
    <w:rsid w:val="00062C70"/>
    <w:rsid w:val="00062DD0"/>
    <w:rsid w:val="00062E6F"/>
    <w:rsid w:val="000630C7"/>
    <w:rsid w:val="0006400F"/>
    <w:rsid w:val="000645DD"/>
    <w:rsid w:val="00064D7E"/>
    <w:rsid w:val="00064F65"/>
    <w:rsid w:val="00064FD0"/>
    <w:rsid w:val="0006534A"/>
    <w:rsid w:val="00065A5D"/>
    <w:rsid w:val="00065BA2"/>
    <w:rsid w:val="000661CA"/>
    <w:rsid w:val="0006668D"/>
    <w:rsid w:val="00066896"/>
    <w:rsid w:val="00066FE3"/>
    <w:rsid w:val="00067002"/>
    <w:rsid w:val="00067993"/>
    <w:rsid w:val="00067B1C"/>
    <w:rsid w:val="00067CED"/>
    <w:rsid w:val="00067F66"/>
    <w:rsid w:val="0007041A"/>
    <w:rsid w:val="00070634"/>
    <w:rsid w:val="00070883"/>
    <w:rsid w:val="000708D1"/>
    <w:rsid w:val="00070C3F"/>
    <w:rsid w:val="0007102C"/>
    <w:rsid w:val="00071D68"/>
    <w:rsid w:val="00071FCE"/>
    <w:rsid w:val="00072661"/>
    <w:rsid w:val="00072CCC"/>
    <w:rsid w:val="0007315D"/>
    <w:rsid w:val="00073549"/>
    <w:rsid w:val="0007483E"/>
    <w:rsid w:val="000751DB"/>
    <w:rsid w:val="0007542D"/>
    <w:rsid w:val="0007578F"/>
    <w:rsid w:val="00075A30"/>
    <w:rsid w:val="00075E43"/>
    <w:rsid w:val="00077706"/>
    <w:rsid w:val="00077878"/>
    <w:rsid w:val="000804EF"/>
    <w:rsid w:val="00080558"/>
    <w:rsid w:val="00080998"/>
    <w:rsid w:val="00081230"/>
    <w:rsid w:val="000814E2"/>
    <w:rsid w:val="000818C9"/>
    <w:rsid w:val="00081A21"/>
    <w:rsid w:val="00081CBB"/>
    <w:rsid w:val="00081D42"/>
    <w:rsid w:val="000822EF"/>
    <w:rsid w:val="0008241E"/>
    <w:rsid w:val="000826F5"/>
    <w:rsid w:val="000829B1"/>
    <w:rsid w:val="00082AAB"/>
    <w:rsid w:val="0008307D"/>
    <w:rsid w:val="000831E9"/>
    <w:rsid w:val="000833BB"/>
    <w:rsid w:val="00083A4C"/>
    <w:rsid w:val="00084483"/>
    <w:rsid w:val="0008452D"/>
    <w:rsid w:val="0008467B"/>
    <w:rsid w:val="000850FA"/>
    <w:rsid w:val="000857A6"/>
    <w:rsid w:val="0008599A"/>
    <w:rsid w:val="00085C12"/>
    <w:rsid w:val="00085DA0"/>
    <w:rsid w:val="00085F82"/>
    <w:rsid w:val="00086506"/>
    <w:rsid w:val="00086B6E"/>
    <w:rsid w:val="00086C2F"/>
    <w:rsid w:val="00086C64"/>
    <w:rsid w:val="000874BB"/>
    <w:rsid w:val="0008781A"/>
    <w:rsid w:val="00090951"/>
    <w:rsid w:val="00090A61"/>
    <w:rsid w:val="000918F5"/>
    <w:rsid w:val="000919B5"/>
    <w:rsid w:val="00091C1D"/>
    <w:rsid w:val="00091E08"/>
    <w:rsid w:val="00092100"/>
    <w:rsid w:val="000922D8"/>
    <w:rsid w:val="000932E7"/>
    <w:rsid w:val="0009333A"/>
    <w:rsid w:val="000933C3"/>
    <w:rsid w:val="00093459"/>
    <w:rsid w:val="00093B8B"/>
    <w:rsid w:val="000951E7"/>
    <w:rsid w:val="00095B82"/>
    <w:rsid w:val="00096098"/>
    <w:rsid w:val="000961B2"/>
    <w:rsid w:val="000969D9"/>
    <w:rsid w:val="000969ED"/>
    <w:rsid w:val="00096F37"/>
    <w:rsid w:val="00097FE5"/>
    <w:rsid w:val="000A0354"/>
    <w:rsid w:val="000A091F"/>
    <w:rsid w:val="000A0958"/>
    <w:rsid w:val="000A0FCC"/>
    <w:rsid w:val="000A1033"/>
    <w:rsid w:val="000A2712"/>
    <w:rsid w:val="000A2877"/>
    <w:rsid w:val="000A3145"/>
    <w:rsid w:val="000A355D"/>
    <w:rsid w:val="000A35DA"/>
    <w:rsid w:val="000A371E"/>
    <w:rsid w:val="000A3DE5"/>
    <w:rsid w:val="000A4011"/>
    <w:rsid w:val="000A45D5"/>
    <w:rsid w:val="000A490E"/>
    <w:rsid w:val="000A529E"/>
    <w:rsid w:val="000A5B49"/>
    <w:rsid w:val="000A5FE5"/>
    <w:rsid w:val="000A6684"/>
    <w:rsid w:val="000A7194"/>
    <w:rsid w:val="000A7218"/>
    <w:rsid w:val="000A740A"/>
    <w:rsid w:val="000A7446"/>
    <w:rsid w:val="000A7E7F"/>
    <w:rsid w:val="000A7ECD"/>
    <w:rsid w:val="000B01AB"/>
    <w:rsid w:val="000B03CA"/>
    <w:rsid w:val="000B04DD"/>
    <w:rsid w:val="000B0F01"/>
    <w:rsid w:val="000B1346"/>
    <w:rsid w:val="000B1914"/>
    <w:rsid w:val="000B19DC"/>
    <w:rsid w:val="000B1CA2"/>
    <w:rsid w:val="000B202E"/>
    <w:rsid w:val="000B2293"/>
    <w:rsid w:val="000B24A4"/>
    <w:rsid w:val="000B255C"/>
    <w:rsid w:val="000B395E"/>
    <w:rsid w:val="000B39C3"/>
    <w:rsid w:val="000B3A00"/>
    <w:rsid w:val="000B41AE"/>
    <w:rsid w:val="000B4840"/>
    <w:rsid w:val="000B4D79"/>
    <w:rsid w:val="000B5272"/>
    <w:rsid w:val="000B5627"/>
    <w:rsid w:val="000B5671"/>
    <w:rsid w:val="000B6BF0"/>
    <w:rsid w:val="000B6CE8"/>
    <w:rsid w:val="000B7DAF"/>
    <w:rsid w:val="000C0026"/>
    <w:rsid w:val="000C0091"/>
    <w:rsid w:val="000C071C"/>
    <w:rsid w:val="000C0BB4"/>
    <w:rsid w:val="000C0BEE"/>
    <w:rsid w:val="000C1CB9"/>
    <w:rsid w:val="000C2159"/>
    <w:rsid w:val="000C21BB"/>
    <w:rsid w:val="000C289B"/>
    <w:rsid w:val="000C352F"/>
    <w:rsid w:val="000C3805"/>
    <w:rsid w:val="000C3E68"/>
    <w:rsid w:val="000C3F01"/>
    <w:rsid w:val="000C410D"/>
    <w:rsid w:val="000C420D"/>
    <w:rsid w:val="000C4773"/>
    <w:rsid w:val="000C4944"/>
    <w:rsid w:val="000C4E24"/>
    <w:rsid w:val="000C5C4A"/>
    <w:rsid w:val="000C5F01"/>
    <w:rsid w:val="000C5F95"/>
    <w:rsid w:val="000C63C4"/>
    <w:rsid w:val="000C66C1"/>
    <w:rsid w:val="000C6F0B"/>
    <w:rsid w:val="000C6F32"/>
    <w:rsid w:val="000C6FEF"/>
    <w:rsid w:val="000C778C"/>
    <w:rsid w:val="000C7833"/>
    <w:rsid w:val="000C7E1B"/>
    <w:rsid w:val="000C7E73"/>
    <w:rsid w:val="000D001B"/>
    <w:rsid w:val="000D0A45"/>
    <w:rsid w:val="000D0F75"/>
    <w:rsid w:val="000D136E"/>
    <w:rsid w:val="000D14AC"/>
    <w:rsid w:val="000D15BA"/>
    <w:rsid w:val="000D15BE"/>
    <w:rsid w:val="000D2BCC"/>
    <w:rsid w:val="000D2C9B"/>
    <w:rsid w:val="000D32CC"/>
    <w:rsid w:val="000D35FD"/>
    <w:rsid w:val="000D3D2D"/>
    <w:rsid w:val="000D3D99"/>
    <w:rsid w:val="000D4653"/>
    <w:rsid w:val="000D4696"/>
    <w:rsid w:val="000D4817"/>
    <w:rsid w:val="000D4D0C"/>
    <w:rsid w:val="000D4F88"/>
    <w:rsid w:val="000D4FB9"/>
    <w:rsid w:val="000D54B4"/>
    <w:rsid w:val="000D584B"/>
    <w:rsid w:val="000D5EE9"/>
    <w:rsid w:val="000D5F55"/>
    <w:rsid w:val="000D6372"/>
    <w:rsid w:val="000D6979"/>
    <w:rsid w:val="000D6CE7"/>
    <w:rsid w:val="000D6E38"/>
    <w:rsid w:val="000D6E63"/>
    <w:rsid w:val="000D711C"/>
    <w:rsid w:val="000D7B6E"/>
    <w:rsid w:val="000E0378"/>
    <w:rsid w:val="000E0644"/>
    <w:rsid w:val="000E076D"/>
    <w:rsid w:val="000E087C"/>
    <w:rsid w:val="000E187C"/>
    <w:rsid w:val="000E1B28"/>
    <w:rsid w:val="000E1E8D"/>
    <w:rsid w:val="000E1EBC"/>
    <w:rsid w:val="000E2173"/>
    <w:rsid w:val="000E220B"/>
    <w:rsid w:val="000E2266"/>
    <w:rsid w:val="000E2A50"/>
    <w:rsid w:val="000E30F2"/>
    <w:rsid w:val="000E316B"/>
    <w:rsid w:val="000E3D08"/>
    <w:rsid w:val="000E4728"/>
    <w:rsid w:val="000E4D1F"/>
    <w:rsid w:val="000E5658"/>
    <w:rsid w:val="000E5698"/>
    <w:rsid w:val="000E5723"/>
    <w:rsid w:val="000E581B"/>
    <w:rsid w:val="000E60DF"/>
    <w:rsid w:val="000E64B2"/>
    <w:rsid w:val="000E65D2"/>
    <w:rsid w:val="000E6919"/>
    <w:rsid w:val="000E6B1B"/>
    <w:rsid w:val="000E6F0C"/>
    <w:rsid w:val="000E732D"/>
    <w:rsid w:val="000F016F"/>
    <w:rsid w:val="000F07ED"/>
    <w:rsid w:val="000F0CF2"/>
    <w:rsid w:val="000F1401"/>
    <w:rsid w:val="000F1A32"/>
    <w:rsid w:val="000F1CC2"/>
    <w:rsid w:val="000F1D15"/>
    <w:rsid w:val="000F270A"/>
    <w:rsid w:val="000F34C8"/>
    <w:rsid w:val="000F38BC"/>
    <w:rsid w:val="000F3E2A"/>
    <w:rsid w:val="000F4D26"/>
    <w:rsid w:val="000F5639"/>
    <w:rsid w:val="000F58A4"/>
    <w:rsid w:val="000F5F99"/>
    <w:rsid w:val="000F6833"/>
    <w:rsid w:val="000F6A24"/>
    <w:rsid w:val="000F7616"/>
    <w:rsid w:val="000F7DE9"/>
    <w:rsid w:val="000F7E1F"/>
    <w:rsid w:val="000F7F7A"/>
    <w:rsid w:val="001001F3"/>
    <w:rsid w:val="001002F4"/>
    <w:rsid w:val="001011FC"/>
    <w:rsid w:val="0010165F"/>
    <w:rsid w:val="00101E7C"/>
    <w:rsid w:val="001023DC"/>
    <w:rsid w:val="00102572"/>
    <w:rsid w:val="00102946"/>
    <w:rsid w:val="00102FBF"/>
    <w:rsid w:val="0010333D"/>
    <w:rsid w:val="0010372A"/>
    <w:rsid w:val="00103F41"/>
    <w:rsid w:val="00104662"/>
    <w:rsid w:val="00104BDB"/>
    <w:rsid w:val="00104F34"/>
    <w:rsid w:val="001053C5"/>
    <w:rsid w:val="001055AD"/>
    <w:rsid w:val="00105B3E"/>
    <w:rsid w:val="00105C14"/>
    <w:rsid w:val="001065A3"/>
    <w:rsid w:val="00106610"/>
    <w:rsid w:val="00106831"/>
    <w:rsid w:val="0010683E"/>
    <w:rsid w:val="0010691D"/>
    <w:rsid w:val="00106B33"/>
    <w:rsid w:val="00106E69"/>
    <w:rsid w:val="00110AC5"/>
    <w:rsid w:val="00110F0B"/>
    <w:rsid w:val="0011108B"/>
    <w:rsid w:val="00111136"/>
    <w:rsid w:val="00111164"/>
    <w:rsid w:val="00111761"/>
    <w:rsid w:val="00112164"/>
    <w:rsid w:val="0011241F"/>
    <w:rsid w:val="001128BF"/>
    <w:rsid w:val="00112D09"/>
    <w:rsid w:val="00112E8F"/>
    <w:rsid w:val="00112F03"/>
    <w:rsid w:val="00112F38"/>
    <w:rsid w:val="00113600"/>
    <w:rsid w:val="00113821"/>
    <w:rsid w:val="00114058"/>
    <w:rsid w:val="0011449E"/>
    <w:rsid w:val="001153EF"/>
    <w:rsid w:val="00115D55"/>
    <w:rsid w:val="00115E45"/>
    <w:rsid w:val="00115F85"/>
    <w:rsid w:val="0011688E"/>
    <w:rsid w:val="00116ACD"/>
    <w:rsid w:val="00116D94"/>
    <w:rsid w:val="0011718F"/>
    <w:rsid w:val="00117B7D"/>
    <w:rsid w:val="00117EFC"/>
    <w:rsid w:val="001205A8"/>
    <w:rsid w:val="00121766"/>
    <w:rsid w:val="00122387"/>
    <w:rsid w:val="00122A64"/>
    <w:rsid w:val="00123694"/>
    <w:rsid w:val="0012388A"/>
    <w:rsid w:val="0012388C"/>
    <w:rsid w:val="00123AFA"/>
    <w:rsid w:val="00123C8C"/>
    <w:rsid w:val="00123E8B"/>
    <w:rsid w:val="00124B43"/>
    <w:rsid w:val="00124DF8"/>
    <w:rsid w:val="001253EA"/>
    <w:rsid w:val="00125B99"/>
    <w:rsid w:val="00126160"/>
    <w:rsid w:val="00126DB5"/>
    <w:rsid w:val="00127178"/>
    <w:rsid w:val="0012753C"/>
    <w:rsid w:val="00127F09"/>
    <w:rsid w:val="0013002A"/>
    <w:rsid w:val="0013085D"/>
    <w:rsid w:val="0013089C"/>
    <w:rsid w:val="00130A2D"/>
    <w:rsid w:val="00130F54"/>
    <w:rsid w:val="001310EE"/>
    <w:rsid w:val="00131888"/>
    <w:rsid w:val="00131F17"/>
    <w:rsid w:val="0013212F"/>
    <w:rsid w:val="001323F9"/>
    <w:rsid w:val="0013251F"/>
    <w:rsid w:val="00133088"/>
    <w:rsid w:val="0013321E"/>
    <w:rsid w:val="00133346"/>
    <w:rsid w:val="001335B1"/>
    <w:rsid w:val="00133B4E"/>
    <w:rsid w:val="0013410F"/>
    <w:rsid w:val="001346AF"/>
    <w:rsid w:val="0013474B"/>
    <w:rsid w:val="00134990"/>
    <w:rsid w:val="00134FB4"/>
    <w:rsid w:val="001354D1"/>
    <w:rsid w:val="00135840"/>
    <w:rsid w:val="00135A0A"/>
    <w:rsid w:val="00135BB9"/>
    <w:rsid w:val="0013621D"/>
    <w:rsid w:val="00136354"/>
    <w:rsid w:val="00136674"/>
    <w:rsid w:val="00136B0E"/>
    <w:rsid w:val="00136C3B"/>
    <w:rsid w:val="001376AB"/>
    <w:rsid w:val="0013777C"/>
    <w:rsid w:val="00137D5F"/>
    <w:rsid w:val="00140082"/>
    <w:rsid w:val="00140175"/>
    <w:rsid w:val="00140757"/>
    <w:rsid w:val="00140D07"/>
    <w:rsid w:val="00141A3A"/>
    <w:rsid w:val="00141ADB"/>
    <w:rsid w:val="00141F05"/>
    <w:rsid w:val="001423FA"/>
    <w:rsid w:val="001426F7"/>
    <w:rsid w:val="001427B5"/>
    <w:rsid w:val="001428CF"/>
    <w:rsid w:val="00142D0C"/>
    <w:rsid w:val="00142E3C"/>
    <w:rsid w:val="00143387"/>
    <w:rsid w:val="00144013"/>
    <w:rsid w:val="001455C3"/>
    <w:rsid w:val="00145A17"/>
    <w:rsid w:val="00145BBE"/>
    <w:rsid w:val="001460B5"/>
    <w:rsid w:val="0014641F"/>
    <w:rsid w:val="001464A8"/>
    <w:rsid w:val="001467BB"/>
    <w:rsid w:val="00146CA8"/>
    <w:rsid w:val="0014723E"/>
    <w:rsid w:val="00147762"/>
    <w:rsid w:val="00147884"/>
    <w:rsid w:val="00150664"/>
    <w:rsid w:val="00150827"/>
    <w:rsid w:val="00150B0D"/>
    <w:rsid w:val="00150E10"/>
    <w:rsid w:val="00151A32"/>
    <w:rsid w:val="00151BDE"/>
    <w:rsid w:val="00151E31"/>
    <w:rsid w:val="00151F9B"/>
    <w:rsid w:val="00152289"/>
    <w:rsid w:val="001523EE"/>
    <w:rsid w:val="00152425"/>
    <w:rsid w:val="00152BAD"/>
    <w:rsid w:val="00152CE3"/>
    <w:rsid w:val="00153652"/>
    <w:rsid w:val="00153697"/>
    <w:rsid w:val="00153956"/>
    <w:rsid w:val="00153B95"/>
    <w:rsid w:val="00154146"/>
    <w:rsid w:val="00154190"/>
    <w:rsid w:val="001545EA"/>
    <w:rsid w:val="001549BA"/>
    <w:rsid w:val="00154BBF"/>
    <w:rsid w:val="00155099"/>
    <w:rsid w:val="00155C85"/>
    <w:rsid w:val="00156A6C"/>
    <w:rsid w:val="00156B10"/>
    <w:rsid w:val="00157673"/>
    <w:rsid w:val="001576FE"/>
    <w:rsid w:val="00157823"/>
    <w:rsid w:val="0015790D"/>
    <w:rsid w:val="00157C5E"/>
    <w:rsid w:val="00157DD3"/>
    <w:rsid w:val="0016015A"/>
    <w:rsid w:val="0016020E"/>
    <w:rsid w:val="00160503"/>
    <w:rsid w:val="00160D7C"/>
    <w:rsid w:val="00160E30"/>
    <w:rsid w:val="0016106D"/>
    <w:rsid w:val="001612E1"/>
    <w:rsid w:val="001614DB"/>
    <w:rsid w:val="0016194E"/>
    <w:rsid w:val="0016236C"/>
    <w:rsid w:val="00162625"/>
    <w:rsid w:val="001630A8"/>
    <w:rsid w:val="001634CE"/>
    <w:rsid w:val="00163826"/>
    <w:rsid w:val="00163943"/>
    <w:rsid w:val="00163BA1"/>
    <w:rsid w:val="00163DDF"/>
    <w:rsid w:val="00163F22"/>
    <w:rsid w:val="0016417B"/>
    <w:rsid w:val="0016470E"/>
    <w:rsid w:val="001649D3"/>
    <w:rsid w:val="00164E0A"/>
    <w:rsid w:val="001652D7"/>
    <w:rsid w:val="00165816"/>
    <w:rsid w:val="00165A5F"/>
    <w:rsid w:val="001661D0"/>
    <w:rsid w:val="00166223"/>
    <w:rsid w:val="0016793E"/>
    <w:rsid w:val="00167D4D"/>
    <w:rsid w:val="0017054C"/>
    <w:rsid w:val="00170635"/>
    <w:rsid w:val="0017070D"/>
    <w:rsid w:val="00170837"/>
    <w:rsid w:val="00171035"/>
    <w:rsid w:val="001713B7"/>
    <w:rsid w:val="00171ADB"/>
    <w:rsid w:val="00171E2C"/>
    <w:rsid w:val="00172029"/>
    <w:rsid w:val="001733A4"/>
    <w:rsid w:val="001735D4"/>
    <w:rsid w:val="00173AB9"/>
    <w:rsid w:val="00173EED"/>
    <w:rsid w:val="00174368"/>
    <w:rsid w:val="001744EA"/>
    <w:rsid w:val="00174D82"/>
    <w:rsid w:val="00174E44"/>
    <w:rsid w:val="00175053"/>
    <w:rsid w:val="001753B7"/>
    <w:rsid w:val="001757E7"/>
    <w:rsid w:val="00175873"/>
    <w:rsid w:val="00175C59"/>
    <w:rsid w:val="001760BC"/>
    <w:rsid w:val="00176160"/>
    <w:rsid w:val="00176674"/>
    <w:rsid w:val="00176818"/>
    <w:rsid w:val="00176B82"/>
    <w:rsid w:val="00176E3B"/>
    <w:rsid w:val="00176ECB"/>
    <w:rsid w:val="0017752D"/>
    <w:rsid w:val="0017759F"/>
    <w:rsid w:val="00177801"/>
    <w:rsid w:val="00177832"/>
    <w:rsid w:val="0018057A"/>
    <w:rsid w:val="00181178"/>
    <w:rsid w:val="0018119E"/>
    <w:rsid w:val="0018152C"/>
    <w:rsid w:val="00181A74"/>
    <w:rsid w:val="00181DBA"/>
    <w:rsid w:val="00181EEF"/>
    <w:rsid w:val="00181F3E"/>
    <w:rsid w:val="00182FE0"/>
    <w:rsid w:val="00183911"/>
    <w:rsid w:val="001845FB"/>
    <w:rsid w:val="00184FB1"/>
    <w:rsid w:val="001857FB"/>
    <w:rsid w:val="00185DA6"/>
    <w:rsid w:val="00185F64"/>
    <w:rsid w:val="00186096"/>
    <w:rsid w:val="001862FE"/>
    <w:rsid w:val="001866F1"/>
    <w:rsid w:val="00186BC5"/>
    <w:rsid w:val="00186E20"/>
    <w:rsid w:val="0018772E"/>
    <w:rsid w:val="00187A94"/>
    <w:rsid w:val="0019029E"/>
    <w:rsid w:val="00190804"/>
    <w:rsid w:val="0019088F"/>
    <w:rsid w:val="00190C51"/>
    <w:rsid w:val="0019122E"/>
    <w:rsid w:val="0019170B"/>
    <w:rsid w:val="00191DDF"/>
    <w:rsid w:val="00192E48"/>
    <w:rsid w:val="00193ACC"/>
    <w:rsid w:val="00193BFE"/>
    <w:rsid w:val="00195322"/>
    <w:rsid w:val="0019560E"/>
    <w:rsid w:val="001958E3"/>
    <w:rsid w:val="0019601B"/>
    <w:rsid w:val="00196048"/>
    <w:rsid w:val="00196A82"/>
    <w:rsid w:val="0019769B"/>
    <w:rsid w:val="001979F9"/>
    <w:rsid w:val="00197FFE"/>
    <w:rsid w:val="001A0C2B"/>
    <w:rsid w:val="001A0D25"/>
    <w:rsid w:val="001A0E14"/>
    <w:rsid w:val="001A1570"/>
    <w:rsid w:val="001A1917"/>
    <w:rsid w:val="001A1C64"/>
    <w:rsid w:val="001A1DFB"/>
    <w:rsid w:val="001A1E7F"/>
    <w:rsid w:val="001A2918"/>
    <w:rsid w:val="001A2D02"/>
    <w:rsid w:val="001A3076"/>
    <w:rsid w:val="001A3163"/>
    <w:rsid w:val="001A31A5"/>
    <w:rsid w:val="001A389C"/>
    <w:rsid w:val="001A3B75"/>
    <w:rsid w:val="001A4027"/>
    <w:rsid w:val="001A46FB"/>
    <w:rsid w:val="001A4C07"/>
    <w:rsid w:val="001A4EA6"/>
    <w:rsid w:val="001A4EC9"/>
    <w:rsid w:val="001A5944"/>
    <w:rsid w:val="001A5FB1"/>
    <w:rsid w:val="001A698A"/>
    <w:rsid w:val="001A6CCC"/>
    <w:rsid w:val="001A6E3B"/>
    <w:rsid w:val="001A70C8"/>
    <w:rsid w:val="001A71C9"/>
    <w:rsid w:val="001A7429"/>
    <w:rsid w:val="001A760C"/>
    <w:rsid w:val="001A770F"/>
    <w:rsid w:val="001A7977"/>
    <w:rsid w:val="001A799B"/>
    <w:rsid w:val="001A7AC7"/>
    <w:rsid w:val="001A7C38"/>
    <w:rsid w:val="001B00C5"/>
    <w:rsid w:val="001B02F8"/>
    <w:rsid w:val="001B2104"/>
    <w:rsid w:val="001B2279"/>
    <w:rsid w:val="001B2729"/>
    <w:rsid w:val="001B2866"/>
    <w:rsid w:val="001B2881"/>
    <w:rsid w:val="001B2B73"/>
    <w:rsid w:val="001B2F2A"/>
    <w:rsid w:val="001B3675"/>
    <w:rsid w:val="001B37C8"/>
    <w:rsid w:val="001B48BA"/>
    <w:rsid w:val="001B4B2C"/>
    <w:rsid w:val="001B4F10"/>
    <w:rsid w:val="001B5154"/>
    <w:rsid w:val="001B54BF"/>
    <w:rsid w:val="001B6E30"/>
    <w:rsid w:val="001B7C83"/>
    <w:rsid w:val="001B7D67"/>
    <w:rsid w:val="001B7F9E"/>
    <w:rsid w:val="001C0206"/>
    <w:rsid w:val="001C0246"/>
    <w:rsid w:val="001C04D4"/>
    <w:rsid w:val="001C0B01"/>
    <w:rsid w:val="001C0B34"/>
    <w:rsid w:val="001C12A3"/>
    <w:rsid w:val="001C17BB"/>
    <w:rsid w:val="001C187E"/>
    <w:rsid w:val="001C1A37"/>
    <w:rsid w:val="001C1B4B"/>
    <w:rsid w:val="001C1C49"/>
    <w:rsid w:val="001C286F"/>
    <w:rsid w:val="001C2B86"/>
    <w:rsid w:val="001C2F54"/>
    <w:rsid w:val="001C3308"/>
    <w:rsid w:val="001C3BBB"/>
    <w:rsid w:val="001C40D1"/>
    <w:rsid w:val="001C468A"/>
    <w:rsid w:val="001C4A38"/>
    <w:rsid w:val="001C4A9E"/>
    <w:rsid w:val="001C5001"/>
    <w:rsid w:val="001C5103"/>
    <w:rsid w:val="001C52A8"/>
    <w:rsid w:val="001C5ADF"/>
    <w:rsid w:val="001C5E8E"/>
    <w:rsid w:val="001C6120"/>
    <w:rsid w:val="001C6516"/>
    <w:rsid w:val="001C6B5C"/>
    <w:rsid w:val="001C7155"/>
    <w:rsid w:val="001C7E48"/>
    <w:rsid w:val="001D039B"/>
    <w:rsid w:val="001D0849"/>
    <w:rsid w:val="001D1258"/>
    <w:rsid w:val="001D1AB8"/>
    <w:rsid w:val="001D286F"/>
    <w:rsid w:val="001D2C94"/>
    <w:rsid w:val="001D33D9"/>
    <w:rsid w:val="001D36F6"/>
    <w:rsid w:val="001D4303"/>
    <w:rsid w:val="001D45E5"/>
    <w:rsid w:val="001D461A"/>
    <w:rsid w:val="001D4A9D"/>
    <w:rsid w:val="001D4AAD"/>
    <w:rsid w:val="001D5AFA"/>
    <w:rsid w:val="001D652D"/>
    <w:rsid w:val="001D784A"/>
    <w:rsid w:val="001E04A4"/>
    <w:rsid w:val="001E07C5"/>
    <w:rsid w:val="001E176D"/>
    <w:rsid w:val="001E1BCE"/>
    <w:rsid w:val="001E1E05"/>
    <w:rsid w:val="001E2086"/>
    <w:rsid w:val="001E339F"/>
    <w:rsid w:val="001E3629"/>
    <w:rsid w:val="001E3E7D"/>
    <w:rsid w:val="001E40F0"/>
    <w:rsid w:val="001E4172"/>
    <w:rsid w:val="001E44F5"/>
    <w:rsid w:val="001E4F08"/>
    <w:rsid w:val="001E5490"/>
    <w:rsid w:val="001E5730"/>
    <w:rsid w:val="001E5E2E"/>
    <w:rsid w:val="001E6352"/>
    <w:rsid w:val="001E6ADE"/>
    <w:rsid w:val="001E70AD"/>
    <w:rsid w:val="001E7237"/>
    <w:rsid w:val="001E7AD1"/>
    <w:rsid w:val="001E7AF6"/>
    <w:rsid w:val="001F01B8"/>
    <w:rsid w:val="001F0FC3"/>
    <w:rsid w:val="001F1188"/>
    <w:rsid w:val="001F1B8D"/>
    <w:rsid w:val="001F274F"/>
    <w:rsid w:val="001F289C"/>
    <w:rsid w:val="001F2BF9"/>
    <w:rsid w:val="001F3AF2"/>
    <w:rsid w:val="001F6008"/>
    <w:rsid w:val="001F604B"/>
    <w:rsid w:val="001F641B"/>
    <w:rsid w:val="001F6D4D"/>
    <w:rsid w:val="00200D69"/>
    <w:rsid w:val="00200F9D"/>
    <w:rsid w:val="0020130D"/>
    <w:rsid w:val="00201916"/>
    <w:rsid w:val="00201D06"/>
    <w:rsid w:val="00201E9F"/>
    <w:rsid w:val="0020217D"/>
    <w:rsid w:val="00202F25"/>
    <w:rsid w:val="002035B3"/>
    <w:rsid w:val="00203929"/>
    <w:rsid w:val="00203CD6"/>
    <w:rsid w:val="00203D01"/>
    <w:rsid w:val="00204460"/>
    <w:rsid w:val="002051EA"/>
    <w:rsid w:val="00205CBC"/>
    <w:rsid w:val="00206259"/>
    <w:rsid w:val="002069BA"/>
    <w:rsid w:val="002074B7"/>
    <w:rsid w:val="0020758D"/>
    <w:rsid w:val="00207C7B"/>
    <w:rsid w:val="00211470"/>
    <w:rsid w:val="00211922"/>
    <w:rsid w:val="0021213A"/>
    <w:rsid w:val="002121B4"/>
    <w:rsid w:val="0021265F"/>
    <w:rsid w:val="00213232"/>
    <w:rsid w:val="00213817"/>
    <w:rsid w:val="00214428"/>
    <w:rsid w:val="002145EB"/>
    <w:rsid w:val="00214F82"/>
    <w:rsid w:val="00215033"/>
    <w:rsid w:val="002156C7"/>
    <w:rsid w:val="00215834"/>
    <w:rsid w:val="00215A2A"/>
    <w:rsid w:val="00215CC2"/>
    <w:rsid w:val="00215ED8"/>
    <w:rsid w:val="00215FAF"/>
    <w:rsid w:val="00217700"/>
    <w:rsid w:val="002177E2"/>
    <w:rsid w:val="0021783B"/>
    <w:rsid w:val="002205F3"/>
    <w:rsid w:val="0022085B"/>
    <w:rsid w:val="00220E53"/>
    <w:rsid w:val="0022176C"/>
    <w:rsid w:val="002225D1"/>
    <w:rsid w:val="00222FAB"/>
    <w:rsid w:val="002230FA"/>
    <w:rsid w:val="00223DF2"/>
    <w:rsid w:val="002249A2"/>
    <w:rsid w:val="00224C0C"/>
    <w:rsid w:val="002256C2"/>
    <w:rsid w:val="002256D0"/>
    <w:rsid w:val="00225C8E"/>
    <w:rsid w:val="00226428"/>
    <w:rsid w:val="002265A9"/>
    <w:rsid w:val="002266CB"/>
    <w:rsid w:val="00227052"/>
    <w:rsid w:val="002272D5"/>
    <w:rsid w:val="0022738E"/>
    <w:rsid w:val="00227906"/>
    <w:rsid w:val="00227934"/>
    <w:rsid w:val="00227E21"/>
    <w:rsid w:val="00231D05"/>
    <w:rsid w:val="0023241A"/>
    <w:rsid w:val="002336E2"/>
    <w:rsid w:val="00233AC2"/>
    <w:rsid w:val="00233BAF"/>
    <w:rsid w:val="00233E3A"/>
    <w:rsid w:val="00233F80"/>
    <w:rsid w:val="00235420"/>
    <w:rsid w:val="00235700"/>
    <w:rsid w:val="002374CA"/>
    <w:rsid w:val="0024065B"/>
    <w:rsid w:val="002409A6"/>
    <w:rsid w:val="00240C63"/>
    <w:rsid w:val="00240D91"/>
    <w:rsid w:val="00240EA5"/>
    <w:rsid w:val="00241132"/>
    <w:rsid w:val="00241205"/>
    <w:rsid w:val="002418C5"/>
    <w:rsid w:val="002421FD"/>
    <w:rsid w:val="0024261D"/>
    <w:rsid w:val="00242712"/>
    <w:rsid w:val="00242DFB"/>
    <w:rsid w:val="00243807"/>
    <w:rsid w:val="002440AC"/>
    <w:rsid w:val="00244365"/>
    <w:rsid w:val="0024459A"/>
    <w:rsid w:val="002446A3"/>
    <w:rsid w:val="00244771"/>
    <w:rsid w:val="00244903"/>
    <w:rsid w:val="00244AFB"/>
    <w:rsid w:val="002453DF"/>
    <w:rsid w:val="00245A81"/>
    <w:rsid w:val="00246010"/>
    <w:rsid w:val="002462A5"/>
    <w:rsid w:val="00246B86"/>
    <w:rsid w:val="00247335"/>
    <w:rsid w:val="002473EF"/>
    <w:rsid w:val="002477B9"/>
    <w:rsid w:val="00247B69"/>
    <w:rsid w:val="00247CBE"/>
    <w:rsid w:val="00250A1F"/>
    <w:rsid w:val="00250ADA"/>
    <w:rsid w:val="00250F1D"/>
    <w:rsid w:val="00251FF1"/>
    <w:rsid w:val="002520BA"/>
    <w:rsid w:val="00252234"/>
    <w:rsid w:val="002528E3"/>
    <w:rsid w:val="00252944"/>
    <w:rsid w:val="00252D55"/>
    <w:rsid w:val="00252D82"/>
    <w:rsid w:val="00253006"/>
    <w:rsid w:val="002533F5"/>
    <w:rsid w:val="002536B3"/>
    <w:rsid w:val="00253C60"/>
    <w:rsid w:val="00253F21"/>
    <w:rsid w:val="0025429D"/>
    <w:rsid w:val="002549E9"/>
    <w:rsid w:val="00254FF6"/>
    <w:rsid w:val="00255099"/>
    <w:rsid w:val="002555C6"/>
    <w:rsid w:val="00255E14"/>
    <w:rsid w:val="00255FF9"/>
    <w:rsid w:val="00257059"/>
    <w:rsid w:val="0025712F"/>
    <w:rsid w:val="00257395"/>
    <w:rsid w:val="00257857"/>
    <w:rsid w:val="002578DA"/>
    <w:rsid w:val="00257CBC"/>
    <w:rsid w:val="002602C2"/>
    <w:rsid w:val="002602DA"/>
    <w:rsid w:val="0026040B"/>
    <w:rsid w:val="002604F2"/>
    <w:rsid w:val="00260802"/>
    <w:rsid w:val="002609E3"/>
    <w:rsid w:val="00261223"/>
    <w:rsid w:val="002617AB"/>
    <w:rsid w:val="00261D08"/>
    <w:rsid w:val="00261DCC"/>
    <w:rsid w:val="002624D0"/>
    <w:rsid w:val="00262F9F"/>
    <w:rsid w:val="0026338A"/>
    <w:rsid w:val="00263EC7"/>
    <w:rsid w:val="0026491B"/>
    <w:rsid w:val="00264A36"/>
    <w:rsid w:val="00264B06"/>
    <w:rsid w:val="00264C1B"/>
    <w:rsid w:val="00264E10"/>
    <w:rsid w:val="00265D10"/>
    <w:rsid w:val="00265E2E"/>
    <w:rsid w:val="002661AB"/>
    <w:rsid w:val="0026742B"/>
    <w:rsid w:val="002674FE"/>
    <w:rsid w:val="00267E59"/>
    <w:rsid w:val="002702F6"/>
    <w:rsid w:val="00270748"/>
    <w:rsid w:val="00270CAB"/>
    <w:rsid w:val="0027117F"/>
    <w:rsid w:val="002712DC"/>
    <w:rsid w:val="00271875"/>
    <w:rsid w:val="002718FF"/>
    <w:rsid w:val="00271955"/>
    <w:rsid w:val="00272278"/>
    <w:rsid w:val="00272432"/>
    <w:rsid w:val="00272633"/>
    <w:rsid w:val="00272D2C"/>
    <w:rsid w:val="00272E48"/>
    <w:rsid w:val="00272FBF"/>
    <w:rsid w:val="0027352A"/>
    <w:rsid w:val="002739B5"/>
    <w:rsid w:val="00273A10"/>
    <w:rsid w:val="00273A58"/>
    <w:rsid w:val="0027421D"/>
    <w:rsid w:val="00274CAB"/>
    <w:rsid w:val="00274E8A"/>
    <w:rsid w:val="00275A53"/>
    <w:rsid w:val="00275FCE"/>
    <w:rsid w:val="002766B8"/>
    <w:rsid w:val="0027680F"/>
    <w:rsid w:val="002777C0"/>
    <w:rsid w:val="00281006"/>
    <w:rsid w:val="002815B1"/>
    <w:rsid w:val="00281893"/>
    <w:rsid w:val="00281C1F"/>
    <w:rsid w:val="00281EEA"/>
    <w:rsid w:val="00281F88"/>
    <w:rsid w:val="0028288D"/>
    <w:rsid w:val="002829B7"/>
    <w:rsid w:val="00282B82"/>
    <w:rsid w:val="00282C74"/>
    <w:rsid w:val="00282E5B"/>
    <w:rsid w:val="00283995"/>
    <w:rsid w:val="00283B11"/>
    <w:rsid w:val="002841A9"/>
    <w:rsid w:val="00284313"/>
    <w:rsid w:val="00284554"/>
    <w:rsid w:val="002848AD"/>
    <w:rsid w:val="00284DE4"/>
    <w:rsid w:val="00285154"/>
    <w:rsid w:val="00285BF2"/>
    <w:rsid w:val="00285C78"/>
    <w:rsid w:val="00285DF8"/>
    <w:rsid w:val="00285E54"/>
    <w:rsid w:val="0028625F"/>
    <w:rsid w:val="002863CE"/>
    <w:rsid w:val="00287E20"/>
    <w:rsid w:val="0029110F"/>
    <w:rsid w:val="00291492"/>
    <w:rsid w:val="00291527"/>
    <w:rsid w:val="0029199A"/>
    <w:rsid w:val="00291BBE"/>
    <w:rsid w:val="00291FEB"/>
    <w:rsid w:val="00293146"/>
    <w:rsid w:val="0029361E"/>
    <w:rsid w:val="002939F4"/>
    <w:rsid w:val="00293D68"/>
    <w:rsid w:val="0029408A"/>
    <w:rsid w:val="00294352"/>
    <w:rsid w:val="002944A0"/>
    <w:rsid w:val="002946E4"/>
    <w:rsid w:val="0029495C"/>
    <w:rsid w:val="002957D9"/>
    <w:rsid w:val="00295B52"/>
    <w:rsid w:val="00296024"/>
    <w:rsid w:val="00296293"/>
    <w:rsid w:val="00296AF7"/>
    <w:rsid w:val="002972F9"/>
    <w:rsid w:val="00297612"/>
    <w:rsid w:val="002977CA"/>
    <w:rsid w:val="00297ED7"/>
    <w:rsid w:val="002A0007"/>
    <w:rsid w:val="002A03AA"/>
    <w:rsid w:val="002A056D"/>
    <w:rsid w:val="002A062D"/>
    <w:rsid w:val="002A07FE"/>
    <w:rsid w:val="002A087D"/>
    <w:rsid w:val="002A094D"/>
    <w:rsid w:val="002A0CAF"/>
    <w:rsid w:val="002A0DDB"/>
    <w:rsid w:val="002A1565"/>
    <w:rsid w:val="002A16A9"/>
    <w:rsid w:val="002A2941"/>
    <w:rsid w:val="002A2DC4"/>
    <w:rsid w:val="002A33DB"/>
    <w:rsid w:val="002A3E69"/>
    <w:rsid w:val="002A44F9"/>
    <w:rsid w:val="002A49EF"/>
    <w:rsid w:val="002A4B8B"/>
    <w:rsid w:val="002A5107"/>
    <w:rsid w:val="002A535E"/>
    <w:rsid w:val="002A5DBD"/>
    <w:rsid w:val="002A6406"/>
    <w:rsid w:val="002A6432"/>
    <w:rsid w:val="002A6CF0"/>
    <w:rsid w:val="002A6FFC"/>
    <w:rsid w:val="002A7010"/>
    <w:rsid w:val="002A70BA"/>
    <w:rsid w:val="002A7A57"/>
    <w:rsid w:val="002A7BB2"/>
    <w:rsid w:val="002A7DCB"/>
    <w:rsid w:val="002B0685"/>
    <w:rsid w:val="002B0B53"/>
    <w:rsid w:val="002B1617"/>
    <w:rsid w:val="002B1A90"/>
    <w:rsid w:val="002B1D11"/>
    <w:rsid w:val="002B26F3"/>
    <w:rsid w:val="002B273B"/>
    <w:rsid w:val="002B29AA"/>
    <w:rsid w:val="002B2A7E"/>
    <w:rsid w:val="002B2F1B"/>
    <w:rsid w:val="002B3332"/>
    <w:rsid w:val="002B34C7"/>
    <w:rsid w:val="002B512E"/>
    <w:rsid w:val="002B5269"/>
    <w:rsid w:val="002B5AFB"/>
    <w:rsid w:val="002B6320"/>
    <w:rsid w:val="002B6499"/>
    <w:rsid w:val="002B66AC"/>
    <w:rsid w:val="002B6807"/>
    <w:rsid w:val="002B6852"/>
    <w:rsid w:val="002B77E1"/>
    <w:rsid w:val="002C0656"/>
    <w:rsid w:val="002C0714"/>
    <w:rsid w:val="002C0A96"/>
    <w:rsid w:val="002C1422"/>
    <w:rsid w:val="002C1697"/>
    <w:rsid w:val="002C1BF4"/>
    <w:rsid w:val="002C1E0D"/>
    <w:rsid w:val="002C2266"/>
    <w:rsid w:val="002C2356"/>
    <w:rsid w:val="002C28EB"/>
    <w:rsid w:val="002C316C"/>
    <w:rsid w:val="002C3265"/>
    <w:rsid w:val="002C3AED"/>
    <w:rsid w:val="002C3E56"/>
    <w:rsid w:val="002C414C"/>
    <w:rsid w:val="002C49F8"/>
    <w:rsid w:val="002C4C2F"/>
    <w:rsid w:val="002C5776"/>
    <w:rsid w:val="002C5D62"/>
    <w:rsid w:val="002C5EED"/>
    <w:rsid w:val="002C66DE"/>
    <w:rsid w:val="002C7193"/>
    <w:rsid w:val="002C7699"/>
    <w:rsid w:val="002C7A49"/>
    <w:rsid w:val="002D0128"/>
    <w:rsid w:val="002D0638"/>
    <w:rsid w:val="002D0B52"/>
    <w:rsid w:val="002D0E85"/>
    <w:rsid w:val="002D0FA7"/>
    <w:rsid w:val="002D12FB"/>
    <w:rsid w:val="002D19D1"/>
    <w:rsid w:val="002D1F35"/>
    <w:rsid w:val="002D1FA3"/>
    <w:rsid w:val="002D20CD"/>
    <w:rsid w:val="002D23C6"/>
    <w:rsid w:val="002D24F0"/>
    <w:rsid w:val="002D25EB"/>
    <w:rsid w:val="002D29F3"/>
    <w:rsid w:val="002D3126"/>
    <w:rsid w:val="002D3529"/>
    <w:rsid w:val="002D3D0A"/>
    <w:rsid w:val="002D3EF0"/>
    <w:rsid w:val="002D4582"/>
    <w:rsid w:val="002D478E"/>
    <w:rsid w:val="002D47AE"/>
    <w:rsid w:val="002D4A94"/>
    <w:rsid w:val="002D5BB6"/>
    <w:rsid w:val="002D6216"/>
    <w:rsid w:val="002D65FF"/>
    <w:rsid w:val="002D6D10"/>
    <w:rsid w:val="002D71E2"/>
    <w:rsid w:val="002D7B6A"/>
    <w:rsid w:val="002E0026"/>
    <w:rsid w:val="002E08E8"/>
    <w:rsid w:val="002E0918"/>
    <w:rsid w:val="002E0BAA"/>
    <w:rsid w:val="002E0D96"/>
    <w:rsid w:val="002E0EA5"/>
    <w:rsid w:val="002E0F1C"/>
    <w:rsid w:val="002E197F"/>
    <w:rsid w:val="002E1E19"/>
    <w:rsid w:val="002E1FAC"/>
    <w:rsid w:val="002E283F"/>
    <w:rsid w:val="002E2854"/>
    <w:rsid w:val="002E2E69"/>
    <w:rsid w:val="002E2E74"/>
    <w:rsid w:val="002E32D2"/>
    <w:rsid w:val="002E361B"/>
    <w:rsid w:val="002E37AB"/>
    <w:rsid w:val="002E3A80"/>
    <w:rsid w:val="002E3FB9"/>
    <w:rsid w:val="002E41C7"/>
    <w:rsid w:val="002E51DF"/>
    <w:rsid w:val="002E57B9"/>
    <w:rsid w:val="002E6127"/>
    <w:rsid w:val="002E6885"/>
    <w:rsid w:val="002E72E4"/>
    <w:rsid w:val="002E739D"/>
    <w:rsid w:val="002F0F36"/>
    <w:rsid w:val="002F1276"/>
    <w:rsid w:val="002F175B"/>
    <w:rsid w:val="002F1986"/>
    <w:rsid w:val="002F1E5F"/>
    <w:rsid w:val="002F2A49"/>
    <w:rsid w:val="002F3550"/>
    <w:rsid w:val="002F3A4F"/>
    <w:rsid w:val="002F3B63"/>
    <w:rsid w:val="002F3C56"/>
    <w:rsid w:val="002F46B0"/>
    <w:rsid w:val="002F4B17"/>
    <w:rsid w:val="002F5150"/>
    <w:rsid w:val="002F5463"/>
    <w:rsid w:val="002F58C2"/>
    <w:rsid w:val="002F5932"/>
    <w:rsid w:val="002F5C85"/>
    <w:rsid w:val="002F603B"/>
    <w:rsid w:val="002F6201"/>
    <w:rsid w:val="002F6493"/>
    <w:rsid w:val="002F724B"/>
    <w:rsid w:val="002F72BA"/>
    <w:rsid w:val="00300267"/>
    <w:rsid w:val="003004D2"/>
    <w:rsid w:val="00300D6B"/>
    <w:rsid w:val="00301380"/>
    <w:rsid w:val="00301E89"/>
    <w:rsid w:val="00302052"/>
    <w:rsid w:val="00302142"/>
    <w:rsid w:val="00302169"/>
    <w:rsid w:val="00302612"/>
    <w:rsid w:val="00303254"/>
    <w:rsid w:val="003032D8"/>
    <w:rsid w:val="003044D9"/>
    <w:rsid w:val="00304521"/>
    <w:rsid w:val="00304D8A"/>
    <w:rsid w:val="00305216"/>
    <w:rsid w:val="0030555B"/>
    <w:rsid w:val="003061F5"/>
    <w:rsid w:val="00306A49"/>
    <w:rsid w:val="00306D27"/>
    <w:rsid w:val="0030722F"/>
    <w:rsid w:val="0030739C"/>
    <w:rsid w:val="00307A2C"/>
    <w:rsid w:val="00310D51"/>
    <w:rsid w:val="00311B36"/>
    <w:rsid w:val="00311C92"/>
    <w:rsid w:val="00313321"/>
    <w:rsid w:val="003133AE"/>
    <w:rsid w:val="0031371B"/>
    <w:rsid w:val="00314156"/>
    <w:rsid w:val="00314CF8"/>
    <w:rsid w:val="0031535B"/>
    <w:rsid w:val="003154DD"/>
    <w:rsid w:val="00315FEA"/>
    <w:rsid w:val="00316E8B"/>
    <w:rsid w:val="00316F76"/>
    <w:rsid w:val="003170F4"/>
    <w:rsid w:val="0032035D"/>
    <w:rsid w:val="003205E9"/>
    <w:rsid w:val="00320B28"/>
    <w:rsid w:val="0032123E"/>
    <w:rsid w:val="003216D5"/>
    <w:rsid w:val="003216FF"/>
    <w:rsid w:val="00321866"/>
    <w:rsid w:val="00321A83"/>
    <w:rsid w:val="00321C1A"/>
    <w:rsid w:val="00321F6B"/>
    <w:rsid w:val="00322389"/>
    <w:rsid w:val="003223CA"/>
    <w:rsid w:val="00322BE5"/>
    <w:rsid w:val="00322E87"/>
    <w:rsid w:val="0032312D"/>
    <w:rsid w:val="00323AA5"/>
    <w:rsid w:val="003242E4"/>
    <w:rsid w:val="0032468D"/>
    <w:rsid w:val="00324926"/>
    <w:rsid w:val="00324B25"/>
    <w:rsid w:val="0032522F"/>
    <w:rsid w:val="003253C4"/>
    <w:rsid w:val="0032550F"/>
    <w:rsid w:val="00325992"/>
    <w:rsid w:val="00325B74"/>
    <w:rsid w:val="0032638F"/>
    <w:rsid w:val="00326B59"/>
    <w:rsid w:val="00326BD4"/>
    <w:rsid w:val="00326E49"/>
    <w:rsid w:val="003272C6"/>
    <w:rsid w:val="00327752"/>
    <w:rsid w:val="00327C7C"/>
    <w:rsid w:val="00330009"/>
    <w:rsid w:val="003301E6"/>
    <w:rsid w:val="003310AB"/>
    <w:rsid w:val="003314D2"/>
    <w:rsid w:val="003315A9"/>
    <w:rsid w:val="00331712"/>
    <w:rsid w:val="00331A3F"/>
    <w:rsid w:val="00332191"/>
    <w:rsid w:val="00332720"/>
    <w:rsid w:val="00332EED"/>
    <w:rsid w:val="00332F1F"/>
    <w:rsid w:val="003333AB"/>
    <w:rsid w:val="003334A7"/>
    <w:rsid w:val="003337E8"/>
    <w:rsid w:val="00333A14"/>
    <w:rsid w:val="00333B2A"/>
    <w:rsid w:val="00333FD5"/>
    <w:rsid w:val="003350E9"/>
    <w:rsid w:val="003351BA"/>
    <w:rsid w:val="0033520F"/>
    <w:rsid w:val="0033596B"/>
    <w:rsid w:val="00335A93"/>
    <w:rsid w:val="0033650E"/>
    <w:rsid w:val="00336907"/>
    <w:rsid w:val="003369DF"/>
    <w:rsid w:val="00336AD1"/>
    <w:rsid w:val="00336C71"/>
    <w:rsid w:val="00336D96"/>
    <w:rsid w:val="00336DFC"/>
    <w:rsid w:val="00337230"/>
    <w:rsid w:val="003377D0"/>
    <w:rsid w:val="00337D75"/>
    <w:rsid w:val="00340020"/>
    <w:rsid w:val="00340AFD"/>
    <w:rsid w:val="00341162"/>
    <w:rsid w:val="00341866"/>
    <w:rsid w:val="00341DAF"/>
    <w:rsid w:val="00342181"/>
    <w:rsid w:val="003422F2"/>
    <w:rsid w:val="00342B37"/>
    <w:rsid w:val="00343560"/>
    <w:rsid w:val="00343A20"/>
    <w:rsid w:val="0034402B"/>
    <w:rsid w:val="0034449E"/>
    <w:rsid w:val="00344D46"/>
    <w:rsid w:val="003451F0"/>
    <w:rsid w:val="003465A5"/>
    <w:rsid w:val="00346817"/>
    <w:rsid w:val="00347440"/>
    <w:rsid w:val="003475EA"/>
    <w:rsid w:val="00347A27"/>
    <w:rsid w:val="00347CD4"/>
    <w:rsid w:val="00347E2E"/>
    <w:rsid w:val="00350A55"/>
    <w:rsid w:val="00350DF8"/>
    <w:rsid w:val="00351A8A"/>
    <w:rsid w:val="0035266A"/>
    <w:rsid w:val="0035279C"/>
    <w:rsid w:val="003535D2"/>
    <w:rsid w:val="0035384D"/>
    <w:rsid w:val="003538F4"/>
    <w:rsid w:val="00353C0B"/>
    <w:rsid w:val="00354AE4"/>
    <w:rsid w:val="00354B0A"/>
    <w:rsid w:val="00355264"/>
    <w:rsid w:val="0035551B"/>
    <w:rsid w:val="003555ED"/>
    <w:rsid w:val="00355911"/>
    <w:rsid w:val="00355BFC"/>
    <w:rsid w:val="0035636B"/>
    <w:rsid w:val="00356433"/>
    <w:rsid w:val="00357424"/>
    <w:rsid w:val="00357BE9"/>
    <w:rsid w:val="003601A2"/>
    <w:rsid w:val="003602AD"/>
    <w:rsid w:val="003605DB"/>
    <w:rsid w:val="00361327"/>
    <w:rsid w:val="00361789"/>
    <w:rsid w:val="0036196D"/>
    <w:rsid w:val="00361A59"/>
    <w:rsid w:val="00361BB0"/>
    <w:rsid w:val="00362136"/>
    <w:rsid w:val="0036268A"/>
    <w:rsid w:val="003627BD"/>
    <w:rsid w:val="00362997"/>
    <w:rsid w:val="00362C59"/>
    <w:rsid w:val="00363040"/>
    <w:rsid w:val="003630B7"/>
    <w:rsid w:val="003633E8"/>
    <w:rsid w:val="00363786"/>
    <w:rsid w:val="003638A4"/>
    <w:rsid w:val="003639BF"/>
    <w:rsid w:val="00363E41"/>
    <w:rsid w:val="00363FD2"/>
    <w:rsid w:val="00364091"/>
    <w:rsid w:val="0036447A"/>
    <w:rsid w:val="00364D3C"/>
    <w:rsid w:val="0036572E"/>
    <w:rsid w:val="00366168"/>
    <w:rsid w:val="003663D9"/>
    <w:rsid w:val="003666BF"/>
    <w:rsid w:val="00366707"/>
    <w:rsid w:val="00366FA9"/>
    <w:rsid w:val="00367B19"/>
    <w:rsid w:val="00367E49"/>
    <w:rsid w:val="003700E6"/>
    <w:rsid w:val="0037017C"/>
    <w:rsid w:val="00370490"/>
    <w:rsid w:val="00370633"/>
    <w:rsid w:val="00371C86"/>
    <w:rsid w:val="0037236C"/>
    <w:rsid w:val="003729DE"/>
    <w:rsid w:val="003735D3"/>
    <w:rsid w:val="0037386D"/>
    <w:rsid w:val="00373956"/>
    <w:rsid w:val="003739A4"/>
    <w:rsid w:val="00374153"/>
    <w:rsid w:val="00374671"/>
    <w:rsid w:val="003750E0"/>
    <w:rsid w:val="00375AF1"/>
    <w:rsid w:val="00375C2F"/>
    <w:rsid w:val="00375FC5"/>
    <w:rsid w:val="00376943"/>
    <w:rsid w:val="003769BA"/>
    <w:rsid w:val="00377871"/>
    <w:rsid w:val="003778B2"/>
    <w:rsid w:val="00377D0E"/>
    <w:rsid w:val="00377E58"/>
    <w:rsid w:val="003804EE"/>
    <w:rsid w:val="003805E3"/>
    <w:rsid w:val="00380618"/>
    <w:rsid w:val="0038062E"/>
    <w:rsid w:val="003806D7"/>
    <w:rsid w:val="003807F7"/>
    <w:rsid w:val="00381610"/>
    <w:rsid w:val="00382106"/>
    <w:rsid w:val="00382657"/>
    <w:rsid w:val="00382708"/>
    <w:rsid w:val="00382ADF"/>
    <w:rsid w:val="00382B82"/>
    <w:rsid w:val="003834CE"/>
    <w:rsid w:val="003844BF"/>
    <w:rsid w:val="00384F87"/>
    <w:rsid w:val="0038518F"/>
    <w:rsid w:val="003854D5"/>
    <w:rsid w:val="0038552A"/>
    <w:rsid w:val="003856F1"/>
    <w:rsid w:val="003859EA"/>
    <w:rsid w:val="0038709E"/>
    <w:rsid w:val="00387D30"/>
    <w:rsid w:val="00391753"/>
    <w:rsid w:val="00391C7F"/>
    <w:rsid w:val="00392454"/>
    <w:rsid w:val="00392C85"/>
    <w:rsid w:val="00392FD8"/>
    <w:rsid w:val="00393E11"/>
    <w:rsid w:val="00394475"/>
    <w:rsid w:val="0039517A"/>
    <w:rsid w:val="003958B9"/>
    <w:rsid w:val="00395B51"/>
    <w:rsid w:val="00396796"/>
    <w:rsid w:val="00396EC6"/>
    <w:rsid w:val="003970BA"/>
    <w:rsid w:val="0039746C"/>
    <w:rsid w:val="003978CA"/>
    <w:rsid w:val="00397DC6"/>
    <w:rsid w:val="003A0E82"/>
    <w:rsid w:val="003A0FAC"/>
    <w:rsid w:val="003A1584"/>
    <w:rsid w:val="003A184D"/>
    <w:rsid w:val="003A1F68"/>
    <w:rsid w:val="003A1FB7"/>
    <w:rsid w:val="003A371E"/>
    <w:rsid w:val="003A3957"/>
    <w:rsid w:val="003A462A"/>
    <w:rsid w:val="003A595F"/>
    <w:rsid w:val="003A5EEC"/>
    <w:rsid w:val="003A6B7A"/>
    <w:rsid w:val="003A79AE"/>
    <w:rsid w:val="003A7CA3"/>
    <w:rsid w:val="003B00B6"/>
    <w:rsid w:val="003B01C4"/>
    <w:rsid w:val="003B09D5"/>
    <w:rsid w:val="003B0BB0"/>
    <w:rsid w:val="003B11EE"/>
    <w:rsid w:val="003B15F8"/>
    <w:rsid w:val="003B1B60"/>
    <w:rsid w:val="003B230B"/>
    <w:rsid w:val="003B23BC"/>
    <w:rsid w:val="003B2626"/>
    <w:rsid w:val="003B28BA"/>
    <w:rsid w:val="003B28F6"/>
    <w:rsid w:val="003B2DB5"/>
    <w:rsid w:val="003B2F05"/>
    <w:rsid w:val="003B3966"/>
    <w:rsid w:val="003B39B7"/>
    <w:rsid w:val="003B4754"/>
    <w:rsid w:val="003B4C78"/>
    <w:rsid w:val="003B4EB0"/>
    <w:rsid w:val="003B5094"/>
    <w:rsid w:val="003B5F6A"/>
    <w:rsid w:val="003B6A60"/>
    <w:rsid w:val="003B6B7F"/>
    <w:rsid w:val="003B7820"/>
    <w:rsid w:val="003C01A4"/>
    <w:rsid w:val="003C0219"/>
    <w:rsid w:val="003C0C12"/>
    <w:rsid w:val="003C16EE"/>
    <w:rsid w:val="003C1C87"/>
    <w:rsid w:val="003C2C85"/>
    <w:rsid w:val="003C2F61"/>
    <w:rsid w:val="003C345E"/>
    <w:rsid w:val="003C4409"/>
    <w:rsid w:val="003C4997"/>
    <w:rsid w:val="003C4DA5"/>
    <w:rsid w:val="003C502A"/>
    <w:rsid w:val="003C5666"/>
    <w:rsid w:val="003C60CC"/>
    <w:rsid w:val="003C64F4"/>
    <w:rsid w:val="003C6D4E"/>
    <w:rsid w:val="003C724B"/>
    <w:rsid w:val="003C73DB"/>
    <w:rsid w:val="003C782B"/>
    <w:rsid w:val="003C78CC"/>
    <w:rsid w:val="003D0185"/>
    <w:rsid w:val="003D02CB"/>
    <w:rsid w:val="003D0382"/>
    <w:rsid w:val="003D069C"/>
    <w:rsid w:val="003D18F6"/>
    <w:rsid w:val="003D191E"/>
    <w:rsid w:val="003D1A19"/>
    <w:rsid w:val="003D2027"/>
    <w:rsid w:val="003D22A5"/>
    <w:rsid w:val="003D23A4"/>
    <w:rsid w:val="003D2EE0"/>
    <w:rsid w:val="003D3414"/>
    <w:rsid w:val="003D3426"/>
    <w:rsid w:val="003D3654"/>
    <w:rsid w:val="003D3721"/>
    <w:rsid w:val="003D413A"/>
    <w:rsid w:val="003D4A9F"/>
    <w:rsid w:val="003D6722"/>
    <w:rsid w:val="003D7031"/>
    <w:rsid w:val="003D7428"/>
    <w:rsid w:val="003D77F2"/>
    <w:rsid w:val="003D78CC"/>
    <w:rsid w:val="003D7D01"/>
    <w:rsid w:val="003D7D25"/>
    <w:rsid w:val="003D7ED8"/>
    <w:rsid w:val="003E0003"/>
    <w:rsid w:val="003E0099"/>
    <w:rsid w:val="003E0162"/>
    <w:rsid w:val="003E08C7"/>
    <w:rsid w:val="003E1427"/>
    <w:rsid w:val="003E177D"/>
    <w:rsid w:val="003E1A72"/>
    <w:rsid w:val="003E1C35"/>
    <w:rsid w:val="003E2582"/>
    <w:rsid w:val="003E2880"/>
    <w:rsid w:val="003E28FB"/>
    <w:rsid w:val="003E2A00"/>
    <w:rsid w:val="003E382C"/>
    <w:rsid w:val="003E3D00"/>
    <w:rsid w:val="003E4531"/>
    <w:rsid w:val="003E4771"/>
    <w:rsid w:val="003E54A8"/>
    <w:rsid w:val="003E5833"/>
    <w:rsid w:val="003E5DA8"/>
    <w:rsid w:val="003E7109"/>
    <w:rsid w:val="003E77DC"/>
    <w:rsid w:val="003E7BC1"/>
    <w:rsid w:val="003F0453"/>
    <w:rsid w:val="003F0C9F"/>
    <w:rsid w:val="003F144A"/>
    <w:rsid w:val="003F18FB"/>
    <w:rsid w:val="003F1B02"/>
    <w:rsid w:val="003F1EFE"/>
    <w:rsid w:val="003F2166"/>
    <w:rsid w:val="003F2240"/>
    <w:rsid w:val="003F2460"/>
    <w:rsid w:val="003F2E7B"/>
    <w:rsid w:val="003F3CD5"/>
    <w:rsid w:val="003F4473"/>
    <w:rsid w:val="003F4CF5"/>
    <w:rsid w:val="003F4E31"/>
    <w:rsid w:val="003F51EE"/>
    <w:rsid w:val="003F574E"/>
    <w:rsid w:val="003F60D6"/>
    <w:rsid w:val="003F68E9"/>
    <w:rsid w:val="003F728C"/>
    <w:rsid w:val="003F7E15"/>
    <w:rsid w:val="003F7FDA"/>
    <w:rsid w:val="00400E65"/>
    <w:rsid w:val="00401296"/>
    <w:rsid w:val="004013AD"/>
    <w:rsid w:val="00401E20"/>
    <w:rsid w:val="004021C0"/>
    <w:rsid w:val="004024F9"/>
    <w:rsid w:val="004028CE"/>
    <w:rsid w:val="0040313D"/>
    <w:rsid w:val="004043FA"/>
    <w:rsid w:val="00404970"/>
    <w:rsid w:val="00405181"/>
    <w:rsid w:val="0040567F"/>
    <w:rsid w:val="00405873"/>
    <w:rsid w:val="00405F09"/>
    <w:rsid w:val="00405F3A"/>
    <w:rsid w:val="004066F4"/>
    <w:rsid w:val="00406A32"/>
    <w:rsid w:val="0040760B"/>
    <w:rsid w:val="00410117"/>
    <w:rsid w:val="00410C32"/>
    <w:rsid w:val="00411237"/>
    <w:rsid w:val="00411557"/>
    <w:rsid w:val="00411994"/>
    <w:rsid w:val="00411D74"/>
    <w:rsid w:val="00411DDE"/>
    <w:rsid w:val="00411F84"/>
    <w:rsid w:val="00412069"/>
    <w:rsid w:val="004121A1"/>
    <w:rsid w:val="00412477"/>
    <w:rsid w:val="00412570"/>
    <w:rsid w:val="004127A2"/>
    <w:rsid w:val="0041280A"/>
    <w:rsid w:val="00412A9D"/>
    <w:rsid w:val="00412CB1"/>
    <w:rsid w:val="004133A5"/>
    <w:rsid w:val="00413D45"/>
    <w:rsid w:val="00414197"/>
    <w:rsid w:val="004144D7"/>
    <w:rsid w:val="00414BB4"/>
    <w:rsid w:val="00414D68"/>
    <w:rsid w:val="00414FD9"/>
    <w:rsid w:val="00415773"/>
    <w:rsid w:val="00415CAE"/>
    <w:rsid w:val="00415EE7"/>
    <w:rsid w:val="004160FA"/>
    <w:rsid w:val="0041669E"/>
    <w:rsid w:val="004169CC"/>
    <w:rsid w:val="00416ACA"/>
    <w:rsid w:val="00416C56"/>
    <w:rsid w:val="00417294"/>
    <w:rsid w:val="004176B8"/>
    <w:rsid w:val="00417B99"/>
    <w:rsid w:val="00417CE0"/>
    <w:rsid w:val="004209D5"/>
    <w:rsid w:val="00420FAF"/>
    <w:rsid w:val="00421184"/>
    <w:rsid w:val="004212C1"/>
    <w:rsid w:val="004214B7"/>
    <w:rsid w:val="00421510"/>
    <w:rsid w:val="00421FB5"/>
    <w:rsid w:val="004226ED"/>
    <w:rsid w:val="00422AF4"/>
    <w:rsid w:val="004235F4"/>
    <w:rsid w:val="004236C9"/>
    <w:rsid w:val="00423CF3"/>
    <w:rsid w:val="00423E18"/>
    <w:rsid w:val="004245E4"/>
    <w:rsid w:val="00424B7C"/>
    <w:rsid w:val="0042500C"/>
    <w:rsid w:val="00425261"/>
    <w:rsid w:val="00425514"/>
    <w:rsid w:val="004256BD"/>
    <w:rsid w:val="00425863"/>
    <w:rsid w:val="00425D02"/>
    <w:rsid w:val="00425EDC"/>
    <w:rsid w:val="00426C3E"/>
    <w:rsid w:val="004275CD"/>
    <w:rsid w:val="00427E74"/>
    <w:rsid w:val="00427FEB"/>
    <w:rsid w:val="00427FF2"/>
    <w:rsid w:val="0043011C"/>
    <w:rsid w:val="004305C0"/>
    <w:rsid w:val="00430B20"/>
    <w:rsid w:val="00430B6C"/>
    <w:rsid w:val="0043227C"/>
    <w:rsid w:val="004335C0"/>
    <w:rsid w:val="004345E1"/>
    <w:rsid w:val="00435121"/>
    <w:rsid w:val="00435715"/>
    <w:rsid w:val="0043571B"/>
    <w:rsid w:val="00435EE0"/>
    <w:rsid w:val="00435F29"/>
    <w:rsid w:val="0043610C"/>
    <w:rsid w:val="004366FF"/>
    <w:rsid w:val="00437D83"/>
    <w:rsid w:val="004401DD"/>
    <w:rsid w:val="00440344"/>
    <w:rsid w:val="00441264"/>
    <w:rsid w:val="00441B0F"/>
    <w:rsid w:val="004425C6"/>
    <w:rsid w:val="00443D5D"/>
    <w:rsid w:val="00444F23"/>
    <w:rsid w:val="00445A4E"/>
    <w:rsid w:val="00445CBA"/>
    <w:rsid w:val="004463CB"/>
    <w:rsid w:val="004466F7"/>
    <w:rsid w:val="00446858"/>
    <w:rsid w:val="00446C99"/>
    <w:rsid w:val="00447304"/>
    <w:rsid w:val="004476F6"/>
    <w:rsid w:val="00447CDD"/>
    <w:rsid w:val="00450127"/>
    <w:rsid w:val="0045075F"/>
    <w:rsid w:val="004516AD"/>
    <w:rsid w:val="00451E84"/>
    <w:rsid w:val="00451EA3"/>
    <w:rsid w:val="00451F01"/>
    <w:rsid w:val="004528D3"/>
    <w:rsid w:val="00454145"/>
    <w:rsid w:val="00454660"/>
    <w:rsid w:val="004546A7"/>
    <w:rsid w:val="00454831"/>
    <w:rsid w:val="004548DF"/>
    <w:rsid w:val="00456CC0"/>
    <w:rsid w:val="00457933"/>
    <w:rsid w:val="00457C78"/>
    <w:rsid w:val="00460735"/>
    <w:rsid w:val="00460AD5"/>
    <w:rsid w:val="00460EB8"/>
    <w:rsid w:val="00461090"/>
    <w:rsid w:val="00461991"/>
    <w:rsid w:val="00461ACB"/>
    <w:rsid w:val="00461C43"/>
    <w:rsid w:val="00462125"/>
    <w:rsid w:val="00463216"/>
    <w:rsid w:val="0046334D"/>
    <w:rsid w:val="00463911"/>
    <w:rsid w:val="00463C95"/>
    <w:rsid w:val="00463E1C"/>
    <w:rsid w:val="00464052"/>
    <w:rsid w:val="00464236"/>
    <w:rsid w:val="00465153"/>
    <w:rsid w:val="00465602"/>
    <w:rsid w:val="004656A4"/>
    <w:rsid w:val="0046599C"/>
    <w:rsid w:val="00465F01"/>
    <w:rsid w:val="00466A4A"/>
    <w:rsid w:val="00466AFD"/>
    <w:rsid w:val="00470696"/>
    <w:rsid w:val="004713A5"/>
    <w:rsid w:val="004718E1"/>
    <w:rsid w:val="00471FEC"/>
    <w:rsid w:val="00472177"/>
    <w:rsid w:val="00472234"/>
    <w:rsid w:val="004724C9"/>
    <w:rsid w:val="00472585"/>
    <w:rsid w:val="0047278F"/>
    <w:rsid w:val="00474130"/>
    <w:rsid w:val="00474EDD"/>
    <w:rsid w:val="00475A6C"/>
    <w:rsid w:val="004764AF"/>
    <w:rsid w:val="00476D04"/>
    <w:rsid w:val="00476F58"/>
    <w:rsid w:val="0047775E"/>
    <w:rsid w:val="00477AAE"/>
    <w:rsid w:val="00477AF6"/>
    <w:rsid w:val="00477B3B"/>
    <w:rsid w:val="00477BCB"/>
    <w:rsid w:val="004801A7"/>
    <w:rsid w:val="00480E47"/>
    <w:rsid w:val="00481666"/>
    <w:rsid w:val="0048181B"/>
    <w:rsid w:val="00481B2B"/>
    <w:rsid w:val="00481F2B"/>
    <w:rsid w:val="004820C5"/>
    <w:rsid w:val="00482198"/>
    <w:rsid w:val="004821D6"/>
    <w:rsid w:val="004823D8"/>
    <w:rsid w:val="00482F20"/>
    <w:rsid w:val="00483196"/>
    <w:rsid w:val="0048340F"/>
    <w:rsid w:val="0048423C"/>
    <w:rsid w:val="00484449"/>
    <w:rsid w:val="004852CE"/>
    <w:rsid w:val="0048540C"/>
    <w:rsid w:val="00485B5F"/>
    <w:rsid w:val="00485F92"/>
    <w:rsid w:val="004860BD"/>
    <w:rsid w:val="004866E1"/>
    <w:rsid w:val="00486C72"/>
    <w:rsid w:val="004877B2"/>
    <w:rsid w:val="00487D3A"/>
    <w:rsid w:val="00490954"/>
    <w:rsid w:val="0049102F"/>
    <w:rsid w:val="00491602"/>
    <w:rsid w:val="0049277A"/>
    <w:rsid w:val="00492B38"/>
    <w:rsid w:val="00492FE4"/>
    <w:rsid w:val="00493035"/>
    <w:rsid w:val="00493321"/>
    <w:rsid w:val="004936DE"/>
    <w:rsid w:val="004949B0"/>
    <w:rsid w:val="0049544E"/>
    <w:rsid w:val="00495670"/>
    <w:rsid w:val="0049567B"/>
    <w:rsid w:val="0049604B"/>
    <w:rsid w:val="00496666"/>
    <w:rsid w:val="00496AC9"/>
    <w:rsid w:val="00496EEC"/>
    <w:rsid w:val="004A040E"/>
    <w:rsid w:val="004A042D"/>
    <w:rsid w:val="004A11E0"/>
    <w:rsid w:val="004A1953"/>
    <w:rsid w:val="004A1FC5"/>
    <w:rsid w:val="004A2158"/>
    <w:rsid w:val="004A29A5"/>
    <w:rsid w:val="004A3225"/>
    <w:rsid w:val="004A374A"/>
    <w:rsid w:val="004A395B"/>
    <w:rsid w:val="004A3C59"/>
    <w:rsid w:val="004A3FE2"/>
    <w:rsid w:val="004A4195"/>
    <w:rsid w:val="004A480D"/>
    <w:rsid w:val="004A4D76"/>
    <w:rsid w:val="004A4F0B"/>
    <w:rsid w:val="004A5851"/>
    <w:rsid w:val="004A5A91"/>
    <w:rsid w:val="004A5B0F"/>
    <w:rsid w:val="004A5CF1"/>
    <w:rsid w:val="004A66E0"/>
    <w:rsid w:val="004A7AAE"/>
    <w:rsid w:val="004A7D49"/>
    <w:rsid w:val="004A7E52"/>
    <w:rsid w:val="004A7F21"/>
    <w:rsid w:val="004B07C6"/>
    <w:rsid w:val="004B08DB"/>
    <w:rsid w:val="004B0A9E"/>
    <w:rsid w:val="004B1422"/>
    <w:rsid w:val="004B1DF2"/>
    <w:rsid w:val="004B24EB"/>
    <w:rsid w:val="004B29AC"/>
    <w:rsid w:val="004B3C8B"/>
    <w:rsid w:val="004B44A9"/>
    <w:rsid w:val="004B4509"/>
    <w:rsid w:val="004B452A"/>
    <w:rsid w:val="004B4871"/>
    <w:rsid w:val="004B4ADF"/>
    <w:rsid w:val="004B4C00"/>
    <w:rsid w:val="004B4E06"/>
    <w:rsid w:val="004B5493"/>
    <w:rsid w:val="004B5914"/>
    <w:rsid w:val="004B60F3"/>
    <w:rsid w:val="004B6C77"/>
    <w:rsid w:val="004B6D0A"/>
    <w:rsid w:val="004B6DA4"/>
    <w:rsid w:val="004B794C"/>
    <w:rsid w:val="004B7995"/>
    <w:rsid w:val="004C02B3"/>
    <w:rsid w:val="004C098E"/>
    <w:rsid w:val="004C0BBE"/>
    <w:rsid w:val="004C0E2F"/>
    <w:rsid w:val="004C1705"/>
    <w:rsid w:val="004C222E"/>
    <w:rsid w:val="004C2561"/>
    <w:rsid w:val="004C25B4"/>
    <w:rsid w:val="004C2806"/>
    <w:rsid w:val="004C29BD"/>
    <w:rsid w:val="004C3A7A"/>
    <w:rsid w:val="004C3ADD"/>
    <w:rsid w:val="004C3C00"/>
    <w:rsid w:val="004C3F3B"/>
    <w:rsid w:val="004C428E"/>
    <w:rsid w:val="004C441A"/>
    <w:rsid w:val="004C4775"/>
    <w:rsid w:val="004C483D"/>
    <w:rsid w:val="004C48A9"/>
    <w:rsid w:val="004C4D05"/>
    <w:rsid w:val="004C590B"/>
    <w:rsid w:val="004C5BF4"/>
    <w:rsid w:val="004C5E9D"/>
    <w:rsid w:val="004C6017"/>
    <w:rsid w:val="004C62DE"/>
    <w:rsid w:val="004C63C7"/>
    <w:rsid w:val="004C6D39"/>
    <w:rsid w:val="004C6D98"/>
    <w:rsid w:val="004C7217"/>
    <w:rsid w:val="004C7743"/>
    <w:rsid w:val="004C77A7"/>
    <w:rsid w:val="004C7B38"/>
    <w:rsid w:val="004D039E"/>
    <w:rsid w:val="004D04A3"/>
    <w:rsid w:val="004D0C9F"/>
    <w:rsid w:val="004D15FD"/>
    <w:rsid w:val="004D1A0A"/>
    <w:rsid w:val="004D2369"/>
    <w:rsid w:val="004D2485"/>
    <w:rsid w:val="004D2CFC"/>
    <w:rsid w:val="004D34D2"/>
    <w:rsid w:val="004D3A57"/>
    <w:rsid w:val="004D3DB8"/>
    <w:rsid w:val="004D47FF"/>
    <w:rsid w:val="004D4D35"/>
    <w:rsid w:val="004D518F"/>
    <w:rsid w:val="004D5394"/>
    <w:rsid w:val="004D54D7"/>
    <w:rsid w:val="004D5BB7"/>
    <w:rsid w:val="004D6053"/>
    <w:rsid w:val="004D6FA4"/>
    <w:rsid w:val="004D7C23"/>
    <w:rsid w:val="004E01C6"/>
    <w:rsid w:val="004E0212"/>
    <w:rsid w:val="004E0ADC"/>
    <w:rsid w:val="004E0FB1"/>
    <w:rsid w:val="004E1043"/>
    <w:rsid w:val="004E19DB"/>
    <w:rsid w:val="004E1DCA"/>
    <w:rsid w:val="004E21B4"/>
    <w:rsid w:val="004E252B"/>
    <w:rsid w:val="004E2861"/>
    <w:rsid w:val="004E2A85"/>
    <w:rsid w:val="004E3F72"/>
    <w:rsid w:val="004E47D5"/>
    <w:rsid w:val="004E4A5C"/>
    <w:rsid w:val="004E4A78"/>
    <w:rsid w:val="004E551E"/>
    <w:rsid w:val="004E584D"/>
    <w:rsid w:val="004E58F6"/>
    <w:rsid w:val="004E5E37"/>
    <w:rsid w:val="004E5E4C"/>
    <w:rsid w:val="004E5F79"/>
    <w:rsid w:val="004E623E"/>
    <w:rsid w:val="004E6589"/>
    <w:rsid w:val="004E6A1D"/>
    <w:rsid w:val="004E6CF9"/>
    <w:rsid w:val="004E7152"/>
    <w:rsid w:val="004E734E"/>
    <w:rsid w:val="004E7EC0"/>
    <w:rsid w:val="004E7F48"/>
    <w:rsid w:val="004F014E"/>
    <w:rsid w:val="004F023B"/>
    <w:rsid w:val="004F0BC6"/>
    <w:rsid w:val="004F1123"/>
    <w:rsid w:val="004F1715"/>
    <w:rsid w:val="004F17DA"/>
    <w:rsid w:val="004F1B65"/>
    <w:rsid w:val="004F34D1"/>
    <w:rsid w:val="004F355B"/>
    <w:rsid w:val="004F3BD2"/>
    <w:rsid w:val="004F3CBF"/>
    <w:rsid w:val="004F4372"/>
    <w:rsid w:val="004F43E0"/>
    <w:rsid w:val="004F45EB"/>
    <w:rsid w:val="004F5079"/>
    <w:rsid w:val="004F521B"/>
    <w:rsid w:val="004F52BB"/>
    <w:rsid w:val="004F5582"/>
    <w:rsid w:val="004F59B8"/>
    <w:rsid w:val="004F62A7"/>
    <w:rsid w:val="004F62F9"/>
    <w:rsid w:val="004F66B3"/>
    <w:rsid w:val="004F6FA7"/>
    <w:rsid w:val="004F71FB"/>
    <w:rsid w:val="004F7352"/>
    <w:rsid w:val="004F7889"/>
    <w:rsid w:val="0050015C"/>
    <w:rsid w:val="00500418"/>
    <w:rsid w:val="00500CCF"/>
    <w:rsid w:val="00500E62"/>
    <w:rsid w:val="005010DE"/>
    <w:rsid w:val="005011FD"/>
    <w:rsid w:val="0050164B"/>
    <w:rsid w:val="00501A86"/>
    <w:rsid w:val="00501AA5"/>
    <w:rsid w:val="00502958"/>
    <w:rsid w:val="00502BD2"/>
    <w:rsid w:val="00502DA4"/>
    <w:rsid w:val="00502EB2"/>
    <w:rsid w:val="00503F83"/>
    <w:rsid w:val="0050421C"/>
    <w:rsid w:val="00504A9B"/>
    <w:rsid w:val="00504E9A"/>
    <w:rsid w:val="00504F83"/>
    <w:rsid w:val="005051F4"/>
    <w:rsid w:val="00505743"/>
    <w:rsid w:val="005059B9"/>
    <w:rsid w:val="00505F64"/>
    <w:rsid w:val="00506DCD"/>
    <w:rsid w:val="00507325"/>
    <w:rsid w:val="00507583"/>
    <w:rsid w:val="00507C36"/>
    <w:rsid w:val="00507C56"/>
    <w:rsid w:val="00507F13"/>
    <w:rsid w:val="005109D4"/>
    <w:rsid w:val="00510CF4"/>
    <w:rsid w:val="0051160A"/>
    <w:rsid w:val="005118BA"/>
    <w:rsid w:val="00512D87"/>
    <w:rsid w:val="005130DA"/>
    <w:rsid w:val="00513430"/>
    <w:rsid w:val="0051354B"/>
    <w:rsid w:val="00513DDA"/>
    <w:rsid w:val="00513E19"/>
    <w:rsid w:val="005148B4"/>
    <w:rsid w:val="00514B29"/>
    <w:rsid w:val="00514E8C"/>
    <w:rsid w:val="005152B1"/>
    <w:rsid w:val="005152F0"/>
    <w:rsid w:val="0051532D"/>
    <w:rsid w:val="00515856"/>
    <w:rsid w:val="00515F50"/>
    <w:rsid w:val="005163E6"/>
    <w:rsid w:val="005172EC"/>
    <w:rsid w:val="0051740D"/>
    <w:rsid w:val="005178CE"/>
    <w:rsid w:val="005205FF"/>
    <w:rsid w:val="00521356"/>
    <w:rsid w:val="00521CAB"/>
    <w:rsid w:val="00521DFB"/>
    <w:rsid w:val="005224EF"/>
    <w:rsid w:val="00522654"/>
    <w:rsid w:val="00522835"/>
    <w:rsid w:val="0052293D"/>
    <w:rsid w:val="00522AF4"/>
    <w:rsid w:val="00523499"/>
    <w:rsid w:val="0052373F"/>
    <w:rsid w:val="00523BC7"/>
    <w:rsid w:val="00523C08"/>
    <w:rsid w:val="00523C10"/>
    <w:rsid w:val="00523E23"/>
    <w:rsid w:val="005245D5"/>
    <w:rsid w:val="005247FE"/>
    <w:rsid w:val="00524889"/>
    <w:rsid w:val="0052575D"/>
    <w:rsid w:val="005259FC"/>
    <w:rsid w:val="00525A53"/>
    <w:rsid w:val="005260C7"/>
    <w:rsid w:val="005260F1"/>
    <w:rsid w:val="00526569"/>
    <w:rsid w:val="00526726"/>
    <w:rsid w:val="00526F91"/>
    <w:rsid w:val="00527256"/>
    <w:rsid w:val="00527934"/>
    <w:rsid w:val="00527AC0"/>
    <w:rsid w:val="00527B57"/>
    <w:rsid w:val="00527C8D"/>
    <w:rsid w:val="00527C9C"/>
    <w:rsid w:val="00530034"/>
    <w:rsid w:val="00530AC4"/>
    <w:rsid w:val="0053140F"/>
    <w:rsid w:val="00531F7B"/>
    <w:rsid w:val="00532064"/>
    <w:rsid w:val="0053268A"/>
    <w:rsid w:val="0053309E"/>
    <w:rsid w:val="00533169"/>
    <w:rsid w:val="0053318D"/>
    <w:rsid w:val="00533194"/>
    <w:rsid w:val="005332C8"/>
    <w:rsid w:val="00533AB0"/>
    <w:rsid w:val="00534021"/>
    <w:rsid w:val="0053464E"/>
    <w:rsid w:val="00534CBD"/>
    <w:rsid w:val="005352C8"/>
    <w:rsid w:val="005354C1"/>
    <w:rsid w:val="00535F99"/>
    <w:rsid w:val="00536356"/>
    <w:rsid w:val="0053691D"/>
    <w:rsid w:val="00536BBB"/>
    <w:rsid w:val="00536CBB"/>
    <w:rsid w:val="00536DDD"/>
    <w:rsid w:val="00537033"/>
    <w:rsid w:val="00540A37"/>
    <w:rsid w:val="00540B49"/>
    <w:rsid w:val="00541415"/>
    <w:rsid w:val="005418DB"/>
    <w:rsid w:val="00541B51"/>
    <w:rsid w:val="005434EA"/>
    <w:rsid w:val="005436B8"/>
    <w:rsid w:val="00545D55"/>
    <w:rsid w:val="005461AB"/>
    <w:rsid w:val="00546C6A"/>
    <w:rsid w:val="00546FBA"/>
    <w:rsid w:val="00547F04"/>
    <w:rsid w:val="00550924"/>
    <w:rsid w:val="00550D63"/>
    <w:rsid w:val="00550EF1"/>
    <w:rsid w:val="00550FC4"/>
    <w:rsid w:val="00551075"/>
    <w:rsid w:val="005513C8"/>
    <w:rsid w:val="00552204"/>
    <w:rsid w:val="0055236E"/>
    <w:rsid w:val="0055352C"/>
    <w:rsid w:val="005538A6"/>
    <w:rsid w:val="00554F94"/>
    <w:rsid w:val="00555005"/>
    <w:rsid w:val="00555161"/>
    <w:rsid w:val="00555A59"/>
    <w:rsid w:val="00555BB7"/>
    <w:rsid w:val="00555DE6"/>
    <w:rsid w:val="00555EB3"/>
    <w:rsid w:val="005567F6"/>
    <w:rsid w:val="0055695F"/>
    <w:rsid w:val="00556E29"/>
    <w:rsid w:val="00557474"/>
    <w:rsid w:val="00557DAA"/>
    <w:rsid w:val="00557DAD"/>
    <w:rsid w:val="00561138"/>
    <w:rsid w:val="00561572"/>
    <w:rsid w:val="00561699"/>
    <w:rsid w:val="0056194F"/>
    <w:rsid w:val="005619E1"/>
    <w:rsid w:val="00561EEE"/>
    <w:rsid w:val="00562629"/>
    <w:rsid w:val="005628FE"/>
    <w:rsid w:val="0056364B"/>
    <w:rsid w:val="00563D49"/>
    <w:rsid w:val="00563EAB"/>
    <w:rsid w:val="00564191"/>
    <w:rsid w:val="00564557"/>
    <w:rsid w:val="0056458C"/>
    <w:rsid w:val="00564628"/>
    <w:rsid w:val="005648B9"/>
    <w:rsid w:val="00564A3C"/>
    <w:rsid w:val="00564C5F"/>
    <w:rsid w:val="00564F82"/>
    <w:rsid w:val="005653AF"/>
    <w:rsid w:val="00565501"/>
    <w:rsid w:val="00565755"/>
    <w:rsid w:val="0056601E"/>
    <w:rsid w:val="00566309"/>
    <w:rsid w:val="00566406"/>
    <w:rsid w:val="005664A6"/>
    <w:rsid w:val="00566538"/>
    <w:rsid w:val="0056663C"/>
    <w:rsid w:val="0056725A"/>
    <w:rsid w:val="0056741F"/>
    <w:rsid w:val="00567647"/>
    <w:rsid w:val="0056781B"/>
    <w:rsid w:val="00567BE2"/>
    <w:rsid w:val="00570102"/>
    <w:rsid w:val="00570505"/>
    <w:rsid w:val="00570FDD"/>
    <w:rsid w:val="005712E6"/>
    <w:rsid w:val="0057153C"/>
    <w:rsid w:val="00572942"/>
    <w:rsid w:val="005730DB"/>
    <w:rsid w:val="00573251"/>
    <w:rsid w:val="005733A8"/>
    <w:rsid w:val="00573B5B"/>
    <w:rsid w:val="00573F55"/>
    <w:rsid w:val="00574070"/>
    <w:rsid w:val="00575148"/>
    <w:rsid w:val="0057540E"/>
    <w:rsid w:val="005757B6"/>
    <w:rsid w:val="005761E2"/>
    <w:rsid w:val="0058000F"/>
    <w:rsid w:val="00580557"/>
    <w:rsid w:val="0058074F"/>
    <w:rsid w:val="00580A76"/>
    <w:rsid w:val="00581042"/>
    <w:rsid w:val="00581703"/>
    <w:rsid w:val="00581B15"/>
    <w:rsid w:val="005821DD"/>
    <w:rsid w:val="00583908"/>
    <w:rsid w:val="00584757"/>
    <w:rsid w:val="00584E21"/>
    <w:rsid w:val="00585E41"/>
    <w:rsid w:val="0058608B"/>
    <w:rsid w:val="005863C1"/>
    <w:rsid w:val="0058654D"/>
    <w:rsid w:val="00586786"/>
    <w:rsid w:val="00587729"/>
    <w:rsid w:val="00587886"/>
    <w:rsid w:val="00587A66"/>
    <w:rsid w:val="00590147"/>
    <w:rsid w:val="0059028F"/>
    <w:rsid w:val="00590BD1"/>
    <w:rsid w:val="00590D26"/>
    <w:rsid w:val="00591276"/>
    <w:rsid w:val="00591490"/>
    <w:rsid w:val="0059151A"/>
    <w:rsid w:val="005916C9"/>
    <w:rsid w:val="00591C7E"/>
    <w:rsid w:val="00591D27"/>
    <w:rsid w:val="00591DCF"/>
    <w:rsid w:val="005929B4"/>
    <w:rsid w:val="00592A3C"/>
    <w:rsid w:val="0059367F"/>
    <w:rsid w:val="00593720"/>
    <w:rsid w:val="00593909"/>
    <w:rsid w:val="00593A71"/>
    <w:rsid w:val="005941E1"/>
    <w:rsid w:val="005943E2"/>
    <w:rsid w:val="00594B8A"/>
    <w:rsid w:val="00595009"/>
    <w:rsid w:val="005954B7"/>
    <w:rsid w:val="00595A05"/>
    <w:rsid w:val="00595F17"/>
    <w:rsid w:val="00595F3D"/>
    <w:rsid w:val="00595F89"/>
    <w:rsid w:val="00596873"/>
    <w:rsid w:val="00596BB3"/>
    <w:rsid w:val="00596BD4"/>
    <w:rsid w:val="00596FA8"/>
    <w:rsid w:val="005971A7"/>
    <w:rsid w:val="00597310"/>
    <w:rsid w:val="005977AB"/>
    <w:rsid w:val="00597953"/>
    <w:rsid w:val="005A01C5"/>
    <w:rsid w:val="005A0532"/>
    <w:rsid w:val="005A07E7"/>
    <w:rsid w:val="005A0A57"/>
    <w:rsid w:val="005A0B9F"/>
    <w:rsid w:val="005A0DBB"/>
    <w:rsid w:val="005A0EBD"/>
    <w:rsid w:val="005A1270"/>
    <w:rsid w:val="005A1295"/>
    <w:rsid w:val="005A1FBF"/>
    <w:rsid w:val="005A29B1"/>
    <w:rsid w:val="005A2EBF"/>
    <w:rsid w:val="005A37B6"/>
    <w:rsid w:val="005A380B"/>
    <w:rsid w:val="005A4890"/>
    <w:rsid w:val="005A49D4"/>
    <w:rsid w:val="005A4D7C"/>
    <w:rsid w:val="005A51C9"/>
    <w:rsid w:val="005A5A96"/>
    <w:rsid w:val="005A5D7F"/>
    <w:rsid w:val="005A5DC0"/>
    <w:rsid w:val="005A6B6D"/>
    <w:rsid w:val="005A6ED5"/>
    <w:rsid w:val="005A6F0E"/>
    <w:rsid w:val="005A6F57"/>
    <w:rsid w:val="005A7235"/>
    <w:rsid w:val="005A795B"/>
    <w:rsid w:val="005A7BAF"/>
    <w:rsid w:val="005B05FA"/>
    <w:rsid w:val="005B0652"/>
    <w:rsid w:val="005B1213"/>
    <w:rsid w:val="005B1B55"/>
    <w:rsid w:val="005B1C52"/>
    <w:rsid w:val="005B1DBD"/>
    <w:rsid w:val="005B26B0"/>
    <w:rsid w:val="005B3EBD"/>
    <w:rsid w:val="005B3F0C"/>
    <w:rsid w:val="005B48E8"/>
    <w:rsid w:val="005B564F"/>
    <w:rsid w:val="005B56D9"/>
    <w:rsid w:val="005B5BA3"/>
    <w:rsid w:val="005B5E62"/>
    <w:rsid w:val="005B7230"/>
    <w:rsid w:val="005B7E97"/>
    <w:rsid w:val="005B7F46"/>
    <w:rsid w:val="005C07D2"/>
    <w:rsid w:val="005C09A7"/>
    <w:rsid w:val="005C102D"/>
    <w:rsid w:val="005C132C"/>
    <w:rsid w:val="005C17FB"/>
    <w:rsid w:val="005C1833"/>
    <w:rsid w:val="005C1838"/>
    <w:rsid w:val="005C18C2"/>
    <w:rsid w:val="005C2063"/>
    <w:rsid w:val="005C244F"/>
    <w:rsid w:val="005C2767"/>
    <w:rsid w:val="005C2922"/>
    <w:rsid w:val="005C2C01"/>
    <w:rsid w:val="005C2F60"/>
    <w:rsid w:val="005C30A7"/>
    <w:rsid w:val="005C323D"/>
    <w:rsid w:val="005C3772"/>
    <w:rsid w:val="005C39C3"/>
    <w:rsid w:val="005C4229"/>
    <w:rsid w:val="005C4580"/>
    <w:rsid w:val="005C5065"/>
    <w:rsid w:val="005C52F3"/>
    <w:rsid w:val="005C564C"/>
    <w:rsid w:val="005C56EA"/>
    <w:rsid w:val="005C5BE9"/>
    <w:rsid w:val="005C6234"/>
    <w:rsid w:val="005C64DC"/>
    <w:rsid w:val="005C6605"/>
    <w:rsid w:val="005C71A0"/>
    <w:rsid w:val="005C75B8"/>
    <w:rsid w:val="005C7802"/>
    <w:rsid w:val="005C7B50"/>
    <w:rsid w:val="005D029E"/>
    <w:rsid w:val="005D0427"/>
    <w:rsid w:val="005D0776"/>
    <w:rsid w:val="005D07AE"/>
    <w:rsid w:val="005D0A0B"/>
    <w:rsid w:val="005D0C83"/>
    <w:rsid w:val="005D113B"/>
    <w:rsid w:val="005D1732"/>
    <w:rsid w:val="005D2D9A"/>
    <w:rsid w:val="005D3A6E"/>
    <w:rsid w:val="005D3B21"/>
    <w:rsid w:val="005D4019"/>
    <w:rsid w:val="005D41DC"/>
    <w:rsid w:val="005D460F"/>
    <w:rsid w:val="005D4DC5"/>
    <w:rsid w:val="005D5442"/>
    <w:rsid w:val="005D5C22"/>
    <w:rsid w:val="005D5E6C"/>
    <w:rsid w:val="005D63A9"/>
    <w:rsid w:val="005D65D5"/>
    <w:rsid w:val="005D6C56"/>
    <w:rsid w:val="005D6F49"/>
    <w:rsid w:val="005D7E8A"/>
    <w:rsid w:val="005E06FA"/>
    <w:rsid w:val="005E11A5"/>
    <w:rsid w:val="005E13D4"/>
    <w:rsid w:val="005E1435"/>
    <w:rsid w:val="005E17E9"/>
    <w:rsid w:val="005E21F3"/>
    <w:rsid w:val="005E235C"/>
    <w:rsid w:val="005E3078"/>
    <w:rsid w:val="005E34C0"/>
    <w:rsid w:val="005E392E"/>
    <w:rsid w:val="005E3C6F"/>
    <w:rsid w:val="005E4565"/>
    <w:rsid w:val="005E45F3"/>
    <w:rsid w:val="005E48EA"/>
    <w:rsid w:val="005E49CA"/>
    <w:rsid w:val="005E5384"/>
    <w:rsid w:val="005E5427"/>
    <w:rsid w:val="005E5428"/>
    <w:rsid w:val="005E5A7C"/>
    <w:rsid w:val="005E5C33"/>
    <w:rsid w:val="005E6976"/>
    <w:rsid w:val="005E6C7A"/>
    <w:rsid w:val="005E703B"/>
    <w:rsid w:val="005E721A"/>
    <w:rsid w:val="005E74EC"/>
    <w:rsid w:val="005E7917"/>
    <w:rsid w:val="005E7AB6"/>
    <w:rsid w:val="005E7B1E"/>
    <w:rsid w:val="005E7CBC"/>
    <w:rsid w:val="005F0854"/>
    <w:rsid w:val="005F0A62"/>
    <w:rsid w:val="005F0FA8"/>
    <w:rsid w:val="005F1C5D"/>
    <w:rsid w:val="005F2317"/>
    <w:rsid w:val="005F2550"/>
    <w:rsid w:val="005F2B2D"/>
    <w:rsid w:val="005F2FD5"/>
    <w:rsid w:val="005F340A"/>
    <w:rsid w:val="005F3AE8"/>
    <w:rsid w:val="005F3B09"/>
    <w:rsid w:val="005F3B47"/>
    <w:rsid w:val="005F47C1"/>
    <w:rsid w:val="005F4926"/>
    <w:rsid w:val="005F4B6F"/>
    <w:rsid w:val="005F5009"/>
    <w:rsid w:val="005F5054"/>
    <w:rsid w:val="005F530F"/>
    <w:rsid w:val="005F65D9"/>
    <w:rsid w:val="005F6768"/>
    <w:rsid w:val="005F69CF"/>
    <w:rsid w:val="005F6B9C"/>
    <w:rsid w:val="005F6E39"/>
    <w:rsid w:val="005F6E58"/>
    <w:rsid w:val="005F7031"/>
    <w:rsid w:val="005F704C"/>
    <w:rsid w:val="005F7A22"/>
    <w:rsid w:val="005F7B9D"/>
    <w:rsid w:val="005F7CF0"/>
    <w:rsid w:val="00600501"/>
    <w:rsid w:val="006007DA"/>
    <w:rsid w:val="00600B0C"/>
    <w:rsid w:val="00600D1A"/>
    <w:rsid w:val="00600FB6"/>
    <w:rsid w:val="00601038"/>
    <w:rsid w:val="00602DFA"/>
    <w:rsid w:val="006031D1"/>
    <w:rsid w:val="006033BF"/>
    <w:rsid w:val="00603702"/>
    <w:rsid w:val="00603B4B"/>
    <w:rsid w:val="00603F20"/>
    <w:rsid w:val="00604F37"/>
    <w:rsid w:val="0060508A"/>
    <w:rsid w:val="006055AF"/>
    <w:rsid w:val="00605942"/>
    <w:rsid w:val="00605C9F"/>
    <w:rsid w:val="006068E8"/>
    <w:rsid w:val="00606ADB"/>
    <w:rsid w:val="00606C07"/>
    <w:rsid w:val="006072DE"/>
    <w:rsid w:val="006075F4"/>
    <w:rsid w:val="006078A8"/>
    <w:rsid w:val="00607BAD"/>
    <w:rsid w:val="00607EC7"/>
    <w:rsid w:val="0061048A"/>
    <w:rsid w:val="00610959"/>
    <w:rsid w:val="00610AE7"/>
    <w:rsid w:val="00611178"/>
    <w:rsid w:val="0061148D"/>
    <w:rsid w:val="00611D01"/>
    <w:rsid w:val="00611F1E"/>
    <w:rsid w:val="006122EC"/>
    <w:rsid w:val="006124B3"/>
    <w:rsid w:val="00612611"/>
    <w:rsid w:val="0061279A"/>
    <w:rsid w:val="00612C60"/>
    <w:rsid w:val="00613009"/>
    <w:rsid w:val="006132E9"/>
    <w:rsid w:val="006132EA"/>
    <w:rsid w:val="00613CA5"/>
    <w:rsid w:val="0061401C"/>
    <w:rsid w:val="0061420B"/>
    <w:rsid w:val="00614BD4"/>
    <w:rsid w:val="00614D33"/>
    <w:rsid w:val="0061537D"/>
    <w:rsid w:val="0061537F"/>
    <w:rsid w:val="006156D7"/>
    <w:rsid w:val="00615CF1"/>
    <w:rsid w:val="00615DEA"/>
    <w:rsid w:val="00616A60"/>
    <w:rsid w:val="00616D0C"/>
    <w:rsid w:val="00616EE6"/>
    <w:rsid w:val="006170E4"/>
    <w:rsid w:val="006171FB"/>
    <w:rsid w:val="00617283"/>
    <w:rsid w:val="00617A2A"/>
    <w:rsid w:val="006207F4"/>
    <w:rsid w:val="00620C67"/>
    <w:rsid w:val="00621479"/>
    <w:rsid w:val="00621646"/>
    <w:rsid w:val="00621803"/>
    <w:rsid w:val="00621A34"/>
    <w:rsid w:val="006220F1"/>
    <w:rsid w:val="00623E46"/>
    <w:rsid w:val="00624604"/>
    <w:rsid w:val="00624D2C"/>
    <w:rsid w:val="00624F7F"/>
    <w:rsid w:val="00625145"/>
    <w:rsid w:val="00626768"/>
    <w:rsid w:val="00627402"/>
    <w:rsid w:val="00627474"/>
    <w:rsid w:val="00627CEA"/>
    <w:rsid w:val="00627E37"/>
    <w:rsid w:val="00630480"/>
    <w:rsid w:val="0063058E"/>
    <w:rsid w:val="006305F8"/>
    <w:rsid w:val="0063197B"/>
    <w:rsid w:val="00631DA7"/>
    <w:rsid w:val="006327BB"/>
    <w:rsid w:val="00632B9C"/>
    <w:rsid w:val="00632F18"/>
    <w:rsid w:val="006332D7"/>
    <w:rsid w:val="0063333D"/>
    <w:rsid w:val="00634225"/>
    <w:rsid w:val="00635003"/>
    <w:rsid w:val="006351CE"/>
    <w:rsid w:val="006352FD"/>
    <w:rsid w:val="00635B15"/>
    <w:rsid w:val="00636037"/>
    <w:rsid w:val="006362E1"/>
    <w:rsid w:val="006367DA"/>
    <w:rsid w:val="006370E1"/>
    <w:rsid w:val="00637382"/>
    <w:rsid w:val="006375B2"/>
    <w:rsid w:val="006375BB"/>
    <w:rsid w:val="006409EE"/>
    <w:rsid w:val="00640BF7"/>
    <w:rsid w:val="00640FFF"/>
    <w:rsid w:val="00641436"/>
    <w:rsid w:val="00641761"/>
    <w:rsid w:val="006425FC"/>
    <w:rsid w:val="00642631"/>
    <w:rsid w:val="0064289D"/>
    <w:rsid w:val="00642DF5"/>
    <w:rsid w:val="0064304A"/>
    <w:rsid w:val="0064380B"/>
    <w:rsid w:val="00643A4F"/>
    <w:rsid w:val="00643FF5"/>
    <w:rsid w:val="006441FD"/>
    <w:rsid w:val="00644E5A"/>
    <w:rsid w:val="00644F2C"/>
    <w:rsid w:val="00644F8F"/>
    <w:rsid w:val="006450DD"/>
    <w:rsid w:val="00645141"/>
    <w:rsid w:val="00645349"/>
    <w:rsid w:val="00645AEE"/>
    <w:rsid w:val="00646428"/>
    <w:rsid w:val="00646AFD"/>
    <w:rsid w:val="0064707F"/>
    <w:rsid w:val="006471E8"/>
    <w:rsid w:val="00647E90"/>
    <w:rsid w:val="00647FA3"/>
    <w:rsid w:val="006500F7"/>
    <w:rsid w:val="00650769"/>
    <w:rsid w:val="006516B7"/>
    <w:rsid w:val="006518E4"/>
    <w:rsid w:val="00651FB8"/>
    <w:rsid w:val="006520D5"/>
    <w:rsid w:val="0065239B"/>
    <w:rsid w:val="00652BA0"/>
    <w:rsid w:val="00653045"/>
    <w:rsid w:val="00653A25"/>
    <w:rsid w:val="00653D93"/>
    <w:rsid w:val="00653FDA"/>
    <w:rsid w:val="006541A0"/>
    <w:rsid w:val="00654E99"/>
    <w:rsid w:val="00655104"/>
    <w:rsid w:val="0065548F"/>
    <w:rsid w:val="00655633"/>
    <w:rsid w:val="006559BB"/>
    <w:rsid w:val="00655D93"/>
    <w:rsid w:val="00655E86"/>
    <w:rsid w:val="00656614"/>
    <w:rsid w:val="00656C4D"/>
    <w:rsid w:val="006577CD"/>
    <w:rsid w:val="00657CCC"/>
    <w:rsid w:val="00660162"/>
    <w:rsid w:val="0066036D"/>
    <w:rsid w:val="006604FA"/>
    <w:rsid w:val="00660879"/>
    <w:rsid w:val="00660B3F"/>
    <w:rsid w:val="006610B1"/>
    <w:rsid w:val="00661639"/>
    <w:rsid w:val="00661655"/>
    <w:rsid w:val="0066174D"/>
    <w:rsid w:val="00661E36"/>
    <w:rsid w:val="0066318A"/>
    <w:rsid w:val="006631D3"/>
    <w:rsid w:val="00663D0F"/>
    <w:rsid w:val="00664153"/>
    <w:rsid w:val="00664525"/>
    <w:rsid w:val="0066465B"/>
    <w:rsid w:val="00664C81"/>
    <w:rsid w:val="0066500E"/>
    <w:rsid w:val="0066509B"/>
    <w:rsid w:val="0066521A"/>
    <w:rsid w:val="0066540C"/>
    <w:rsid w:val="00665EAE"/>
    <w:rsid w:val="006661EA"/>
    <w:rsid w:val="00666749"/>
    <w:rsid w:val="00666909"/>
    <w:rsid w:val="00666EBC"/>
    <w:rsid w:val="00667189"/>
    <w:rsid w:val="0066749E"/>
    <w:rsid w:val="00667CCB"/>
    <w:rsid w:val="00667EFD"/>
    <w:rsid w:val="00670475"/>
    <w:rsid w:val="00670B8C"/>
    <w:rsid w:val="00670C4A"/>
    <w:rsid w:val="00671F3E"/>
    <w:rsid w:val="00672482"/>
    <w:rsid w:val="00672A18"/>
    <w:rsid w:val="0067322C"/>
    <w:rsid w:val="006735D0"/>
    <w:rsid w:val="006739E9"/>
    <w:rsid w:val="00674D52"/>
    <w:rsid w:val="00674E43"/>
    <w:rsid w:val="00674F93"/>
    <w:rsid w:val="0067546F"/>
    <w:rsid w:val="00676287"/>
    <w:rsid w:val="00676CE4"/>
    <w:rsid w:val="00676EC2"/>
    <w:rsid w:val="00676F61"/>
    <w:rsid w:val="00676FA5"/>
    <w:rsid w:val="006771A4"/>
    <w:rsid w:val="006771AD"/>
    <w:rsid w:val="006774A8"/>
    <w:rsid w:val="00677572"/>
    <w:rsid w:val="00680064"/>
    <w:rsid w:val="00681229"/>
    <w:rsid w:val="00681514"/>
    <w:rsid w:val="0068185E"/>
    <w:rsid w:val="00681BE5"/>
    <w:rsid w:val="00681E30"/>
    <w:rsid w:val="0068379B"/>
    <w:rsid w:val="00683D98"/>
    <w:rsid w:val="00683D99"/>
    <w:rsid w:val="00684079"/>
    <w:rsid w:val="0068484C"/>
    <w:rsid w:val="006848EE"/>
    <w:rsid w:val="006856AA"/>
    <w:rsid w:val="0068629B"/>
    <w:rsid w:val="00686425"/>
    <w:rsid w:val="00686C12"/>
    <w:rsid w:val="00686D75"/>
    <w:rsid w:val="0068736A"/>
    <w:rsid w:val="00687D17"/>
    <w:rsid w:val="00690024"/>
    <w:rsid w:val="006903A4"/>
    <w:rsid w:val="00690CAA"/>
    <w:rsid w:val="00690EFB"/>
    <w:rsid w:val="0069137B"/>
    <w:rsid w:val="006913EC"/>
    <w:rsid w:val="006914B7"/>
    <w:rsid w:val="00691742"/>
    <w:rsid w:val="00691C41"/>
    <w:rsid w:val="00691DEE"/>
    <w:rsid w:val="00692242"/>
    <w:rsid w:val="0069236E"/>
    <w:rsid w:val="00692704"/>
    <w:rsid w:val="00692E67"/>
    <w:rsid w:val="00693ACF"/>
    <w:rsid w:val="00693EE5"/>
    <w:rsid w:val="006944C5"/>
    <w:rsid w:val="00694B8D"/>
    <w:rsid w:val="0069561C"/>
    <w:rsid w:val="00695634"/>
    <w:rsid w:val="0069600D"/>
    <w:rsid w:val="006963AE"/>
    <w:rsid w:val="00697053"/>
    <w:rsid w:val="006A02DC"/>
    <w:rsid w:val="006A066A"/>
    <w:rsid w:val="006A06CA"/>
    <w:rsid w:val="006A083E"/>
    <w:rsid w:val="006A0FFD"/>
    <w:rsid w:val="006A1027"/>
    <w:rsid w:val="006A1170"/>
    <w:rsid w:val="006A14A3"/>
    <w:rsid w:val="006A159D"/>
    <w:rsid w:val="006A18BF"/>
    <w:rsid w:val="006A1F58"/>
    <w:rsid w:val="006A242E"/>
    <w:rsid w:val="006A26AB"/>
    <w:rsid w:val="006A298D"/>
    <w:rsid w:val="006A2BB4"/>
    <w:rsid w:val="006A2F80"/>
    <w:rsid w:val="006A3FD6"/>
    <w:rsid w:val="006A4076"/>
    <w:rsid w:val="006A436F"/>
    <w:rsid w:val="006A4E5B"/>
    <w:rsid w:val="006A59D8"/>
    <w:rsid w:val="006A6B7B"/>
    <w:rsid w:val="006A78F8"/>
    <w:rsid w:val="006A7C26"/>
    <w:rsid w:val="006A7E27"/>
    <w:rsid w:val="006B010E"/>
    <w:rsid w:val="006B03CA"/>
    <w:rsid w:val="006B091F"/>
    <w:rsid w:val="006B0B1E"/>
    <w:rsid w:val="006B0CAF"/>
    <w:rsid w:val="006B0ED0"/>
    <w:rsid w:val="006B0EED"/>
    <w:rsid w:val="006B147E"/>
    <w:rsid w:val="006B14F8"/>
    <w:rsid w:val="006B1DF6"/>
    <w:rsid w:val="006B233F"/>
    <w:rsid w:val="006B275E"/>
    <w:rsid w:val="006B28EA"/>
    <w:rsid w:val="006B2DA3"/>
    <w:rsid w:val="006B2FBB"/>
    <w:rsid w:val="006B378A"/>
    <w:rsid w:val="006B3BD5"/>
    <w:rsid w:val="006B4185"/>
    <w:rsid w:val="006B4224"/>
    <w:rsid w:val="006B4493"/>
    <w:rsid w:val="006B453E"/>
    <w:rsid w:val="006B4749"/>
    <w:rsid w:val="006B4B62"/>
    <w:rsid w:val="006B53DC"/>
    <w:rsid w:val="006B5423"/>
    <w:rsid w:val="006B5855"/>
    <w:rsid w:val="006B5AB2"/>
    <w:rsid w:val="006B5BC7"/>
    <w:rsid w:val="006B5C67"/>
    <w:rsid w:val="006B6B5D"/>
    <w:rsid w:val="006B6BF6"/>
    <w:rsid w:val="006B6C0D"/>
    <w:rsid w:val="006B7A88"/>
    <w:rsid w:val="006C166D"/>
    <w:rsid w:val="006C1818"/>
    <w:rsid w:val="006C1F8B"/>
    <w:rsid w:val="006C2721"/>
    <w:rsid w:val="006C2BE5"/>
    <w:rsid w:val="006C316A"/>
    <w:rsid w:val="006C3868"/>
    <w:rsid w:val="006C38FF"/>
    <w:rsid w:val="006C3E6E"/>
    <w:rsid w:val="006C3EEA"/>
    <w:rsid w:val="006C3F92"/>
    <w:rsid w:val="006C42FA"/>
    <w:rsid w:val="006C43A6"/>
    <w:rsid w:val="006C4A4A"/>
    <w:rsid w:val="006C4E89"/>
    <w:rsid w:val="006C53EB"/>
    <w:rsid w:val="006C5434"/>
    <w:rsid w:val="006C5D29"/>
    <w:rsid w:val="006C650D"/>
    <w:rsid w:val="006C69A5"/>
    <w:rsid w:val="006C7740"/>
    <w:rsid w:val="006D0389"/>
    <w:rsid w:val="006D0848"/>
    <w:rsid w:val="006D0BA5"/>
    <w:rsid w:val="006D0C15"/>
    <w:rsid w:val="006D0D8B"/>
    <w:rsid w:val="006D0FBF"/>
    <w:rsid w:val="006D10DC"/>
    <w:rsid w:val="006D1586"/>
    <w:rsid w:val="006D19C1"/>
    <w:rsid w:val="006D2827"/>
    <w:rsid w:val="006D2848"/>
    <w:rsid w:val="006D2B19"/>
    <w:rsid w:val="006D2EC9"/>
    <w:rsid w:val="006D2F49"/>
    <w:rsid w:val="006D3592"/>
    <w:rsid w:val="006D3A05"/>
    <w:rsid w:val="006D3B62"/>
    <w:rsid w:val="006D3FDF"/>
    <w:rsid w:val="006D4527"/>
    <w:rsid w:val="006D4B05"/>
    <w:rsid w:val="006D4F86"/>
    <w:rsid w:val="006D5F98"/>
    <w:rsid w:val="006D6665"/>
    <w:rsid w:val="006D7098"/>
    <w:rsid w:val="006D740E"/>
    <w:rsid w:val="006D7F72"/>
    <w:rsid w:val="006E00B7"/>
    <w:rsid w:val="006E0E5B"/>
    <w:rsid w:val="006E3023"/>
    <w:rsid w:val="006E3369"/>
    <w:rsid w:val="006E3D12"/>
    <w:rsid w:val="006E449C"/>
    <w:rsid w:val="006E4726"/>
    <w:rsid w:val="006E4E72"/>
    <w:rsid w:val="006E50D0"/>
    <w:rsid w:val="006E5F41"/>
    <w:rsid w:val="006E64BD"/>
    <w:rsid w:val="006E663E"/>
    <w:rsid w:val="006E6EDF"/>
    <w:rsid w:val="006E7BA5"/>
    <w:rsid w:val="006F01E8"/>
    <w:rsid w:val="006F02D7"/>
    <w:rsid w:val="006F0EBB"/>
    <w:rsid w:val="006F1E96"/>
    <w:rsid w:val="006F2706"/>
    <w:rsid w:val="006F2D24"/>
    <w:rsid w:val="006F352A"/>
    <w:rsid w:val="006F37F7"/>
    <w:rsid w:val="006F3909"/>
    <w:rsid w:val="006F4036"/>
    <w:rsid w:val="006F428E"/>
    <w:rsid w:val="006F48E1"/>
    <w:rsid w:val="006F4FA0"/>
    <w:rsid w:val="006F5096"/>
    <w:rsid w:val="006F5160"/>
    <w:rsid w:val="006F5374"/>
    <w:rsid w:val="006F60DF"/>
    <w:rsid w:val="006F64DE"/>
    <w:rsid w:val="006F6766"/>
    <w:rsid w:val="006F68C1"/>
    <w:rsid w:val="006F6CE2"/>
    <w:rsid w:val="006F6E10"/>
    <w:rsid w:val="00700D45"/>
    <w:rsid w:val="00700F57"/>
    <w:rsid w:val="007014F8"/>
    <w:rsid w:val="0070150D"/>
    <w:rsid w:val="007016D2"/>
    <w:rsid w:val="007018D8"/>
    <w:rsid w:val="00701979"/>
    <w:rsid w:val="00701C6E"/>
    <w:rsid w:val="007029E8"/>
    <w:rsid w:val="00703107"/>
    <w:rsid w:val="00703138"/>
    <w:rsid w:val="00703277"/>
    <w:rsid w:val="0070356D"/>
    <w:rsid w:val="00703981"/>
    <w:rsid w:val="00703CDF"/>
    <w:rsid w:val="00703D7E"/>
    <w:rsid w:val="0070495F"/>
    <w:rsid w:val="00704A08"/>
    <w:rsid w:val="00704B6E"/>
    <w:rsid w:val="00704F10"/>
    <w:rsid w:val="00704F73"/>
    <w:rsid w:val="0070508D"/>
    <w:rsid w:val="0070542E"/>
    <w:rsid w:val="00705849"/>
    <w:rsid w:val="0070604A"/>
    <w:rsid w:val="007060D4"/>
    <w:rsid w:val="0070624C"/>
    <w:rsid w:val="00706451"/>
    <w:rsid w:val="00707E0F"/>
    <w:rsid w:val="0071068A"/>
    <w:rsid w:val="00710E19"/>
    <w:rsid w:val="00710E52"/>
    <w:rsid w:val="0071154B"/>
    <w:rsid w:val="0071174F"/>
    <w:rsid w:val="0071196A"/>
    <w:rsid w:val="007130CA"/>
    <w:rsid w:val="007131CF"/>
    <w:rsid w:val="007133C0"/>
    <w:rsid w:val="00713613"/>
    <w:rsid w:val="007137C6"/>
    <w:rsid w:val="007138FC"/>
    <w:rsid w:val="0071393D"/>
    <w:rsid w:val="00713E79"/>
    <w:rsid w:val="00714073"/>
    <w:rsid w:val="00714245"/>
    <w:rsid w:val="00715441"/>
    <w:rsid w:val="00715739"/>
    <w:rsid w:val="0071576C"/>
    <w:rsid w:val="00715C94"/>
    <w:rsid w:val="007165F0"/>
    <w:rsid w:val="00716A09"/>
    <w:rsid w:val="007170DB"/>
    <w:rsid w:val="00717880"/>
    <w:rsid w:val="00717CA8"/>
    <w:rsid w:val="007205E7"/>
    <w:rsid w:val="007209C4"/>
    <w:rsid w:val="00721E9E"/>
    <w:rsid w:val="007227FE"/>
    <w:rsid w:val="007233C3"/>
    <w:rsid w:val="007238D7"/>
    <w:rsid w:val="00723C95"/>
    <w:rsid w:val="007244E7"/>
    <w:rsid w:val="0072505F"/>
    <w:rsid w:val="00725B00"/>
    <w:rsid w:val="0072680C"/>
    <w:rsid w:val="00726B3D"/>
    <w:rsid w:val="00726C64"/>
    <w:rsid w:val="007302C6"/>
    <w:rsid w:val="007310B7"/>
    <w:rsid w:val="00731237"/>
    <w:rsid w:val="00731A22"/>
    <w:rsid w:val="0073207E"/>
    <w:rsid w:val="00732523"/>
    <w:rsid w:val="00732664"/>
    <w:rsid w:val="00732BA7"/>
    <w:rsid w:val="007333EA"/>
    <w:rsid w:val="00733601"/>
    <w:rsid w:val="00733A57"/>
    <w:rsid w:val="00733F36"/>
    <w:rsid w:val="007340CE"/>
    <w:rsid w:val="00734781"/>
    <w:rsid w:val="007349FC"/>
    <w:rsid w:val="00734B6F"/>
    <w:rsid w:val="007351A5"/>
    <w:rsid w:val="00735293"/>
    <w:rsid w:val="00735376"/>
    <w:rsid w:val="007363EA"/>
    <w:rsid w:val="00736A02"/>
    <w:rsid w:val="00736E06"/>
    <w:rsid w:val="00736E37"/>
    <w:rsid w:val="00737286"/>
    <w:rsid w:val="007373DB"/>
    <w:rsid w:val="00737847"/>
    <w:rsid w:val="00737F27"/>
    <w:rsid w:val="00737FD3"/>
    <w:rsid w:val="00740240"/>
    <w:rsid w:val="007407DB"/>
    <w:rsid w:val="00740BFC"/>
    <w:rsid w:val="00740F76"/>
    <w:rsid w:val="00741037"/>
    <w:rsid w:val="007422B3"/>
    <w:rsid w:val="007424BF"/>
    <w:rsid w:val="007435F1"/>
    <w:rsid w:val="00743DDD"/>
    <w:rsid w:val="00744625"/>
    <w:rsid w:val="007446BB"/>
    <w:rsid w:val="00744AF1"/>
    <w:rsid w:val="00745882"/>
    <w:rsid w:val="00745A04"/>
    <w:rsid w:val="00745A0F"/>
    <w:rsid w:val="00745DFD"/>
    <w:rsid w:val="00746197"/>
    <w:rsid w:val="0074689C"/>
    <w:rsid w:val="00746B3F"/>
    <w:rsid w:val="00747117"/>
    <w:rsid w:val="007479C2"/>
    <w:rsid w:val="00747B0D"/>
    <w:rsid w:val="007503EA"/>
    <w:rsid w:val="00751452"/>
    <w:rsid w:val="007521A5"/>
    <w:rsid w:val="00752488"/>
    <w:rsid w:val="00753959"/>
    <w:rsid w:val="00753DD6"/>
    <w:rsid w:val="00754A4A"/>
    <w:rsid w:val="00754CDF"/>
    <w:rsid w:val="007566FB"/>
    <w:rsid w:val="007567A8"/>
    <w:rsid w:val="00756D6A"/>
    <w:rsid w:val="0076043F"/>
    <w:rsid w:val="00760D17"/>
    <w:rsid w:val="00760F66"/>
    <w:rsid w:val="007611F8"/>
    <w:rsid w:val="00761200"/>
    <w:rsid w:val="00761547"/>
    <w:rsid w:val="00761931"/>
    <w:rsid w:val="00761BD1"/>
    <w:rsid w:val="007627BA"/>
    <w:rsid w:val="0076291E"/>
    <w:rsid w:val="00762C76"/>
    <w:rsid w:val="00762D81"/>
    <w:rsid w:val="0076317B"/>
    <w:rsid w:val="007643D5"/>
    <w:rsid w:val="007645B8"/>
    <w:rsid w:val="00764DEC"/>
    <w:rsid w:val="00765366"/>
    <w:rsid w:val="00765914"/>
    <w:rsid w:val="0076614D"/>
    <w:rsid w:val="0076624C"/>
    <w:rsid w:val="0076627D"/>
    <w:rsid w:val="00766304"/>
    <w:rsid w:val="00766FDE"/>
    <w:rsid w:val="00767A28"/>
    <w:rsid w:val="00767DD2"/>
    <w:rsid w:val="00770264"/>
    <w:rsid w:val="0077082B"/>
    <w:rsid w:val="00770E60"/>
    <w:rsid w:val="00771C8F"/>
    <w:rsid w:val="0077266E"/>
    <w:rsid w:val="0077292E"/>
    <w:rsid w:val="00772A5F"/>
    <w:rsid w:val="007737D4"/>
    <w:rsid w:val="007737D8"/>
    <w:rsid w:val="0077391C"/>
    <w:rsid w:val="00773D24"/>
    <w:rsid w:val="00774576"/>
    <w:rsid w:val="007745DA"/>
    <w:rsid w:val="0077508A"/>
    <w:rsid w:val="00775475"/>
    <w:rsid w:val="00775567"/>
    <w:rsid w:val="00775E0D"/>
    <w:rsid w:val="00776343"/>
    <w:rsid w:val="00776416"/>
    <w:rsid w:val="00776C7B"/>
    <w:rsid w:val="00776CEF"/>
    <w:rsid w:val="00777E7E"/>
    <w:rsid w:val="00777EFA"/>
    <w:rsid w:val="0078045C"/>
    <w:rsid w:val="007804DD"/>
    <w:rsid w:val="00780EC1"/>
    <w:rsid w:val="00780F3B"/>
    <w:rsid w:val="0078115B"/>
    <w:rsid w:val="007816EE"/>
    <w:rsid w:val="00782071"/>
    <w:rsid w:val="00782783"/>
    <w:rsid w:val="00782946"/>
    <w:rsid w:val="00782ECD"/>
    <w:rsid w:val="0078363B"/>
    <w:rsid w:val="00783CCF"/>
    <w:rsid w:val="00783F5B"/>
    <w:rsid w:val="00784609"/>
    <w:rsid w:val="00784720"/>
    <w:rsid w:val="0078481D"/>
    <w:rsid w:val="00784D91"/>
    <w:rsid w:val="007859FC"/>
    <w:rsid w:val="00785F1E"/>
    <w:rsid w:val="00785F4C"/>
    <w:rsid w:val="0078609C"/>
    <w:rsid w:val="00786355"/>
    <w:rsid w:val="00787370"/>
    <w:rsid w:val="007874AE"/>
    <w:rsid w:val="0078750B"/>
    <w:rsid w:val="00787F5E"/>
    <w:rsid w:val="0079024D"/>
    <w:rsid w:val="00791069"/>
    <w:rsid w:val="007911B8"/>
    <w:rsid w:val="00791DAE"/>
    <w:rsid w:val="007930E8"/>
    <w:rsid w:val="00793A57"/>
    <w:rsid w:val="00793A9C"/>
    <w:rsid w:val="00793F28"/>
    <w:rsid w:val="007944D2"/>
    <w:rsid w:val="00794AC7"/>
    <w:rsid w:val="00794B19"/>
    <w:rsid w:val="00794FFA"/>
    <w:rsid w:val="00795B8D"/>
    <w:rsid w:val="00795E34"/>
    <w:rsid w:val="00795F0E"/>
    <w:rsid w:val="00797D8F"/>
    <w:rsid w:val="007A0C00"/>
    <w:rsid w:val="007A0E15"/>
    <w:rsid w:val="007A176E"/>
    <w:rsid w:val="007A19BF"/>
    <w:rsid w:val="007A2A69"/>
    <w:rsid w:val="007A2CF1"/>
    <w:rsid w:val="007A3579"/>
    <w:rsid w:val="007A384E"/>
    <w:rsid w:val="007A3EDF"/>
    <w:rsid w:val="007A41B5"/>
    <w:rsid w:val="007A4486"/>
    <w:rsid w:val="007A4682"/>
    <w:rsid w:val="007A5879"/>
    <w:rsid w:val="007A58A8"/>
    <w:rsid w:val="007A5BDC"/>
    <w:rsid w:val="007A629D"/>
    <w:rsid w:val="007A6610"/>
    <w:rsid w:val="007A6D51"/>
    <w:rsid w:val="007A6DD3"/>
    <w:rsid w:val="007A6FF3"/>
    <w:rsid w:val="007A7169"/>
    <w:rsid w:val="007A71DC"/>
    <w:rsid w:val="007A7A04"/>
    <w:rsid w:val="007B04FF"/>
    <w:rsid w:val="007B0976"/>
    <w:rsid w:val="007B0CAC"/>
    <w:rsid w:val="007B110C"/>
    <w:rsid w:val="007B15F3"/>
    <w:rsid w:val="007B1701"/>
    <w:rsid w:val="007B1C32"/>
    <w:rsid w:val="007B1DBB"/>
    <w:rsid w:val="007B1E0F"/>
    <w:rsid w:val="007B2319"/>
    <w:rsid w:val="007B2FBF"/>
    <w:rsid w:val="007B3E13"/>
    <w:rsid w:val="007B4044"/>
    <w:rsid w:val="007B4046"/>
    <w:rsid w:val="007B4300"/>
    <w:rsid w:val="007B470E"/>
    <w:rsid w:val="007B565C"/>
    <w:rsid w:val="007B595F"/>
    <w:rsid w:val="007B5D75"/>
    <w:rsid w:val="007B6D5E"/>
    <w:rsid w:val="007B7115"/>
    <w:rsid w:val="007B736B"/>
    <w:rsid w:val="007C012E"/>
    <w:rsid w:val="007C055A"/>
    <w:rsid w:val="007C0853"/>
    <w:rsid w:val="007C0C90"/>
    <w:rsid w:val="007C0E07"/>
    <w:rsid w:val="007C0E86"/>
    <w:rsid w:val="007C249E"/>
    <w:rsid w:val="007C26CF"/>
    <w:rsid w:val="007C271B"/>
    <w:rsid w:val="007C2C14"/>
    <w:rsid w:val="007C3A55"/>
    <w:rsid w:val="007C3D67"/>
    <w:rsid w:val="007C404B"/>
    <w:rsid w:val="007C4166"/>
    <w:rsid w:val="007C44E1"/>
    <w:rsid w:val="007C48DD"/>
    <w:rsid w:val="007C4A05"/>
    <w:rsid w:val="007C4DDB"/>
    <w:rsid w:val="007C5711"/>
    <w:rsid w:val="007C57B9"/>
    <w:rsid w:val="007C5A9E"/>
    <w:rsid w:val="007C6325"/>
    <w:rsid w:val="007C73A3"/>
    <w:rsid w:val="007C7975"/>
    <w:rsid w:val="007C7EF5"/>
    <w:rsid w:val="007D0227"/>
    <w:rsid w:val="007D06AC"/>
    <w:rsid w:val="007D0741"/>
    <w:rsid w:val="007D0A53"/>
    <w:rsid w:val="007D0FFC"/>
    <w:rsid w:val="007D1013"/>
    <w:rsid w:val="007D140E"/>
    <w:rsid w:val="007D19EC"/>
    <w:rsid w:val="007D1B28"/>
    <w:rsid w:val="007D2608"/>
    <w:rsid w:val="007D30C3"/>
    <w:rsid w:val="007D35AC"/>
    <w:rsid w:val="007D36B1"/>
    <w:rsid w:val="007D36D7"/>
    <w:rsid w:val="007D3BA1"/>
    <w:rsid w:val="007D3EC8"/>
    <w:rsid w:val="007D40AC"/>
    <w:rsid w:val="007D4317"/>
    <w:rsid w:val="007D4C12"/>
    <w:rsid w:val="007D57E0"/>
    <w:rsid w:val="007D5962"/>
    <w:rsid w:val="007D5A2B"/>
    <w:rsid w:val="007D6213"/>
    <w:rsid w:val="007D63B2"/>
    <w:rsid w:val="007D651D"/>
    <w:rsid w:val="007D71B7"/>
    <w:rsid w:val="007D7C66"/>
    <w:rsid w:val="007D7CF3"/>
    <w:rsid w:val="007E0274"/>
    <w:rsid w:val="007E02A7"/>
    <w:rsid w:val="007E0358"/>
    <w:rsid w:val="007E0415"/>
    <w:rsid w:val="007E0991"/>
    <w:rsid w:val="007E0B2C"/>
    <w:rsid w:val="007E0BD1"/>
    <w:rsid w:val="007E107F"/>
    <w:rsid w:val="007E2FD7"/>
    <w:rsid w:val="007E310B"/>
    <w:rsid w:val="007E3275"/>
    <w:rsid w:val="007E38DA"/>
    <w:rsid w:val="007E3D65"/>
    <w:rsid w:val="007E3EE2"/>
    <w:rsid w:val="007E47E7"/>
    <w:rsid w:val="007E4A98"/>
    <w:rsid w:val="007E4EB6"/>
    <w:rsid w:val="007E5DD7"/>
    <w:rsid w:val="007E6FB9"/>
    <w:rsid w:val="007E7139"/>
    <w:rsid w:val="007E7366"/>
    <w:rsid w:val="007E7EA1"/>
    <w:rsid w:val="007E7EA4"/>
    <w:rsid w:val="007F03CE"/>
    <w:rsid w:val="007F04D3"/>
    <w:rsid w:val="007F137D"/>
    <w:rsid w:val="007F17B5"/>
    <w:rsid w:val="007F2D8D"/>
    <w:rsid w:val="007F2EBF"/>
    <w:rsid w:val="007F3044"/>
    <w:rsid w:val="007F3249"/>
    <w:rsid w:val="007F3704"/>
    <w:rsid w:val="007F452A"/>
    <w:rsid w:val="007F4657"/>
    <w:rsid w:val="007F4A02"/>
    <w:rsid w:val="007F5609"/>
    <w:rsid w:val="007F5625"/>
    <w:rsid w:val="007F568A"/>
    <w:rsid w:val="007F59F7"/>
    <w:rsid w:val="007F5E21"/>
    <w:rsid w:val="007F6413"/>
    <w:rsid w:val="007F676E"/>
    <w:rsid w:val="007F6A50"/>
    <w:rsid w:val="007F6B11"/>
    <w:rsid w:val="007F6E2B"/>
    <w:rsid w:val="007F7D12"/>
    <w:rsid w:val="007F7F02"/>
    <w:rsid w:val="00800258"/>
    <w:rsid w:val="00800C97"/>
    <w:rsid w:val="0080220F"/>
    <w:rsid w:val="008026A7"/>
    <w:rsid w:val="00802735"/>
    <w:rsid w:val="008028C2"/>
    <w:rsid w:val="00802DDB"/>
    <w:rsid w:val="00802FC1"/>
    <w:rsid w:val="00803445"/>
    <w:rsid w:val="008037D8"/>
    <w:rsid w:val="00803B7E"/>
    <w:rsid w:val="00803DA6"/>
    <w:rsid w:val="008040D9"/>
    <w:rsid w:val="0080436E"/>
    <w:rsid w:val="00804937"/>
    <w:rsid w:val="00804C02"/>
    <w:rsid w:val="00804E1E"/>
    <w:rsid w:val="00804E43"/>
    <w:rsid w:val="008050F5"/>
    <w:rsid w:val="0080519C"/>
    <w:rsid w:val="0080553F"/>
    <w:rsid w:val="00805E48"/>
    <w:rsid w:val="00807ADD"/>
    <w:rsid w:val="00810BC2"/>
    <w:rsid w:val="00811683"/>
    <w:rsid w:val="00811AFF"/>
    <w:rsid w:val="00812373"/>
    <w:rsid w:val="00812D30"/>
    <w:rsid w:val="00813F3A"/>
    <w:rsid w:val="008140E8"/>
    <w:rsid w:val="008148D4"/>
    <w:rsid w:val="0081491F"/>
    <w:rsid w:val="00814941"/>
    <w:rsid w:val="00814A65"/>
    <w:rsid w:val="00814BD9"/>
    <w:rsid w:val="00815116"/>
    <w:rsid w:val="008158AC"/>
    <w:rsid w:val="00816805"/>
    <w:rsid w:val="00816BE8"/>
    <w:rsid w:val="00816CD5"/>
    <w:rsid w:val="00816DBD"/>
    <w:rsid w:val="00816FE2"/>
    <w:rsid w:val="00817062"/>
    <w:rsid w:val="00817991"/>
    <w:rsid w:val="00817F58"/>
    <w:rsid w:val="008203C5"/>
    <w:rsid w:val="00820B84"/>
    <w:rsid w:val="0082199B"/>
    <w:rsid w:val="00821C2A"/>
    <w:rsid w:val="00821C61"/>
    <w:rsid w:val="008227B7"/>
    <w:rsid w:val="008237B4"/>
    <w:rsid w:val="008243A8"/>
    <w:rsid w:val="00824925"/>
    <w:rsid w:val="00824C8B"/>
    <w:rsid w:val="008252E8"/>
    <w:rsid w:val="00825BA8"/>
    <w:rsid w:val="00825C14"/>
    <w:rsid w:val="0082641D"/>
    <w:rsid w:val="008267CA"/>
    <w:rsid w:val="00826E45"/>
    <w:rsid w:val="008270EE"/>
    <w:rsid w:val="0082722B"/>
    <w:rsid w:val="0082745B"/>
    <w:rsid w:val="00827C1B"/>
    <w:rsid w:val="0083016B"/>
    <w:rsid w:val="008301F1"/>
    <w:rsid w:val="00830C0E"/>
    <w:rsid w:val="00830DD6"/>
    <w:rsid w:val="008313E0"/>
    <w:rsid w:val="008317EC"/>
    <w:rsid w:val="0083195D"/>
    <w:rsid w:val="00831B7B"/>
    <w:rsid w:val="00831D90"/>
    <w:rsid w:val="008324F3"/>
    <w:rsid w:val="00832691"/>
    <w:rsid w:val="0083296B"/>
    <w:rsid w:val="00832A95"/>
    <w:rsid w:val="00832B8A"/>
    <w:rsid w:val="00833547"/>
    <w:rsid w:val="00833852"/>
    <w:rsid w:val="00833967"/>
    <w:rsid w:val="00833AB9"/>
    <w:rsid w:val="00833B62"/>
    <w:rsid w:val="0083436A"/>
    <w:rsid w:val="00834820"/>
    <w:rsid w:val="00834C82"/>
    <w:rsid w:val="00834DB6"/>
    <w:rsid w:val="00834F93"/>
    <w:rsid w:val="00835F72"/>
    <w:rsid w:val="00840C4A"/>
    <w:rsid w:val="008411B9"/>
    <w:rsid w:val="0084122F"/>
    <w:rsid w:val="00841573"/>
    <w:rsid w:val="00841D08"/>
    <w:rsid w:val="00842D43"/>
    <w:rsid w:val="0084323E"/>
    <w:rsid w:val="008435D3"/>
    <w:rsid w:val="00843D50"/>
    <w:rsid w:val="008441D9"/>
    <w:rsid w:val="0084464E"/>
    <w:rsid w:val="008458BF"/>
    <w:rsid w:val="00846262"/>
    <w:rsid w:val="00846370"/>
    <w:rsid w:val="008463E8"/>
    <w:rsid w:val="00847665"/>
    <w:rsid w:val="008478B7"/>
    <w:rsid w:val="00847925"/>
    <w:rsid w:val="00847BC5"/>
    <w:rsid w:val="00847F11"/>
    <w:rsid w:val="00850010"/>
    <w:rsid w:val="008503F4"/>
    <w:rsid w:val="008504A0"/>
    <w:rsid w:val="00850996"/>
    <w:rsid w:val="00850AC1"/>
    <w:rsid w:val="00850C2A"/>
    <w:rsid w:val="00850DFA"/>
    <w:rsid w:val="00851331"/>
    <w:rsid w:val="008516D1"/>
    <w:rsid w:val="00851CC8"/>
    <w:rsid w:val="00852003"/>
    <w:rsid w:val="0085212C"/>
    <w:rsid w:val="0085223F"/>
    <w:rsid w:val="008529FD"/>
    <w:rsid w:val="00852F9E"/>
    <w:rsid w:val="00854053"/>
    <w:rsid w:val="008543AC"/>
    <w:rsid w:val="008548B8"/>
    <w:rsid w:val="00854965"/>
    <w:rsid w:val="008554D1"/>
    <w:rsid w:val="00855897"/>
    <w:rsid w:val="008558E0"/>
    <w:rsid w:val="008569E0"/>
    <w:rsid w:val="0085745B"/>
    <w:rsid w:val="00857AF7"/>
    <w:rsid w:val="00857BE5"/>
    <w:rsid w:val="00860109"/>
    <w:rsid w:val="008601BD"/>
    <w:rsid w:val="00860359"/>
    <w:rsid w:val="00860E43"/>
    <w:rsid w:val="00861252"/>
    <w:rsid w:val="0086171A"/>
    <w:rsid w:val="0086226C"/>
    <w:rsid w:val="00863C07"/>
    <w:rsid w:val="008640B7"/>
    <w:rsid w:val="00864379"/>
    <w:rsid w:val="008644A4"/>
    <w:rsid w:val="00864A6C"/>
    <w:rsid w:val="00864BB1"/>
    <w:rsid w:val="00864DF7"/>
    <w:rsid w:val="00865278"/>
    <w:rsid w:val="008654F9"/>
    <w:rsid w:val="008658C0"/>
    <w:rsid w:val="00866388"/>
    <w:rsid w:val="00866FE3"/>
    <w:rsid w:val="0086722D"/>
    <w:rsid w:val="00867459"/>
    <w:rsid w:val="00867D56"/>
    <w:rsid w:val="00867D70"/>
    <w:rsid w:val="0087018F"/>
    <w:rsid w:val="00870646"/>
    <w:rsid w:val="008706C3"/>
    <w:rsid w:val="00870BAA"/>
    <w:rsid w:val="00870D91"/>
    <w:rsid w:val="008716D1"/>
    <w:rsid w:val="008716ED"/>
    <w:rsid w:val="008718AD"/>
    <w:rsid w:val="0087193F"/>
    <w:rsid w:val="008724E6"/>
    <w:rsid w:val="008728C8"/>
    <w:rsid w:val="008729D6"/>
    <w:rsid w:val="00873205"/>
    <w:rsid w:val="008735E8"/>
    <w:rsid w:val="00873662"/>
    <w:rsid w:val="0087377E"/>
    <w:rsid w:val="00874594"/>
    <w:rsid w:val="00874776"/>
    <w:rsid w:val="0087487C"/>
    <w:rsid w:val="00874A07"/>
    <w:rsid w:val="00874B75"/>
    <w:rsid w:val="00875007"/>
    <w:rsid w:val="008750DB"/>
    <w:rsid w:val="008751B4"/>
    <w:rsid w:val="0087527F"/>
    <w:rsid w:val="008754B5"/>
    <w:rsid w:val="00875AF3"/>
    <w:rsid w:val="008765E9"/>
    <w:rsid w:val="00876605"/>
    <w:rsid w:val="00876B13"/>
    <w:rsid w:val="00877170"/>
    <w:rsid w:val="00877940"/>
    <w:rsid w:val="00880017"/>
    <w:rsid w:val="00880305"/>
    <w:rsid w:val="0088088A"/>
    <w:rsid w:val="00880A3F"/>
    <w:rsid w:val="00880EE2"/>
    <w:rsid w:val="00881155"/>
    <w:rsid w:val="008813BC"/>
    <w:rsid w:val="00881732"/>
    <w:rsid w:val="0088179D"/>
    <w:rsid w:val="008818A2"/>
    <w:rsid w:val="00881FF9"/>
    <w:rsid w:val="0088213D"/>
    <w:rsid w:val="008821C6"/>
    <w:rsid w:val="0088243D"/>
    <w:rsid w:val="0088251A"/>
    <w:rsid w:val="00882530"/>
    <w:rsid w:val="00882D28"/>
    <w:rsid w:val="00883A67"/>
    <w:rsid w:val="008848E9"/>
    <w:rsid w:val="00884FD8"/>
    <w:rsid w:val="00885244"/>
    <w:rsid w:val="008857C7"/>
    <w:rsid w:val="008858B3"/>
    <w:rsid w:val="00885BF6"/>
    <w:rsid w:val="008866CF"/>
    <w:rsid w:val="00886782"/>
    <w:rsid w:val="008869A1"/>
    <w:rsid w:val="00886B3F"/>
    <w:rsid w:val="00886E53"/>
    <w:rsid w:val="008878B9"/>
    <w:rsid w:val="0089015D"/>
    <w:rsid w:val="0089021A"/>
    <w:rsid w:val="0089022E"/>
    <w:rsid w:val="00890475"/>
    <w:rsid w:val="00890A7C"/>
    <w:rsid w:val="00890D11"/>
    <w:rsid w:val="008910EE"/>
    <w:rsid w:val="00891A26"/>
    <w:rsid w:val="00891B26"/>
    <w:rsid w:val="00891BCE"/>
    <w:rsid w:val="00892077"/>
    <w:rsid w:val="008923F8"/>
    <w:rsid w:val="008928F1"/>
    <w:rsid w:val="00892BBF"/>
    <w:rsid w:val="00892DB5"/>
    <w:rsid w:val="00893F27"/>
    <w:rsid w:val="008942BD"/>
    <w:rsid w:val="0089478A"/>
    <w:rsid w:val="0089480A"/>
    <w:rsid w:val="00894FE5"/>
    <w:rsid w:val="00895658"/>
    <w:rsid w:val="008956DA"/>
    <w:rsid w:val="00895BA9"/>
    <w:rsid w:val="00895D79"/>
    <w:rsid w:val="0089601B"/>
    <w:rsid w:val="0089655D"/>
    <w:rsid w:val="00896784"/>
    <w:rsid w:val="00896C56"/>
    <w:rsid w:val="00897051"/>
    <w:rsid w:val="00897824"/>
    <w:rsid w:val="00897BCB"/>
    <w:rsid w:val="00897C07"/>
    <w:rsid w:val="00897DBA"/>
    <w:rsid w:val="008A02FA"/>
    <w:rsid w:val="008A06A8"/>
    <w:rsid w:val="008A0BCE"/>
    <w:rsid w:val="008A1AAC"/>
    <w:rsid w:val="008A20CA"/>
    <w:rsid w:val="008A239B"/>
    <w:rsid w:val="008A2841"/>
    <w:rsid w:val="008A28B6"/>
    <w:rsid w:val="008A2956"/>
    <w:rsid w:val="008A2EA1"/>
    <w:rsid w:val="008A2EF6"/>
    <w:rsid w:val="008A3452"/>
    <w:rsid w:val="008A3480"/>
    <w:rsid w:val="008A3642"/>
    <w:rsid w:val="008A3C36"/>
    <w:rsid w:val="008A442E"/>
    <w:rsid w:val="008A4F3C"/>
    <w:rsid w:val="008A51AD"/>
    <w:rsid w:val="008A53BA"/>
    <w:rsid w:val="008A551D"/>
    <w:rsid w:val="008A56BA"/>
    <w:rsid w:val="008A570A"/>
    <w:rsid w:val="008A58E4"/>
    <w:rsid w:val="008A58E7"/>
    <w:rsid w:val="008A5C1D"/>
    <w:rsid w:val="008A615A"/>
    <w:rsid w:val="008A6357"/>
    <w:rsid w:val="008A64AA"/>
    <w:rsid w:val="008A650C"/>
    <w:rsid w:val="008A66E1"/>
    <w:rsid w:val="008A6A36"/>
    <w:rsid w:val="008A6CB9"/>
    <w:rsid w:val="008A6DC1"/>
    <w:rsid w:val="008A6DD4"/>
    <w:rsid w:val="008A7083"/>
    <w:rsid w:val="008A7100"/>
    <w:rsid w:val="008A7139"/>
    <w:rsid w:val="008A776D"/>
    <w:rsid w:val="008A7C74"/>
    <w:rsid w:val="008B03BD"/>
    <w:rsid w:val="008B04C0"/>
    <w:rsid w:val="008B09E1"/>
    <w:rsid w:val="008B0A83"/>
    <w:rsid w:val="008B0DCF"/>
    <w:rsid w:val="008B0E93"/>
    <w:rsid w:val="008B0F8D"/>
    <w:rsid w:val="008B198D"/>
    <w:rsid w:val="008B23A8"/>
    <w:rsid w:val="008B29A4"/>
    <w:rsid w:val="008B2BB4"/>
    <w:rsid w:val="008B2C30"/>
    <w:rsid w:val="008B3C2B"/>
    <w:rsid w:val="008B4679"/>
    <w:rsid w:val="008B4D00"/>
    <w:rsid w:val="008B4D13"/>
    <w:rsid w:val="008B4E78"/>
    <w:rsid w:val="008B4FE2"/>
    <w:rsid w:val="008B61A1"/>
    <w:rsid w:val="008B66EE"/>
    <w:rsid w:val="008B6793"/>
    <w:rsid w:val="008B6E87"/>
    <w:rsid w:val="008B7588"/>
    <w:rsid w:val="008B75C2"/>
    <w:rsid w:val="008B787A"/>
    <w:rsid w:val="008C0A89"/>
    <w:rsid w:val="008C0CBD"/>
    <w:rsid w:val="008C0E71"/>
    <w:rsid w:val="008C1852"/>
    <w:rsid w:val="008C2AF0"/>
    <w:rsid w:val="008C2CFF"/>
    <w:rsid w:val="008C2E1E"/>
    <w:rsid w:val="008C2E22"/>
    <w:rsid w:val="008C2ED2"/>
    <w:rsid w:val="008C3D4D"/>
    <w:rsid w:val="008C4026"/>
    <w:rsid w:val="008C417E"/>
    <w:rsid w:val="008C5B51"/>
    <w:rsid w:val="008C5F0A"/>
    <w:rsid w:val="008C6105"/>
    <w:rsid w:val="008C6124"/>
    <w:rsid w:val="008C6334"/>
    <w:rsid w:val="008C66BD"/>
    <w:rsid w:val="008C6968"/>
    <w:rsid w:val="008C742A"/>
    <w:rsid w:val="008C74C7"/>
    <w:rsid w:val="008C76A5"/>
    <w:rsid w:val="008C7714"/>
    <w:rsid w:val="008C7F4F"/>
    <w:rsid w:val="008D007F"/>
    <w:rsid w:val="008D00F3"/>
    <w:rsid w:val="008D03C3"/>
    <w:rsid w:val="008D0F27"/>
    <w:rsid w:val="008D11F0"/>
    <w:rsid w:val="008D15A2"/>
    <w:rsid w:val="008D1839"/>
    <w:rsid w:val="008D18CD"/>
    <w:rsid w:val="008D1F86"/>
    <w:rsid w:val="008D20E0"/>
    <w:rsid w:val="008D2B6E"/>
    <w:rsid w:val="008D335C"/>
    <w:rsid w:val="008D35B7"/>
    <w:rsid w:val="008D4007"/>
    <w:rsid w:val="008D436A"/>
    <w:rsid w:val="008D46D3"/>
    <w:rsid w:val="008D4BEB"/>
    <w:rsid w:val="008D4C72"/>
    <w:rsid w:val="008D4CF8"/>
    <w:rsid w:val="008D5291"/>
    <w:rsid w:val="008D5368"/>
    <w:rsid w:val="008D561B"/>
    <w:rsid w:val="008D582B"/>
    <w:rsid w:val="008D5CF9"/>
    <w:rsid w:val="008D5D0A"/>
    <w:rsid w:val="008D6794"/>
    <w:rsid w:val="008D7F65"/>
    <w:rsid w:val="008E0178"/>
    <w:rsid w:val="008E02F8"/>
    <w:rsid w:val="008E12AF"/>
    <w:rsid w:val="008E1342"/>
    <w:rsid w:val="008E17F3"/>
    <w:rsid w:val="008E1DC9"/>
    <w:rsid w:val="008E1F11"/>
    <w:rsid w:val="008E211C"/>
    <w:rsid w:val="008E24E4"/>
    <w:rsid w:val="008E25C5"/>
    <w:rsid w:val="008E28EC"/>
    <w:rsid w:val="008E2BB3"/>
    <w:rsid w:val="008E2BC5"/>
    <w:rsid w:val="008E2C79"/>
    <w:rsid w:val="008E3176"/>
    <w:rsid w:val="008E3564"/>
    <w:rsid w:val="008E37D0"/>
    <w:rsid w:val="008E3A0B"/>
    <w:rsid w:val="008E3A90"/>
    <w:rsid w:val="008E3AAB"/>
    <w:rsid w:val="008E4043"/>
    <w:rsid w:val="008E4520"/>
    <w:rsid w:val="008E54E8"/>
    <w:rsid w:val="008E5740"/>
    <w:rsid w:val="008E5868"/>
    <w:rsid w:val="008E5ADB"/>
    <w:rsid w:val="008E5DC8"/>
    <w:rsid w:val="008E6465"/>
    <w:rsid w:val="008E6C57"/>
    <w:rsid w:val="008E7082"/>
    <w:rsid w:val="008E72AF"/>
    <w:rsid w:val="008F069E"/>
    <w:rsid w:val="008F0952"/>
    <w:rsid w:val="008F1154"/>
    <w:rsid w:val="008F1B84"/>
    <w:rsid w:val="008F1B9D"/>
    <w:rsid w:val="008F1DB6"/>
    <w:rsid w:val="008F337C"/>
    <w:rsid w:val="008F3563"/>
    <w:rsid w:val="008F39C0"/>
    <w:rsid w:val="008F39E4"/>
    <w:rsid w:val="008F57CD"/>
    <w:rsid w:val="008F5960"/>
    <w:rsid w:val="008F5CD0"/>
    <w:rsid w:val="008F629A"/>
    <w:rsid w:val="008F6A9B"/>
    <w:rsid w:val="008F6F03"/>
    <w:rsid w:val="008F7603"/>
    <w:rsid w:val="008F769D"/>
    <w:rsid w:val="008F76B7"/>
    <w:rsid w:val="008F76DC"/>
    <w:rsid w:val="008F7D2F"/>
    <w:rsid w:val="009013C5"/>
    <w:rsid w:val="0090147B"/>
    <w:rsid w:val="00901649"/>
    <w:rsid w:val="009019D7"/>
    <w:rsid w:val="00901CBA"/>
    <w:rsid w:val="00901DC6"/>
    <w:rsid w:val="009021DC"/>
    <w:rsid w:val="0090254E"/>
    <w:rsid w:val="00903026"/>
    <w:rsid w:val="0090357B"/>
    <w:rsid w:val="00903832"/>
    <w:rsid w:val="009042D0"/>
    <w:rsid w:val="009044BE"/>
    <w:rsid w:val="009048EB"/>
    <w:rsid w:val="00904913"/>
    <w:rsid w:val="00904B8A"/>
    <w:rsid w:val="00904C15"/>
    <w:rsid w:val="009050B3"/>
    <w:rsid w:val="00905298"/>
    <w:rsid w:val="00905945"/>
    <w:rsid w:val="00905FEB"/>
    <w:rsid w:val="00906164"/>
    <w:rsid w:val="00906252"/>
    <w:rsid w:val="0090672E"/>
    <w:rsid w:val="009068C6"/>
    <w:rsid w:val="00906A4F"/>
    <w:rsid w:val="00906BD6"/>
    <w:rsid w:val="00907074"/>
    <w:rsid w:val="009073C7"/>
    <w:rsid w:val="009078BA"/>
    <w:rsid w:val="009079C7"/>
    <w:rsid w:val="009079F7"/>
    <w:rsid w:val="00907B44"/>
    <w:rsid w:val="00907C33"/>
    <w:rsid w:val="009108D2"/>
    <w:rsid w:val="00910C20"/>
    <w:rsid w:val="00910FE1"/>
    <w:rsid w:val="0091106A"/>
    <w:rsid w:val="00911C09"/>
    <w:rsid w:val="00911D1C"/>
    <w:rsid w:val="00912F38"/>
    <w:rsid w:val="0091340D"/>
    <w:rsid w:val="00913C58"/>
    <w:rsid w:val="009140B4"/>
    <w:rsid w:val="00914174"/>
    <w:rsid w:val="0091428A"/>
    <w:rsid w:val="00914733"/>
    <w:rsid w:val="0091495E"/>
    <w:rsid w:val="00914AA5"/>
    <w:rsid w:val="009162DD"/>
    <w:rsid w:val="009163E7"/>
    <w:rsid w:val="0091671A"/>
    <w:rsid w:val="009169F6"/>
    <w:rsid w:val="0091719D"/>
    <w:rsid w:val="00917903"/>
    <w:rsid w:val="00917BEA"/>
    <w:rsid w:val="00920189"/>
    <w:rsid w:val="00920203"/>
    <w:rsid w:val="009203A2"/>
    <w:rsid w:val="00920997"/>
    <w:rsid w:val="00920B1E"/>
    <w:rsid w:val="00920DD5"/>
    <w:rsid w:val="00921161"/>
    <w:rsid w:val="00922492"/>
    <w:rsid w:val="009224EB"/>
    <w:rsid w:val="0092272F"/>
    <w:rsid w:val="00922BE2"/>
    <w:rsid w:val="00922EDE"/>
    <w:rsid w:val="009237D9"/>
    <w:rsid w:val="0092406C"/>
    <w:rsid w:val="00924096"/>
    <w:rsid w:val="009243BC"/>
    <w:rsid w:val="009244D5"/>
    <w:rsid w:val="0092523A"/>
    <w:rsid w:val="009252F1"/>
    <w:rsid w:val="00925588"/>
    <w:rsid w:val="00925A0E"/>
    <w:rsid w:val="00925AF5"/>
    <w:rsid w:val="009261FC"/>
    <w:rsid w:val="00926268"/>
    <w:rsid w:val="00926416"/>
    <w:rsid w:val="009264A2"/>
    <w:rsid w:val="0092715D"/>
    <w:rsid w:val="00927299"/>
    <w:rsid w:val="00927585"/>
    <w:rsid w:val="00930632"/>
    <w:rsid w:val="009310BC"/>
    <w:rsid w:val="00931D3F"/>
    <w:rsid w:val="009324C4"/>
    <w:rsid w:val="00932671"/>
    <w:rsid w:val="009328BD"/>
    <w:rsid w:val="00932A7A"/>
    <w:rsid w:val="00932D26"/>
    <w:rsid w:val="00932D49"/>
    <w:rsid w:val="009330BF"/>
    <w:rsid w:val="00933817"/>
    <w:rsid w:val="00933EE7"/>
    <w:rsid w:val="00934510"/>
    <w:rsid w:val="0093476C"/>
    <w:rsid w:val="00935A1E"/>
    <w:rsid w:val="00935AA3"/>
    <w:rsid w:val="00935B7C"/>
    <w:rsid w:val="00935BC9"/>
    <w:rsid w:val="00935E3A"/>
    <w:rsid w:val="00936005"/>
    <w:rsid w:val="0093607C"/>
    <w:rsid w:val="00940008"/>
    <w:rsid w:val="00940FFA"/>
    <w:rsid w:val="0094123E"/>
    <w:rsid w:val="009412F5"/>
    <w:rsid w:val="00941503"/>
    <w:rsid w:val="0094187D"/>
    <w:rsid w:val="00941A4A"/>
    <w:rsid w:val="009423ED"/>
    <w:rsid w:val="00942C90"/>
    <w:rsid w:val="00942F29"/>
    <w:rsid w:val="00942FB6"/>
    <w:rsid w:val="009430E1"/>
    <w:rsid w:val="009434EB"/>
    <w:rsid w:val="00943EA6"/>
    <w:rsid w:val="009443F2"/>
    <w:rsid w:val="00944510"/>
    <w:rsid w:val="009448F2"/>
    <w:rsid w:val="009451E0"/>
    <w:rsid w:val="0094524B"/>
    <w:rsid w:val="009456E3"/>
    <w:rsid w:val="00945759"/>
    <w:rsid w:val="00945925"/>
    <w:rsid w:val="00945949"/>
    <w:rsid w:val="009466E9"/>
    <w:rsid w:val="00946CB3"/>
    <w:rsid w:val="00946D20"/>
    <w:rsid w:val="00946E51"/>
    <w:rsid w:val="009470FE"/>
    <w:rsid w:val="009473F4"/>
    <w:rsid w:val="0094767D"/>
    <w:rsid w:val="00947E4B"/>
    <w:rsid w:val="00947EB9"/>
    <w:rsid w:val="00950231"/>
    <w:rsid w:val="00950794"/>
    <w:rsid w:val="009507AA"/>
    <w:rsid w:val="009509EF"/>
    <w:rsid w:val="009515CA"/>
    <w:rsid w:val="00951691"/>
    <w:rsid w:val="00951FCE"/>
    <w:rsid w:val="009521CC"/>
    <w:rsid w:val="0095226C"/>
    <w:rsid w:val="0095269B"/>
    <w:rsid w:val="00952C05"/>
    <w:rsid w:val="00952D52"/>
    <w:rsid w:val="009540B7"/>
    <w:rsid w:val="009543D0"/>
    <w:rsid w:val="0095448C"/>
    <w:rsid w:val="00954AF9"/>
    <w:rsid w:val="00954DAE"/>
    <w:rsid w:val="00955410"/>
    <w:rsid w:val="009558EE"/>
    <w:rsid w:val="009559D5"/>
    <w:rsid w:val="00955C17"/>
    <w:rsid w:val="00955FFA"/>
    <w:rsid w:val="00956170"/>
    <w:rsid w:val="00956BA1"/>
    <w:rsid w:val="00956D22"/>
    <w:rsid w:val="00956D42"/>
    <w:rsid w:val="00956F0F"/>
    <w:rsid w:val="0095727F"/>
    <w:rsid w:val="009572AF"/>
    <w:rsid w:val="00957E41"/>
    <w:rsid w:val="0096016E"/>
    <w:rsid w:val="0096023A"/>
    <w:rsid w:val="009607AB"/>
    <w:rsid w:val="00961154"/>
    <w:rsid w:val="009615DB"/>
    <w:rsid w:val="00962683"/>
    <w:rsid w:val="00962E23"/>
    <w:rsid w:val="009633ED"/>
    <w:rsid w:val="0096487C"/>
    <w:rsid w:val="00964B45"/>
    <w:rsid w:val="00964BC2"/>
    <w:rsid w:val="00964D4A"/>
    <w:rsid w:val="00964EAE"/>
    <w:rsid w:val="00965023"/>
    <w:rsid w:val="009650B7"/>
    <w:rsid w:val="0096515D"/>
    <w:rsid w:val="00965841"/>
    <w:rsid w:val="00966623"/>
    <w:rsid w:val="009678DB"/>
    <w:rsid w:val="00970105"/>
    <w:rsid w:val="00970728"/>
    <w:rsid w:val="009707C9"/>
    <w:rsid w:val="00971303"/>
    <w:rsid w:val="00971615"/>
    <w:rsid w:val="00971E0B"/>
    <w:rsid w:val="00972101"/>
    <w:rsid w:val="00972285"/>
    <w:rsid w:val="009723CC"/>
    <w:rsid w:val="00972FB5"/>
    <w:rsid w:val="00973607"/>
    <w:rsid w:val="009736FE"/>
    <w:rsid w:val="00973B96"/>
    <w:rsid w:val="00973E3C"/>
    <w:rsid w:val="00974763"/>
    <w:rsid w:val="009757CA"/>
    <w:rsid w:val="00976E76"/>
    <w:rsid w:val="00977A14"/>
    <w:rsid w:val="00977E9B"/>
    <w:rsid w:val="009807BF"/>
    <w:rsid w:val="009809CE"/>
    <w:rsid w:val="0098131F"/>
    <w:rsid w:val="00981479"/>
    <w:rsid w:val="009814DA"/>
    <w:rsid w:val="00981614"/>
    <w:rsid w:val="00981F74"/>
    <w:rsid w:val="0098237C"/>
    <w:rsid w:val="009829B3"/>
    <w:rsid w:val="00982C31"/>
    <w:rsid w:val="00982D45"/>
    <w:rsid w:val="00983165"/>
    <w:rsid w:val="00983343"/>
    <w:rsid w:val="009833C4"/>
    <w:rsid w:val="009834E0"/>
    <w:rsid w:val="009838FF"/>
    <w:rsid w:val="0098410C"/>
    <w:rsid w:val="00984149"/>
    <w:rsid w:val="00984788"/>
    <w:rsid w:val="00984909"/>
    <w:rsid w:val="00984FF3"/>
    <w:rsid w:val="00984FF9"/>
    <w:rsid w:val="009850C5"/>
    <w:rsid w:val="00985A25"/>
    <w:rsid w:val="00986326"/>
    <w:rsid w:val="00986849"/>
    <w:rsid w:val="00986BB7"/>
    <w:rsid w:val="00986D4B"/>
    <w:rsid w:val="00986F6D"/>
    <w:rsid w:val="0098727C"/>
    <w:rsid w:val="00987708"/>
    <w:rsid w:val="00987DF0"/>
    <w:rsid w:val="00987E2E"/>
    <w:rsid w:val="0099008B"/>
    <w:rsid w:val="0099177B"/>
    <w:rsid w:val="00991B8C"/>
    <w:rsid w:val="00991FAA"/>
    <w:rsid w:val="0099367E"/>
    <w:rsid w:val="00993FE4"/>
    <w:rsid w:val="0099425E"/>
    <w:rsid w:val="00994942"/>
    <w:rsid w:val="00994CDC"/>
    <w:rsid w:val="00995AC3"/>
    <w:rsid w:val="009969CD"/>
    <w:rsid w:val="00997053"/>
    <w:rsid w:val="0099770A"/>
    <w:rsid w:val="00997769"/>
    <w:rsid w:val="00997A2E"/>
    <w:rsid w:val="009A048E"/>
    <w:rsid w:val="009A119F"/>
    <w:rsid w:val="009A1609"/>
    <w:rsid w:val="009A16A3"/>
    <w:rsid w:val="009A1702"/>
    <w:rsid w:val="009A1A7E"/>
    <w:rsid w:val="009A3480"/>
    <w:rsid w:val="009A3DB8"/>
    <w:rsid w:val="009A43B3"/>
    <w:rsid w:val="009A464D"/>
    <w:rsid w:val="009A496F"/>
    <w:rsid w:val="009A4B78"/>
    <w:rsid w:val="009A4C02"/>
    <w:rsid w:val="009A4D73"/>
    <w:rsid w:val="009A4E41"/>
    <w:rsid w:val="009A5297"/>
    <w:rsid w:val="009A5851"/>
    <w:rsid w:val="009A5D40"/>
    <w:rsid w:val="009A5E10"/>
    <w:rsid w:val="009A6665"/>
    <w:rsid w:val="009A743F"/>
    <w:rsid w:val="009A74F7"/>
    <w:rsid w:val="009B00F2"/>
    <w:rsid w:val="009B0FB2"/>
    <w:rsid w:val="009B1113"/>
    <w:rsid w:val="009B1C34"/>
    <w:rsid w:val="009B1D22"/>
    <w:rsid w:val="009B1E86"/>
    <w:rsid w:val="009B27C4"/>
    <w:rsid w:val="009B2BE6"/>
    <w:rsid w:val="009B2D92"/>
    <w:rsid w:val="009B31DE"/>
    <w:rsid w:val="009B3250"/>
    <w:rsid w:val="009B3D24"/>
    <w:rsid w:val="009B42D2"/>
    <w:rsid w:val="009B4A06"/>
    <w:rsid w:val="009B60EA"/>
    <w:rsid w:val="009B70C8"/>
    <w:rsid w:val="009B737C"/>
    <w:rsid w:val="009B742E"/>
    <w:rsid w:val="009C0AC6"/>
    <w:rsid w:val="009C11B2"/>
    <w:rsid w:val="009C1456"/>
    <w:rsid w:val="009C164F"/>
    <w:rsid w:val="009C1C30"/>
    <w:rsid w:val="009C22DD"/>
    <w:rsid w:val="009C29D5"/>
    <w:rsid w:val="009C30A0"/>
    <w:rsid w:val="009C359E"/>
    <w:rsid w:val="009C37FE"/>
    <w:rsid w:val="009C4082"/>
    <w:rsid w:val="009C4A38"/>
    <w:rsid w:val="009C4A72"/>
    <w:rsid w:val="009C4AD8"/>
    <w:rsid w:val="009C4D3D"/>
    <w:rsid w:val="009C55E2"/>
    <w:rsid w:val="009C5A4E"/>
    <w:rsid w:val="009C5EE5"/>
    <w:rsid w:val="009C61E3"/>
    <w:rsid w:val="009C6B56"/>
    <w:rsid w:val="009C7DB8"/>
    <w:rsid w:val="009C7FF0"/>
    <w:rsid w:val="009D010D"/>
    <w:rsid w:val="009D0244"/>
    <w:rsid w:val="009D0AAD"/>
    <w:rsid w:val="009D0F71"/>
    <w:rsid w:val="009D111C"/>
    <w:rsid w:val="009D17A0"/>
    <w:rsid w:val="009D1833"/>
    <w:rsid w:val="009D1F7A"/>
    <w:rsid w:val="009D2873"/>
    <w:rsid w:val="009D2942"/>
    <w:rsid w:val="009D2BE9"/>
    <w:rsid w:val="009D3A1A"/>
    <w:rsid w:val="009D426A"/>
    <w:rsid w:val="009D5BDB"/>
    <w:rsid w:val="009D6B03"/>
    <w:rsid w:val="009D6B3D"/>
    <w:rsid w:val="009D7422"/>
    <w:rsid w:val="009D78E7"/>
    <w:rsid w:val="009D7979"/>
    <w:rsid w:val="009E0742"/>
    <w:rsid w:val="009E0B29"/>
    <w:rsid w:val="009E1291"/>
    <w:rsid w:val="009E12BC"/>
    <w:rsid w:val="009E139D"/>
    <w:rsid w:val="009E1575"/>
    <w:rsid w:val="009E224D"/>
    <w:rsid w:val="009E26D5"/>
    <w:rsid w:val="009E2A07"/>
    <w:rsid w:val="009E3398"/>
    <w:rsid w:val="009E3577"/>
    <w:rsid w:val="009E37A5"/>
    <w:rsid w:val="009E395B"/>
    <w:rsid w:val="009E3D2B"/>
    <w:rsid w:val="009E3E84"/>
    <w:rsid w:val="009E4097"/>
    <w:rsid w:val="009E4664"/>
    <w:rsid w:val="009E4D8E"/>
    <w:rsid w:val="009E4E90"/>
    <w:rsid w:val="009E4EB7"/>
    <w:rsid w:val="009E57C1"/>
    <w:rsid w:val="009E624A"/>
    <w:rsid w:val="009E6B32"/>
    <w:rsid w:val="009E7039"/>
    <w:rsid w:val="009E70F3"/>
    <w:rsid w:val="009E750E"/>
    <w:rsid w:val="009E7E98"/>
    <w:rsid w:val="009F00EE"/>
    <w:rsid w:val="009F0827"/>
    <w:rsid w:val="009F0A7F"/>
    <w:rsid w:val="009F0BED"/>
    <w:rsid w:val="009F1673"/>
    <w:rsid w:val="009F3255"/>
    <w:rsid w:val="009F33CB"/>
    <w:rsid w:val="009F34AA"/>
    <w:rsid w:val="009F3DCE"/>
    <w:rsid w:val="009F4298"/>
    <w:rsid w:val="009F44FF"/>
    <w:rsid w:val="009F45E2"/>
    <w:rsid w:val="009F46E8"/>
    <w:rsid w:val="009F472D"/>
    <w:rsid w:val="009F4CF0"/>
    <w:rsid w:val="009F4E88"/>
    <w:rsid w:val="009F50D1"/>
    <w:rsid w:val="009F539C"/>
    <w:rsid w:val="009F573B"/>
    <w:rsid w:val="009F5918"/>
    <w:rsid w:val="009F596D"/>
    <w:rsid w:val="009F6A91"/>
    <w:rsid w:val="009F6AA9"/>
    <w:rsid w:val="009F71A6"/>
    <w:rsid w:val="009F71AA"/>
    <w:rsid w:val="009F754A"/>
    <w:rsid w:val="009F791F"/>
    <w:rsid w:val="009F7F86"/>
    <w:rsid w:val="00A0034D"/>
    <w:rsid w:val="00A00BFB"/>
    <w:rsid w:val="00A00DCF"/>
    <w:rsid w:val="00A00EA1"/>
    <w:rsid w:val="00A0126C"/>
    <w:rsid w:val="00A012DA"/>
    <w:rsid w:val="00A0187E"/>
    <w:rsid w:val="00A026F0"/>
    <w:rsid w:val="00A02F2D"/>
    <w:rsid w:val="00A02F61"/>
    <w:rsid w:val="00A03E0E"/>
    <w:rsid w:val="00A040D1"/>
    <w:rsid w:val="00A044B7"/>
    <w:rsid w:val="00A04A0A"/>
    <w:rsid w:val="00A050A8"/>
    <w:rsid w:val="00A056A3"/>
    <w:rsid w:val="00A059AF"/>
    <w:rsid w:val="00A05B51"/>
    <w:rsid w:val="00A06286"/>
    <w:rsid w:val="00A06318"/>
    <w:rsid w:val="00A063BC"/>
    <w:rsid w:val="00A067D7"/>
    <w:rsid w:val="00A068E1"/>
    <w:rsid w:val="00A06A80"/>
    <w:rsid w:val="00A06D8A"/>
    <w:rsid w:val="00A0711F"/>
    <w:rsid w:val="00A07B0B"/>
    <w:rsid w:val="00A102A0"/>
    <w:rsid w:val="00A10860"/>
    <w:rsid w:val="00A10F62"/>
    <w:rsid w:val="00A114FA"/>
    <w:rsid w:val="00A11AF3"/>
    <w:rsid w:val="00A12ACF"/>
    <w:rsid w:val="00A12C09"/>
    <w:rsid w:val="00A13084"/>
    <w:rsid w:val="00A1327F"/>
    <w:rsid w:val="00A13817"/>
    <w:rsid w:val="00A138D3"/>
    <w:rsid w:val="00A13E0F"/>
    <w:rsid w:val="00A144B7"/>
    <w:rsid w:val="00A149B4"/>
    <w:rsid w:val="00A152D3"/>
    <w:rsid w:val="00A15F4F"/>
    <w:rsid w:val="00A160AB"/>
    <w:rsid w:val="00A16745"/>
    <w:rsid w:val="00A16747"/>
    <w:rsid w:val="00A17E93"/>
    <w:rsid w:val="00A20013"/>
    <w:rsid w:val="00A200E6"/>
    <w:rsid w:val="00A2056F"/>
    <w:rsid w:val="00A20582"/>
    <w:rsid w:val="00A20C65"/>
    <w:rsid w:val="00A21767"/>
    <w:rsid w:val="00A21FD5"/>
    <w:rsid w:val="00A22751"/>
    <w:rsid w:val="00A22940"/>
    <w:rsid w:val="00A22C96"/>
    <w:rsid w:val="00A23102"/>
    <w:rsid w:val="00A233D8"/>
    <w:rsid w:val="00A2343F"/>
    <w:rsid w:val="00A23505"/>
    <w:rsid w:val="00A236AC"/>
    <w:rsid w:val="00A237D0"/>
    <w:rsid w:val="00A23A4D"/>
    <w:rsid w:val="00A2428B"/>
    <w:rsid w:val="00A247E5"/>
    <w:rsid w:val="00A248BD"/>
    <w:rsid w:val="00A24D81"/>
    <w:rsid w:val="00A24EA5"/>
    <w:rsid w:val="00A25173"/>
    <w:rsid w:val="00A252F0"/>
    <w:rsid w:val="00A259F2"/>
    <w:rsid w:val="00A263F6"/>
    <w:rsid w:val="00A26463"/>
    <w:rsid w:val="00A2660E"/>
    <w:rsid w:val="00A26916"/>
    <w:rsid w:val="00A26B47"/>
    <w:rsid w:val="00A26FF1"/>
    <w:rsid w:val="00A27547"/>
    <w:rsid w:val="00A27806"/>
    <w:rsid w:val="00A3068C"/>
    <w:rsid w:val="00A3127F"/>
    <w:rsid w:val="00A31922"/>
    <w:rsid w:val="00A31BCC"/>
    <w:rsid w:val="00A31C70"/>
    <w:rsid w:val="00A31C87"/>
    <w:rsid w:val="00A325BB"/>
    <w:rsid w:val="00A3297A"/>
    <w:rsid w:val="00A32A58"/>
    <w:rsid w:val="00A32EEC"/>
    <w:rsid w:val="00A336C5"/>
    <w:rsid w:val="00A339D9"/>
    <w:rsid w:val="00A33BD6"/>
    <w:rsid w:val="00A3510A"/>
    <w:rsid w:val="00A3515F"/>
    <w:rsid w:val="00A35751"/>
    <w:rsid w:val="00A3577F"/>
    <w:rsid w:val="00A35BBC"/>
    <w:rsid w:val="00A35DAB"/>
    <w:rsid w:val="00A36724"/>
    <w:rsid w:val="00A367AF"/>
    <w:rsid w:val="00A36C13"/>
    <w:rsid w:val="00A377C2"/>
    <w:rsid w:val="00A37A31"/>
    <w:rsid w:val="00A40B1F"/>
    <w:rsid w:val="00A40B4D"/>
    <w:rsid w:val="00A411E2"/>
    <w:rsid w:val="00A41373"/>
    <w:rsid w:val="00A41638"/>
    <w:rsid w:val="00A41A3F"/>
    <w:rsid w:val="00A41B15"/>
    <w:rsid w:val="00A41DE9"/>
    <w:rsid w:val="00A4224E"/>
    <w:rsid w:val="00A4229F"/>
    <w:rsid w:val="00A428A9"/>
    <w:rsid w:val="00A42ACA"/>
    <w:rsid w:val="00A4327C"/>
    <w:rsid w:val="00A43AAB"/>
    <w:rsid w:val="00A43AFE"/>
    <w:rsid w:val="00A447E3"/>
    <w:rsid w:val="00A44AAD"/>
    <w:rsid w:val="00A44D3B"/>
    <w:rsid w:val="00A45241"/>
    <w:rsid w:val="00A45280"/>
    <w:rsid w:val="00A452B8"/>
    <w:rsid w:val="00A45BF7"/>
    <w:rsid w:val="00A463B5"/>
    <w:rsid w:val="00A463BA"/>
    <w:rsid w:val="00A46675"/>
    <w:rsid w:val="00A46A5F"/>
    <w:rsid w:val="00A471A3"/>
    <w:rsid w:val="00A47597"/>
    <w:rsid w:val="00A477AC"/>
    <w:rsid w:val="00A47E44"/>
    <w:rsid w:val="00A47F91"/>
    <w:rsid w:val="00A507D7"/>
    <w:rsid w:val="00A50A5C"/>
    <w:rsid w:val="00A50BE2"/>
    <w:rsid w:val="00A50CC6"/>
    <w:rsid w:val="00A50DF3"/>
    <w:rsid w:val="00A50E40"/>
    <w:rsid w:val="00A51462"/>
    <w:rsid w:val="00A51946"/>
    <w:rsid w:val="00A51FF7"/>
    <w:rsid w:val="00A52079"/>
    <w:rsid w:val="00A52143"/>
    <w:rsid w:val="00A521E9"/>
    <w:rsid w:val="00A5298E"/>
    <w:rsid w:val="00A52B3E"/>
    <w:rsid w:val="00A5313B"/>
    <w:rsid w:val="00A5320E"/>
    <w:rsid w:val="00A53F7B"/>
    <w:rsid w:val="00A54090"/>
    <w:rsid w:val="00A54282"/>
    <w:rsid w:val="00A546F1"/>
    <w:rsid w:val="00A549D3"/>
    <w:rsid w:val="00A54DF0"/>
    <w:rsid w:val="00A556B8"/>
    <w:rsid w:val="00A57E98"/>
    <w:rsid w:val="00A60017"/>
    <w:rsid w:val="00A60849"/>
    <w:rsid w:val="00A6105B"/>
    <w:rsid w:val="00A61355"/>
    <w:rsid w:val="00A61668"/>
    <w:rsid w:val="00A621D3"/>
    <w:rsid w:val="00A628F8"/>
    <w:rsid w:val="00A62B7A"/>
    <w:rsid w:val="00A62D09"/>
    <w:rsid w:val="00A631A1"/>
    <w:rsid w:val="00A632EA"/>
    <w:rsid w:val="00A6339D"/>
    <w:rsid w:val="00A634BE"/>
    <w:rsid w:val="00A6386B"/>
    <w:rsid w:val="00A63AD7"/>
    <w:rsid w:val="00A63BFD"/>
    <w:rsid w:val="00A6491F"/>
    <w:rsid w:val="00A64C72"/>
    <w:rsid w:val="00A64D1A"/>
    <w:rsid w:val="00A65320"/>
    <w:rsid w:val="00A65615"/>
    <w:rsid w:val="00A65BA5"/>
    <w:rsid w:val="00A66354"/>
    <w:rsid w:val="00A66DC5"/>
    <w:rsid w:val="00A66E37"/>
    <w:rsid w:val="00A66ECF"/>
    <w:rsid w:val="00A67E38"/>
    <w:rsid w:val="00A703E4"/>
    <w:rsid w:val="00A704C9"/>
    <w:rsid w:val="00A70DC6"/>
    <w:rsid w:val="00A71080"/>
    <w:rsid w:val="00A71986"/>
    <w:rsid w:val="00A71E3D"/>
    <w:rsid w:val="00A71E73"/>
    <w:rsid w:val="00A72740"/>
    <w:rsid w:val="00A73A64"/>
    <w:rsid w:val="00A742AD"/>
    <w:rsid w:val="00A746D7"/>
    <w:rsid w:val="00A74AB2"/>
    <w:rsid w:val="00A75A27"/>
    <w:rsid w:val="00A75A46"/>
    <w:rsid w:val="00A75B36"/>
    <w:rsid w:val="00A75D2E"/>
    <w:rsid w:val="00A7663A"/>
    <w:rsid w:val="00A7696B"/>
    <w:rsid w:val="00A769D4"/>
    <w:rsid w:val="00A8008F"/>
    <w:rsid w:val="00A804C7"/>
    <w:rsid w:val="00A80625"/>
    <w:rsid w:val="00A80857"/>
    <w:rsid w:val="00A80A39"/>
    <w:rsid w:val="00A80D41"/>
    <w:rsid w:val="00A80DF0"/>
    <w:rsid w:val="00A80E64"/>
    <w:rsid w:val="00A81A16"/>
    <w:rsid w:val="00A823A7"/>
    <w:rsid w:val="00A824D4"/>
    <w:rsid w:val="00A825C8"/>
    <w:rsid w:val="00A82742"/>
    <w:rsid w:val="00A82A29"/>
    <w:rsid w:val="00A830A5"/>
    <w:rsid w:val="00A83984"/>
    <w:rsid w:val="00A83A1E"/>
    <w:rsid w:val="00A84198"/>
    <w:rsid w:val="00A841AB"/>
    <w:rsid w:val="00A84A93"/>
    <w:rsid w:val="00A84FFD"/>
    <w:rsid w:val="00A86104"/>
    <w:rsid w:val="00A86356"/>
    <w:rsid w:val="00A8655A"/>
    <w:rsid w:val="00A87203"/>
    <w:rsid w:val="00A87744"/>
    <w:rsid w:val="00A87AE6"/>
    <w:rsid w:val="00A87B09"/>
    <w:rsid w:val="00A87C22"/>
    <w:rsid w:val="00A87FBC"/>
    <w:rsid w:val="00A90590"/>
    <w:rsid w:val="00A90A97"/>
    <w:rsid w:val="00A90CB4"/>
    <w:rsid w:val="00A910DA"/>
    <w:rsid w:val="00A920E1"/>
    <w:rsid w:val="00A92AFD"/>
    <w:rsid w:val="00A933AE"/>
    <w:rsid w:val="00A93863"/>
    <w:rsid w:val="00A93928"/>
    <w:rsid w:val="00A9415E"/>
    <w:rsid w:val="00A9423F"/>
    <w:rsid w:val="00A94EBD"/>
    <w:rsid w:val="00A9510D"/>
    <w:rsid w:val="00A95580"/>
    <w:rsid w:val="00A956AC"/>
    <w:rsid w:val="00A95D2A"/>
    <w:rsid w:val="00A96214"/>
    <w:rsid w:val="00A967E8"/>
    <w:rsid w:val="00A97F4B"/>
    <w:rsid w:val="00AA04C5"/>
    <w:rsid w:val="00AA10B1"/>
    <w:rsid w:val="00AA2803"/>
    <w:rsid w:val="00AA2AB3"/>
    <w:rsid w:val="00AA2BF2"/>
    <w:rsid w:val="00AA2D68"/>
    <w:rsid w:val="00AA2D6F"/>
    <w:rsid w:val="00AA3987"/>
    <w:rsid w:val="00AA3B68"/>
    <w:rsid w:val="00AA3E79"/>
    <w:rsid w:val="00AA42D3"/>
    <w:rsid w:val="00AA4FB4"/>
    <w:rsid w:val="00AA5C0B"/>
    <w:rsid w:val="00AA5E3B"/>
    <w:rsid w:val="00AA63AD"/>
    <w:rsid w:val="00AA65B4"/>
    <w:rsid w:val="00AA6A75"/>
    <w:rsid w:val="00AA745E"/>
    <w:rsid w:val="00AB04AB"/>
    <w:rsid w:val="00AB0733"/>
    <w:rsid w:val="00AB09D2"/>
    <w:rsid w:val="00AB0B64"/>
    <w:rsid w:val="00AB0C30"/>
    <w:rsid w:val="00AB176B"/>
    <w:rsid w:val="00AB37E6"/>
    <w:rsid w:val="00AB3DBA"/>
    <w:rsid w:val="00AB431C"/>
    <w:rsid w:val="00AB470E"/>
    <w:rsid w:val="00AB5467"/>
    <w:rsid w:val="00AB5A7E"/>
    <w:rsid w:val="00AB7538"/>
    <w:rsid w:val="00AB77F3"/>
    <w:rsid w:val="00AC0256"/>
    <w:rsid w:val="00AC0AAD"/>
    <w:rsid w:val="00AC1231"/>
    <w:rsid w:val="00AC1992"/>
    <w:rsid w:val="00AC1E14"/>
    <w:rsid w:val="00AC288B"/>
    <w:rsid w:val="00AC2CFA"/>
    <w:rsid w:val="00AC3263"/>
    <w:rsid w:val="00AC337E"/>
    <w:rsid w:val="00AC3E12"/>
    <w:rsid w:val="00AC406E"/>
    <w:rsid w:val="00AC430C"/>
    <w:rsid w:val="00AC4951"/>
    <w:rsid w:val="00AC4A6B"/>
    <w:rsid w:val="00AC4B45"/>
    <w:rsid w:val="00AC5C19"/>
    <w:rsid w:val="00AC60F0"/>
    <w:rsid w:val="00AC6657"/>
    <w:rsid w:val="00AC6D7A"/>
    <w:rsid w:val="00AC7363"/>
    <w:rsid w:val="00AC7401"/>
    <w:rsid w:val="00AC7901"/>
    <w:rsid w:val="00AC79F3"/>
    <w:rsid w:val="00AC7E15"/>
    <w:rsid w:val="00AC7FDD"/>
    <w:rsid w:val="00AD0378"/>
    <w:rsid w:val="00AD0949"/>
    <w:rsid w:val="00AD0F1D"/>
    <w:rsid w:val="00AD1179"/>
    <w:rsid w:val="00AD1359"/>
    <w:rsid w:val="00AD19F0"/>
    <w:rsid w:val="00AD1FCE"/>
    <w:rsid w:val="00AD24D1"/>
    <w:rsid w:val="00AD26E1"/>
    <w:rsid w:val="00AD29CC"/>
    <w:rsid w:val="00AD3268"/>
    <w:rsid w:val="00AD3652"/>
    <w:rsid w:val="00AD3DE2"/>
    <w:rsid w:val="00AD4135"/>
    <w:rsid w:val="00AD4261"/>
    <w:rsid w:val="00AD46F5"/>
    <w:rsid w:val="00AD4CB1"/>
    <w:rsid w:val="00AD51A3"/>
    <w:rsid w:val="00AD598B"/>
    <w:rsid w:val="00AD7154"/>
    <w:rsid w:val="00AD797D"/>
    <w:rsid w:val="00AD7E02"/>
    <w:rsid w:val="00AE0034"/>
    <w:rsid w:val="00AE0483"/>
    <w:rsid w:val="00AE08DD"/>
    <w:rsid w:val="00AE13BD"/>
    <w:rsid w:val="00AE156F"/>
    <w:rsid w:val="00AE1ABF"/>
    <w:rsid w:val="00AE1AF9"/>
    <w:rsid w:val="00AE1E60"/>
    <w:rsid w:val="00AE2068"/>
    <w:rsid w:val="00AE2258"/>
    <w:rsid w:val="00AE277E"/>
    <w:rsid w:val="00AE2A36"/>
    <w:rsid w:val="00AE2BC6"/>
    <w:rsid w:val="00AE3251"/>
    <w:rsid w:val="00AE33DA"/>
    <w:rsid w:val="00AE3FE0"/>
    <w:rsid w:val="00AE5058"/>
    <w:rsid w:val="00AE51CD"/>
    <w:rsid w:val="00AE5471"/>
    <w:rsid w:val="00AE54AA"/>
    <w:rsid w:val="00AE60E4"/>
    <w:rsid w:val="00AE6872"/>
    <w:rsid w:val="00AE6C58"/>
    <w:rsid w:val="00AE72C4"/>
    <w:rsid w:val="00AE7DF5"/>
    <w:rsid w:val="00AE7F05"/>
    <w:rsid w:val="00AE7F38"/>
    <w:rsid w:val="00AF054D"/>
    <w:rsid w:val="00AF0939"/>
    <w:rsid w:val="00AF0981"/>
    <w:rsid w:val="00AF0F9C"/>
    <w:rsid w:val="00AF10F0"/>
    <w:rsid w:val="00AF24E7"/>
    <w:rsid w:val="00AF272B"/>
    <w:rsid w:val="00AF291B"/>
    <w:rsid w:val="00AF2DAA"/>
    <w:rsid w:val="00AF2EBD"/>
    <w:rsid w:val="00AF33AE"/>
    <w:rsid w:val="00AF34C9"/>
    <w:rsid w:val="00AF3CDC"/>
    <w:rsid w:val="00AF44B1"/>
    <w:rsid w:val="00AF5800"/>
    <w:rsid w:val="00AF6986"/>
    <w:rsid w:val="00AF69FE"/>
    <w:rsid w:val="00AF6A77"/>
    <w:rsid w:val="00AF6D1B"/>
    <w:rsid w:val="00AF73ED"/>
    <w:rsid w:val="00AF7B5B"/>
    <w:rsid w:val="00AF7D69"/>
    <w:rsid w:val="00AF7ED2"/>
    <w:rsid w:val="00B004D8"/>
    <w:rsid w:val="00B00830"/>
    <w:rsid w:val="00B00CC5"/>
    <w:rsid w:val="00B016D2"/>
    <w:rsid w:val="00B01890"/>
    <w:rsid w:val="00B02091"/>
    <w:rsid w:val="00B02B43"/>
    <w:rsid w:val="00B03D36"/>
    <w:rsid w:val="00B04540"/>
    <w:rsid w:val="00B046F1"/>
    <w:rsid w:val="00B05116"/>
    <w:rsid w:val="00B051A7"/>
    <w:rsid w:val="00B05F1A"/>
    <w:rsid w:val="00B07B33"/>
    <w:rsid w:val="00B07FA2"/>
    <w:rsid w:val="00B100CF"/>
    <w:rsid w:val="00B1074F"/>
    <w:rsid w:val="00B10E82"/>
    <w:rsid w:val="00B111A6"/>
    <w:rsid w:val="00B115E5"/>
    <w:rsid w:val="00B118EE"/>
    <w:rsid w:val="00B11B03"/>
    <w:rsid w:val="00B11B79"/>
    <w:rsid w:val="00B11C5B"/>
    <w:rsid w:val="00B121CD"/>
    <w:rsid w:val="00B12343"/>
    <w:rsid w:val="00B12529"/>
    <w:rsid w:val="00B128C5"/>
    <w:rsid w:val="00B12B11"/>
    <w:rsid w:val="00B12C94"/>
    <w:rsid w:val="00B12D5B"/>
    <w:rsid w:val="00B135AB"/>
    <w:rsid w:val="00B135D7"/>
    <w:rsid w:val="00B13797"/>
    <w:rsid w:val="00B137BF"/>
    <w:rsid w:val="00B13A1B"/>
    <w:rsid w:val="00B13A76"/>
    <w:rsid w:val="00B142D9"/>
    <w:rsid w:val="00B14BC4"/>
    <w:rsid w:val="00B158A3"/>
    <w:rsid w:val="00B15B25"/>
    <w:rsid w:val="00B15C36"/>
    <w:rsid w:val="00B15EA0"/>
    <w:rsid w:val="00B16069"/>
    <w:rsid w:val="00B17A4E"/>
    <w:rsid w:val="00B17B30"/>
    <w:rsid w:val="00B17C2F"/>
    <w:rsid w:val="00B2153E"/>
    <w:rsid w:val="00B21F72"/>
    <w:rsid w:val="00B21FA7"/>
    <w:rsid w:val="00B22022"/>
    <w:rsid w:val="00B225E4"/>
    <w:rsid w:val="00B231C5"/>
    <w:rsid w:val="00B23F7A"/>
    <w:rsid w:val="00B240B1"/>
    <w:rsid w:val="00B24208"/>
    <w:rsid w:val="00B24374"/>
    <w:rsid w:val="00B244D3"/>
    <w:rsid w:val="00B24728"/>
    <w:rsid w:val="00B248A9"/>
    <w:rsid w:val="00B2490A"/>
    <w:rsid w:val="00B24BE3"/>
    <w:rsid w:val="00B24D28"/>
    <w:rsid w:val="00B24F1C"/>
    <w:rsid w:val="00B25D76"/>
    <w:rsid w:val="00B27032"/>
    <w:rsid w:val="00B27085"/>
    <w:rsid w:val="00B27316"/>
    <w:rsid w:val="00B30003"/>
    <w:rsid w:val="00B3015C"/>
    <w:rsid w:val="00B30AD9"/>
    <w:rsid w:val="00B31201"/>
    <w:rsid w:val="00B31B00"/>
    <w:rsid w:val="00B31B4B"/>
    <w:rsid w:val="00B31E36"/>
    <w:rsid w:val="00B32E26"/>
    <w:rsid w:val="00B338B7"/>
    <w:rsid w:val="00B34061"/>
    <w:rsid w:val="00B34376"/>
    <w:rsid w:val="00B3440A"/>
    <w:rsid w:val="00B34441"/>
    <w:rsid w:val="00B35533"/>
    <w:rsid w:val="00B35534"/>
    <w:rsid w:val="00B35A87"/>
    <w:rsid w:val="00B35AFD"/>
    <w:rsid w:val="00B35F9A"/>
    <w:rsid w:val="00B3609C"/>
    <w:rsid w:val="00B36236"/>
    <w:rsid w:val="00B3662E"/>
    <w:rsid w:val="00B366D2"/>
    <w:rsid w:val="00B366FA"/>
    <w:rsid w:val="00B36E86"/>
    <w:rsid w:val="00B379BA"/>
    <w:rsid w:val="00B412FD"/>
    <w:rsid w:val="00B422BE"/>
    <w:rsid w:val="00B4241D"/>
    <w:rsid w:val="00B426BB"/>
    <w:rsid w:val="00B42EB9"/>
    <w:rsid w:val="00B436F0"/>
    <w:rsid w:val="00B441FE"/>
    <w:rsid w:val="00B44821"/>
    <w:rsid w:val="00B44AD3"/>
    <w:rsid w:val="00B450EB"/>
    <w:rsid w:val="00B45152"/>
    <w:rsid w:val="00B45E54"/>
    <w:rsid w:val="00B464E4"/>
    <w:rsid w:val="00B4689A"/>
    <w:rsid w:val="00B46D5F"/>
    <w:rsid w:val="00B46E7B"/>
    <w:rsid w:val="00B47DC5"/>
    <w:rsid w:val="00B505B3"/>
    <w:rsid w:val="00B50882"/>
    <w:rsid w:val="00B50A74"/>
    <w:rsid w:val="00B50BE3"/>
    <w:rsid w:val="00B520A0"/>
    <w:rsid w:val="00B5257E"/>
    <w:rsid w:val="00B525CE"/>
    <w:rsid w:val="00B52CFD"/>
    <w:rsid w:val="00B52EED"/>
    <w:rsid w:val="00B53103"/>
    <w:rsid w:val="00B545A8"/>
    <w:rsid w:val="00B55F22"/>
    <w:rsid w:val="00B56527"/>
    <w:rsid w:val="00B57019"/>
    <w:rsid w:val="00B576DA"/>
    <w:rsid w:val="00B57710"/>
    <w:rsid w:val="00B601C9"/>
    <w:rsid w:val="00B60D04"/>
    <w:rsid w:val="00B6158F"/>
    <w:rsid w:val="00B61EE8"/>
    <w:rsid w:val="00B633A3"/>
    <w:rsid w:val="00B63533"/>
    <w:rsid w:val="00B63BDB"/>
    <w:rsid w:val="00B63D62"/>
    <w:rsid w:val="00B64A0E"/>
    <w:rsid w:val="00B64DDF"/>
    <w:rsid w:val="00B6601E"/>
    <w:rsid w:val="00B663AA"/>
    <w:rsid w:val="00B66BDE"/>
    <w:rsid w:val="00B66DD5"/>
    <w:rsid w:val="00B67722"/>
    <w:rsid w:val="00B67B97"/>
    <w:rsid w:val="00B67F01"/>
    <w:rsid w:val="00B70329"/>
    <w:rsid w:val="00B70764"/>
    <w:rsid w:val="00B711AB"/>
    <w:rsid w:val="00B714F0"/>
    <w:rsid w:val="00B71A40"/>
    <w:rsid w:val="00B71C8C"/>
    <w:rsid w:val="00B71CB4"/>
    <w:rsid w:val="00B71FD7"/>
    <w:rsid w:val="00B725E7"/>
    <w:rsid w:val="00B72C07"/>
    <w:rsid w:val="00B72DF7"/>
    <w:rsid w:val="00B72F42"/>
    <w:rsid w:val="00B733FB"/>
    <w:rsid w:val="00B73E44"/>
    <w:rsid w:val="00B74290"/>
    <w:rsid w:val="00B74510"/>
    <w:rsid w:val="00B74BD4"/>
    <w:rsid w:val="00B74BF7"/>
    <w:rsid w:val="00B76185"/>
    <w:rsid w:val="00B76BCD"/>
    <w:rsid w:val="00B7786D"/>
    <w:rsid w:val="00B779E6"/>
    <w:rsid w:val="00B804E2"/>
    <w:rsid w:val="00B811B2"/>
    <w:rsid w:val="00B81BA3"/>
    <w:rsid w:val="00B82213"/>
    <w:rsid w:val="00B8276E"/>
    <w:rsid w:val="00B83A62"/>
    <w:rsid w:val="00B83B59"/>
    <w:rsid w:val="00B84252"/>
    <w:rsid w:val="00B8468F"/>
    <w:rsid w:val="00B84763"/>
    <w:rsid w:val="00B849F1"/>
    <w:rsid w:val="00B84FC6"/>
    <w:rsid w:val="00B857F5"/>
    <w:rsid w:val="00B86D6C"/>
    <w:rsid w:val="00B86EB5"/>
    <w:rsid w:val="00B86F47"/>
    <w:rsid w:val="00B874B4"/>
    <w:rsid w:val="00B876C1"/>
    <w:rsid w:val="00B8787A"/>
    <w:rsid w:val="00B87887"/>
    <w:rsid w:val="00B90123"/>
    <w:rsid w:val="00B90196"/>
    <w:rsid w:val="00B911C1"/>
    <w:rsid w:val="00B91374"/>
    <w:rsid w:val="00B922C3"/>
    <w:rsid w:val="00B9272A"/>
    <w:rsid w:val="00B9272E"/>
    <w:rsid w:val="00B927A7"/>
    <w:rsid w:val="00B92B9E"/>
    <w:rsid w:val="00B93315"/>
    <w:rsid w:val="00B93519"/>
    <w:rsid w:val="00B9372A"/>
    <w:rsid w:val="00B9425C"/>
    <w:rsid w:val="00B94AAF"/>
    <w:rsid w:val="00B953FF"/>
    <w:rsid w:val="00B9622D"/>
    <w:rsid w:val="00B96263"/>
    <w:rsid w:val="00B968A5"/>
    <w:rsid w:val="00B972CD"/>
    <w:rsid w:val="00B97D02"/>
    <w:rsid w:val="00BA0304"/>
    <w:rsid w:val="00BA0557"/>
    <w:rsid w:val="00BA19C4"/>
    <w:rsid w:val="00BA2682"/>
    <w:rsid w:val="00BA3038"/>
    <w:rsid w:val="00BA309A"/>
    <w:rsid w:val="00BA360A"/>
    <w:rsid w:val="00BA370A"/>
    <w:rsid w:val="00BA48BC"/>
    <w:rsid w:val="00BA4A29"/>
    <w:rsid w:val="00BA4BE7"/>
    <w:rsid w:val="00BA50DD"/>
    <w:rsid w:val="00BA5F20"/>
    <w:rsid w:val="00BA5F44"/>
    <w:rsid w:val="00BA68D9"/>
    <w:rsid w:val="00BA6FD8"/>
    <w:rsid w:val="00BA7172"/>
    <w:rsid w:val="00BA72CF"/>
    <w:rsid w:val="00BA7B01"/>
    <w:rsid w:val="00BB02D7"/>
    <w:rsid w:val="00BB0D9F"/>
    <w:rsid w:val="00BB0DEE"/>
    <w:rsid w:val="00BB0F93"/>
    <w:rsid w:val="00BB1031"/>
    <w:rsid w:val="00BB1B33"/>
    <w:rsid w:val="00BB2480"/>
    <w:rsid w:val="00BB27FD"/>
    <w:rsid w:val="00BB2C4E"/>
    <w:rsid w:val="00BB2E29"/>
    <w:rsid w:val="00BB2F74"/>
    <w:rsid w:val="00BB3206"/>
    <w:rsid w:val="00BB32C2"/>
    <w:rsid w:val="00BB3B0D"/>
    <w:rsid w:val="00BB4369"/>
    <w:rsid w:val="00BB524C"/>
    <w:rsid w:val="00BB5DAB"/>
    <w:rsid w:val="00BB6195"/>
    <w:rsid w:val="00BB61A3"/>
    <w:rsid w:val="00BB67EA"/>
    <w:rsid w:val="00BB707E"/>
    <w:rsid w:val="00BB7568"/>
    <w:rsid w:val="00BC007C"/>
    <w:rsid w:val="00BC0157"/>
    <w:rsid w:val="00BC0497"/>
    <w:rsid w:val="00BC0986"/>
    <w:rsid w:val="00BC0AB2"/>
    <w:rsid w:val="00BC1308"/>
    <w:rsid w:val="00BC1BF4"/>
    <w:rsid w:val="00BC2600"/>
    <w:rsid w:val="00BC2F24"/>
    <w:rsid w:val="00BC33BE"/>
    <w:rsid w:val="00BC3A47"/>
    <w:rsid w:val="00BC3EEB"/>
    <w:rsid w:val="00BC4780"/>
    <w:rsid w:val="00BC52C8"/>
    <w:rsid w:val="00BC5485"/>
    <w:rsid w:val="00BC549C"/>
    <w:rsid w:val="00BC570E"/>
    <w:rsid w:val="00BC5A6C"/>
    <w:rsid w:val="00BC5AF6"/>
    <w:rsid w:val="00BC5B4B"/>
    <w:rsid w:val="00BC5EDB"/>
    <w:rsid w:val="00BC69A2"/>
    <w:rsid w:val="00BC6ED6"/>
    <w:rsid w:val="00BC6F03"/>
    <w:rsid w:val="00BC6FA1"/>
    <w:rsid w:val="00BC70CE"/>
    <w:rsid w:val="00BC7487"/>
    <w:rsid w:val="00BD0570"/>
    <w:rsid w:val="00BD0853"/>
    <w:rsid w:val="00BD112D"/>
    <w:rsid w:val="00BD214E"/>
    <w:rsid w:val="00BD2395"/>
    <w:rsid w:val="00BD25B8"/>
    <w:rsid w:val="00BD2842"/>
    <w:rsid w:val="00BD2E6A"/>
    <w:rsid w:val="00BD3120"/>
    <w:rsid w:val="00BD3354"/>
    <w:rsid w:val="00BD384E"/>
    <w:rsid w:val="00BD3E76"/>
    <w:rsid w:val="00BD3EE2"/>
    <w:rsid w:val="00BD3FCF"/>
    <w:rsid w:val="00BD42D2"/>
    <w:rsid w:val="00BD47D7"/>
    <w:rsid w:val="00BD4E76"/>
    <w:rsid w:val="00BD4EFB"/>
    <w:rsid w:val="00BD5076"/>
    <w:rsid w:val="00BD5551"/>
    <w:rsid w:val="00BD5984"/>
    <w:rsid w:val="00BD6D43"/>
    <w:rsid w:val="00BD7090"/>
    <w:rsid w:val="00BD7120"/>
    <w:rsid w:val="00BD7490"/>
    <w:rsid w:val="00BD767F"/>
    <w:rsid w:val="00BD7DA0"/>
    <w:rsid w:val="00BE096B"/>
    <w:rsid w:val="00BE09C3"/>
    <w:rsid w:val="00BE0C27"/>
    <w:rsid w:val="00BE15BB"/>
    <w:rsid w:val="00BE198F"/>
    <w:rsid w:val="00BE4CCF"/>
    <w:rsid w:val="00BE5964"/>
    <w:rsid w:val="00BE5D68"/>
    <w:rsid w:val="00BE660B"/>
    <w:rsid w:val="00BE6AFE"/>
    <w:rsid w:val="00BE6BBE"/>
    <w:rsid w:val="00BE7021"/>
    <w:rsid w:val="00BE7300"/>
    <w:rsid w:val="00BE76F7"/>
    <w:rsid w:val="00BE784F"/>
    <w:rsid w:val="00BE79C6"/>
    <w:rsid w:val="00BF0238"/>
    <w:rsid w:val="00BF0717"/>
    <w:rsid w:val="00BF1750"/>
    <w:rsid w:val="00BF178E"/>
    <w:rsid w:val="00BF189F"/>
    <w:rsid w:val="00BF18F2"/>
    <w:rsid w:val="00BF1B44"/>
    <w:rsid w:val="00BF1F01"/>
    <w:rsid w:val="00BF1FC2"/>
    <w:rsid w:val="00BF23CC"/>
    <w:rsid w:val="00BF243F"/>
    <w:rsid w:val="00BF2708"/>
    <w:rsid w:val="00BF2ECF"/>
    <w:rsid w:val="00BF40B6"/>
    <w:rsid w:val="00BF4C2B"/>
    <w:rsid w:val="00BF507A"/>
    <w:rsid w:val="00BF53F1"/>
    <w:rsid w:val="00BF5717"/>
    <w:rsid w:val="00BF585E"/>
    <w:rsid w:val="00BF5B9D"/>
    <w:rsid w:val="00BF5C45"/>
    <w:rsid w:val="00BF5FA3"/>
    <w:rsid w:val="00BF62F2"/>
    <w:rsid w:val="00BF63A5"/>
    <w:rsid w:val="00BF72A7"/>
    <w:rsid w:val="00BF7558"/>
    <w:rsid w:val="00BF7DD2"/>
    <w:rsid w:val="00C0111E"/>
    <w:rsid w:val="00C02676"/>
    <w:rsid w:val="00C029AB"/>
    <w:rsid w:val="00C02D74"/>
    <w:rsid w:val="00C03BD5"/>
    <w:rsid w:val="00C03C8B"/>
    <w:rsid w:val="00C03F3C"/>
    <w:rsid w:val="00C0425C"/>
    <w:rsid w:val="00C049BE"/>
    <w:rsid w:val="00C04A71"/>
    <w:rsid w:val="00C04DF0"/>
    <w:rsid w:val="00C04F92"/>
    <w:rsid w:val="00C050BB"/>
    <w:rsid w:val="00C05A4C"/>
    <w:rsid w:val="00C05A67"/>
    <w:rsid w:val="00C0641F"/>
    <w:rsid w:val="00C06E6F"/>
    <w:rsid w:val="00C07371"/>
    <w:rsid w:val="00C075DB"/>
    <w:rsid w:val="00C07EBA"/>
    <w:rsid w:val="00C07FBC"/>
    <w:rsid w:val="00C100E7"/>
    <w:rsid w:val="00C11113"/>
    <w:rsid w:val="00C11422"/>
    <w:rsid w:val="00C11687"/>
    <w:rsid w:val="00C11E28"/>
    <w:rsid w:val="00C11F66"/>
    <w:rsid w:val="00C1225B"/>
    <w:rsid w:val="00C122F9"/>
    <w:rsid w:val="00C1253A"/>
    <w:rsid w:val="00C128C9"/>
    <w:rsid w:val="00C12CF3"/>
    <w:rsid w:val="00C12F88"/>
    <w:rsid w:val="00C131A8"/>
    <w:rsid w:val="00C1322D"/>
    <w:rsid w:val="00C135A3"/>
    <w:rsid w:val="00C1477A"/>
    <w:rsid w:val="00C14A62"/>
    <w:rsid w:val="00C151F5"/>
    <w:rsid w:val="00C158EB"/>
    <w:rsid w:val="00C159B1"/>
    <w:rsid w:val="00C15D51"/>
    <w:rsid w:val="00C161F5"/>
    <w:rsid w:val="00C16BE6"/>
    <w:rsid w:val="00C16C92"/>
    <w:rsid w:val="00C1706B"/>
    <w:rsid w:val="00C17DB7"/>
    <w:rsid w:val="00C17E48"/>
    <w:rsid w:val="00C17F0B"/>
    <w:rsid w:val="00C201E7"/>
    <w:rsid w:val="00C20506"/>
    <w:rsid w:val="00C20AA2"/>
    <w:rsid w:val="00C20B91"/>
    <w:rsid w:val="00C21155"/>
    <w:rsid w:val="00C2146C"/>
    <w:rsid w:val="00C214D7"/>
    <w:rsid w:val="00C21561"/>
    <w:rsid w:val="00C217EE"/>
    <w:rsid w:val="00C22784"/>
    <w:rsid w:val="00C23843"/>
    <w:rsid w:val="00C23A4C"/>
    <w:rsid w:val="00C2419D"/>
    <w:rsid w:val="00C243A4"/>
    <w:rsid w:val="00C24416"/>
    <w:rsid w:val="00C248DB"/>
    <w:rsid w:val="00C26170"/>
    <w:rsid w:val="00C26B5A"/>
    <w:rsid w:val="00C26D52"/>
    <w:rsid w:val="00C303E4"/>
    <w:rsid w:val="00C30775"/>
    <w:rsid w:val="00C30B8D"/>
    <w:rsid w:val="00C3134E"/>
    <w:rsid w:val="00C315D8"/>
    <w:rsid w:val="00C316A8"/>
    <w:rsid w:val="00C31C4A"/>
    <w:rsid w:val="00C31D2D"/>
    <w:rsid w:val="00C3209A"/>
    <w:rsid w:val="00C32639"/>
    <w:rsid w:val="00C32808"/>
    <w:rsid w:val="00C32AD2"/>
    <w:rsid w:val="00C33114"/>
    <w:rsid w:val="00C34193"/>
    <w:rsid w:val="00C347FD"/>
    <w:rsid w:val="00C34DAE"/>
    <w:rsid w:val="00C34E1E"/>
    <w:rsid w:val="00C34E5A"/>
    <w:rsid w:val="00C353D2"/>
    <w:rsid w:val="00C35D9C"/>
    <w:rsid w:val="00C36219"/>
    <w:rsid w:val="00C3698E"/>
    <w:rsid w:val="00C36CCA"/>
    <w:rsid w:val="00C36E1C"/>
    <w:rsid w:val="00C36F42"/>
    <w:rsid w:val="00C3718A"/>
    <w:rsid w:val="00C3728D"/>
    <w:rsid w:val="00C379C5"/>
    <w:rsid w:val="00C37EEE"/>
    <w:rsid w:val="00C40453"/>
    <w:rsid w:val="00C40E71"/>
    <w:rsid w:val="00C40FBC"/>
    <w:rsid w:val="00C4141D"/>
    <w:rsid w:val="00C41879"/>
    <w:rsid w:val="00C41A7C"/>
    <w:rsid w:val="00C42CEF"/>
    <w:rsid w:val="00C42D55"/>
    <w:rsid w:val="00C43080"/>
    <w:rsid w:val="00C4370E"/>
    <w:rsid w:val="00C43823"/>
    <w:rsid w:val="00C4384B"/>
    <w:rsid w:val="00C4393C"/>
    <w:rsid w:val="00C43F2D"/>
    <w:rsid w:val="00C44068"/>
    <w:rsid w:val="00C442AE"/>
    <w:rsid w:val="00C44DCD"/>
    <w:rsid w:val="00C4518B"/>
    <w:rsid w:val="00C45780"/>
    <w:rsid w:val="00C458D6"/>
    <w:rsid w:val="00C45919"/>
    <w:rsid w:val="00C4655A"/>
    <w:rsid w:val="00C466BF"/>
    <w:rsid w:val="00C47385"/>
    <w:rsid w:val="00C47555"/>
    <w:rsid w:val="00C476AC"/>
    <w:rsid w:val="00C47E67"/>
    <w:rsid w:val="00C47FD9"/>
    <w:rsid w:val="00C50C1A"/>
    <w:rsid w:val="00C50E1E"/>
    <w:rsid w:val="00C51508"/>
    <w:rsid w:val="00C51D73"/>
    <w:rsid w:val="00C52A05"/>
    <w:rsid w:val="00C52C00"/>
    <w:rsid w:val="00C52E97"/>
    <w:rsid w:val="00C52EAF"/>
    <w:rsid w:val="00C53189"/>
    <w:rsid w:val="00C534E5"/>
    <w:rsid w:val="00C534F4"/>
    <w:rsid w:val="00C5375B"/>
    <w:rsid w:val="00C53B15"/>
    <w:rsid w:val="00C53DA9"/>
    <w:rsid w:val="00C53EF7"/>
    <w:rsid w:val="00C54280"/>
    <w:rsid w:val="00C54616"/>
    <w:rsid w:val="00C54929"/>
    <w:rsid w:val="00C550B6"/>
    <w:rsid w:val="00C55373"/>
    <w:rsid w:val="00C556B1"/>
    <w:rsid w:val="00C557BE"/>
    <w:rsid w:val="00C55A05"/>
    <w:rsid w:val="00C56101"/>
    <w:rsid w:val="00C565F2"/>
    <w:rsid w:val="00C567E3"/>
    <w:rsid w:val="00C56C45"/>
    <w:rsid w:val="00C573CC"/>
    <w:rsid w:val="00C57B81"/>
    <w:rsid w:val="00C57FB9"/>
    <w:rsid w:val="00C6077B"/>
    <w:rsid w:val="00C60950"/>
    <w:rsid w:val="00C60DD1"/>
    <w:rsid w:val="00C61565"/>
    <w:rsid w:val="00C61574"/>
    <w:rsid w:val="00C615B4"/>
    <w:rsid w:val="00C61AC6"/>
    <w:rsid w:val="00C61ACF"/>
    <w:rsid w:val="00C6211D"/>
    <w:rsid w:val="00C62537"/>
    <w:rsid w:val="00C62B32"/>
    <w:rsid w:val="00C63DED"/>
    <w:rsid w:val="00C63E88"/>
    <w:rsid w:val="00C6436D"/>
    <w:rsid w:val="00C649DD"/>
    <w:rsid w:val="00C64F97"/>
    <w:rsid w:val="00C65585"/>
    <w:rsid w:val="00C656EB"/>
    <w:rsid w:val="00C65DF4"/>
    <w:rsid w:val="00C66142"/>
    <w:rsid w:val="00C661C6"/>
    <w:rsid w:val="00C67B49"/>
    <w:rsid w:val="00C711F5"/>
    <w:rsid w:val="00C71326"/>
    <w:rsid w:val="00C713A1"/>
    <w:rsid w:val="00C713D8"/>
    <w:rsid w:val="00C71828"/>
    <w:rsid w:val="00C7208E"/>
    <w:rsid w:val="00C72105"/>
    <w:rsid w:val="00C74107"/>
    <w:rsid w:val="00C74520"/>
    <w:rsid w:val="00C74954"/>
    <w:rsid w:val="00C76028"/>
    <w:rsid w:val="00C76184"/>
    <w:rsid w:val="00C76462"/>
    <w:rsid w:val="00C7673D"/>
    <w:rsid w:val="00C76A80"/>
    <w:rsid w:val="00C76C27"/>
    <w:rsid w:val="00C76F07"/>
    <w:rsid w:val="00C7718F"/>
    <w:rsid w:val="00C77960"/>
    <w:rsid w:val="00C77EF6"/>
    <w:rsid w:val="00C80B4B"/>
    <w:rsid w:val="00C80D63"/>
    <w:rsid w:val="00C812D5"/>
    <w:rsid w:val="00C81BEA"/>
    <w:rsid w:val="00C81DF5"/>
    <w:rsid w:val="00C82188"/>
    <w:rsid w:val="00C8242B"/>
    <w:rsid w:val="00C82A50"/>
    <w:rsid w:val="00C83240"/>
    <w:rsid w:val="00C83381"/>
    <w:rsid w:val="00C83607"/>
    <w:rsid w:val="00C83768"/>
    <w:rsid w:val="00C83B18"/>
    <w:rsid w:val="00C840C3"/>
    <w:rsid w:val="00C841B4"/>
    <w:rsid w:val="00C84266"/>
    <w:rsid w:val="00C8466F"/>
    <w:rsid w:val="00C849E0"/>
    <w:rsid w:val="00C84B74"/>
    <w:rsid w:val="00C8512A"/>
    <w:rsid w:val="00C85378"/>
    <w:rsid w:val="00C85970"/>
    <w:rsid w:val="00C85E9B"/>
    <w:rsid w:val="00C874C8"/>
    <w:rsid w:val="00C8750F"/>
    <w:rsid w:val="00C90165"/>
    <w:rsid w:val="00C902DA"/>
    <w:rsid w:val="00C90733"/>
    <w:rsid w:val="00C921C4"/>
    <w:rsid w:val="00C9235F"/>
    <w:rsid w:val="00C9257F"/>
    <w:rsid w:val="00C9319C"/>
    <w:rsid w:val="00C934F6"/>
    <w:rsid w:val="00C93874"/>
    <w:rsid w:val="00C93A4C"/>
    <w:rsid w:val="00C94017"/>
    <w:rsid w:val="00C944EB"/>
    <w:rsid w:val="00C94FD2"/>
    <w:rsid w:val="00C95341"/>
    <w:rsid w:val="00C95B76"/>
    <w:rsid w:val="00C964C3"/>
    <w:rsid w:val="00C96635"/>
    <w:rsid w:val="00C966B7"/>
    <w:rsid w:val="00C969DB"/>
    <w:rsid w:val="00C96A6E"/>
    <w:rsid w:val="00C97A4A"/>
    <w:rsid w:val="00C97DC9"/>
    <w:rsid w:val="00C97EE3"/>
    <w:rsid w:val="00CA042A"/>
    <w:rsid w:val="00CA12BA"/>
    <w:rsid w:val="00CA165C"/>
    <w:rsid w:val="00CA17B5"/>
    <w:rsid w:val="00CA1C0D"/>
    <w:rsid w:val="00CA1DAE"/>
    <w:rsid w:val="00CA1E62"/>
    <w:rsid w:val="00CA2267"/>
    <w:rsid w:val="00CA315D"/>
    <w:rsid w:val="00CA38AD"/>
    <w:rsid w:val="00CA3EEE"/>
    <w:rsid w:val="00CA5098"/>
    <w:rsid w:val="00CA5503"/>
    <w:rsid w:val="00CA5B2E"/>
    <w:rsid w:val="00CA66C3"/>
    <w:rsid w:val="00CA6CAD"/>
    <w:rsid w:val="00CA70A8"/>
    <w:rsid w:val="00CA70D0"/>
    <w:rsid w:val="00CA74A4"/>
    <w:rsid w:val="00CA7683"/>
    <w:rsid w:val="00CA7EA1"/>
    <w:rsid w:val="00CA7EEB"/>
    <w:rsid w:val="00CB009B"/>
    <w:rsid w:val="00CB0231"/>
    <w:rsid w:val="00CB0838"/>
    <w:rsid w:val="00CB092E"/>
    <w:rsid w:val="00CB1AFD"/>
    <w:rsid w:val="00CB1EB3"/>
    <w:rsid w:val="00CB2126"/>
    <w:rsid w:val="00CB2308"/>
    <w:rsid w:val="00CB24AD"/>
    <w:rsid w:val="00CB2C59"/>
    <w:rsid w:val="00CB2D9C"/>
    <w:rsid w:val="00CB34AB"/>
    <w:rsid w:val="00CB3529"/>
    <w:rsid w:val="00CB38A9"/>
    <w:rsid w:val="00CB3A45"/>
    <w:rsid w:val="00CB4728"/>
    <w:rsid w:val="00CB59E7"/>
    <w:rsid w:val="00CB5D27"/>
    <w:rsid w:val="00CB5E4A"/>
    <w:rsid w:val="00CB6FCA"/>
    <w:rsid w:val="00CB724D"/>
    <w:rsid w:val="00CB73EA"/>
    <w:rsid w:val="00CB76E3"/>
    <w:rsid w:val="00CB7D4E"/>
    <w:rsid w:val="00CB7F1F"/>
    <w:rsid w:val="00CC002B"/>
    <w:rsid w:val="00CC07E5"/>
    <w:rsid w:val="00CC09F0"/>
    <w:rsid w:val="00CC0AB5"/>
    <w:rsid w:val="00CC0C11"/>
    <w:rsid w:val="00CC1F52"/>
    <w:rsid w:val="00CC233F"/>
    <w:rsid w:val="00CC27FD"/>
    <w:rsid w:val="00CC29A4"/>
    <w:rsid w:val="00CC31E8"/>
    <w:rsid w:val="00CC3AB9"/>
    <w:rsid w:val="00CC3C9E"/>
    <w:rsid w:val="00CC45E0"/>
    <w:rsid w:val="00CC4BBE"/>
    <w:rsid w:val="00CC4BC3"/>
    <w:rsid w:val="00CC50C7"/>
    <w:rsid w:val="00CC55AC"/>
    <w:rsid w:val="00CC5859"/>
    <w:rsid w:val="00CC6D1C"/>
    <w:rsid w:val="00CC71DD"/>
    <w:rsid w:val="00CC71F3"/>
    <w:rsid w:val="00CC72C0"/>
    <w:rsid w:val="00CC757D"/>
    <w:rsid w:val="00CC7C74"/>
    <w:rsid w:val="00CD00DB"/>
    <w:rsid w:val="00CD0119"/>
    <w:rsid w:val="00CD017F"/>
    <w:rsid w:val="00CD07FD"/>
    <w:rsid w:val="00CD0866"/>
    <w:rsid w:val="00CD1169"/>
    <w:rsid w:val="00CD15F1"/>
    <w:rsid w:val="00CD16C7"/>
    <w:rsid w:val="00CD1A40"/>
    <w:rsid w:val="00CD1B33"/>
    <w:rsid w:val="00CD1C47"/>
    <w:rsid w:val="00CD22C2"/>
    <w:rsid w:val="00CD25F3"/>
    <w:rsid w:val="00CD27FF"/>
    <w:rsid w:val="00CD2875"/>
    <w:rsid w:val="00CD2DF3"/>
    <w:rsid w:val="00CD301A"/>
    <w:rsid w:val="00CD305C"/>
    <w:rsid w:val="00CD3A6D"/>
    <w:rsid w:val="00CD3E5A"/>
    <w:rsid w:val="00CD3E63"/>
    <w:rsid w:val="00CD40A3"/>
    <w:rsid w:val="00CD4333"/>
    <w:rsid w:val="00CD4CD3"/>
    <w:rsid w:val="00CD5249"/>
    <w:rsid w:val="00CD52FB"/>
    <w:rsid w:val="00CD589F"/>
    <w:rsid w:val="00CD60C9"/>
    <w:rsid w:val="00CD6345"/>
    <w:rsid w:val="00CD6BBB"/>
    <w:rsid w:val="00CD6EC2"/>
    <w:rsid w:val="00CD7319"/>
    <w:rsid w:val="00CD7482"/>
    <w:rsid w:val="00CE07C1"/>
    <w:rsid w:val="00CE1567"/>
    <w:rsid w:val="00CE1859"/>
    <w:rsid w:val="00CE186F"/>
    <w:rsid w:val="00CE20E3"/>
    <w:rsid w:val="00CE273A"/>
    <w:rsid w:val="00CE321C"/>
    <w:rsid w:val="00CE32E8"/>
    <w:rsid w:val="00CE353C"/>
    <w:rsid w:val="00CE3700"/>
    <w:rsid w:val="00CE3B69"/>
    <w:rsid w:val="00CE4559"/>
    <w:rsid w:val="00CE5118"/>
    <w:rsid w:val="00CE5487"/>
    <w:rsid w:val="00CE59B5"/>
    <w:rsid w:val="00CE59DB"/>
    <w:rsid w:val="00CE5B6A"/>
    <w:rsid w:val="00CE5D3A"/>
    <w:rsid w:val="00CE67D8"/>
    <w:rsid w:val="00CE68EA"/>
    <w:rsid w:val="00CE7381"/>
    <w:rsid w:val="00CE7447"/>
    <w:rsid w:val="00CE74CE"/>
    <w:rsid w:val="00CF0829"/>
    <w:rsid w:val="00CF0E74"/>
    <w:rsid w:val="00CF1833"/>
    <w:rsid w:val="00CF1AEA"/>
    <w:rsid w:val="00CF2076"/>
    <w:rsid w:val="00CF2091"/>
    <w:rsid w:val="00CF21F6"/>
    <w:rsid w:val="00CF2278"/>
    <w:rsid w:val="00CF2C62"/>
    <w:rsid w:val="00CF2F66"/>
    <w:rsid w:val="00CF337B"/>
    <w:rsid w:val="00CF3FE7"/>
    <w:rsid w:val="00CF4416"/>
    <w:rsid w:val="00CF5762"/>
    <w:rsid w:val="00CF65B4"/>
    <w:rsid w:val="00CF69B0"/>
    <w:rsid w:val="00CF6C05"/>
    <w:rsid w:val="00CF7485"/>
    <w:rsid w:val="00CF764E"/>
    <w:rsid w:val="00CF7E56"/>
    <w:rsid w:val="00D00321"/>
    <w:rsid w:val="00D01502"/>
    <w:rsid w:val="00D01744"/>
    <w:rsid w:val="00D01984"/>
    <w:rsid w:val="00D01C03"/>
    <w:rsid w:val="00D025CE"/>
    <w:rsid w:val="00D02A0F"/>
    <w:rsid w:val="00D02CA6"/>
    <w:rsid w:val="00D02DF3"/>
    <w:rsid w:val="00D03181"/>
    <w:rsid w:val="00D037DC"/>
    <w:rsid w:val="00D0383B"/>
    <w:rsid w:val="00D03A8A"/>
    <w:rsid w:val="00D03DA5"/>
    <w:rsid w:val="00D03F27"/>
    <w:rsid w:val="00D043EE"/>
    <w:rsid w:val="00D0470D"/>
    <w:rsid w:val="00D05249"/>
    <w:rsid w:val="00D055CA"/>
    <w:rsid w:val="00D059FC"/>
    <w:rsid w:val="00D05DEF"/>
    <w:rsid w:val="00D062A6"/>
    <w:rsid w:val="00D06861"/>
    <w:rsid w:val="00D0688A"/>
    <w:rsid w:val="00D06F22"/>
    <w:rsid w:val="00D07A9C"/>
    <w:rsid w:val="00D10076"/>
    <w:rsid w:val="00D1033B"/>
    <w:rsid w:val="00D10360"/>
    <w:rsid w:val="00D10477"/>
    <w:rsid w:val="00D107E2"/>
    <w:rsid w:val="00D11D76"/>
    <w:rsid w:val="00D121F5"/>
    <w:rsid w:val="00D126E4"/>
    <w:rsid w:val="00D131BF"/>
    <w:rsid w:val="00D139AB"/>
    <w:rsid w:val="00D13A90"/>
    <w:rsid w:val="00D140E6"/>
    <w:rsid w:val="00D158EF"/>
    <w:rsid w:val="00D15C14"/>
    <w:rsid w:val="00D15E74"/>
    <w:rsid w:val="00D15FAA"/>
    <w:rsid w:val="00D16ECB"/>
    <w:rsid w:val="00D16EEE"/>
    <w:rsid w:val="00D17167"/>
    <w:rsid w:val="00D17BA5"/>
    <w:rsid w:val="00D2058D"/>
    <w:rsid w:val="00D206A3"/>
    <w:rsid w:val="00D2176E"/>
    <w:rsid w:val="00D2182A"/>
    <w:rsid w:val="00D2193D"/>
    <w:rsid w:val="00D21BCD"/>
    <w:rsid w:val="00D22105"/>
    <w:rsid w:val="00D2211C"/>
    <w:rsid w:val="00D22B55"/>
    <w:rsid w:val="00D22C81"/>
    <w:rsid w:val="00D23055"/>
    <w:rsid w:val="00D230AD"/>
    <w:rsid w:val="00D2320E"/>
    <w:rsid w:val="00D2327A"/>
    <w:rsid w:val="00D23C7C"/>
    <w:rsid w:val="00D251AB"/>
    <w:rsid w:val="00D25240"/>
    <w:rsid w:val="00D25AC6"/>
    <w:rsid w:val="00D261D3"/>
    <w:rsid w:val="00D319DF"/>
    <w:rsid w:val="00D31C02"/>
    <w:rsid w:val="00D3225E"/>
    <w:rsid w:val="00D324BC"/>
    <w:rsid w:val="00D32B73"/>
    <w:rsid w:val="00D32B9F"/>
    <w:rsid w:val="00D33565"/>
    <w:rsid w:val="00D33761"/>
    <w:rsid w:val="00D33762"/>
    <w:rsid w:val="00D341C7"/>
    <w:rsid w:val="00D344B7"/>
    <w:rsid w:val="00D34BD1"/>
    <w:rsid w:val="00D35177"/>
    <w:rsid w:val="00D356CB"/>
    <w:rsid w:val="00D356E1"/>
    <w:rsid w:val="00D40340"/>
    <w:rsid w:val="00D40609"/>
    <w:rsid w:val="00D40983"/>
    <w:rsid w:val="00D41188"/>
    <w:rsid w:val="00D417D3"/>
    <w:rsid w:val="00D418D5"/>
    <w:rsid w:val="00D41940"/>
    <w:rsid w:val="00D41DB1"/>
    <w:rsid w:val="00D4249C"/>
    <w:rsid w:val="00D4276D"/>
    <w:rsid w:val="00D42798"/>
    <w:rsid w:val="00D42970"/>
    <w:rsid w:val="00D43AED"/>
    <w:rsid w:val="00D44916"/>
    <w:rsid w:val="00D45AE4"/>
    <w:rsid w:val="00D45CA4"/>
    <w:rsid w:val="00D45EA7"/>
    <w:rsid w:val="00D45F22"/>
    <w:rsid w:val="00D47178"/>
    <w:rsid w:val="00D4752E"/>
    <w:rsid w:val="00D47842"/>
    <w:rsid w:val="00D47BEF"/>
    <w:rsid w:val="00D50826"/>
    <w:rsid w:val="00D50C9B"/>
    <w:rsid w:val="00D51675"/>
    <w:rsid w:val="00D51F73"/>
    <w:rsid w:val="00D52827"/>
    <w:rsid w:val="00D529BE"/>
    <w:rsid w:val="00D52CF6"/>
    <w:rsid w:val="00D53D3E"/>
    <w:rsid w:val="00D547E0"/>
    <w:rsid w:val="00D54992"/>
    <w:rsid w:val="00D55035"/>
    <w:rsid w:val="00D55291"/>
    <w:rsid w:val="00D55C48"/>
    <w:rsid w:val="00D55E47"/>
    <w:rsid w:val="00D56392"/>
    <w:rsid w:val="00D56997"/>
    <w:rsid w:val="00D570E6"/>
    <w:rsid w:val="00D5730F"/>
    <w:rsid w:val="00D5774F"/>
    <w:rsid w:val="00D57D60"/>
    <w:rsid w:val="00D60809"/>
    <w:rsid w:val="00D60D7F"/>
    <w:rsid w:val="00D61C9C"/>
    <w:rsid w:val="00D62111"/>
    <w:rsid w:val="00D62229"/>
    <w:rsid w:val="00D625B8"/>
    <w:rsid w:val="00D626F8"/>
    <w:rsid w:val="00D62A03"/>
    <w:rsid w:val="00D636DC"/>
    <w:rsid w:val="00D63F14"/>
    <w:rsid w:val="00D63F4C"/>
    <w:rsid w:val="00D64613"/>
    <w:rsid w:val="00D64702"/>
    <w:rsid w:val="00D65866"/>
    <w:rsid w:val="00D659FA"/>
    <w:rsid w:val="00D66BFD"/>
    <w:rsid w:val="00D66C91"/>
    <w:rsid w:val="00D674EE"/>
    <w:rsid w:val="00D67535"/>
    <w:rsid w:val="00D67A4D"/>
    <w:rsid w:val="00D67BC9"/>
    <w:rsid w:val="00D67DBC"/>
    <w:rsid w:val="00D704D9"/>
    <w:rsid w:val="00D70934"/>
    <w:rsid w:val="00D70BD2"/>
    <w:rsid w:val="00D70EB0"/>
    <w:rsid w:val="00D713F2"/>
    <w:rsid w:val="00D721B1"/>
    <w:rsid w:val="00D7226B"/>
    <w:rsid w:val="00D72705"/>
    <w:rsid w:val="00D738BF"/>
    <w:rsid w:val="00D73B93"/>
    <w:rsid w:val="00D73C95"/>
    <w:rsid w:val="00D7400F"/>
    <w:rsid w:val="00D745C1"/>
    <w:rsid w:val="00D74784"/>
    <w:rsid w:val="00D756F6"/>
    <w:rsid w:val="00D75731"/>
    <w:rsid w:val="00D75B45"/>
    <w:rsid w:val="00D75B5C"/>
    <w:rsid w:val="00D75F8C"/>
    <w:rsid w:val="00D76050"/>
    <w:rsid w:val="00D76309"/>
    <w:rsid w:val="00D76423"/>
    <w:rsid w:val="00D767BF"/>
    <w:rsid w:val="00D77278"/>
    <w:rsid w:val="00D7749B"/>
    <w:rsid w:val="00D775B5"/>
    <w:rsid w:val="00D77961"/>
    <w:rsid w:val="00D77A47"/>
    <w:rsid w:val="00D77B20"/>
    <w:rsid w:val="00D77B3B"/>
    <w:rsid w:val="00D8007C"/>
    <w:rsid w:val="00D800BF"/>
    <w:rsid w:val="00D8079F"/>
    <w:rsid w:val="00D80D0D"/>
    <w:rsid w:val="00D8103B"/>
    <w:rsid w:val="00D8111B"/>
    <w:rsid w:val="00D81242"/>
    <w:rsid w:val="00D812D2"/>
    <w:rsid w:val="00D8135F"/>
    <w:rsid w:val="00D8288C"/>
    <w:rsid w:val="00D82C80"/>
    <w:rsid w:val="00D82D02"/>
    <w:rsid w:val="00D82D0F"/>
    <w:rsid w:val="00D83A5A"/>
    <w:rsid w:val="00D84157"/>
    <w:rsid w:val="00D84BD7"/>
    <w:rsid w:val="00D84DCA"/>
    <w:rsid w:val="00D85114"/>
    <w:rsid w:val="00D857BC"/>
    <w:rsid w:val="00D85CC6"/>
    <w:rsid w:val="00D86A92"/>
    <w:rsid w:val="00D871B6"/>
    <w:rsid w:val="00D875E1"/>
    <w:rsid w:val="00D87F1E"/>
    <w:rsid w:val="00D90275"/>
    <w:rsid w:val="00D902F5"/>
    <w:rsid w:val="00D9075D"/>
    <w:rsid w:val="00D90959"/>
    <w:rsid w:val="00D91410"/>
    <w:rsid w:val="00D91438"/>
    <w:rsid w:val="00D91594"/>
    <w:rsid w:val="00D91ABE"/>
    <w:rsid w:val="00D91DFB"/>
    <w:rsid w:val="00D921DA"/>
    <w:rsid w:val="00D92C2F"/>
    <w:rsid w:val="00D92F7F"/>
    <w:rsid w:val="00D930AC"/>
    <w:rsid w:val="00D9385C"/>
    <w:rsid w:val="00D9459D"/>
    <w:rsid w:val="00D94730"/>
    <w:rsid w:val="00D94858"/>
    <w:rsid w:val="00D94972"/>
    <w:rsid w:val="00D954A1"/>
    <w:rsid w:val="00D95519"/>
    <w:rsid w:val="00D95744"/>
    <w:rsid w:val="00D958FC"/>
    <w:rsid w:val="00D959AE"/>
    <w:rsid w:val="00D95DC2"/>
    <w:rsid w:val="00D96678"/>
    <w:rsid w:val="00D9673A"/>
    <w:rsid w:val="00D96C73"/>
    <w:rsid w:val="00D96D46"/>
    <w:rsid w:val="00D97C27"/>
    <w:rsid w:val="00DA032C"/>
    <w:rsid w:val="00DA0526"/>
    <w:rsid w:val="00DA0639"/>
    <w:rsid w:val="00DA0B8C"/>
    <w:rsid w:val="00DA0CF7"/>
    <w:rsid w:val="00DA0E96"/>
    <w:rsid w:val="00DA1203"/>
    <w:rsid w:val="00DA14A0"/>
    <w:rsid w:val="00DA18DA"/>
    <w:rsid w:val="00DA1C31"/>
    <w:rsid w:val="00DA1F0C"/>
    <w:rsid w:val="00DA2829"/>
    <w:rsid w:val="00DA3565"/>
    <w:rsid w:val="00DA3A5B"/>
    <w:rsid w:val="00DA3C1B"/>
    <w:rsid w:val="00DA3D0B"/>
    <w:rsid w:val="00DA3F51"/>
    <w:rsid w:val="00DA426E"/>
    <w:rsid w:val="00DA45DB"/>
    <w:rsid w:val="00DA48D9"/>
    <w:rsid w:val="00DA49F8"/>
    <w:rsid w:val="00DA4AAE"/>
    <w:rsid w:val="00DA5572"/>
    <w:rsid w:val="00DA5D5D"/>
    <w:rsid w:val="00DA6A15"/>
    <w:rsid w:val="00DA6CC2"/>
    <w:rsid w:val="00DA7029"/>
    <w:rsid w:val="00DA77A0"/>
    <w:rsid w:val="00DB09A2"/>
    <w:rsid w:val="00DB103D"/>
    <w:rsid w:val="00DB1448"/>
    <w:rsid w:val="00DB1907"/>
    <w:rsid w:val="00DB1998"/>
    <w:rsid w:val="00DB1FC4"/>
    <w:rsid w:val="00DB21F0"/>
    <w:rsid w:val="00DB2C5F"/>
    <w:rsid w:val="00DB3383"/>
    <w:rsid w:val="00DB3A58"/>
    <w:rsid w:val="00DB3BDF"/>
    <w:rsid w:val="00DB3C58"/>
    <w:rsid w:val="00DB3D46"/>
    <w:rsid w:val="00DB401C"/>
    <w:rsid w:val="00DB46C8"/>
    <w:rsid w:val="00DB540E"/>
    <w:rsid w:val="00DB5A63"/>
    <w:rsid w:val="00DB6166"/>
    <w:rsid w:val="00DB656B"/>
    <w:rsid w:val="00DB691E"/>
    <w:rsid w:val="00DB6C99"/>
    <w:rsid w:val="00DB75A3"/>
    <w:rsid w:val="00DC0574"/>
    <w:rsid w:val="00DC0C65"/>
    <w:rsid w:val="00DC16BF"/>
    <w:rsid w:val="00DC16E1"/>
    <w:rsid w:val="00DC16FC"/>
    <w:rsid w:val="00DC1881"/>
    <w:rsid w:val="00DC1ED7"/>
    <w:rsid w:val="00DC2175"/>
    <w:rsid w:val="00DC3A6F"/>
    <w:rsid w:val="00DC3D1C"/>
    <w:rsid w:val="00DC43E1"/>
    <w:rsid w:val="00DC5199"/>
    <w:rsid w:val="00DC5A32"/>
    <w:rsid w:val="00DC5E4E"/>
    <w:rsid w:val="00DC6281"/>
    <w:rsid w:val="00DC651B"/>
    <w:rsid w:val="00DC662F"/>
    <w:rsid w:val="00DC6E78"/>
    <w:rsid w:val="00DC729A"/>
    <w:rsid w:val="00DC73B1"/>
    <w:rsid w:val="00DC7519"/>
    <w:rsid w:val="00DC7630"/>
    <w:rsid w:val="00DC7EB5"/>
    <w:rsid w:val="00DD04AC"/>
    <w:rsid w:val="00DD04DD"/>
    <w:rsid w:val="00DD0891"/>
    <w:rsid w:val="00DD0B35"/>
    <w:rsid w:val="00DD0C4D"/>
    <w:rsid w:val="00DD0F9F"/>
    <w:rsid w:val="00DD11A7"/>
    <w:rsid w:val="00DD1298"/>
    <w:rsid w:val="00DD1A9F"/>
    <w:rsid w:val="00DD2300"/>
    <w:rsid w:val="00DD2309"/>
    <w:rsid w:val="00DD28B3"/>
    <w:rsid w:val="00DD2DE3"/>
    <w:rsid w:val="00DD2DE8"/>
    <w:rsid w:val="00DD316F"/>
    <w:rsid w:val="00DD357C"/>
    <w:rsid w:val="00DD37CA"/>
    <w:rsid w:val="00DD3D55"/>
    <w:rsid w:val="00DD3DF7"/>
    <w:rsid w:val="00DD40AF"/>
    <w:rsid w:val="00DD4AE2"/>
    <w:rsid w:val="00DD4BFA"/>
    <w:rsid w:val="00DD51F8"/>
    <w:rsid w:val="00DD6388"/>
    <w:rsid w:val="00DD6C53"/>
    <w:rsid w:val="00DD7198"/>
    <w:rsid w:val="00DD7CB6"/>
    <w:rsid w:val="00DE0077"/>
    <w:rsid w:val="00DE0137"/>
    <w:rsid w:val="00DE01BA"/>
    <w:rsid w:val="00DE0DCF"/>
    <w:rsid w:val="00DE137B"/>
    <w:rsid w:val="00DE19D9"/>
    <w:rsid w:val="00DE1DC6"/>
    <w:rsid w:val="00DE1F77"/>
    <w:rsid w:val="00DE21C6"/>
    <w:rsid w:val="00DE22AA"/>
    <w:rsid w:val="00DE24D6"/>
    <w:rsid w:val="00DE288F"/>
    <w:rsid w:val="00DE2C45"/>
    <w:rsid w:val="00DE2D49"/>
    <w:rsid w:val="00DE2F4E"/>
    <w:rsid w:val="00DE3E66"/>
    <w:rsid w:val="00DE3F75"/>
    <w:rsid w:val="00DE41FC"/>
    <w:rsid w:val="00DE45F5"/>
    <w:rsid w:val="00DE4AAD"/>
    <w:rsid w:val="00DE4C0C"/>
    <w:rsid w:val="00DE4FC8"/>
    <w:rsid w:val="00DE53B5"/>
    <w:rsid w:val="00DE5A50"/>
    <w:rsid w:val="00DE60C5"/>
    <w:rsid w:val="00DE6D0C"/>
    <w:rsid w:val="00DE7323"/>
    <w:rsid w:val="00DE75F0"/>
    <w:rsid w:val="00DE77CB"/>
    <w:rsid w:val="00DE795A"/>
    <w:rsid w:val="00DE7EBA"/>
    <w:rsid w:val="00DF04BD"/>
    <w:rsid w:val="00DF068D"/>
    <w:rsid w:val="00DF0D3A"/>
    <w:rsid w:val="00DF140A"/>
    <w:rsid w:val="00DF1A9A"/>
    <w:rsid w:val="00DF1C2D"/>
    <w:rsid w:val="00DF1F8A"/>
    <w:rsid w:val="00DF2209"/>
    <w:rsid w:val="00DF248E"/>
    <w:rsid w:val="00DF3321"/>
    <w:rsid w:val="00DF3577"/>
    <w:rsid w:val="00DF4063"/>
    <w:rsid w:val="00DF5F13"/>
    <w:rsid w:val="00DF63DD"/>
    <w:rsid w:val="00DF6B62"/>
    <w:rsid w:val="00DF7BD0"/>
    <w:rsid w:val="00DF7BDF"/>
    <w:rsid w:val="00E00303"/>
    <w:rsid w:val="00E00A62"/>
    <w:rsid w:val="00E010A0"/>
    <w:rsid w:val="00E0125E"/>
    <w:rsid w:val="00E01668"/>
    <w:rsid w:val="00E0173A"/>
    <w:rsid w:val="00E01849"/>
    <w:rsid w:val="00E020D1"/>
    <w:rsid w:val="00E02B64"/>
    <w:rsid w:val="00E02D99"/>
    <w:rsid w:val="00E02EAD"/>
    <w:rsid w:val="00E03D3F"/>
    <w:rsid w:val="00E03DED"/>
    <w:rsid w:val="00E0437C"/>
    <w:rsid w:val="00E0452C"/>
    <w:rsid w:val="00E04D61"/>
    <w:rsid w:val="00E0504C"/>
    <w:rsid w:val="00E05074"/>
    <w:rsid w:val="00E05489"/>
    <w:rsid w:val="00E05741"/>
    <w:rsid w:val="00E05F7F"/>
    <w:rsid w:val="00E06549"/>
    <w:rsid w:val="00E06930"/>
    <w:rsid w:val="00E06971"/>
    <w:rsid w:val="00E105B3"/>
    <w:rsid w:val="00E10846"/>
    <w:rsid w:val="00E10883"/>
    <w:rsid w:val="00E108F4"/>
    <w:rsid w:val="00E10D4E"/>
    <w:rsid w:val="00E1100C"/>
    <w:rsid w:val="00E11489"/>
    <w:rsid w:val="00E11711"/>
    <w:rsid w:val="00E11E63"/>
    <w:rsid w:val="00E11F94"/>
    <w:rsid w:val="00E12696"/>
    <w:rsid w:val="00E1310D"/>
    <w:rsid w:val="00E13359"/>
    <w:rsid w:val="00E138BF"/>
    <w:rsid w:val="00E142FF"/>
    <w:rsid w:val="00E14EFA"/>
    <w:rsid w:val="00E151B9"/>
    <w:rsid w:val="00E158C4"/>
    <w:rsid w:val="00E161E6"/>
    <w:rsid w:val="00E16205"/>
    <w:rsid w:val="00E167C9"/>
    <w:rsid w:val="00E1698C"/>
    <w:rsid w:val="00E16BDB"/>
    <w:rsid w:val="00E172BE"/>
    <w:rsid w:val="00E17991"/>
    <w:rsid w:val="00E17C7B"/>
    <w:rsid w:val="00E17CF7"/>
    <w:rsid w:val="00E205D6"/>
    <w:rsid w:val="00E209AB"/>
    <w:rsid w:val="00E216EC"/>
    <w:rsid w:val="00E2189A"/>
    <w:rsid w:val="00E21A60"/>
    <w:rsid w:val="00E22B5A"/>
    <w:rsid w:val="00E22B68"/>
    <w:rsid w:val="00E22E8F"/>
    <w:rsid w:val="00E231C9"/>
    <w:rsid w:val="00E23EBF"/>
    <w:rsid w:val="00E23FD5"/>
    <w:rsid w:val="00E24669"/>
    <w:rsid w:val="00E24836"/>
    <w:rsid w:val="00E24C48"/>
    <w:rsid w:val="00E24EE4"/>
    <w:rsid w:val="00E25981"/>
    <w:rsid w:val="00E26141"/>
    <w:rsid w:val="00E266F5"/>
    <w:rsid w:val="00E26CCC"/>
    <w:rsid w:val="00E270D3"/>
    <w:rsid w:val="00E27FC7"/>
    <w:rsid w:val="00E3050B"/>
    <w:rsid w:val="00E30700"/>
    <w:rsid w:val="00E31360"/>
    <w:rsid w:val="00E31D28"/>
    <w:rsid w:val="00E32425"/>
    <w:rsid w:val="00E32506"/>
    <w:rsid w:val="00E3252C"/>
    <w:rsid w:val="00E325FF"/>
    <w:rsid w:val="00E32938"/>
    <w:rsid w:val="00E32CB8"/>
    <w:rsid w:val="00E32EB7"/>
    <w:rsid w:val="00E3440F"/>
    <w:rsid w:val="00E34F3A"/>
    <w:rsid w:val="00E35F99"/>
    <w:rsid w:val="00E35F9A"/>
    <w:rsid w:val="00E3637F"/>
    <w:rsid w:val="00E364B6"/>
    <w:rsid w:val="00E36723"/>
    <w:rsid w:val="00E3713C"/>
    <w:rsid w:val="00E37470"/>
    <w:rsid w:val="00E3767B"/>
    <w:rsid w:val="00E37E1C"/>
    <w:rsid w:val="00E40126"/>
    <w:rsid w:val="00E4013B"/>
    <w:rsid w:val="00E40BC3"/>
    <w:rsid w:val="00E40C85"/>
    <w:rsid w:val="00E40CBF"/>
    <w:rsid w:val="00E40E7D"/>
    <w:rsid w:val="00E40EE4"/>
    <w:rsid w:val="00E413C6"/>
    <w:rsid w:val="00E4141C"/>
    <w:rsid w:val="00E420D5"/>
    <w:rsid w:val="00E42517"/>
    <w:rsid w:val="00E42600"/>
    <w:rsid w:val="00E42948"/>
    <w:rsid w:val="00E42D55"/>
    <w:rsid w:val="00E42FFE"/>
    <w:rsid w:val="00E4316E"/>
    <w:rsid w:val="00E435AB"/>
    <w:rsid w:val="00E44275"/>
    <w:rsid w:val="00E44705"/>
    <w:rsid w:val="00E44777"/>
    <w:rsid w:val="00E44F67"/>
    <w:rsid w:val="00E4535F"/>
    <w:rsid w:val="00E455E3"/>
    <w:rsid w:val="00E466BC"/>
    <w:rsid w:val="00E4686A"/>
    <w:rsid w:val="00E469F2"/>
    <w:rsid w:val="00E46EE9"/>
    <w:rsid w:val="00E479FD"/>
    <w:rsid w:val="00E47F1A"/>
    <w:rsid w:val="00E504D6"/>
    <w:rsid w:val="00E50B6F"/>
    <w:rsid w:val="00E50EBE"/>
    <w:rsid w:val="00E50F69"/>
    <w:rsid w:val="00E50FC6"/>
    <w:rsid w:val="00E5227B"/>
    <w:rsid w:val="00E52372"/>
    <w:rsid w:val="00E52786"/>
    <w:rsid w:val="00E52F05"/>
    <w:rsid w:val="00E53579"/>
    <w:rsid w:val="00E53C9F"/>
    <w:rsid w:val="00E540CA"/>
    <w:rsid w:val="00E54F3A"/>
    <w:rsid w:val="00E5542B"/>
    <w:rsid w:val="00E554D3"/>
    <w:rsid w:val="00E55560"/>
    <w:rsid w:val="00E55B28"/>
    <w:rsid w:val="00E5642F"/>
    <w:rsid w:val="00E56D4A"/>
    <w:rsid w:val="00E57119"/>
    <w:rsid w:val="00E5719E"/>
    <w:rsid w:val="00E57D7B"/>
    <w:rsid w:val="00E57F4B"/>
    <w:rsid w:val="00E602E5"/>
    <w:rsid w:val="00E602F8"/>
    <w:rsid w:val="00E6085B"/>
    <w:rsid w:val="00E60FBA"/>
    <w:rsid w:val="00E60FBF"/>
    <w:rsid w:val="00E611AE"/>
    <w:rsid w:val="00E616F9"/>
    <w:rsid w:val="00E61852"/>
    <w:rsid w:val="00E61A0C"/>
    <w:rsid w:val="00E61D22"/>
    <w:rsid w:val="00E61D96"/>
    <w:rsid w:val="00E61E4B"/>
    <w:rsid w:val="00E63A5F"/>
    <w:rsid w:val="00E63DA2"/>
    <w:rsid w:val="00E641E8"/>
    <w:rsid w:val="00E642AF"/>
    <w:rsid w:val="00E644C6"/>
    <w:rsid w:val="00E64555"/>
    <w:rsid w:val="00E64595"/>
    <w:rsid w:val="00E646BB"/>
    <w:rsid w:val="00E64D24"/>
    <w:rsid w:val="00E64FAF"/>
    <w:rsid w:val="00E653A6"/>
    <w:rsid w:val="00E6549C"/>
    <w:rsid w:val="00E654B9"/>
    <w:rsid w:val="00E655D4"/>
    <w:rsid w:val="00E6589D"/>
    <w:rsid w:val="00E65DBD"/>
    <w:rsid w:val="00E65E8C"/>
    <w:rsid w:val="00E665E7"/>
    <w:rsid w:val="00E66C96"/>
    <w:rsid w:val="00E66D89"/>
    <w:rsid w:val="00E67D87"/>
    <w:rsid w:val="00E70130"/>
    <w:rsid w:val="00E70D73"/>
    <w:rsid w:val="00E71063"/>
    <w:rsid w:val="00E715FC"/>
    <w:rsid w:val="00E71A45"/>
    <w:rsid w:val="00E71B55"/>
    <w:rsid w:val="00E71C21"/>
    <w:rsid w:val="00E729F7"/>
    <w:rsid w:val="00E72C61"/>
    <w:rsid w:val="00E72F23"/>
    <w:rsid w:val="00E730FC"/>
    <w:rsid w:val="00E73481"/>
    <w:rsid w:val="00E737D1"/>
    <w:rsid w:val="00E7385A"/>
    <w:rsid w:val="00E7391F"/>
    <w:rsid w:val="00E73CE6"/>
    <w:rsid w:val="00E74780"/>
    <w:rsid w:val="00E74956"/>
    <w:rsid w:val="00E752F7"/>
    <w:rsid w:val="00E75848"/>
    <w:rsid w:val="00E759D4"/>
    <w:rsid w:val="00E7631B"/>
    <w:rsid w:val="00E76348"/>
    <w:rsid w:val="00E76A3C"/>
    <w:rsid w:val="00E76F9B"/>
    <w:rsid w:val="00E771FC"/>
    <w:rsid w:val="00E773E5"/>
    <w:rsid w:val="00E77BDD"/>
    <w:rsid w:val="00E806D3"/>
    <w:rsid w:val="00E81C34"/>
    <w:rsid w:val="00E81D83"/>
    <w:rsid w:val="00E821BB"/>
    <w:rsid w:val="00E822E9"/>
    <w:rsid w:val="00E826FE"/>
    <w:rsid w:val="00E8275E"/>
    <w:rsid w:val="00E827AF"/>
    <w:rsid w:val="00E82843"/>
    <w:rsid w:val="00E82DE9"/>
    <w:rsid w:val="00E83253"/>
    <w:rsid w:val="00E83714"/>
    <w:rsid w:val="00E83831"/>
    <w:rsid w:val="00E844AB"/>
    <w:rsid w:val="00E84C97"/>
    <w:rsid w:val="00E85005"/>
    <w:rsid w:val="00E85296"/>
    <w:rsid w:val="00E8533B"/>
    <w:rsid w:val="00E854DA"/>
    <w:rsid w:val="00E85E4E"/>
    <w:rsid w:val="00E86327"/>
    <w:rsid w:val="00E86A7A"/>
    <w:rsid w:val="00E86DF0"/>
    <w:rsid w:val="00E8788A"/>
    <w:rsid w:val="00E87BD2"/>
    <w:rsid w:val="00E87CDC"/>
    <w:rsid w:val="00E90B33"/>
    <w:rsid w:val="00E911E0"/>
    <w:rsid w:val="00E93407"/>
    <w:rsid w:val="00E940A8"/>
    <w:rsid w:val="00E947E8"/>
    <w:rsid w:val="00E94B0F"/>
    <w:rsid w:val="00E9503F"/>
    <w:rsid w:val="00E956F3"/>
    <w:rsid w:val="00E96E68"/>
    <w:rsid w:val="00E97013"/>
    <w:rsid w:val="00E97EA1"/>
    <w:rsid w:val="00EA0BBE"/>
    <w:rsid w:val="00EA1650"/>
    <w:rsid w:val="00EA1FBC"/>
    <w:rsid w:val="00EA20A1"/>
    <w:rsid w:val="00EA212B"/>
    <w:rsid w:val="00EA24B5"/>
    <w:rsid w:val="00EA2D44"/>
    <w:rsid w:val="00EA3A1D"/>
    <w:rsid w:val="00EA3CD7"/>
    <w:rsid w:val="00EA3E2D"/>
    <w:rsid w:val="00EA4010"/>
    <w:rsid w:val="00EA429D"/>
    <w:rsid w:val="00EA43AF"/>
    <w:rsid w:val="00EA4676"/>
    <w:rsid w:val="00EA47FB"/>
    <w:rsid w:val="00EA4C7C"/>
    <w:rsid w:val="00EA4D4C"/>
    <w:rsid w:val="00EA554F"/>
    <w:rsid w:val="00EA6250"/>
    <w:rsid w:val="00EA66A4"/>
    <w:rsid w:val="00EA6819"/>
    <w:rsid w:val="00EA6A1E"/>
    <w:rsid w:val="00EA75BD"/>
    <w:rsid w:val="00EA7C47"/>
    <w:rsid w:val="00EB0F0F"/>
    <w:rsid w:val="00EB12A5"/>
    <w:rsid w:val="00EB1DEF"/>
    <w:rsid w:val="00EB24D8"/>
    <w:rsid w:val="00EB277B"/>
    <w:rsid w:val="00EB2F20"/>
    <w:rsid w:val="00EB2F35"/>
    <w:rsid w:val="00EB31DB"/>
    <w:rsid w:val="00EB3422"/>
    <w:rsid w:val="00EB3A31"/>
    <w:rsid w:val="00EB49B7"/>
    <w:rsid w:val="00EB4EAF"/>
    <w:rsid w:val="00EB5424"/>
    <w:rsid w:val="00EB548E"/>
    <w:rsid w:val="00EB5C41"/>
    <w:rsid w:val="00EB5F5A"/>
    <w:rsid w:val="00EB656C"/>
    <w:rsid w:val="00EB657E"/>
    <w:rsid w:val="00EB695E"/>
    <w:rsid w:val="00EB69D1"/>
    <w:rsid w:val="00EB69D4"/>
    <w:rsid w:val="00EB6FE9"/>
    <w:rsid w:val="00EB72FF"/>
    <w:rsid w:val="00EB756F"/>
    <w:rsid w:val="00EB79C8"/>
    <w:rsid w:val="00EB7E78"/>
    <w:rsid w:val="00EC0301"/>
    <w:rsid w:val="00EC08B5"/>
    <w:rsid w:val="00EC09C6"/>
    <w:rsid w:val="00EC0AC1"/>
    <w:rsid w:val="00EC0EA5"/>
    <w:rsid w:val="00EC1056"/>
    <w:rsid w:val="00EC1470"/>
    <w:rsid w:val="00EC222E"/>
    <w:rsid w:val="00EC2716"/>
    <w:rsid w:val="00EC2D11"/>
    <w:rsid w:val="00EC2DBB"/>
    <w:rsid w:val="00EC358E"/>
    <w:rsid w:val="00EC3FD2"/>
    <w:rsid w:val="00EC4095"/>
    <w:rsid w:val="00EC43B5"/>
    <w:rsid w:val="00EC4537"/>
    <w:rsid w:val="00EC4960"/>
    <w:rsid w:val="00EC4AE3"/>
    <w:rsid w:val="00EC5414"/>
    <w:rsid w:val="00EC54EE"/>
    <w:rsid w:val="00EC59B2"/>
    <w:rsid w:val="00EC5A3B"/>
    <w:rsid w:val="00EC5BC0"/>
    <w:rsid w:val="00EC6424"/>
    <w:rsid w:val="00EC786C"/>
    <w:rsid w:val="00EC7ADD"/>
    <w:rsid w:val="00EC7C26"/>
    <w:rsid w:val="00ED04FE"/>
    <w:rsid w:val="00ED0DD0"/>
    <w:rsid w:val="00ED1122"/>
    <w:rsid w:val="00ED1989"/>
    <w:rsid w:val="00ED21A9"/>
    <w:rsid w:val="00ED28F2"/>
    <w:rsid w:val="00ED3145"/>
    <w:rsid w:val="00ED3309"/>
    <w:rsid w:val="00ED33DC"/>
    <w:rsid w:val="00ED356E"/>
    <w:rsid w:val="00ED3792"/>
    <w:rsid w:val="00ED3BDA"/>
    <w:rsid w:val="00ED4A94"/>
    <w:rsid w:val="00ED5A3B"/>
    <w:rsid w:val="00ED5C30"/>
    <w:rsid w:val="00ED5E02"/>
    <w:rsid w:val="00ED5EED"/>
    <w:rsid w:val="00ED612A"/>
    <w:rsid w:val="00ED6846"/>
    <w:rsid w:val="00ED6B1C"/>
    <w:rsid w:val="00ED6CF7"/>
    <w:rsid w:val="00ED6F33"/>
    <w:rsid w:val="00ED7716"/>
    <w:rsid w:val="00ED7737"/>
    <w:rsid w:val="00ED7747"/>
    <w:rsid w:val="00ED7ABC"/>
    <w:rsid w:val="00ED7CF4"/>
    <w:rsid w:val="00ED7FA2"/>
    <w:rsid w:val="00EE0786"/>
    <w:rsid w:val="00EE1B0E"/>
    <w:rsid w:val="00EE22FB"/>
    <w:rsid w:val="00EE2407"/>
    <w:rsid w:val="00EE26AE"/>
    <w:rsid w:val="00EE29C8"/>
    <w:rsid w:val="00EE2A54"/>
    <w:rsid w:val="00EE2FC2"/>
    <w:rsid w:val="00EE3B6B"/>
    <w:rsid w:val="00EE3B88"/>
    <w:rsid w:val="00EE4B75"/>
    <w:rsid w:val="00EE4D34"/>
    <w:rsid w:val="00EE4DBD"/>
    <w:rsid w:val="00EE5E1D"/>
    <w:rsid w:val="00EE6AC6"/>
    <w:rsid w:val="00EE6E26"/>
    <w:rsid w:val="00EE784F"/>
    <w:rsid w:val="00EE7A1D"/>
    <w:rsid w:val="00EE7DBD"/>
    <w:rsid w:val="00EE7E4D"/>
    <w:rsid w:val="00EF0500"/>
    <w:rsid w:val="00EF0553"/>
    <w:rsid w:val="00EF0808"/>
    <w:rsid w:val="00EF1002"/>
    <w:rsid w:val="00EF143F"/>
    <w:rsid w:val="00EF1D3B"/>
    <w:rsid w:val="00EF236B"/>
    <w:rsid w:val="00EF23D8"/>
    <w:rsid w:val="00EF2678"/>
    <w:rsid w:val="00EF2A5A"/>
    <w:rsid w:val="00EF2A87"/>
    <w:rsid w:val="00EF3A74"/>
    <w:rsid w:val="00EF3AE9"/>
    <w:rsid w:val="00EF3EA5"/>
    <w:rsid w:val="00EF49FB"/>
    <w:rsid w:val="00EF55D6"/>
    <w:rsid w:val="00EF644D"/>
    <w:rsid w:val="00EF6BAD"/>
    <w:rsid w:val="00EF6D29"/>
    <w:rsid w:val="00EF7138"/>
    <w:rsid w:val="00EF7E0B"/>
    <w:rsid w:val="00F00725"/>
    <w:rsid w:val="00F00881"/>
    <w:rsid w:val="00F00917"/>
    <w:rsid w:val="00F00B65"/>
    <w:rsid w:val="00F010BB"/>
    <w:rsid w:val="00F012C1"/>
    <w:rsid w:val="00F0175F"/>
    <w:rsid w:val="00F01A41"/>
    <w:rsid w:val="00F01B39"/>
    <w:rsid w:val="00F01B5A"/>
    <w:rsid w:val="00F0276D"/>
    <w:rsid w:val="00F03280"/>
    <w:rsid w:val="00F0362A"/>
    <w:rsid w:val="00F03759"/>
    <w:rsid w:val="00F0385C"/>
    <w:rsid w:val="00F03894"/>
    <w:rsid w:val="00F03ABE"/>
    <w:rsid w:val="00F03B69"/>
    <w:rsid w:val="00F04345"/>
    <w:rsid w:val="00F0443D"/>
    <w:rsid w:val="00F045BF"/>
    <w:rsid w:val="00F047A4"/>
    <w:rsid w:val="00F04F52"/>
    <w:rsid w:val="00F0510F"/>
    <w:rsid w:val="00F0563F"/>
    <w:rsid w:val="00F064EF"/>
    <w:rsid w:val="00F06558"/>
    <w:rsid w:val="00F06F42"/>
    <w:rsid w:val="00F07122"/>
    <w:rsid w:val="00F074C9"/>
    <w:rsid w:val="00F07C82"/>
    <w:rsid w:val="00F07F5E"/>
    <w:rsid w:val="00F1001E"/>
    <w:rsid w:val="00F1055F"/>
    <w:rsid w:val="00F106BB"/>
    <w:rsid w:val="00F1079B"/>
    <w:rsid w:val="00F11027"/>
    <w:rsid w:val="00F111BA"/>
    <w:rsid w:val="00F116DD"/>
    <w:rsid w:val="00F11D9F"/>
    <w:rsid w:val="00F11E31"/>
    <w:rsid w:val="00F11EA8"/>
    <w:rsid w:val="00F12C53"/>
    <w:rsid w:val="00F1360C"/>
    <w:rsid w:val="00F13AA1"/>
    <w:rsid w:val="00F13F2A"/>
    <w:rsid w:val="00F1420A"/>
    <w:rsid w:val="00F14D9E"/>
    <w:rsid w:val="00F15097"/>
    <w:rsid w:val="00F153F8"/>
    <w:rsid w:val="00F15671"/>
    <w:rsid w:val="00F15765"/>
    <w:rsid w:val="00F1643E"/>
    <w:rsid w:val="00F16695"/>
    <w:rsid w:val="00F16811"/>
    <w:rsid w:val="00F1733F"/>
    <w:rsid w:val="00F179C0"/>
    <w:rsid w:val="00F202E3"/>
    <w:rsid w:val="00F20C6E"/>
    <w:rsid w:val="00F20D6C"/>
    <w:rsid w:val="00F20F03"/>
    <w:rsid w:val="00F2255F"/>
    <w:rsid w:val="00F225CF"/>
    <w:rsid w:val="00F22882"/>
    <w:rsid w:val="00F22985"/>
    <w:rsid w:val="00F22AEF"/>
    <w:rsid w:val="00F22F7A"/>
    <w:rsid w:val="00F2343C"/>
    <w:rsid w:val="00F23CFC"/>
    <w:rsid w:val="00F24076"/>
    <w:rsid w:val="00F240CB"/>
    <w:rsid w:val="00F2492F"/>
    <w:rsid w:val="00F2500D"/>
    <w:rsid w:val="00F253C3"/>
    <w:rsid w:val="00F2596D"/>
    <w:rsid w:val="00F25CAA"/>
    <w:rsid w:val="00F26463"/>
    <w:rsid w:val="00F26AD6"/>
    <w:rsid w:val="00F2711C"/>
    <w:rsid w:val="00F27253"/>
    <w:rsid w:val="00F277E8"/>
    <w:rsid w:val="00F27B04"/>
    <w:rsid w:val="00F27E3D"/>
    <w:rsid w:val="00F27EB2"/>
    <w:rsid w:val="00F301D0"/>
    <w:rsid w:val="00F3069F"/>
    <w:rsid w:val="00F30C3F"/>
    <w:rsid w:val="00F30C60"/>
    <w:rsid w:val="00F30F38"/>
    <w:rsid w:val="00F311D1"/>
    <w:rsid w:val="00F3158A"/>
    <w:rsid w:val="00F318DB"/>
    <w:rsid w:val="00F3199C"/>
    <w:rsid w:val="00F31F7D"/>
    <w:rsid w:val="00F31FB9"/>
    <w:rsid w:val="00F326F6"/>
    <w:rsid w:val="00F32AFF"/>
    <w:rsid w:val="00F32F6E"/>
    <w:rsid w:val="00F33825"/>
    <w:rsid w:val="00F33A8B"/>
    <w:rsid w:val="00F33D3B"/>
    <w:rsid w:val="00F34A96"/>
    <w:rsid w:val="00F34B2E"/>
    <w:rsid w:val="00F34EBF"/>
    <w:rsid w:val="00F34F05"/>
    <w:rsid w:val="00F356D5"/>
    <w:rsid w:val="00F359A5"/>
    <w:rsid w:val="00F361AE"/>
    <w:rsid w:val="00F36240"/>
    <w:rsid w:val="00F363EB"/>
    <w:rsid w:val="00F365BA"/>
    <w:rsid w:val="00F365DE"/>
    <w:rsid w:val="00F366DA"/>
    <w:rsid w:val="00F367CF"/>
    <w:rsid w:val="00F36D37"/>
    <w:rsid w:val="00F3719A"/>
    <w:rsid w:val="00F379BF"/>
    <w:rsid w:val="00F37EA7"/>
    <w:rsid w:val="00F40505"/>
    <w:rsid w:val="00F40805"/>
    <w:rsid w:val="00F40B93"/>
    <w:rsid w:val="00F40C5E"/>
    <w:rsid w:val="00F40E3E"/>
    <w:rsid w:val="00F4163A"/>
    <w:rsid w:val="00F41873"/>
    <w:rsid w:val="00F419C3"/>
    <w:rsid w:val="00F41D91"/>
    <w:rsid w:val="00F41E2B"/>
    <w:rsid w:val="00F423BE"/>
    <w:rsid w:val="00F424A5"/>
    <w:rsid w:val="00F425EF"/>
    <w:rsid w:val="00F428AC"/>
    <w:rsid w:val="00F42EE3"/>
    <w:rsid w:val="00F42F08"/>
    <w:rsid w:val="00F43149"/>
    <w:rsid w:val="00F43660"/>
    <w:rsid w:val="00F43888"/>
    <w:rsid w:val="00F43B91"/>
    <w:rsid w:val="00F44542"/>
    <w:rsid w:val="00F448DD"/>
    <w:rsid w:val="00F44D6A"/>
    <w:rsid w:val="00F44DB8"/>
    <w:rsid w:val="00F45760"/>
    <w:rsid w:val="00F45836"/>
    <w:rsid w:val="00F45925"/>
    <w:rsid w:val="00F46BA6"/>
    <w:rsid w:val="00F46C97"/>
    <w:rsid w:val="00F4703E"/>
    <w:rsid w:val="00F4775F"/>
    <w:rsid w:val="00F47C3D"/>
    <w:rsid w:val="00F50781"/>
    <w:rsid w:val="00F50CA3"/>
    <w:rsid w:val="00F51729"/>
    <w:rsid w:val="00F517ED"/>
    <w:rsid w:val="00F5195A"/>
    <w:rsid w:val="00F51A7A"/>
    <w:rsid w:val="00F51F3F"/>
    <w:rsid w:val="00F528B5"/>
    <w:rsid w:val="00F528E7"/>
    <w:rsid w:val="00F52C8A"/>
    <w:rsid w:val="00F52E16"/>
    <w:rsid w:val="00F5352D"/>
    <w:rsid w:val="00F53615"/>
    <w:rsid w:val="00F53A91"/>
    <w:rsid w:val="00F54783"/>
    <w:rsid w:val="00F547E9"/>
    <w:rsid w:val="00F5494E"/>
    <w:rsid w:val="00F54ABD"/>
    <w:rsid w:val="00F54ABE"/>
    <w:rsid w:val="00F55804"/>
    <w:rsid w:val="00F55F1A"/>
    <w:rsid w:val="00F56310"/>
    <w:rsid w:val="00F5684C"/>
    <w:rsid w:val="00F57210"/>
    <w:rsid w:val="00F577FC"/>
    <w:rsid w:val="00F602F0"/>
    <w:rsid w:val="00F60622"/>
    <w:rsid w:val="00F60C90"/>
    <w:rsid w:val="00F619EE"/>
    <w:rsid w:val="00F61CF5"/>
    <w:rsid w:val="00F61FF9"/>
    <w:rsid w:val="00F62069"/>
    <w:rsid w:val="00F62159"/>
    <w:rsid w:val="00F624EA"/>
    <w:rsid w:val="00F62A7C"/>
    <w:rsid w:val="00F62B93"/>
    <w:rsid w:val="00F633E5"/>
    <w:rsid w:val="00F63C89"/>
    <w:rsid w:val="00F647EC"/>
    <w:rsid w:val="00F64FAB"/>
    <w:rsid w:val="00F65AC8"/>
    <w:rsid w:val="00F65CEA"/>
    <w:rsid w:val="00F65EED"/>
    <w:rsid w:val="00F65F15"/>
    <w:rsid w:val="00F66146"/>
    <w:rsid w:val="00F66443"/>
    <w:rsid w:val="00F675EA"/>
    <w:rsid w:val="00F7074A"/>
    <w:rsid w:val="00F70AD6"/>
    <w:rsid w:val="00F710A5"/>
    <w:rsid w:val="00F71687"/>
    <w:rsid w:val="00F71708"/>
    <w:rsid w:val="00F717C1"/>
    <w:rsid w:val="00F71AAE"/>
    <w:rsid w:val="00F71CDB"/>
    <w:rsid w:val="00F71CF2"/>
    <w:rsid w:val="00F725D3"/>
    <w:rsid w:val="00F7281E"/>
    <w:rsid w:val="00F72C1A"/>
    <w:rsid w:val="00F72C3D"/>
    <w:rsid w:val="00F737AB"/>
    <w:rsid w:val="00F73992"/>
    <w:rsid w:val="00F74216"/>
    <w:rsid w:val="00F74E48"/>
    <w:rsid w:val="00F74F0F"/>
    <w:rsid w:val="00F75731"/>
    <w:rsid w:val="00F75841"/>
    <w:rsid w:val="00F75C10"/>
    <w:rsid w:val="00F76333"/>
    <w:rsid w:val="00F77100"/>
    <w:rsid w:val="00F77718"/>
    <w:rsid w:val="00F8090F"/>
    <w:rsid w:val="00F80B4B"/>
    <w:rsid w:val="00F8139A"/>
    <w:rsid w:val="00F82AAE"/>
    <w:rsid w:val="00F834BE"/>
    <w:rsid w:val="00F838A9"/>
    <w:rsid w:val="00F849E3"/>
    <w:rsid w:val="00F84B4E"/>
    <w:rsid w:val="00F84C44"/>
    <w:rsid w:val="00F851B7"/>
    <w:rsid w:val="00F8566C"/>
    <w:rsid w:val="00F858D4"/>
    <w:rsid w:val="00F85C65"/>
    <w:rsid w:val="00F860EB"/>
    <w:rsid w:val="00F868B6"/>
    <w:rsid w:val="00F86968"/>
    <w:rsid w:val="00F86E42"/>
    <w:rsid w:val="00F87354"/>
    <w:rsid w:val="00F8753D"/>
    <w:rsid w:val="00F876E6"/>
    <w:rsid w:val="00F87825"/>
    <w:rsid w:val="00F87838"/>
    <w:rsid w:val="00F879E8"/>
    <w:rsid w:val="00F87FCE"/>
    <w:rsid w:val="00F9008B"/>
    <w:rsid w:val="00F909C7"/>
    <w:rsid w:val="00F91669"/>
    <w:rsid w:val="00F916DE"/>
    <w:rsid w:val="00F9184F"/>
    <w:rsid w:val="00F91943"/>
    <w:rsid w:val="00F9231D"/>
    <w:rsid w:val="00F929C3"/>
    <w:rsid w:val="00F92A66"/>
    <w:rsid w:val="00F931CF"/>
    <w:rsid w:val="00F93A31"/>
    <w:rsid w:val="00F93D6E"/>
    <w:rsid w:val="00F9423D"/>
    <w:rsid w:val="00F94609"/>
    <w:rsid w:val="00F95182"/>
    <w:rsid w:val="00F95625"/>
    <w:rsid w:val="00F957D2"/>
    <w:rsid w:val="00F95D94"/>
    <w:rsid w:val="00F96F86"/>
    <w:rsid w:val="00F977ED"/>
    <w:rsid w:val="00FA02B8"/>
    <w:rsid w:val="00FA0980"/>
    <w:rsid w:val="00FA1028"/>
    <w:rsid w:val="00FA157E"/>
    <w:rsid w:val="00FA181F"/>
    <w:rsid w:val="00FA1C1F"/>
    <w:rsid w:val="00FA1E82"/>
    <w:rsid w:val="00FA2137"/>
    <w:rsid w:val="00FA272D"/>
    <w:rsid w:val="00FA338D"/>
    <w:rsid w:val="00FA34A2"/>
    <w:rsid w:val="00FA3742"/>
    <w:rsid w:val="00FA3837"/>
    <w:rsid w:val="00FA39FC"/>
    <w:rsid w:val="00FA44B4"/>
    <w:rsid w:val="00FA4538"/>
    <w:rsid w:val="00FA4998"/>
    <w:rsid w:val="00FA4DC2"/>
    <w:rsid w:val="00FA57D1"/>
    <w:rsid w:val="00FA67E3"/>
    <w:rsid w:val="00FA7157"/>
    <w:rsid w:val="00FA73A6"/>
    <w:rsid w:val="00FA7698"/>
    <w:rsid w:val="00FA78C2"/>
    <w:rsid w:val="00FA7A2D"/>
    <w:rsid w:val="00FA7B4F"/>
    <w:rsid w:val="00FA7DA6"/>
    <w:rsid w:val="00FB02F8"/>
    <w:rsid w:val="00FB06E7"/>
    <w:rsid w:val="00FB0822"/>
    <w:rsid w:val="00FB0927"/>
    <w:rsid w:val="00FB0C65"/>
    <w:rsid w:val="00FB1093"/>
    <w:rsid w:val="00FB13A0"/>
    <w:rsid w:val="00FB227E"/>
    <w:rsid w:val="00FB267D"/>
    <w:rsid w:val="00FB29E5"/>
    <w:rsid w:val="00FB2A18"/>
    <w:rsid w:val="00FB2BF4"/>
    <w:rsid w:val="00FB2C8D"/>
    <w:rsid w:val="00FB2DC6"/>
    <w:rsid w:val="00FB4926"/>
    <w:rsid w:val="00FB59D4"/>
    <w:rsid w:val="00FB5E81"/>
    <w:rsid w:val="00FB617B"/>
    <w:rsid w:val="00FB6995"/>
    <w:rsid w:val="00FB6E6C"/>
    <w:rsid w:val="00FB71B0"/>
    <w:rsid w:val="00FB7ABA"/>
    <w:rsid w:val="00FB7C21"/>
    <w:rsid w:val="00FB7C46"/>
    <w:rsid w:val="00FC04E0"/>
    <w:rsid w:val="00FC0D98"/>
    <w:rsid w:val="00FC0E2F"/>
    <w:rsid w:val="00FC1042"/>
    <w:rsid w:val="00FC11C6"/>
    <w:rsid w:val="00FC1370"/>
    <w:rsid w:val="00FC17D8"/>
    <w:rsid w:val="00FC279A"/>
    <w:rsid w:val="00FC2BAA"/>
    <w:rsid w:val="00FC324D"/>
    <w:rsid w:val="00FC39A1"/>
    <w:rsid w:val="00FC3BC3"/>
    <w:rsid w:val="00FC3E47"/>
    <w:rsid w:val="00FC4B53"/>
    <w:rsid w:val="00FC4BAE"/>
    <w:rsid w:val="00FC4F75"/>
    <w:rsid w:val="00FC5160"/>
    <w:rsid w:val="00FC5A36"/>
    <w:rsid w:val="00FC6353"/>
    <w:rsid w:val="00FC69CF"/>
    <w:rsid w:val="00FC6B0B"/>
    <w:rsid w:val="00FC6C22"/>
    <w:rsid w:val="00FC713B"/>
    <w:rsid w:val="00FC7862"/>
    <w:rsid w:val="00FC79D5"/>
    <w:rsid w:val="00FC7B35"/>
    <w:rsid w:val="00FC7B53"/>
    <w:rsid w:val="00FC7BD8"/>
    <w:rsid w:val="00FD0177"/>
    <w:rsid w:val="00FD0AE7"/>
    <w:rsid w:val="00FD0B44"/>
    <w:rsid w:val="00FD0F70"/>
    <w:rsid w:val="00FD1312"/>
    <w:rsid w:val="00FD2315"/>
    <w:rsid w:val="00FD29A7"/>
    <w:rsid w:val="00FD2B15"/>
    <w:rsid w:val="00FD3092"/>
    <w:rsid w:val="00FD3368"/>
    <w:rsid w:val="00FD412E"/>
    <w:rsid w:val="00FD420F"/>
    <w:rsid w:val="00FD4339"/>
    <w:rsid w:val="00FD4B0C"/>
    <w:rsid w:val="00FD4E85"/>
    <w:rsid w:val="00FD4F2F"/>
    <w:rsid w:val="00FD51F7"/>
    <w:rsid w:val="00FD5258"/>
    <w:rsid w:val="00FD5602"/>
    <w:rsid w:val="00FD5661"/>
    <w:rsid w:val="00FD5A2A"/>
    <w:rsid w:val="00FD5AE2"/>
    <w:rsid w:val="00FD62B4"/>
    <w:rsid w:val="00FD7142"/>
    <w:rsid w:val="00FD750F"/>
    <w:rsid w:val="00FE011C"/>
    <w:rsid w:val="00FE07DC"/>
    <w:rsid w:val="00FE08FB"/>
    <w:rsid w:val="00FE1116"/>
    <w:rsid w:val="00FE2075"/>
    <w:rsid w:val="00FE2080"/>
    <w:rsid w:val="00FE27B9"/>
    <w:rsid w:val="00FE2E37"/>
    <w:rsid w:val="00FE3640"/>
    <w:rsid w:val="00FE3780"/>
    <w:rsid w:val="00FE3954"/>
    <w:rsid w:val="00FE3CF7"/>
    <w:rsid w:val="00FE3E50"/>
    <w:rsid w:val="00FE4071"/>
    <w:rsid w:val="00FE42E3"/>
    <w:rsid w:val="00FE4B2B"/>
    <w:rsid w:val="00FE4ECD"/>
    <w:rsid w:val="00FE52B7"/>
    <w:rsid w:val="00FE53C5"/>
    <w:rsid w:val="00FE56A8"/>
    <w:rsid w:val="00FE5807"/>
    <w:rsid w:val="00FE5C39"/>
    <w:rsid w:val="00FE5C57"/>
    <w:rsid w:val="00FE624E"/>
    <w:rsid w:val="00FE6415"/>
    <w:rsid w:val="00FE69E7"/>
    <w:rsid w:val="00FE6BB8"/>
    <w:rsid w:val="00FE6E76"/>
    <w:rsid w:val="00FE6F5A"/>
    <w:rsid w:val="00FF027B"/>
    <w:rsid w:val="00FF1174"/>
    <w:rsid w:val="00FF165A"/>
    <w:rsid w:val="00FF1B72"/>
    <w:rsid w:val="00FF1CF1"/>
    <w:rsid w:val="00FF1F4C"/>
    <w:rsid w:val="00FF228F"/>
    <w:rsid w:val="00FF324B"/>
    <w:rsid w:val="00FF35DC"/>
    <w:rsid w:val="00FF3A6A"/>
    <w:rsid w:val="00FF3C7A"/>
    <w:rsid w:val="00FF3E09"/>
    <w:rsid w:val="00FF411C"/>
    <w:rsid w:val="00FF44C6"/>
    <w:rsid w:val="00FF4B2E"/>
    <w:rsid w:val="00FF4E4B"/>
    <w:rsid w:val="00FF4E4E"/>
    <w:rsid w:val="00FF5049"/>
    <w:rsid w:val="00FF519C"/>
    <w:rsid w:val="00FF5D1F"/>
    <w:rsid w:val="00FF5F95"/>
    <w:rsid w:val="00FF6126"/>
    <w:rsid w:val="00FF61F5"/>
    <w:rsid w:val="00FF62AA"/>
    <w:rsid w:val="00FF64D7"/>
    <w:rsid w:val="00FF6B6C"/>
    <w:rsid w:val="00FF6DD4"/>
    <w:rsid w:val="00FF7634"/>
    <w:rsid w:val="013045E9"/>
    <w:rsid w:val="0134023C"/>
    <w:rsid w:val="017E3F71"/>
    <w:rsid w:val="01AA2C10"/>
    <w:rsid w:val="02724788"/>
    <w:rsid w:val="02AF383B"/>
    <w:rsid w:val="02B726F0"/>
    <w:rsid w:val="032704C0"/>
    <w:rsid w:val="032C4E8C"/>
    <w:rsid w:val="035F2640"/>
    <w:rsid w:val="037738D8"/>
    <w:rsid w:val="03CA2A2C"/>
    <w:rsid w:val="040A1E20"/>
    <w:rsid w:val="046E4522"/>
    <w:rsid w:val="055A2489"/>
    <w:rsid w:val="056C5A14"/>
    <w:rsid w:val="068955F4"/>
    <w:rsid w:val="06C670C3"/>
    <w:rsid w:val="075F0692"/>
    <w:rsid w:val="07DB054A"/>
    <w:rsid w:val="08232CF8"/>
    <w:rsid w:val="083D2AF4"/>
    <w:rsid w:val="08604637"/>
    <w:rsid w:val="08A47272"/>
    <w:rsid w:val="08F53B23"/>
    <w:rsid w:val="090E0B90"/>
    <w:rsid w:val="09BE6112"/>
    <w:rsid w:val="0A053C89"/>
    <w:rsid w:val="0A070656"/>
    <w:rsid w:val="0A206DCD"/>
    <w:rsid w:val="0A913ED8"/>
    <w:rsid w:val="0A9A3D2D"/>
    <w:rsid w:val="0AB712E8"/>
    <w:rsid w:val="0ABD1DF9"/>
    <w:rsid w:val="0B24171E"/>
    <w:rsid w:val="0B5C3243"/>
    <w:rsid w:val="0BAD59A4"/>
    <w:rsid w:val="0BE75F5F"/>
    <w:rsid w:val="0BFC043E"/>
    <w:rsid w:val="0C466B45"/>
    <w:rsid w:val="0C5F1659"/>
    <w:rsid w:val="0D3C7898"/>
    <w:rsid w:val="0D416E29"/>
    <w:rsid w:val="0D584403"/>
    <w:rsid w:val="0DEE7765"/>
    <w:rsid w:val="0ECF17F5"/>
    <w:rsid w:val="0F2B5D1F"/>
    <w:rsid w:val="0F337F1F"/>
    <w:rsid w:val="0FEB486E"/>
    <w:rsid w:val="101C0A97"/>
    <w:rsid w:val="10E65C6D"/>
    <w:rsid w:val="10F67974"/>
    <w:rsid w:val="113E3FDC"/>
    <w:rsid w:val="122C7BCD"/>
    <w:rsid w:val="12685FCD"/>
    <w:rsid w:val="12FC5456"/>
    <w:rsid w:val="1362095C"/>
    <w:rsid w:val="137D5290"/>
    <w:rsid w:val="13936AD4"/>
    <w:rsid w:val="1425545C"/>
    <w:rsid w:val="146F2C7A"/>
    <w:rsid w:val="149E4992"/>
    <w:rsid w:val="15CE1DD3"/>
    <w:rsid w:val="16F70EB5"/>
    <w:rsid w:val="170E5D26"/>
    <w:rsid w:val="17BE59A2"/>
    <w:rsid w:val="17E84C4E"/>
    <w:rsid w:val="18077515"/>
    <w:rsid w:val="18185849"/>
    <w:rsid w:val="182418A0"/>
    <w:rsid w:val="18CA5D94"/>
    <w:rsid w:val="193042D8"/>
    <w:rsid w:val="19470B06"/>
    <w:rsid w:val="19616ABA"/>
    <w:rsid w:val="1A442DE9"/>
    <w:rsid w:val="1A8A5062"/>
    <w:rsid w:val="1AC03F0D"/>
    <w:rsid w:val="1B3B92BE"/>
    <w:rsid w:val="1B762547"/>
    <w:rsid w:val="1B7A68F1"/>
    <w:rsid w:val="1BC305D3"/>
    <w:rsid w:val="1C60574F"/>
    <w:rsid w:val="1CD55680"/>
    <w:rsid w:val="1D321E13"/>
    <w:rsid w:val="1D985F00"/>
    <w:rsid w:val="1DBC044E"/>
    <w:rsid w:val="1E7F3055"/>
    <w:rsid w:val="1E883DCA"/>
    <w:rsid w:val="1E9B0CC0"/>
    <w:rsid w:val="1EB51D82"/>
    <w:rsid w:val="1F4849CA"/>
    <w:rsid w:val="1F794A56"/>
    <w:rsid w:val="1F873477"/>
    <w:rsid w:val="20EF3EED"/>
    <w:rsid w:val="21455F84"/>
    <w:rsid w:val="21A51429"/>
    <w:rsid w:val="21AD1045"/>
    <w:rsid w:val="220E3E78"/>
    <w:rsid w:val="225E6D5C"/>
    <w:rsid w:val="226C3DCF"/>
    <w:rsid w:val="232B0864"/>
    <w:rsid w:val="232C19AC"/>
    <w:rsid w:val="232E3EB1"/>
    <w:rsid w:val="241D06F8"/>
    <w:rsid w:val="24560181"/>
    <w:rsid w:val="249473FB"/>
    <w:rsid w:val="24977600"/>
    <w:rsid w:val="24B831E2"/>
    <w:rsid w:val="250B120F"/>
    <w:rsid w:val="252C7220"/>
    <w:rsid w:val="255F6771"/>
    <w:rsid w:val="26071ED5"/>
    <w:rsid w:val="26226B65"/>
    <w:rsid w:val="2677791D"/>
    <w:rsid w:val="26A50560"/>
    <w:rsid w:val="26C94558"/>
    <w:rsid w:val="270F55EE"/>
    <w:rsid w:val="272F1A96"/>
    <w:rsid w:val="27EF7B95"/>
    <w:rsid w:val="27F52753"/>
    <w:rsid w:val="28163807"/>
    <w:rsid w:val="289355EF"/>
    <w:rsid w:val="28FD4B60"/>
    <w:rsid w:val="297B0CF7"/>
    <w:rsid w:val="2A963BD6"/>
    <w:rsid w:val="2ACD0453"/>
    <w:rsid w:val="2B822DA1"/>
    <w:rsid w:val="2C541884"/>
    <w:rsid w:val="2C703E76"/>
    <w:rsid w:val="2C8269DF"/>
    <w:rsid w:val="2C9B053D"/>
    <w:rsid w:val="2E1D1868"/>
    <w:rsid w:val="2EA133AF"/>
    <w:rsid w:val="2EAE304A"/>
    <w:rsid w:val="2EAF7871"/>
    <w:rsid w:val="2EDD2DD9"/>
    <w:rsid w:val="2F723467"/>
    <w:rsid w:val="2FED421E"/>
    <w:rsid w:val="2FF46177"/>
    <w:rsid w:val="306835D0"/>
    <w:rsid w:val="30785CBE"/>
    <w:rsid w:val="30B91060"/>
    <w:rsid w:val="30D074C3"/>
    <w:rsid w:val="31644EEA"/>
    <w:rsid w:val="31D13FE7"/>
    <w:rsid w:val="32A0292F"/>
    <w:rsid w:val="32A02B99"/>
    <w:rsid w:val="32C9078D"/>
    <w:rsid w:val="337D5F7B"/>
    <w:rsid w:val="33D414D0"/>
    <w:rsid w:val="341B2B8A"/>
    <w:rsid w:val="343474A9"/>
    <w:rsid w:val="3439368F"/>
    <w:rsid w:val="34603E67"/>
    <w:rsid w:val="34F24DA8"/>
    <w:rsid w:val="3502693D"/>
    <w:rsid w:val="354016D9"/>
    <w:rsid w:val="358A4E20"/>
    <w:rsid w:val="35B90056"/>
    <w:rsid w:val="35CD358A"/>
    <w:rsid w:val="36232DB0"/>
    <w:rsid w:val="367A2FF6"/>
    <w:rsid w:val="371A057C"/>
    <w:rsid w:val="37364FA6"/>
    <w:rsid w:val="379B2D5D"/>
    <w:rsid w:val="385F359C"/>
    <w:rsid w:val="38DF2E5B"/>
    <w:rsid w:val="3925199F"/>
    <w:rsid w:val="3A514476"/>
    <w:rsid w:val="3AB07767"/>
    <w:rsid w:val="3AD4138A"/>
    <w:rsid w:val="3B083594"/>
    <w:rsid w:val="3B7C2BBD"/>
    <w:rsid w:val="3BA80B19"/>
    <w:rsid w:val="3C1649EB"/>
    <w:rsid w:val="3C1A449B"/>
    <w:rsid w:val="3C221C81"/>
    <w:rsid w:val="3C4240EC"/>
    <w:rsid w:val="3C9B0CDC"/>
    <w:rsid w:val="3CFF0179"/>
    <w:rsid w:val="3D711B40"/>
    <w:rsid w:val="3DCC6348"/>
    <w:rsid w:val="3E800AA6"/>
    <w:rsid w:val="3EDD48AC"/>
    <w:rsid w:val="3F2D1069"/>
    <w:rsid w:val="3F3A1FEB"/>
    <w:rsid w:val="3F767B2C"/>
    <w:rsid w:val="3FC64779"/>
    <w:rsid w:val="402C1320"/>
    <w:rsid w:val="40574C5C"/>
    <w:rsid w:val="405A5E8D"/>
    <w:rsid w:val="408F1B58"/>
    <w:rsid w:val="40A67243"/>
    <w:rsid w:val="41CD74BC"/>
    <w:rsid w:val="42253D73"/>
    <w:rsid w:val="42C74FB6"/>
    <w:rsid w:val="44592171"/>
    <w:rsid w:val="447E707E"/>
    <w:rsid w:val="44AC66A4"/>
    <w:rsid w:val="44E4602A"/>
    <w:rsid w:val="453C3C29"/>
    <w:rsid w:val="45B80788"/>
    <w:rsid w:val="462D194E"/>
    <w:rsid w:val="46BD4A69"/>
    <w:rsid w:val="46D25B4A"/>
    <w:rsid w:val="470B7EE1"/>
    <w:rsid w:val="470E5B90"/>
    <w:rsid w:val="47E9061B"/>
    <w:rsid w:val="47EC7D13"/>
    <w:rsid w:val="484245C7"/>
    <w:rsid w:val="488D7CFE"/>
    <w:rsid w:val="48A81102"/>
    <w:rsid w:val="48B47AE1"/>
    <w:rsid w:val="48CC3E16"/>
    <w:rsid w:val="49323FD7"/>
    <w:rsid w:val="493743EB"/>
    <w:rsid w:val="49961090"/>
    <w:rsid w:val="49ED05C3"/>
    <w:rsid w:val="4A396B13"/>
    <w:rsid w:val="4AB50890"/>
    <w:rsid w:val="4BC61285"/>
    <w:rsid w:val="4BE95365"/>
    <w:rsid w:val="4BF153A3"/>
    <w:rsid w:val="4C12409B"/>
    <w:rsid w:val="4C1E4213"/>
    <w:rsid w:val="4C8B1551"/>
    <w:rsid w:val="4CE1029E"/>
    <w:rsid w:val="4D8B1D7C"/>
    <w:rsid w:val="4D9B7742"/>
    <w:rsid w:val="4DB70677"/>
    <w:rsid w:val="4DCD165F"/>
    <w:rsid w:val="4E0B62AA"/>
    <w:rsid w:val="4E23334F"/>
    <w:rsid w:val="4E9B14FE"/>
    <w:rsid w:val="4EAC5711"/>
    <w:rsid w:val="4EE23C1E"/>
    <w:rsid w:val="4FC30E4B"/>
    <w:rsid w:val="4FD92B4F"/>
    <w:rsid w:val="50302767"/>
    <w:rsid w:val="505E04E8"/>
    <w:rsid w:val="50632B3C"/>
    <w:rsid w:val="50B86454"/>
    <w:rsid w:val="50F11EF6"/>
    <w:rsid w:val="511354FE"/>
    <w:rsid w:val="5119054F"/>
    <w:rsid w:val="51B2004B"/>
    <w:rsid w:val="51B91BC9"/>
    <w:rsid w:val="52904232"/>
    <w:rsid w:val="529E60D5"/>
    <w:rsid w:val="53C47D96"/>
    <w:rsid w:val="53E4016F"/>
    <w:rsid w:val="53EC4323"/>
    <w:rsid w:val="54556AEA"/>
    <w:rsid w:val="54856E78"/>
    <w:rsid w:val="55131A57"/>
    <w:rsid w:val="55622629"/>
    <w:rsid w:val="55AA17E8"/>
    <w:rsid w:val="561001A1"/>
    <w:rsid w:val="561346BC"/>
    <w:rsid w:val="564118C9"/>
    <w:rsid w:val="570D55B0"/>
    <w:rsid w:val="577D71D5"/>
    <w:rsid w:val="578A3B8F"/>
    <w:rsid w:val="57AA1051"/>
    <w:rsid w:val="57B4606A"/>
    <w:rsid w:val="5834152E"/>
    <w:rsid w:val="5853793A"/>
    <w:rsid w:val="58545AF7"/>
    <w:rsid w:val="589B369A"/>
    <w:rsid w:val="58A657D3"/>
    <w:rsid w:val="59BE5287"/>
    <w:rsid w:val="59D9433B"/>
    <w:rsid w:val="5A3A2DDD"/>
    <w:rsid w:val="5ACE5D00"/>
    <w:rsid w:val="5B54470F"/>
    <w:rsid w:val="5BF449CD"/>
    <w:rsid w:val="5BF918A2"/>
    <w:rsid w:val="5C482BE9"/>
    <w:rsid w:val="5C7D4F86"/>
    <w:rsid w:val="5D2F348D"/>
    <w:rsid w:val="5D414205"/>
    <w:rsid w:val="5EA97545"/>
    <w:rsid w:val="5F8C3EEF"/>
    <w:rsid w:val="60255718"/>
    <w:rsid w:val="61B03707"/>
    <w:rsid w:val="62093465"/>
    <w:rsid w:val="624961BF"/>
    <w:rsid w:val="626A0316"/>
    <w:rsid w:val="62B8336A"/>
    <w:rsid w:val="62F810A7"/>
    <w:rsid w:val="635F5CFB"/>
    <w:rsid w:val="63E340FD"/>
    <w:rsid w:val="64105049"/>
    <w:rsid w:val="64337579"/>
    <w:rsid w:val="64441196"/>
    <w:rsid w:val="648B53C8"/>
    <w:rsid w:val="65091B75"/>
    <w:rsid w:val="651144BD"/>
    <w:rsid w:val="6568774A"/>
    <w:rsid w:val="65BC6440"/>
    <w:rsid w:val="65BF5F05"/>
    <w:rsid w:val="65C36E7F"/>
    <w:rsid w:val="65D21A26"/>
    <w:rsid w:val="663B7430"/>
    <w:rsid w:val="66AC6B93"/>
    <w:rsid w:val="66DB7280"/>
    <w:rsid w:val="671E1CA4"/>
    <w:rsid w:val="672A0BC3"/>
    <w:rsid w:val="682559A1"/>
    <w:rsid w:val="68304923"/>
    <w:rsid w:val="687775B2"/>
    <w:rsid w:val="6A125484"/>
    <w:rsid w:val="6A1B14A7"/>
    <w:rsid w:val="6ABA1E4D"/>
    <w:rsid w:val="6B241A17"/>
    <w:rsid w:val="6B5E5F82"/>
    <w:rsid w:val="6B797260"/>
    <w:rsid w:val="6C44161C"/>
    <w:rsid w:val="6CC6306E"/>
    <w:rsid w:val="6D7A1A3A"/>
    <w:rsid w:val="6DDC67A3"/>
    <w:rsid w:val="6DEF3809"/>
    <w:rsid w:val="6E1148C4"/>
    <w:rsid w:val="6E7F793D"/>
    <w:rsid w:val="6E914282"/>
    <w:rsid w:val="6E9C0F6F"/>
    <w:rsid w:val="6ED053E9"/>
    <w:rsid w:val="6F0E4EC3"/>
    <w:rsid w:val="6F23376B"/>
    <w:rsid w:val="70356BC3"/>
    <w:rsid w:val="70557737"/>
    <w:rsid w:val="706D27E8"/>
    <w:rsid w:val="71104A9D"/>
    <w:rsid w:val="71AD7318"/>
    <w:rsid w:val="726D70E7"/>
    <w:rsid w:val="72A61BB4"/>
    <w:rsid w:val="72A63D8F"/>
    <w:rsid w:val="72FF1727"/>
    <w:rsid w:val="74391A1A"/>
    <w:rsid w:val="747D74F0"/>
    <w:rsid w:val="74C31ECB"/>
    <w:rsid w:val="75092908"/>
    <w:rsid w:val="75942919"/>
    <w:rsid w:val="759C4FE5"/>
    <w:rsid w:val="75D13EDB"/>
    <w:rsid w:val="767E397C"/>
    <w:rsid w:val="769A5E93"/>
    <w:rsid w:val="76B455F0"/>
    <w:rsid w:val="772A140E"/>
    <w:rsid w:val="77345CC7"/>
    <w:rsid w:val="773B0190"/>
    <w:rsid w:val="77534E09"/>
    <w:rsid w:val="77B00F3F"/>
    <w:rsid w:val="77FD0BDD"/>
    <w:rsid w:val="784E646D"/>
    <w:rsid w:val="79200D1B"/>
    <w:rsid w:val="79C861F2"/>
    <w:rsid w:val="7A4E25A4"/>
    <w:rsid w:val="7A633FE0"/>
    <w:rsid w:val="7AAA36FF"/>
    <w:rsid w:val="7AB932A6"/>
    <w:rsid w:val="7B0A57DF"/>
    <w:rsid w:val="7B242B5C"/>
    <w:rsid w:val="7B655C54"/>
    <w:rsid w:val="7BAC7174"/>
    <w:rsid w:val="7BEF1F4D"/>
    <w:rsid w:val="7C3074C7"/>
    <w:rsid w:val="7C923CDE"/>
    <w:rsid w:val="7C9C4E59"/>
    <w:rsid w:val="7CBA194F"/>
    <w:rsid w:val="7CD822BD"/>
    <w:rsid w:val="7D933471"/>
    <w:rsid w:val="7DAE4B47"/>
    <w:rsid w:val="7DD50326"/>
    <w:rsid w:val="7E092C14"/>
    <w:rsid w:val="7E2F1D63"/>
    <w:rsid w:val="7E3D6949"/>
    <w:rsid w:val="7EA128FE"/>
    <w:rsid w:val="7EA43BBE"/>
    <w:rsid w:val="7EDA63BC"/>
    <w:rsid w:val="7F1B124D"/>
    <w:rsid w:val="7F26BCF5"/>
    <w:rsid w:val="7F482401"/>
    <w:rsid w:val="7F772D32"/>
    <w:rsid w:val="B55DDC73"/>
    <w:rsid w:val="BDEBD179"/>
    <w:rsid w:val="BF9D4E7A"/>
    <w:rsid w:val="BFE7EC42"/>
    <w:rsid w:val="E3FBAA76"/>
    <w:rsid w:val="EF7E611C"/>
    <w:rsid w:val="EFBF4187"/>
    <w:rsid w:val="EFE53F1A"/>
    <w:rsid w:val="EFE7B48D"/>
    <w:rsid w:val="F2DD542C"/>
    <w:rsid w:val="F2FFB628"/>
    <w:rsid w:val="F7BE64C2"/>
    <w:rsid w:val="F7FFD85E"/>
    <w:rsid w:val="FCEC0498"/>
    <w:rsid w:val="FEEF5E6E"/>
    <w:rsid w:val="FFF50E7A"/>
    <w:rsid w:val="FFF70294"/>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qFormat="1" w:uiPriority="99" w:semiHidden="0" w:name="footnote reference"/>
    <w:lsdException w:qFormat="1" w:uiPriority="0"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qFormat="1" w:unhideWhenUsed="0" w:uiPriority="99" w:semiHidden="0" w:name="List"/>
    <w:lsdException w:uiPriority="99" w:name="List Bullet"/>
    <w:lsdException w:qFormat="1" w:unhideWhenUsed="0" w:uiPriority="99" w:semiHidden="0" w:name="List Number"/>
    <w:lsdException w:qFormat="1" w:unhideWhenUsed="0"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iPriority="0" w:semiHidden="0" w:name="HTML Address"/>
    <w:lsdException w:uiPriority="99" w:name="HTML Cite"/>
    <w:lsdException w:uiPriority="99" w:name="HTML Code"/>
    <w:lsdException w:uiPriority="99" w:name="HTML Definition"/>
    <w:lsdException w:uiPriority="99" w:name="HTML Keyboard"/>
    <w:lsdException w:qFormat="1"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9"/>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60"/>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link w:val="61"/>
    <w:qFormat/>
    <w:uiPriority w:val="0"/>
    <w:pPr>
      <w:keepNext/>
      <w:keepLines/>
      <w:spacing w:before="260" w:after="260" w:line="416" w:lineRule="auto"/>
      <w:outlineLvl w:val="2"/>
    </w:pPr>
    <w:rPr>
      <w:b/>
      <w:bCs/>
      <w:kern w:val="0"/>
      <w:sz w:val="32"/>
      <w:szCs w:val="32"/>
    </w:rPr>
  </w:style>
  <w:style w:type="paragraph" w:styleId="2">
    <w:name w:val="heading 4"/>
    <w:basedOn w:val="1"/>
    <w:next w:val="1"/>
    <w:link w:val="58"/>
    <w:qFormat/>
    <w:uiPriority w:val="0"/>
    <w:pPr>
      <w:tabs>
        <w:tab w:val="left" w:pos="2155"/>
      </w:tabs>
      <w:adjustRightInd w:val="0"/>
      <w:spacing w:before="120" w:line="360" w:lineRule="auto"/>
      <w:ind w:left="2155" w:hanging="1078"/>
      <w:textAlignment w:val="baseline"/>
      <w:outlineLvl w:val="3"/>
    </w:pPr>
    <w:rPr>
      <w:rFonts w:ascii="Arial" w:eastAsia="黑体"/>
      <w:kern w:val="0"/>
      <w:sz w:val="28"/>
      <w:szCs w:val="20"/>
    </w:rPr>
  </w:style>
  <w:style w:type="paragraph" w:styleId="6">
    <w:name w:val="heading 5"/>
    <w:basedOn w:val="1"/>
    <w:next w:val="7"/>
    <w:link w:val="62"/>
    <w:qFormat/>
    <w:uiPriority w:val="0"/>
    <w:pPr>
      <w:keepNext/>
      <w:keepLines/>
      <w:numPr>
        <w:ilvl w:val="4"/>
        <w:numId w:val="1"/>
      </w:numPr>
      <w:spacing w:before="280" w:after="290" w:line="376" w:lineRule="auto"/>
      <w:outlineLvl w:val="4"/>
    </w:pPr>
    <w:rPr>
      <w:b/>
      <w:sz w:val="28"/>
    </w:rPr>
  </w:style>
  <w:style w:type="paragraph" w:styleId="8">
    <w:name w:val="heading 6"/>
    <w:basedOn w:val="1"/>
    <w:next w:val="7"/>
    <w:link w:val="63"/>
    <w:qFormat/>
    <w:uiPriority w:val="0"/>
    <w:pPr>
      <w:keepNext/>
      <w:keepLines/>
      <w:numPr>
        <w:ilvl w:val="5"/>
        <w:numId w:val="1"/>
      </w:numPr>
      <w:spacing w:before="240" w:after="64" w:line="320" w:lineRule="auto"/>
      <w:outlineLvl w:val="5"/>
    </w:pPr>
    <w:rPr>
      <w:rFonts w:ascii="Arial" w:hAnsi="Arial" w:eastAsia="黑体"/>
      <w:b/>
      <w:sz w:val="24"/>
    </w:rPr>
  </w:style>
  <w:style w:type="paragraph" w:styleId="9">
    <w:name w:val="heading 7"/>
    <w:basedOn w:val="1"/>
    <w:next w:val="7"/>
    <w:link w:val="64"/>
    <w:qFormat/>
    <w:uiPriority w:val="99"/>
    <w:pPr>
      <w:keepNext/>
      <w:keepLines/>
      <w:numPr>
        <w:ilvl w:val="6"/>
        <w:numId w:val="1"/>
      </w:numPr>
      <w:spacing w:before="240" w:after="64" w:line="320" w:lineRule="auto"/>
      <w:outlineLvl w:val="6"/>
    </w:pPr>
    <w:rPr>
      <w:b/>
      <w:sz w:val="24"/>
    </w:rPr>
  </w:style>
  <w:style w:type="paragraph" w:styleId="10">
    <w:name w:val="heading 8"/>
    <w:basedOn w:val="1"/>
    <w:next w:val="7"/>
    <w:link w:val="65"/>
    <w:qFormat/>
    <w:uiPriority w:val="99"/>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7"/>
    <w:link w:val="66"/>
    <w:qFormat/>
    <w:uiPriority w:val="99"/>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unhideWhenUsed/>
    <w:qFormat/>
    <w:uiPriority w:val="1"/>
  </w:style>
  <w:style w:type="table" w:default="1" w:styleId="48">
    <w:name w:val="Normal Table"/>
    <w:unhideWhenUsed/>
    <w:qFormat/>
    <w:uiPriority w:val="99"/>
    <w:tblPr>
      <w:tblCellMar>
        <w:top w:w="0" w:type="dxa"/>
        <w:left w:w="108" w:type="dxa"/>
        <w:bottom w:w="0" w:type="dxa"/>
        <w:right w:w="108" w:type="dxa"/>
      </w:tblCellMar>
    </w:tblPr>
  </w:style>
  <w:style w:type="paragraph" w:styleId="7">
    <w:name w:val="Normal Indent"/>
    <w:basedOn w:val="1"/>
    <w:qFormat/>
    <w:uiPriority w:val="99"/>
    <w:pPr>
      <w:ind w:firstLine="420"/>
    </w:pPr>
    <w:rPr>
      <w:szCs w:val="20"/>
    </w:rPr>
  </w:style>
  <w:style w:type="paragraph" w:styleId="12">
    <w:name w:val="toc 7"/>
    <w:basedOn w:val="1"/>
    <w:next w:val="1"/>
    <w:unhideWhenUsed/>
    <w:qFormat/>
    <w:uiPriority w:val="39"/>
    <w:pPr>
      <w:ind w:left="2520" w:leftChars="1200"/>
    </w:pPr>
    <w:rPr>
      <w:rFonts w:ascii="Calibri" w:hAnsi="Calibri" w:eastAsia="宋体" w:cs="Times New Roman"/>
      <w:szCs w:val="22"/>
    </w:rPr>
  </w:style>
  <w:style w:type="paragraph" w:styleId="13">
    <w:name w:val="List Number"/>
    <w:basedOn w:val="1"/>
    <w:qFormat/>
    <w:uiPriority w:val="99"/>
    <w:pPr>
      <w:widowControl/>
      <w:tabs>
        <w:tab w:val="left" w:pos="454"/>
        <w:tab w:val="left" w:pos="720"/>
        <w:tab w:val="left" w:pos="840"/>
      </w:tabs>
      <w:spacing w:after="50" w:afterLines="50"/>
      <w:ind w:left="454" w:hanging="284"/>
      <w:jc w:val="left"/>
    </w:pPr>
    <w:rPr>
      <w:kern w:val="0"/>
      <w:sz w:val="24"/>
      <w:szCs w:val="20"/>
    </w:rPr>
  </w:style>
  <w:style w:type="paragraph" w:styleId="14">
    <w:name w:val="caption"/>
    <w:basedOn w:val="1"/>
    <w:next w:val="1"/>
    <w:qFormat/>
    <w:uiPriority w:val="99"/>
    <w:pPr>
      <w:spacing w:before="152" w:after="160"/>
    </w:pPr>
    <w:rPr>
      <w:rFonts w:ascii="Arial" w:hAnsi="Arial" w:eastAsia="黑体" w:cs="Arial"/>
      <w:sz w:val="20"/>
      <w:szCs w:val="20"/>
    </w:rPr>
  </w:style>
  <w:style w:type="paragraph" w:styleId="15">
    <w:name w:val="Document Map"/>
    <w:basedOn w:val="1"/>
    <w:link w:val="67"/>
    <w:unhideWhenUsed/>
    <w:qFormat/>
    <w:uiPriority w:val="99"/>
    <w:pPr>
      <w:shd w:val="clear" w:color="auto" w:fill="000080"/>
    </w:pPr>
    <w:rPr>
      <w:rFonts w:hint="eastAsia" w:ascii="宋体" w:hAnsi="宋体"/>
      <w:kern w:val="0"/>
      <w:sz w:val="20"/>
      <w:szCs w:val="20"/>
    </w:rPr>
  </w:style>
  <w:style w:type="paragraph" w:styleId="16">
    <w:name w:val="annotation text"/>
    <w:basedOn w:val="1"/>
    <w:link w:val="68"/>
    <w:unhideWhenUsed/>
    <w:qFormat/>
    <w:uiPriority w:val="99"/>
    <w:pPr>
      <w:jc w:val="left"/>
    </w:pPr>
  </w:style>
  <w:style w:type="paragraph" w:styleId="17">
    <w:name w:val="Body Text 3"/>
    <w:basedOn w:val="1"/>
    <w:link w:val="69"/>
    <w:qFormat/>
    <w:uiPriority w:val="99"/>
    <w:pPr>
      <w:spacing w:line="500" w:lineRule="exact"/>
    </w:pPr>
    <w:rPr>
      <w:b/>
      <w:bCs/>
      <w:kern w:val="0"/>
      <w:sz w:val="24"/>
    </w:rPr>
  </w:style>
  <w:style w:type="paragraph" w:styleId="18">
    <w:name w:val="Body Text"/>
    <w:basedOn w:val="1"/>
    <w:link w:val="70"/>
    <w:qFormat/>
    <w:uiPriority w:val="99"/>
    <w:pPr>
      <w:spacing w:line="380" w:lineRule="exact"/>
    </w:pPr>
    <w:rPr>
      <w:kern w:val="0"/>
      <w:sz w:val="24"/>
    </w:rPr>
  </w:style>
  <w:style w:type="paragraph" w:styleId="19">
    <w:name w:val="Body Text Indent"/>
    <w:basedOn w:val="1"/>
    <w:link w:val="71"/>
    <w:qFormat/>
    <w:uiPriority w:val="99"/>
    <w:pPr>
      <w:ind w:firstLine="830" w:firstLineChars="352"/>
    </w:pPr>
    <w:rPr>
      <w:rFonts w:ascii="仿宋_GB2312" w:eastAsia="仿宋_GB2312"/>
      <w:kern w:val="0"/>
      <w:sz w:val="32"/>
      <w:szCs w:val="20"/>
    </w:rPr>
  </w:style>
  <w:style w:type="paragraph" w:styleId="20">
    <w:name w:val="List Number 3"/>
    <w:basedOn w:val="1"/>
    <w:qFormat/>
    <w:uiPriority w:val="99"/>
    <w:pPr>
      <w:numPr>
        <w:ilvl w:val="0"/>
        <w:numId w:val="2"/>
      </w:numPr>
    </w:pPr>
  </w:style>
  <w:style w:type="paragraph" w:styleId="21">
    <w:name w:val="List 2"/>
    <w:basedOn w:val="1"/>
    <w:qFormat/>
    <w:uiPriority w:val="99"/>
    <w:pPr>
      <w:ind w:left="100" w:leftChars="200" w:hanging="200" w:hangingChars="200"/>
    </w:pPr>
    <w:rPr>
      <w:sz w:val="28"/>
    </w:rPr>
  </w:style>
  <w:style w:type="paragraph" w:styleId="22">
    <w:name w:val="HTML Address"/>
    <w:basedOn w:val="1"/>
    <w:link w:val="72"/>
    <w:unhideWhenUsed/>
    <w:qFormat/>
    <w:uiPriority w:val="0"/>
    <w:rPr>
      <w:i/>
      <w:iCs/>
      <w:kern w:val="0"/>
      <w:sz w:val="20"/>
    </w:rPr>
  </w:style>
  <w:style w:type="paragraph" w:styleId="23">
    <w:name w:val="toc 5"/>
    <w:basedOn w:val="1"/>
    <w:next w:val="1"/>
    <w:unhideWhenUsed/>
    <w:qFormat/>
    <w:uiPriority w:val="39"/>
    <w:pPr>
      <w:ind w:left="1680" w:leftChars="800"/>
    </w:pPr>
    <w:rPr>
      <w:rFonts w:ascii="Calibri" w:hAnsi="Calibri" w:eastAsia="宋体" w:cs="Times New Roman"/>
      <w:szCs w:val="22"/>
    </w:rPr>
  </w:style>
  <w:style w:type="paragraph" w:styleId="24">
    <w:name w:val="toc 3"/>
    <w:basedOn w:val="1"/>
    <w:next w:val="1"/>
    <w:unhideWhenUsed/>
    <w:qFormat/>
    <w:uiPriority w:val="39"/>
    <w:pPr>
      <w:ind w:left="840" w:leftChars="400"/>
    </w:pPr>
    <w:rPr>
      <w:rFonts w:ascii="Calibri" w:hAnsi="Calibri" w:eastAsia="宋体" w:cs="Times New Roman"/>
      <w:szCs w:val="22"/>
    </w:rPr>
  </w:style>
  <w:style w:type="paragraph" w:styleId="25">
    <w:name w:val="Plain Text"/>
    <w:basedOn w:val="1"/>
    <w:next w:val="1"/>
    <w:link w:val="73"/>
    <w:qFormat/>
    <w:uiPriority w:val="0"/>
    <w:rPr>
      <w:rFonts w:ascii="宋体" w:hAnsi="Courier New"/>
      <w:kern w:val="0"/>
      <w:sz w:val="20"/>
      <w:szCs w:val="21"/>
    </w:rPr>
  </w:style>
  <w:style w:type="paragraph" w:styleId="26">
    <w:name w:val="toc 8"/>
    <w:basedOn w:val="1"/>
    <w:next w:val="1"/>
    <w:unhideWhenUsed/>
    <w:qFormat/>
    <w:uiPriority w:val="39"/>
    <w:pPr>
      <w:ind w:left="2940" w:leftChars="1400"/>
    </w:pPr>
    <w:rPr>
      <w:rFonts w:ascii="Calibri" w:hAnsi="Calibri" w:eastAsia="宋体" w:cs="Times New Roman"/>
      <w:szCs w:val="22"/>
    </w:rPr>
  </w:style>
  <w:style w:type="paragraph" w:styleId="27">
    <w:name w:val="Date"/>
    <w:basedOn w:val="1"/>
    <w:next w:val="1"/>
    <w:link w:val="74"/>
    <w:qFormat/>
    <w:uiPriority w:val="99"/>
    <w:pPr>
      <w:ind w:left="100" w:leftChars="2500"/>
    </w:pPr>
    <w:rPr>
      <w:rFonts w:ascii="宋体" w:hAnsi="Courier New"/>
      <w:kern w:val="0"/>
      <w:sz w:val="20"/>
      <w:szCs w:val="21"/>
    </w:rPr>
  </w:style>
  <w:style w:type="paragraph" w:styleId="28">
    <w:name w:val="Body Text Indent 2"/>
    <w:basedOn w:val="1"/>
    <w:link w:val="75"/>
    <w:qFormat/>
    <w:uiPriority w:val="99"/>
    <w:pPr>
      <w:ind w:firstLine="630"/>
    </w:pPr>
    <w:rPr>
      <w:kern w:val="0"/>
      <w:sz w:val="32"/>
      <w:szCs w:val="20"/>
    </w:rPr>
  </w:style>
  <w:style w:type="paragraph" w:styleId="29">
    <w:name w:val="endnote text"/>
    <w:basedOn w:val="1"/>
    <w:link w:val="76"/>
    <w:unhideWhenUsed/>
    <w:qFormat/>
    <w:uiPriority w:val="99"/>
    <w:pPr>
      <w:snapToGrid w:val="0"/>
      <w:jc w:val="left"/>
    </w:pPr>
  </w:style>
  <w:style w:type="paragraph" w:styleId="30">
    <w:name w:val="Balloon Text"/>
    <w:basedOn w:val="1"/>
    <w:link w:val="77"/>
    <w:qFormat/>
    <w:uiPriority w:val="99"/>
    <w:rPr>
      <w:kern w:val="0"/>
      <w:sz w:val="18"/>
      <w:szCs w:val="18"/>
    </w:rPr>
  </w:style>
  <w:style w:type="paragraph" w:styleId="31">
    <w:name w:val="footer"/>
    <w:basedOn w:val="1"/>
    <w:link w:val="78"/>
    <w:unhideWhenUsed/>
    <w:qFormat/>
    <w:uiPriority w:val="99"/>
    <w:pPr>
      <w:tabs>
        <w:tab w:val="center" w:pos="4153"/>
        <w:tab w:val="right" w:pos="8306"/>
      </w:tabs>
      <w:snapToGrid w:val="0"/>
      <w:jc w:val="left"/>
    </w:pPr>
    <w:rPr>
      <w:kern w:val="0"/>
      <w:sz w:val="18"/>
      <w:szCs w:val="18"/>
    </w:rPr>
  </w:style>
  <w:style w:type="paragraph" w:styleId="32">
    <w:name w:val="header"/>
    <w:basedOn w:val="1"/>
    <w:link w:val="79"/>
    <w:unhideWhenUsed/>
    <w:qFormat/>
    <w:uiPriority w:val="99"/>
    <w:pPr>
      <w:pBdr>
        <w:bottom w:val="single" w:color="auto" w:sz="6" w:space="1"/>
      </w:pBdr>
      <w:tabs>
        <w:tab w:val="center" w:pos="0"/>
        <w:tab w:val="left" w:pos="8306"/>
      </w:tabs>
      <w:snapToGrid w:val="0"/>
      <w:jc w:val="center"/>
    </w:pPr>
    <w:rPr>
      <w:sz w:val="18"/>
      <w:szCs w:val="18"/>
    </w:rPr>
  </w:style>
  <w:style w:type="paragraph" w:styleId="33">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4">
    <w:name w:val="toc 4"/>
    <w:basedOn w:val="1"/>
    <w:next w:val="1"/>
    <w:unhideWhenUsed/>
    <w:qFormat/>
    <w:uiPriority w:val="39"/>
    <w:pPr>
      <w:ind w:left="1260" w:leftChars="600"/>
    </w:pPr>
    <w:rPr>
      <w:rFonts w:ascii="Calibri" w:hAnsi="Calibri" w:eastAsia="宋体" w:cs="Times New Roman"/>
      <w:szCs w:val="22"/>
    </w:rPr>
  </w:style>
  <w:style w:type="paragraph" w:styleId="35">
    <w:name w:val="Subtitle"/>
    <w:basedOn w:val="1"/>
    <w:next w:val="1"/>
    <w:link w:val="80"/>
    <w:qFormat/>
    <w:uiPriority w:val="99"/>
    <w:pPr>
      <w:spacing w:before="240" w:after="60" w:line="312" w:lineRule="auto"/>
      <w:jc w:val="center"/>
      <w:outlineLvl w:val="1"/>
    </w:pPr>
    <w:rPr>
      <w:rFonts w:ascii="Cambria" w:hAnsi="Cambria"/>
      <w:b/>
      <w:bCs/>
      <w:kern w:val="28"/>
      <w:sz w:val="32"/>
      <w:szCs w:val="32"/>
    </w:rPr>
  </w:style>
  <w:style w:type="paragraph" w:styleId="36">
    <w:name w:val="List"/>
    <w:basedOn w:val="1"/>
    <w:qFormat/>
    <w:uiPriority w:val="99"/>
    <w:pPr>
      <w:ind w:left="200" w:hanging="200" w:hangingChars="200"/>
    </w:pPr>
    <w:rPr>
      <w:sz w:val="28"/>
    </w:rPr>
  </w:style>
  <w:style w:type="paragraph" w:styleId="37">
    <w:name w:val="footnote text"/>
    <w:basedOn w:val="1"/>
    <w:link w:val="81"/>
    <w:unhideWhenUsed/>
    <w:qFormat/>
    <w:uiPriority w:val="99"/>
    <w:pPr>
      <w:snapToGrid w:val="0"/>
      <w:jc w:val="left"/>
    </w:pPr>
    <w:rPr>
      <w:sz w:val="18"/>
      <w:szCs w:val="18"/>
    </w:rPr>
  </w:style>
  <w:style w:type="paragraph" w:styleId="38">
    <w:name w:val="toc 6"/>
    <w:basedOn w:val="1"/>
    <w:next w:val="1"/>
    <w:unhideWhenUsed/>
    <w:qFormat/>
    <w:uiPriority w:val="39"/>
    <w:pPr>
      <w:ind w:left="2100" w:leftChars="1000"/>
    </w:pPr>
    <w:rPr>
      <w:rFonts w:ascii="Calibri" w:hAnsi="Calibri" w:eastAsia="宋体" w:cs="Times New Roman"/>
      <w:szCs w:val="22"/>
    </w:rPr>
  </w:style>
  <w:style w:type="paragraph" w:styleId="39">
    <w:name w:val="Body Text Indent 3"/>
    <w:basedOn w:val="1"/>
    <w:link w:val="82"/>
    <w:qFormat/>
    <w:uiPriority w:val="99"/>
    <w:pPr>
      <w:spacing w:after="120"/>
      <w:ind w:left="420" w:leftChars="200"/>
    </w:pPr>
    <w:rPr>
      <w:kern w:val="0"/>
      <w:sz w:val="16"/>
      <w:szCs w:val="16"/>
    </w:rPr>
  </w:style>
  <w:style w:type="paragraph" w:styleId="40">
    <w:name w:val="toc 2"/>
    <w:basedOn w:val="1"/>
    <w:next w:val="1"/>
    <w:unhideWhenUsed/>
    <w:qFormat/>
    <w:uiPriority w:val="39"/>
    <w:pPr>
      <w:ind w:left="420" w:leftChars="200"/>
    </w:pPr>
  </w:style>
  <w:style w:type="paragraph" w:styleId="41">
    <w:name w:val="toc 9"/>
    <w:basedOn w:val="1"/>
    <w:next w:val="1"/>
    <w:unhideWhenUsed/>
    <w:qFormat/>
    <w:uiPriority w:val="39"/>
    <w:pPr>
      <w:ind w:left="3360" w:leftChars="1600"/>
    </w:pPr>
    <w:rPr>
      <w:rFonts w:ascii="Calibri" w:hAnsi="Calibri" w:eastAsia="宋体" w:cs="Times New Roman"/>
      <w:szCs w:val="22"/>
    </w:rPr>
  </w:style>
  <w:style w:type="paragraph" w:styleId="42">
    <w:name w:val="Body Text 2"/>
    <w:basedOn w:val="1"/>
    <w:link w:val="83"/>
    <w:qFormat/>
    <w:uiPriority w:val="99"/>
    <w:pPr>
      <w:spacing w:after="120" w:line="480" w:lineRule="auto"/>
    </w:pPr>
    <w:rPr>
      <w:kern w:val="0"/>
      <w:sz w:val="20"/>
    </w:rPr>
  </w:style>
  <w:style w:type="paragraph" w:styleId="43">
    <w:name w:val="HTML Preformatted"/>
    <w:basedOn w:val="1"/>
    <w:link w:val="84"/>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kern w:val="0"/>
      <w:sz w:val="20"/>
      <w:szCs w:val="20"/>
    </w:rPr>
  </w:style>
  <w:style w:type="paragraph" w:styleId="44">
    <w:name w:val="Normal (Web)"/>
    <w:basedOn w:val="1"/>
    <w:qFormat/>
    <w:uiPriority w:val="99"/>
    <w:pPr>
      <w:widowControl/>
      <w:spacing w:before="100" w:beforeAutospacing="1" w:after="100" w:afterAutospacing="1"/>
      <w:jc w:val="left"/>
    </w:pPr>
    <w:rPr>
      <w:rFonts w:ascii="宋体" w:hAnsi="宋体"/>
      <w:kern w:val="0"/>
      <w:sz w:val="24"/>
    </w:rPr>
  </w:style>
  <w:style w:type="paragraph" w:styleId="45">
    <w:name w:val="index 1"/>
    <w:basedOn w:val="1"/>
    <w:next w:val="1"/>
    <w:semiHidden/>
    <w:qFormat/>
    <w:uiPriority w:val="99"/>
    <w:pPr>
      <w:spacing w:line="400" w:lineRule="exact"/>
      <w:ind w:firstLine="420" w:firstLineChars="200"/>
    </w:pPr>
    <w:rPr>
      <w:rFonts w:ascii="宋体" w:hAnsi="Courier New"/>
      <w:b/>
      <w:szCs w:val="20"/>
    </w:rPr>
  </w:style>
  <w:style w:type="paragraph" w:styleId="46">
    <w:name w:val="Title"/>
    <w:basedOn w:val="1"/>
    <w:next w:val="1"/>
    <w:link w:val="85"/>
    <w:qFormat/>
    <w:uiPriority w:val="10"/>
    <w:pPr>
      <w:spacing w:before="240" w:after="60"/>
      <w:jc w:val="center"/>
      <w:outlineLvl w:val="0"/>
    </w:pPr>
    <w:rPr>
      <w:rFonts w:ascii="Cambria" w:hAnsi="Cambria"/>
      <w:b/>
      <w:bCs/>
      <w:sz w:val="32"/>
      <w:szCs w:val="32"/>
    </w:rPr>
  </w:style>
  <w:style w:type="paragraph" w:styleId="47">
    <w:name w:val="annotation subject"/>
    <w:basedOn w:val="16"/>
    <w:next w:val="16"/>
    <w:link w:val="86"/>
    <w:unhideWhenUsed/>
    <w:qFormat/>
    <w:uiPriority w:val="99"/>
    <w:rPr>
      <w:b/>
      <w:bCs/>
    </w:rPr>
  </w:style>
  <w:style w:type="table" w:styleId="49">
    <w:name w:val="Table Grid"/>
    <w:basedOn w:val="48"/>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Strong"/>
    <w:basedOn w:val="50"/>
    <w:qFormat/>
    <w:uiPriority w:val="22"/>
    <w:rPr>
      <w:b/>
    </w:rPr>
  </w:style>
  <w:style w:type="character" w:styleId="52">
    <w:name w:val="endnote reference"/>
    <w:unhideWhenUsed/>
    <w:qFormat/>
    <w:uiPriority w:val="99"/>
    <w:rPr>
      <w:vertAlign w:val="superscript"/>
    </w:rPr>
  </w:style>
  <w:style w:type="character" w:styleId="53">
    <w:name w:val="page number"/>
    <w:qFormat/>
    <w:uiPriority w:val="0"/>
  </w:style>
  <w:style w:type="character" w:styleId="54">
    <w:name w:val="FollowedHyperlink"/>
    <w:qFormat/>
    <w:uiPriority w:val="99"/>
    <w:rPr>
      <w:color w:val="800080"/>
      <w:u w:val="single"/>
    </w:rPr>
  </w:style>
  <w:style w:type="character" w:styleId="55">
    <w:name w:val="Hyperlink"/>
    <w:qFormat/>
    <w:uiPriority w:val="99"/>
    <w:rPr>
      <w:color w:val="0000FF"/>
      <w:u w:val="single"/>
    </w:rPr>
  </w:style>
  <w:style w:type="character" w:styleId="56">
    <w:name w:val="annotation reference"/>
    <w:unhideWhenUsed/>
    <w:qFormat/>
    <w:uiPriority w:val="0"/>
    <w:rPr>
      <w:sz w:val="21"/>
      <w:szCs w:val="21"/>
    </w:rPr>
  </w:style>
  <w:style w:type="character" w:styleId="57">
    <w:name w:val="footnote reference"/>
    <w:unhideWhenUsed/>
    <w:qFormat/>
    <w:uiPriority w:val="99"/>
    <w:rPr>
      <w:vertAlign w:val="superscript"/>
    </w:rPr>
  </w:style>
  <w:style w:type="character" w:customStyle="1" w:styleId="58">
    <w:name w:val="标题 4 Char"/>
    <w:basedOn w:val="50"/>
    <w:link w:val="2"/>
    <w:qFormat/>
    <w:uiPriority w:val="0"/>
    <w:rPr>
      <w:rFonts w:ascii="Arial" w:eastAsia="黑体"/>
      <w:sz w:val="28"/>
    </w:rPr>
  </w:style>
  <w:style w:type="character" w:customStyle="1" w:styleId="59">
    <w:name w:val="标题 1 Char2"/>
    <w:link w:val="3"/>
    <w:qFormat/>
    <w:uiPriority w:val="0"/>
    <w:rPr>
      <w:rFonts w:ascii="Times New Roman" w:hAnsi="Times New Roman" w:eastAsia="宋体" w:cs="Times New Roman"/>
      <w:b/>
      <w:bCs/>
      <w:kern w:val="44"/>
      <w:sz w:val="44"/>
      <w:szCs w:val="44"/>
    </w:rPr>
  </w:style>
  <w:style w:type="character" w:customStyle="1" w:styleId="60">
    <w:name w:val="标题 2 Char2"/>
    <w:link w:val="4"/>
    <w:qFormat/>
    <w:uiPriority w:val="0"/>
    <w:rPr>
      <w:rFonts w:ascii="Arial" w:hAnsi="Arial" w:eastAsia="黑体" w:cs="Times New Roman"/>
      <w:b/>
      <w:bCs/>
      <w:sz w:val="32"/>
      <w:szCs w:val="32"/>
    </w:rPr>
  </w:style>
  <w:style w:type="character" w:customStyle="1" w:styleId="61">
    <w:name w:val="标题 3 Char2"/>
    <w:link w:val="5"/>
    <w:qFormat/>
    <w:uiPriority w:val="0"/>
    <w:rPr>
      <w:rFonts w:ascii="Times New Roman" w:hAnsi="Times New Roman" w:eastAsia="宋体" w:cs="Times New Roman"/>
      <w:b/>
      <w:bCs/>
      <w:sz w:val="32"/>
      <w:szCs w:val="32"/>
    </w:rPr>
  </w:style>
  <w:style w:type="character" w:customStyle="1" w:styleId="62">
    <w:name w:val="标题 5 Char3"/>
    <w:link w:val="6"/>
    <w:qFormat/>
    <w:uiPriority w:val="0"/>
    <w:rPr>
      <w:b/>
      <w:kern w:val="2"/>
      <w:sz w:val="28"/>
      <w:szCs w:val="24"/>
    </w:rPr>
  </w:style>
  <w:style w:type="character" w:customStyle="1" w:styleId="63">
    <w:name w:val="标题 6 Char2"/>
    <w:link w:val="8"/>
    <w:qFormat/>
    <w:uiPriority w:val="0"/>
    <w:rPr>
      <w:rFonts w:ascii="Arial" w:hAnsi="Arial" w:eastAsia="黑体"/>
      <w:b/>
      <w:kern w:val="2"/>
      <w:sz w:val="24"/>
      <w:szCs w:val="24"/>
    </w:rPr>
  </w:style>
  <w:style w:type="character" w:customStyle="1" w:styleId="64">
    <w:name w:val="标题 7 Char2"/>
    <w:link w:val="9"/>
    <w:qFormat/>
    <w:uiPriority w:val="99"/>
    <w:rPr>
      <w:rFonts w:ascii="Times New Roman" w:hAnsi="Times New Roman"/>
      <w:b/>
      <w:kern w:val="2"/>
      <w:sz w:val="24"/>
      <w:szCs w:val="24"/>
    </w:rPr>
  </w:style>
  <w:style w:type="character" w:customStyle="1" w:styleId="65">
    <w:name w:val="标题 8 Char2"/>
    <w:link w:val="10"/>
    <w:qFormat/>
    <w:uiPriority w:val="99"/>
    <w:rPr>
      <w:rFonts w:ascii="Arial" w:hAnsi="Arial" w:eastAsia="黑体"/>
      <w:kern w:val="2"/>
      <w:sz w:val="24"/>
      <w:szCs w:val="24"/>
    </w:rPr>
  </w:style>
  <w:style w:type="character" w:customStyle="1" w:styleId="66">
    <w:name w:val="标题 9 Char2"/>
    <w:link w:val="11"/>
    <w:qFormat/>
    <w:uiPriority w:val="99"/>
    <w:rPr>
      <w:rFonts w:ascii="Arial" w:hAnsi="Arial" w:eastAsia="黑体"/>
      <w:kern w:val="2"/>
      <w:sz w:val="21"/>
      <w:szCs w:val="24"/>
    </w:rPr>
  </w:style>
  <w:style w:type="character" w:customStyle="1" w:styleId="67">
    <w:name w:val="文档结构图 Char3"/>
    <w:link w:val="15"/>
    <w:qFormat/>
    <w:uiPriority w:val="99"/>
    <w:rPr>
      <w:rFonts w:hint="eastAsia" w:ascii="宋体" w:hAnsi="宋体" w:eastAsia="宋体" w:cs="宋体"/>
    </w:rPr>
  </w:style>
  <w:style w:type="character" w:customStyle="1" w:styleId="68">
    <w:name w:val="批注文字 Char3"/>
    <w:link w:val="16"/>
    <w:qFormat/>
    <w:uiPriority w:val="99"/>
    <w:rPr>
      <w:rFonts w:ascii="Times New Roman" w:hAnsi="Times New Roman"/>
      <w:kern w:val="2"/>
      <w:sz w:val="21"/>
      <w:szCs w:val="24"/>
    </w:rPr>
  </w:style>
  <w:style w:type="character" w:customStyle="1" w:styleId="69">
    <w:name w:val="正文文本 3 Char2"/>
    <w:link w:val="17"/>
    <w:qFormat/>
    <w:uiPriority w:val="99"/>
    <w:rPr>
      <w:rFonts w:ascii="Times New Roman" w:hAnsi="Times New Roman" w:eastAsia="宋体" w:cs="Times New Roman"/>
      <w:b/>
      <w:bCs/>
      <w:sz w:val="24"/>
      <w:szCs w:val="24"/>
    </w:rPr>
  </w:style>
  <w:style w:type="character" w:customStyle="1" w:styleId="70">
    <w:name w:val="正文文本 Char3"/>
    <w:link w:val="18"/>
    <w:qFormat/>
    <w:uiPriority w:val="99"/>
    <w:rPr>
      <w:rFonts w:ascii="Times New Roman" w:hAnsi="Times New Roman" w:eastAsia="宋体" w:cs="Times New Roman"/>
      <w:sz w:val="24"/>
      <w:szCs w:val="24"/>
    </w:rPr>
  </w:style>
  <w:style w:type="character" w:customStyle="1" w:styleId="71">
    <w:name w:val="正文文本缩进 Char2"/>
    <w:link w:val="19"/>
    <w:qFormat/>
    <w:uiPriority w:val="99"/>
    <w:rPr>
      <w:rFonts w:ascii="仿宋_GB2312" w:hAnsi="Times New Roman" w:eastAsia="仿宋_GB2312" w:cs="Times New Roman"/>
      <w:sz w:val="32"/>
      <w:szCs w:val="20"/>
    </w:rPr>
  </w:style>
  <w:style w:type="character" w:customStyle="1" w:styleId="72">
    <w:name w:val="HTML 地址 Char1"/>
    <w:basedOn w:val="50"/>
    <w:link w:val="22"/>
    <w:semiHidden/>
    <w:qFormat/>
    <w:uiPriority w:val="0"/>
    <w:rPr>
      <w:i/>
      <w:iCs/>
      <w:kern w:val="2"/>
      <w:sz w:val="21"/>
      <w:szCs w:val="24"/>
    </w:rPr>
  </w:style>
  <w:style w:type="character" w:customStyle="1" w:styleId="73">
    <w:name w:val="纯文本 Char3"/>
    <w:link w:val="25"/>
    <w:qFormat/>
    <w:uiPriority w:val="0"/>
    <w:rPr>
      <w:rFonts w:ascii="宋体" w:hAnsi="Courier New" w:eastAsia="宋体" w:cs="Courier New"/>
      <w:szCs w:val="21"/>
    </w:rPr>
  </w:style>
  <w:style w:type="character" w:customStyle="1" w:styleId="74">
    <w:name w:val="日期 Char2"/>
    <w:link w:val="27"/>
    <w:qFormat/>
    <w:uiPriority w:val="99"/>
    <w:rPr>
      <w:rFonts w:ascii="宋体" w:hAnsi="Courier New" w:eastAsia="宋体" w:cs="Courier New"/>
      <w:szCs w:val="21"/>
    </w:rPr>
  </w:style>
  <w:style w:type="character" w:customStyle="1" w:styleId="75">
    <w:name w:val="正文文本缩进 2 Char2"/>
    <w:link w:val="28"/>
    <w:qFormat/>
    <w:uiPriority w:val="99"/>
    <w:rPr>
      <w:rFonts w:ascii="Times New Roman" w:hAnsi="Times New Roman" w:eastAsia="宋体" w:cs="Times New Roman"/>
      <w:sz w:val="32"/>
      <w:szCs w:val="20"/>
    </w:rPr>
  </w:style>
  <w:style w:type="character" w:customStyle="1" w:styleId="76">
    <w:name w:val="尾注文本 Char2"/>
    <w:link w:val="29"/>
    <w:semiHidden/>
    <w:qFormat/>
    <w:uiPriority w:val="99"/>
    <w:rPr>
      <w:rFonts w:ascii="Times New Roman" w:hAnsi="Times New Roman"/>
      <w:kern w:val="2"/>
      <w:sz w:val="21"/>
      <w:szCs w:val="24"/>
    </w:rPr>
  </w:style>
  <w:style w:type="character" w:customStyle="1" w:styleId="77">
    <w:name w:val="批注框文本 Char2"/>
    <w:link w:val="30"/>
    <w:semiHidden/>
    <w:qFormat/>
    <w:uiPriority w:val="99"/>
    <w:rPr>
      <w:rFonts w:ascii="Times New Roman" w:hAnsi="Times New Roman" w:eastAsia="宋体" w:cs="Times New Roman"/>
      <w:sz w:val="18"/>
      <w:szCs w:val="18"/>
    </w:rPr>
  </w:style>
  <w:style w:type="character" w:customStyle="1" w:styleId="78">
    <w:name w:val="页脚 Char3"/>
    <w:link w:val="31"/>
    <w:qFormat/>
    <w:uiPriority w:val="99"/>
    <w:rPr>
      <w:sz w:val="18"/>
      <w:szCs w:val="18"/>
    </w:rPr>
  </w:style>
  <w:style w:type="character" w:customStyle="1" w:styleId="79">
    <w:name w:val="页眉 Char3"/>
    <w:link w:val="32"/>
    <w:qFormat/>
    <w:uiPriority w:val="99"/>
    <w:rPr>
      <w:rFonts w:ascii="Times New Roman" w:hAnsi="Times New Roman"/>
      <w:kern w:val="2"/>
      <w:sz w:val="18"/>
      <w:szCs w:val="18"/>
    </w:rPr>
  </w:style>
  <w:style w:type="character" w:customStyle="1" w:styleId="80">
    <w:name w:val="副标题 Char1"/>
    <w:basedOn w:val="50"/>
    <w:link w:val="35"/>
    <w:qFormat/>
    <w:locked/>
    <w:uiPriority w:val="99"/>
    <w:rPr>
      <w:rFonts w:ascii="Cambria" w:hAnsi="Cambria"/>
      <w:b/>
      <w:bCs/>
      <w:kern w:val="28"/>
      <w:sz w:val="32"/>
      <w:szCs w:val="32"/>
    </w:rPr>
  </w:style>
  <w:style w:type="character" w:customStyle="1" w:styleId="81">
    <w:name w:val="脚注文本 Char2"/>
    <w:link w:val="37"/>
    <w:semiHidden/>
    <w:qFormat/>
    <w:uiPriority w:val="99"/>
    <w:rPr>
      <w:rFonts w:ascii="Times New Roman" w:hAnsi="Times New Roman"/>
      <w:kern w:val="2"/>
      <w:sz w:val="18"/>
      <w:szCs w:val="18"/>
    </w:rPr>
  </w:style>
  <w:style w:type="character" w:customStyle="1" w:styleId="82">
    <w:name w:val="正文文本缩进 3 Char2"/>
    <w:link w:val="39"/>
    <w:qFormat/>
    <w:uiPriority w:val="99"/>
    <w:rPr>
      <w:rFonts w:ascii="Times New Roman" w:hAnsi="Times New Roman" w:eastAsia="宋体" w:cs="Times New Roman"/>
      <w:sz w:val="16"/>
      <w:szCs w:val="16"/>
    </w:rPr>
  </w:style>
  <w:style w:type="character" w:customStyle="1" w:styleId="83">
    <w:name w:val="正文文本 2 Char2"/>
    <w:link w:val="42"/>
    <w:qFormat/>
    <w:uiPriority w:val="99"/>
    <w:rPr>
      <w:rFonts w:ascii="Times New Roman" w:hAnsi="Times New Roman" w:eastAsia="宋体" w:cs="Times New Roman"/>
      <w:szCs w:val="24"/>
    </w:rPr>
  </w:style>
  <w:style w:type="character" w:customStyle="1" w:styleId="84">
    <w:name w:val="HTML 预设格式 Char1"/>
    <w:basedOn w:val="50"/>
    <w:link w:val="43"/>
    <w:semiHidden/>
    <w:qFormat/>
    <w:uiPriority w:val="0"/>
    <w:rPr>
      <w:rFonts w:ascii="Courier New" w:hAnsi="Courier New" w:cs="Courier New"/>
      <w:kern w:val="2"/>
    </w:rPr>
  </w:style>
  <w:style w:type="character" w:customStyle="1" w:styleId="85">
    <w:name w:val="标题 Char3"/>
    <w:link w:val="46"/>
    <w:qFormat/>
    <w:uiPriority w:val="10"/>
    <w:rPr>
      <w:rFonts w:ascii="Cambria" w:hAnsi="Cambria" w:cs="Times New Roman"/>
      <w:b/>
      <w:bCs/>
      <w:kern w:val="2"/>
      <w:sz w:val="32"/>
      <w:szCs w:val="32"/>
    </w:rPr>
  </w:style>
  <w:style w:type="character" w:customStyle="1" w:styleId="86">
    <w:name w:val="批注主题 Char3"/>
    <w:link w:val="47"/>
    <w:semiHidden/>
    <w:qFormat/>
    <w:uiPriority w:val="99"/>
    <w:rPr>
      <w:rFonts w:ascii="Times New Roman" w:hAnsi="Times New Roman"/>
      <w:b/>
      <w:bCs/>
      <w:kern w:val="2"/>
      <w:sz w:val="21"/>
      <w:szCs w:val="24"/>
    </w:rPr>
  </w:style>
  <w:style w:type="character" w:customStyle="1" w:styleId="87">
    <w:name w:val="正文文本缩进 字符"/>
    <w:qFormat/>
    <w:uiPriority w:val="0"/>
    <w:rPr>
      <w:rFonts w:ascii="仿宋_GB2312" w:hAnsi="Times New Roman" w:eastAsia="仿宋_GB2312" w:cs="Times New Roman"/>
      <w:sz w:val="32"/>
      <w:szCs w:val="20"/>
    </w:rPr>
  </w:style>
  <w:style w:type="character" w:customStyle="1" w:styleId="88">
    <w:name w:val="正文文本 Char1"/>
    <w:semiHidden/>
    <w:qFormat/>
    <w:locked/>
    <w:uiPriority w:val="0"/>
    <w:rPr>
      <w:sz w:val="24"/>
      <w:szCs w:val="24"/>
    </w:rPr>
  </w:style>
  <w:style w:type="character" w:customStyle="1" w:styleId="89">
    <w:name w:val="纯文本 字符"/>
    <w:qFormat/>
    <w:uiPriority w:val="0"/>
    <w:rPr>
      <w:rFonts w:ascii="宋体" w:hAnsi="Courier New" w:eastAsia="宋体" w:cs="Courier New"/>
      <w:szCs w:val="21"/>
    </w:rPr>
  </w:style>
  <w:style w:type="character" w:customStyle="1" w:styleId="90">
    <w:name w:val="headline-content4"/>
    <w:qFormat/>
    <w:uiPriority w:val="0"/>
  </w:style>
  <w:style w:type="character" w:customStyle="1" w:styleId="91">
    <w:name w:val="标题 5 Char2"/>
    <w:qFormat/>
    <w:uiPriority w:val="0"/>
    <w:rPr>
      <w:b/>
      <w:kern w:val="2"/>
      <w:sz w:val="28"/>
      <w:szCs w:val="24"/>
    </w:rPr>
  </w:style>
  <w:style w:type="character" w:customStyle="1" w:styleId="92">
    <w:name w:val="正文2 Char Char"/>
    <w:link w:val="93"/>
    <w:qFormat/>
    <w:uiPriority w:val="0"/>
    <w:rPr>
      <w:kern w:val="2"/>
      <w:sz w:val="24"/>
    </w:rPr>
  </w:style>
  <w:style w:type="paragraph" w:customStyle="1" w:styleId="93">
    <w:name w:val="正文2"/>
    <w:basedOn w:val="1"/>
    <w:link w:val="92"/>
    <w:qFormat/>
    <w:uiPriority w:val="0"/>
    <w:pPr>
      <w:adjustRightInd w:val="0"/>
      <w:spacing w:before="156" w:line="360" w:lineRule="auto"/>
      <w:ind w:firstLine="510" w:firstLineChars="200"/>
    </w:pPr>
    <w:rPr>
      <w:sz w:val="24"/>
      <w:szCs w:val="20"/>
    </w:rPr>
  </w:style>
  <w:style w:type="character" w:customStyle="1" w:styleId="94">
    <w:name w:val="正文文本缩进 Char"/>
    <w:basedOn w:val="50"/>
    <w:qFormat/>
    <w:uiPriority w:val="99"/>
    <w:rPr>
      <w:rFonts w:ascii="宋体" w:hAnsi="Courier New" w:eastAsia="宋体" w:cs="Times New Roman"/>
      <w:spacing w:val="-4"/>
      <w:sz w:val="18"/>
      <w:szCs w:val="20"/>
    </w:rPr>
  </w:style>
  <w:style w:type="character" w:customStyle="1" w:styleId="95">
    <w:name w:val="脚注文本 Char"/>
    <w:basedOn w:val="50"/>
    <w:semiHidden/>
    <w:qFormat/>
    <w:uiPriority w:val="99"/>
    <w:rPr>
      <w:rFonts w:ascii="Times New Roman" w:hAnsi="Times New Roman" w:eastAsia="宋体" w:cs="Times New Roman"/>
      <w:sz w:val="18"/>
      <w:szCs w:val="18"/>
    </w:rPr>
  </w:style>
  <w:style w:type="character" w:customStyle="1" w:styleId="96">
    <w:name w:val="批注文字 字符"/>
    <w:qFormat/>
    <w:uiPriority w:val="0"/>
    <w:rPr>
      <w:rFonts w:ascii="Times New Roman" w:hAnsi="Times New Roman"/>
      <w:kern w:val="2"/>
      <w:sz w:val="21"/>
      <w:szCs w:val="24"/>
    </w:rPr>
  </w:style>
  <w:style w:type="character" w:customStyle="1" w:styleId="97">
    <w:name w:val="正文文本 2 Char1"/>
    <w:semiHidden/>
    <w:qFormat/>
    <w:locked/>
    <w:uiPriority w:val="99"/>
    <w:rPr>
      <w:szCs w:val="24"/>
    </w:rPr>
  </w:style>
  <w:style w:type="character" w:customStyle="1" w:styleId="98">
    <w:name w:val="标题 Char2"/>
    <w:qFormat/>
    <w:locked/>
    <w:uiPriority w:val="99"/>
    <w:rPr>
      <w:rFonts w:ascii="Cambria" w:hAnsi="Cambria"/>
      <w:b/>
      <w:bCs/>
      <w:kern w:val="2"/>
      <w:sz w:val="32"/>
      <w:szCs w:val="32"/>
    </w:rPr>
  </w:style>
  <w:style w:type="character" w:customStyle="1" w:styleId="99">
    <w:name w:val="正文文本缩进 3 Char1"/>
    <w:semiHidden/>
    <w:qFormat/>
    <w:locked/>
    <w:uiPriority w:val="99"/>
    <w:rPr>
      <w:sz w:val="16"/>
      <w:szCs w:val="16"/>
    </w:rPr>
  </w:style>
  <w:style w:type="character" w:customStyle="1" w:styleId="100">
    <w:name w:val="HTML 地址 Char"/>
    <w:basedOn w:val="50"/>
    <w:semiHidden/>
    <w:qFormat/>
    <w:uiPriority w:val="0"/>
    <w:rPr>
      <w:i/>
      <w:iCs/>
      <w:szCs w:val="24"/>
    </w:rPr>
  </w:style>
  <w:style w:type="character" w:customStyle="1" w:styleId="101">
    <w:name w:val="副标题 Char"/>
    <w:basedOn w:val="50"/>
    <w:qFormat/>
    <w:uiPriority w:val="99"/>
    <w:rPr>
      <w:rFonts w:ascii="Cambria" w:hAnsi="Cambria" w:cs="Times New Roman"/>
      <w:b/>
      <w:bCs/>
      <w:kern w:val="28"/>
      <w:sz w:val="32"/>
      <w:szCs w:val="32"/>
    </w:rPr>
  </w:style>
  <w:style w:type="character" w:customStyle="1" w:styleId="102">
    <w:name w:val="HTML 预设格式 Char"/>
    <w:basedOn w:val="50"/>
    <w:semiHidden/>
    <w:qFormat/>
    <w:uiPriority w:val="0"/>
    <w:rPr>
      <w:rFonts w:ascii="Courier New" w:hAnsi="Courier New" w:cs="Courier New"/>
    </w:rPr>
  </w:style>
  <w:style w:type="character" w:customStyle="1" w:styleId="103">
    <w:name w:val="批注文字 Char1"/>
    <w:semiHidden/>
    <w:qFormat/>
    <w:locked/>
    <w:uiPriority w:val="0"/>
    <w:rPr>
      <w:rFonts w:ascii="Times New Roman" w:hAnsi="Times New Roman"/>
      <w:kern w:val="2"/>
      <w:sz w:val="21"/>
      <w:szCs w:val="24"/>
    </w:rPr>
  </w:style>
  <w:style w:type="character" w:customStyle="1" w:styleId="104">
    <w:name w:val="批注文字 Char"/>
    <w:qFormat/>
    <w:uiPriority w:val="0"/>
    <w:rPr>
      <w:rFonts w:ascii="Times New Roman" w:hAnsi="Times New Roman"/>
      <w:kern w:val="2"/>
      <w:sz w:val="21"/>
      <w:szCs w:val="24"/>
    </w:rPr>
  </w:style>
  <w:style w:type="character" w:customStyle="1" w:styleId="105">
    <w:name w:val="textcontents"/>
    <w:qFormat/>
    <w:uiPriority w:val="0"/>
  </w:style>
  <w:style w:type="character" w:customStyle="1" w:styleId="106">
    <w:name w:val="case31"/>
    <w:qFormat/>
    <w:uiPriority w:val="0"/>
    <w:rPr>
      <w:rFonts w:hint="default"/>
      <w:sz w:val="21"/>
      <w:szCs w:val="21"/>
    </w:rPr>
  </w:style>
  <w:style w:type="character" w:customStyle="1" w:styleId="107">
    <w:name w:val="纯文本 Char"/>
    <w:qFormat/>
    <w:uiPriority w:val="99"/>
    <w:rPr>
      <w:rFonts w:ascii="宋体" w:hAnsi="Courier New" w:eastAsia="宋体"/>
      <w:kern w:val="2"/>
      <w:sz w:val="21"/>
      <w:lang w:val="en-US" w:eastAsia="zh-CN" w:bidi="ar-SA"/>
    </w:rPr>
  </w:style>
  <w:style w:type="character" w:customStyle="1" w:styleId="108">
    <w:name w:val="批注文字 字符1"/>
    <w:qFormat/>
    <w:uiPriority w:val="0"/>
    <w:rPr>
      <w:rFonts w:ascii="Times New Roman" w:hAnsi="Times New Roman"/>
      <w:kern w:val="2"/>
      <w:sz w:val="21"/>
      <w:szCs w:val="24"/>
    </w:rPr>
  </w:style>
  <w:style w:type="character" w:customStyle="1" w:styleId="109">
    <w:name w:val="普通文字 Char Char2"/>
    <w:qFormat/>
    <w:uiPriority w:val="0"/>
    <w:rPr>
      <w:rFonts w:ascii="宋体" w:hAnsi="Courier New" w:eastAsia="宋体"/>
      <w:kern w:val="2"/>
      <w:sz w:val="21"/>
      <w:lang w:val="en-US" w:eastAsia="zh-CN" w:bidi="ar-SA"/>
    </w:rPr>
  </w:style>
  <w:style w:type="character" w:customStyle="1" w:styleId="110">
    <w:name w:val="apple-style-span"/>
    <w:qFormat/>
    <w:uiPriority w:val="0"/>
  </w:style>
  <w:style w:type="character" w:customStyle="1" w:styleId="111">
    <w:name w:val="标题 5 Char"/>
    <w:qFormat/>
    <w:uiPriority w:val="0"/>
    <w:rPr>
      <w:b/>
      <w:kern w:val="2"/>
      <w:sz w:val="28"/>
      <w:szCs w:val="24"/>
    </w:rPr>
  </w:style>
  <w:style w:type="character" w:customStyle="1" w:styleId="112">
    <w:name w:val="纯文本 字符1"/>
    <w:qFormat/>
    <w:uiPriority w:val="0"/>
    <w:rPr>
      <w:rFonts w:ascii="宋体" w:hAnsi="Courier New"/>
    </w:rPr>
  </w:style>
  <w:style w:type="character" w:customStyle="1" w:styleId="113">
    <w:name w:val="标题 1 字符"/>
    <w:qFormat/>
    <w:uiPriority w:val="9"/>
    <w:rPr>
      <w:rFonts w:ascii="Times New Roman" w:hAnsi="Times New Roman" w:eastAsia="宋体" w:cs="Times New Roman"/>
      <w:b/>
      <w:bCs/>
      <w:kern w:val="44"/>
      <w:sz w:val="44"/>
      <w:szCs w:val="44"/>
    </w:rPr>
  </w:style>
  <w:style w:type="character" w:customStyle="1" w:styleId="114">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115">
    <w:name w:val="页脚 字符"/>
    <w:qFormat/>
    <w:uiPriority w:val="99"/>
  </w:style>
  <w:style w:type="character" w:customStyle="1" w:styleId="116">
    <w:name w:val="纯文本 Char1"/>
    <w:qFormat/>
    <w:uiPriority w:val="0"/>
    <w:rPr>
      <w:rFonts w:ascii="宋体" w:hAnsi="Courier New" w:eastAsia="宋体" w:cs="Courier New"/>
      <w:szCs w:val="21"/>
    </w:rPr>
  </w:style>
  <w:style w:type="character" w:customStyle="1" w:styleId="117">
    <w:name w:val="页眉 Char"/>
    <w:basedOn w:val="50"/>
    <w:qFormat/>
    <w:uiPriority w:val="99"/>
    <w:rPr>
      <w:sz w:val="18"/>
      <w:szCs w:val="18"/>
    </w:rPr>
  </w:style>
  <w:style w:type="character" w:customStyle="1" w:styleId="118">
    <w:name w:val="页脚 Char"/>
    <w:basedOn w:val="50"/>
    <w:qFormat/>
    <w:uiPriority w:val="99"/>
    <w:rPr>
      <w:sz w:val="18"/>
      <w:szCs w:val="18"/>
    </w:rPr>
  </w:style>
  <w:style w:type="character" w:customStyle="1" w:styleId="119">
    <w:name w:val="标题 1 Char"/>
    <w:basedOn w:val="50"/>
    <w:qFormat/>
    <w:uiPriority w:val="0"/>
    <w:rPr>
      <w:rFonts w:ascii="Times New Roman" w:hAnsi="Times New Roman" w:eastAsia="宋体" w:cs="Times New Roman"/>
      <w:b/>
      <w:bCs/>
      <w:kern w:val="44"/>
      <w:sz w:val="44"/>
      <w:szCs w:val="44"/>
    </w:rPr>
  </w:style>
  <w:style w:type="character" w:customStyle="1" w:styleId="120">
    <w:name w:val="标题 2 Char"/>
    <w:basedOn w:val="50"/>
    <w:qFormat/>
    <w:uiPriority w:val="0"/>
    <w:rPr>
      <w:rFonts w:ascii="Arial" w:hAnsi="Arial" w:eastAsia="黑体" w:cs="Times New Roman"/>
      <w:b/>
      <w:bCs/>
      <w:sz w:val="32"/>
      <w:szCs w:val="32"/>
    </w:rPr>
  </w:style>
  <w:style w:type="character" w:customStyle="1" w:styleId="121">
    <w:name w:val="标题 3 Char"/>
    <w:basedOn w:val="50"/>
    <w:qFormat/>
    <w:uiPriority w:val="0"/>
    <w:rPr>
      <w:rFonts w:ascii="Times New Roman" w:hAnsi="Times New Roman" w:eastAsia="宋体" w:cs="Times New Roman"/>
      <w:b/>
      <w:bCs/>
      <w:sz w:val="32"/>
      <w:szCs w:val="32"/>
    </w:rPr>
  </w:style>
  <w:style w:type="character" w:customStyle="1" w:styleId="122">
    <w:name w:val="标题 6 Char"/>
    <w:basedOn w:val="50"/>
    <w:semiHidden/>
    <w:qFormat/>
    <w:uiPriority w:val="0"/>
    <w:rPr>
      <w:rFonts w:ascii="Arial" w:hAnsi="Arial" w:eastAsia="黑体" w:cs="Times New Roman"/>
      <w:b/>
      <w:bCs/>
      <w:sz w:val="24"/>
      <w:szCs w:val="24"/>
    </w:rPr>
  </w:style>
  <w:style w:type="character" w:customStyle="1" w:styleId="123">
    <w:name w:val="标题 7 Char"/>
    <w:basedOn w:val="50"/>
    <w:semiHidden/>
    <w:qFormat/>
    <w:uiPriority w:val="0"/>
    <w:rPr>
      <w:rFonts w:ascii="Times New Roman" w:hAnsi="Times New Roman" w:eastAsia="宋体" w:cs="Times New Roman"/>
      <w:b/>
      <w:bCs/>
      <w:sz w:val="24"/>
      <w:szCs w:val="24"/>
    </w:rPr>
  </w:style>
  <w:style w:type="character" w:customStyle="1" w:styleId="124">
    <w:name w:val="标题 8 Char"/>
    <w:basedOn w:val="50"/>
    <w:semiHidden/>
    <w:qFormat/>
    <w:uiPriority w:val="0"/>
    <w:rPr>
      <w:rFonts w:ascii="Arial" w:hAnsi="Arial" w:eastAsia="黑体" w:cs="Times New Roman"/>
      <w:sz w:val="24"/>
      <w:szCs w:val="24"/>
    </w:rPr>
  </w:style>
  <w:style w:type="character" w:customStyle="1" w:styleId="125">
    <w:name w:val="标题 9 Char"/>
    <w:basedOn w:val="50"/>
    <w:semiHidden/>
    <w:qFormat/>
    <w:uiPriority w:val="0"/>
    <w:rPr>
      <w:rFonts w:ascii="Arial" w:hAnsi="Arial" w:eastAsia="黑体" w:cs="Times New Roman"/>
      <w:szCs w:val="21"/>
    </w:rPr>
  </w:style>
  <w:style w:type="character" w:customStyle="1" w:styleId="126">
    <w:name w:val="正文文本缩进 2 Char"/>
    <w:basedOn w:val="50"/>
    <w:qFormat/>
    <w:uiPriority w:val="0"/>
    <w:rPr>
      <w:rFonts w:ascii="Times New Roman" w:hAnsi="Times New Roman" w:eastAsia="宋体" w:cs="Times New Roman"/>
      <w:szCs w:val="24"/>
    </w:rPr>
  </w:style>
  <w:style w:type="character" w:customStyle="1" w:styleId="127">
    <w:name w:val="日期 Char"/>
    <w:basedOn w:val="50"/>
    <w:qFormat/>
    <w:uiPriority w:val="0"/>
    <w:rPr>
      <w:rFonts w:ascii="Times New Roman" w:hAnsi="Times New Roman" w:eastAsia="宋体" w:cs="Times New Roman"/>
      <w:szCs w:val="24"/>
    </w:rPr>
  </w:style>
  <w:style w:type="character" w:customStyle="1" w:styleId="128">
    <w:name w:val="批注框文本 Char"/>
    <w:basedOn w:val="50"/>
    <w:qFormat/>
    <w:uiPriority w:val="99"/>
    <w:rPr>
      <w:rFonts w:ascii="Times New Roman" w:hAnsi="Times New Roman" w:eastAsia="宋体" w:cs="Times New Roman"/>
      <w:sz w:val="18"/>
      <w:szCs w:val="18"/>
    </w:rPr>
  </w:style>
  <w:style w:type="character" w:customStyle="1" w:styleId="129">
    <w:name w:val="文档结构图 Char"/>
    <w:basedOn w:val="50"/>
    <w:semiHidden/>
    <w:qFormat/>
    <w:uiPriority w:val="0"/>
    <w:rPr>
      <w:rFonts w:ascii="宋体" w:hAnsi="Times New Roman" w:eastAsia="宋体" w:cs="Times New Roman"/>
      <w:sz w:val="18"/>
      <w:szCs w:val="18"/>
    </w:rPr>
  </w:style>
  <w:style w:type="character" w:customStyle="1" w:styleId="130">
    <w:name w:val="批注主题 Char"/>
    <w:basedOn w:val="104"/>
    <w:qFormat/>
    <w:uiPriority w:val="99"/>
  </w:style>
  <w:style w:type="character" w:customStyle="1" w:styleId="131">
    <w:name w:val="批注主题 Char1"/>
    <w:basedOn w:val="104"/>
    <w:semiHidden/>
    <w:qFormat/>
    <w:locked/>
    <w:uiPriority w:val="99"/>
  </w:style>
  <w:style w:type="character" w:customStyle="1" w:styleId="132">
    <w:name w:val="标题 Char"/>
    <w:basedOn w:val="50"/>
    <w:qFormat/>
    <w:uiPriority w:val="10"/>
    <w:rPr>
      <w:rFonts w:ascii="Arial" w:hAnsi="Arial" w:eastAsia="宋体" w:cs="Arial"/>
      <w:b/>
      <w:bCs/>
      <w:sz w:val="32"/>
      <w:szCs w:val="32"/>
    </w:rPr>
  </w:style>
  <w:style w:type="character" w:customStyle="1" w:styleId="133">
    <w:name w:val="发布"/>
    <w:basedOn w:val="50"/>
    <w:qFormat/>
    <w:uiPriority w:val="0"/>
    <w:rPr>
      <w:rFonts w:hint="eastAsia" w:ascii="黑体" w:hAnsi="黑体" w:eastAsia="黑体"/>
      <w:spacing w:val="22"/>
      <w:w w:val="100"/>
      <w:position w:val="3"/>
      <w:sz w:val="28"/>
    </w:rPr>
  </w:style>
  <w:style w:type="character" w:customStyle="1" w:styleId="134">
    <w:name w:val="文档结构图 Char1"/>
    <w:basedOn w:val="50"/>
    <w:semiHidden/>
    <w:qFormat/>
    <w:locked/>
    <w:uiPriority w:val="0"/>
    <w:rPr>
      <w:rFonts w:ascii="宋体"/>
      <w:sz w:val="18"/>
      <w:szCs w:val="18"/>
    </w:rPr>
  </w:style>
  <w:style w:type="character" w:customStyle="1" w:styleId="135">
    <w:name w:val="个人答复风格"/>
    <w:qFormat/>
    <w:uiPriority w:val="0"/>
    <w:rPr>
      <w:rFonts w:hint="default" w:ascii="Arial" w:hAnsi="Arial" w:eastAsia="宋体" w:cs="Arial"/>
      <w:color w:val="auto"/>
      <w:sz w:val="20"/>
    </w:rPr>
  </w:style>
  <w:style w:type="character" w:customStyle="1" w:styleId="136">
    <w:name w:val="个人撰写风格"/>
    <w:qFormat/>
    <w:uiPriority w:val="0"/>
    <w:rPr>
      <w:rFonts w:hint="default" w:ascii="Arial" w:hAnsi="Arial" w:eastAsia="宋体" w:cs="Arial"/>
      <w:color w:val="auto"/>
      <w:sz w:val="20"/>
    </w:rPr>
  </w:style>
  <w:style w:type="character" w:customStyle="1" w:styleId="137">
    <w:name w:val="正文文本 Char"/>
    <w:basedOn w:val="50"/>
    <w:semiHidden/>
    <w:qFormat/>
    <w:uiPriority w:val="99"/>
    <w:rPr>
      <w:rFonts w:ascii="Times New Roman" w:hAnsi="Times New Roman" w:eastAsia="宋体" w:cs="Times New Roman"/>
      <w:szCs w:val="24"/>
    </w:rPr>
  </w:style>
  <w:style w:type="character" w:customStyle="1" w:styleId="138">
    <w:name w:val="默认段落字体1"/>
    <w:qFormat/>
    <w:uiPriority w:val="0"/>
  </w:style>
  <w:style w:type="character" w:customStyle="1" w:styleId="139">
    <w:name w:val="页脚 Char1"/>
    <w:qFormat/>
    <w:locked/>
    <w:uiPriority w:val="99"/>
    <w:rPr>
      <w:rFonts w:hint="default" w:ascii="Times New Roman" w:hAnsi="Times New Roman" w:cs="Times New Roman"/>
      <w:kern w:val="2"/>
      <w:sz w:val="18"/>
      <w:szCs w:val="18"/>
      <w:lang w:eastAsia="ar-SA"/>
    </w:rPr>
  </w:style>
  <w:style w:type="character" w:customStyle="1" w:styleId="140">
    <w:name w:val="页眉 Char1"/>
    <w:qFormat/>
    <w:locked/>
    <w:uiPriority w:val="0"/>
    <w:rPr>
      <w:rFonts w:hint="default" w:ascii="Times New Roman" w:hAnsi="Times New Roman" w:cs="Times New Roman"/>
      <w:kern w:val="2"/>
      <w:sz w:val="18"/>
      <w:szCs w:val="18"/>
      <w:lang w:eastAsia="ar-SA"/>
    </w:rPr>
  </w:style>
  <w:style w:type="character" w:customStyle="1" w:styleId="141">
    <w:name w:val="标题 Char1"/>
    <w:basedOn w:val="50"/>
    <w:qFormat/>
    <w:locked/>
    <w:uiPriority w:val="0"/>
    <w:rPr>
      <w:rFonts w:ascii="Liberation Sans" w:hAnsi="Liberation Sans" w:eastAsia="DejaVu LGC Sans" w:cs="DejaVu LGC Sans"/>
      <w:kern w:val="2"/>
      <w:sz w:val="28"/>
      <w:szCs w:val="28"/>
      <w:lang w:eastAsia="ar-SA"/>
    </w:rPr>
  </w:style>
  <w:style w:type="character" w:customStyle="1" w:styleId="142">
    <w:name w:val="尾注文本 Char"/>
    <w:basedOn w:val="50"/>
    <w:semiHidden/>
    <w:qFormat/>
    <w:uiPriority w:val="99"/>
    <w:rPr>
      <w:kern w:val="2"/>
      <w:sz w:val="21"/>
      <w:szCs w:val="24"/>
    </w:rPr>
  </w:style>
  <w:style w:type="character" w:customStyle="1" w:styleId="143">
    <w:name w:val="正文文本 2 Char"/>
    <w:basedOn w:val="50"/>
    <w:semiHidden/>
    <w:qFormat/>
    <w:uiPriority w:val="99"/>
    <w:rPr>
      <w:kern w:val="2"/>
      <w:sz w:val="21"/>
      <w:szCs w:val="24"/>
    </w:rPr>
  </w:style>
  <w:style w:type="character" w:customStyle="1" w:styleId="144">
    <w:name w:val="正文文本 3 Char"/>
    <w:basedOn w:val="50"/>
    <w:semiHidden/>
    <w:qFormat/>
    <w:uiPriority w:val="99"/>
    <w:rPr>
      <w:kern w:val="2"/>
      <w:sz w:val="16"/>
      <w:szCs w:val="16"/>
    </w:rPr>
  </w:style>
  <w:style w:type="character" w:customStyle="1" w:styleId="145">
    <w:name w:val="正文文本缩进 3 Char"/>
    <w:basedOn w:val="50"/>
    <w:semiHidden/>
    <w:qFormat/>
    <w:uiPriority w:val="99"/>
    <w:rPr>
      <w:kern w:val="2"/>
      <w:sz w:val="16"/>
      <w:szCs w:val="16"/>
    </w:rPr>
  </w:style>
  <w:style w:type="character" w:customStyle="1" w:styleId="146">
    <w:name w:val="标题 1 Char1"/>
    <w:qFormat/>
    <w:locked/>
    <w:uiPriority w:val="0"/>
    <w:rPr>
      <w:b/>
      <w:bCs/>
      <w:kern w:val="44"/>
      <w:sz w:val="44"/>
      <w:szCs w:val="44"/>
    </w:rPr>
  </w:style>
  <w:style w:type="character" w:customStyle="1" w:styleId="147">
    <w:name w:val="标题 2 Char1"/>
    <w:semiHidden/>
    <w:qFormat/>
    <w:locked/>
    <w:uiPriority w:val="0"/>
    <w:rPr>
      <w:rFonts w:ascii="Arial" w:hAnsi="Arial" w:eastAsia="黑体"/>
      <w:b/>
      <w:bCs/>
      <w:sz w:val="32"/>
      <w:szCs w:val="32"/>
    </w:rPr>
  </w:style>
  <w:style w:type="character" w:customStyle="1" w:styleId="148">
    <w:name w:val="标题 3 Char1"/>
    <w:semiHidden/>
    <w:qFormat/>
    <w:locked/>
    <w:uiPriority w:val="0"/>
    <w:rPr>
      <w:b/>
      <w:bCs/>
      <w:sz w:val="32"/>
      <w:szCs w:val="32"/>
    </w:rPr>
  </w:style>
  <w:style w:type="character" w:customStyle="1" w:styleId="149">
    <w:name w:val="标题 5 Char1"/>
    <w:semiHidden/>
    <w:qFormat/>
    <w:locked/>
    <w:uiPriority w:val="0"/>
    <w:rPr>
      <w:b/>
      <w:kern w:val="2"/>
      <w:sz w:val="28"/>
      <w:szCs w:val="24"/>
    </w:rPr>
  </w:style>
  <w:style w:type="character" w:customStyle="1" w:styleId="150">
    <w:name w:val="标题 6 Char1"/>
    <w:semiHidden/>
    <w:qFormat/>
    <w:locked/>
    <w:uiPriority w:val="0"/>
    <w:rPr>
      <w:rFonts w:ascii="Arial" w:hAnsi="Arial" w:eastAsia="黑体"/>
      <w:b/>
      <w:kern w:val="2"/>
      <w:sz w:val="24"/>
      <w:szCs w:val="24"/>
    </w:rPr>
  </w:style>
  <w:style w:type="character" w:customStyle="1" w:styleId="151">
    <w:name w:val="标题 7 Char1"/>
    <w:semiHidden/>
    <w:qFormat/>
    <w:locked/>
    <w:uiPriority w:val="99"/>
    <w:rPr>
      <w:b/>
      <w:kern w:val="2"/>
      <w:sz w:val="24"/>
      <w:szCs w:val="24"/>
    </w:rPr>
  </w:style>
  <w:style w:type="character" w:customStyle="1" w:styleId="152">
    <w:name w:val="标题 8 Char1"/>
    <w:semiHidden/>
    <w:qFormat/>
    <w:locked/>
    <w:uiPriority w:val="99"/>
    <w:rPr>
      <w:rFonts w:ascii="Arial" w:hAnsi="Arial" w:eastAsia="黑体"/>
      <w:kern w:val="2"/>
      <w:sz w:val="24"/>
      <w:szCs w:val="24"/>
    </w:rPr>
  </w:style>
  <w:style w:type="character" w:customStyle="1" w:styleId="153">
    <w:name w:val="标题 9 Char1"/>
    <w:semiHidden/>
    <w:qFormat/>
    <w:locked/>
    <w:uiPriority w:val="99"/>
    <w:rPr>
      <w:rFonts w:ascii="Arial" w:hAnsi="Arial" w:eastAsia="黑体"/>
      <w:kern w:val="2"/>
      <w:sz w:val="21"/>
      <w:szCs w:val="24"/>
    </w:rPr>
  </w:style>
  <w:style w:type="character" w:customStyle="1" w:styleId="154">
    <w:name w:val="文档结构图 Char2"/>
    <w:semiHidden/>
    <w:qFormat/>
    <w:locked/>
    <w:uiPriority w:val="99"/>
    <w:rPr>
      <w:rFonts w:ascii="宋体" w:hAnsi="宋体"/>
      <w:shd w:val="clear" w:color="auto" w:fill="000080"/>
    </w:rPr>
  </w:style>
  <w:style w:type="character" w:customStyle="1" w:styleId="155">
    <w:name w:val="批注文字 Char2"/>
    <w:semiHidden/>
    <w:qFormat/>
    <w:locked/>
    <w:uiPriority w:val="99"/>
    <w:rPr>
      <w:kern w:val="2"/>
      <w:sz w:val="21"/>
      <w:szCs w:val="24"/>
    </w:rPr>
  </w:style>
  <w:style w:type="character" w:customStyle="1" w:styleId="156">
    <w:name w:val="正文文本 3 Char1"/>
    <w:semiHidden/>
    <w:qFormat/>
    <w:locked/>
    <w:uiPriority w:val="99"/>
    <w:rPr>
      <w:b/>
      <w:bCs/>
      <w:sz w:val="24"/>
      <w:szCs w:val="24"/>
    </w:rPr>
  </w:style>
  <w:style w:type="character" w:customStyle="1" w:styleId="157">
    <w:name w:val="正文文本 Char2"/>
    <w:semiHidden/>
    <w:qFormat/>
    <w:locked/>
    <w:uiPriority w:val="99"/>
    <w:rPr>
      <w:sz w:val="24"/>
      <w:szCs w:val="24"/>
    </w:rPr>
  </w:style>
  <w:style w:type="character" w:customStyle="1" w:styleId="158">
    <w:name w:val="正文文本缩进 Char1"/>
    <w:semiHidden/>
    <w:qFormat/>
    <w:locked/>
    <w:uiPriority w:val="99"/>
    <w:rPr>
      <w:rFonts w:ascii="仿宋_GB2312" w:eastAsia="仿宋_GB2312"/>
      <w:sz w:val="32"/>
    </w:rPr>
  </w:style>
  <w:style w:type="character" w:customStyle="1" w:styleId="159">
    <w:name w:val="日期 Char1"/>
    <w:semiHidden/>
    <w:qFormat/>
    <w:locked/>
    <w:uiPriority w:val="99"/>
    <w:rPr>
      <w:rFonts w:ascii="宋体" w:hAnsi="Courier New"/>
      <w:szCs w:val="21"/>
    </w:rPr>
  </w:style>
  <w:style w:type="character" w:customStyle="1" w:styleId="160">
    <w:name w:val="正文文本缩进 2 Char1"/>
    <w:semiHidden/>
    <w:qFormat/>
    <w:locked/>
    <w:uiPriority w:val="99"/>
    <w:rPr>
      <w:sz w:val="32"/>
    </w:rPr>
  </w:style>
  <w:style w:type="character" w:customStyle="1" w:styleId="161">
    <w:name w:val="尾注文本 Char1"/>
    <w:semiHidden/>
    <w:qFormat/>
    <w:locked/>
    <w:uiPriority w:val="99"/>
    <w:rPr>
      <w:kern w:val="2"/>
      <w:sz w:val="21"/>
      <w:szCs w:val="24"/>
    </w:rPr>
  </w:style>
  <w:style w:type="character" w:customStyle="1" w:styleId="162">
    <w:name w:val="批注框文本 Char1"/>
    <w:semiHidden/>
    <w:qFormat/>
    <w:locked/>
    <w:uiPriority w:val="99"/>
    <w:rPr>
      <w:sz w:val="18"/>
      <w:szCs w:val="18"/>
    </w:rPr>
  </w:style>
  <w:style w:type="character" w:customStyle="1" w:styleId="163">
    <w:name w:val="页脚 Char2"/>
    <w:semiHidden/>
    <w:qFormat/>
    <w:locked/>
    <w:uiPriority w:val="99"/>
    <w:rPr>
      <w:sz w:val="18"/>
      <w:szCs w:val="18"/>
    </w:rPr>
  </w:style>
  <w:style w:type="character" w:customStyle="1" w:styleId="164">
    <w:name w:val="页眉 Char2"/>
    <w:semiHidden/>
    <w:qFormat/>
    <w:locked/>
    <w:uiPriority w:val="99"/>
    <w:rPr>
      <w:kern w:val="2"/>
      <w:sz w:val="18"/>
      <w:szCs w:val="18"/>
    </w:rPr>
  </w:style>
  <w:style w:type="character" w:customStyle="1" w:styleId="165">
    <w:name w:val="脚注文本 Char1"/>
    <w:semiHidden/>
    <w:qFormat/>
    <w:locked/>
    <w:uiPriority w:val="99"/>
    <w:rPr>
      <w:kern w:val="2"/>
      <w:sz w:val="18"/>
      <w:szCs w:val="18"/>
    </w:rPr>
  </w:style>
  <w:style w:type="character" w:customStyle="1" w:styleId="166">
    <w:name w:val="批注主题 Char2"/>
    <w:semiHidden/>
    <w:qFormat/>
    <w:locked/>
    <w:uiPriority w:val="99"/>
    <w:rPr>
      <w:b/>
      <w:bCs/>
      <w:kern w:val="2"/>
      <w:sz w:val="21"/>
      <w:szCs w:val="24"/>
    </w:rPr>
  </w:style>
  <w:style w:type="character" w:customStyle="1" w:styleId="167">
    <w:name w:val="NormalCharacter"/>
    <w:qFormat/>
    <w:uiPriority w:val="0"/>
  </w:style>
  <w:style w:type="paragraph" w:customStyle="1" w:styleId="168">
    <w:name w:val="四级无标题条"/>
    <w:basedOn w:val="1"/>
    <w:qFormat/>
    <w:uiPriority w:val="99"/>
    <w:pPr>
      <w:numPr>
        <w:ilvl w:val="5"/>
        <w:numId w:val="3"/>
      </w:numPr>
    </w:pPr>
  </w:style>
  <w:style w:type="paragraph" w:customStyle="1" w:styleId="169">
    <w:name w:val="无标题条"/>
    <w:next w:val="170"/>
    <w:qFormat/>
    <w:uiPriority w:val="99"/>
    <w:pPr>
      <w:jc w:val="both"/>
    </w:pPr>
    <w:rPr>
      <w:rFonts w:ascii="Times New Roman" w:hAnsi="Times New Roman" w:eastAsia="宋体" w:cs="Times New Roman"/>
      <w:sz w:val="21"/>
      <w:lang w:val="en-US" w:eastAsia="zh-CN" w:bidi="ar-SA"/>
    </w:rPr>
  </w:style>
  <w:style w:type="paragraph" w:customStyle="1" w:styleId="170">
    <w:name w:val="段"/>
    <w:qFormat/>
    <w:uiPriority w:val="99"/>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71">
    <w:name w:val="数字编号列项（二级）"/>
    <w:qFormat/>
    <w:uiPriority w:val="99"/>
    <w:pPr>
      <w:ind w:left="1260" w:leftChars="400" w:hanging="420" w:hangingChars="200"/>
      <w:jc w:val="both"/>
    </w:pPr>
    <w:rPr>
      <w:rFonts w:ascii="宋体" w:hAnsi="Times New Roman" w:eastAsia="宋体" w:cs="Times New Roman"/>
      <w:sz w:val="21"/>
      <w:lang w:val="en-US" w:eastAsia="zh-CN" w:bidi="ar-SA"/>
    </w:rPr>
  </w:style>
  <w:style w:type="paragraph" w:customStyle="1" w:styleId="172">
    <w:name w:val="图表脚注"/>
    <w:next w:val="170"/>
    <w:qFormat/>
    <w:uiPriority w:val="99"/>
    <w:pPr>
      <w:ind w:left="300" w:leftChars="200" w:hanging="100" w:hangingChars="100"/>
      <w:jc w:val="both"/>
    </w:pPr>
    <w:rPr>
      <w:rFonts w:ascii="宋体" w:hAnsi="Times New Roman" w:eastAsia="宋体" w:cs="Times New Roman"/>
      <w:sz w:val="18"/>
      <w:lang w:val="en-US" w:eastAsia="zh-CN" w:bidi="ar-SA"/>
    </w:rPr>
  </w:style>
  <w:style w:type="paragraph" w:customStyle="1" w:styleId="173">
    <w:name w:val="四级条标题"/>
    <w:basedOn w:val="174"/>
    <w:next w:val="170"/>
    <w:qFormat/>
    <w:uiPriority w:val="99"/>
    <w:pPr>
      <w:numPr>
        <w:ilvl w:val="5"/>
        <w:numId w:val="4"/>
      </w:numPr>
      <w:outlineLvl w:val="5"/>
    </w:pPr>
  </w:style>
  <w:style w:type="paragraph" w:customStyle="1" w:styleId="174">
    <w:name w:val="三级条标题"/>
    <w:basedOn w:val="175"/>
    <w:next w:val="170"/>
    <w:qFormat/>
    <w:uiPriority w:val="99"/>
    <w:pPr>
      <w:numPr>
        <w:ilvl w:val="4"/>
        <w:numId w:val="4"/>
      </w:numPr>
    </w:pPr>
  </w:style>
  <w:style w:type="paragraph" w:customStyle="1" w:styleId="175">
    <w:name w:val="二级条标题"/>
    <w:basedOn w:val="176"/>
    <w:next w:val="170"/>
    <w:qFormat/>
    <w:uiPriority w:val="99"/>
    <w:pPr>
      <w:numPr>
        <w:ilvl w:val="3"/>
        <w:numId w:val="4"/>
      </w:numPr>
      <w:spacing w:beforeLines="0" w:afterLines="0"/>
      <w:outlineLvl w:val="3"/>
    </w:pPr>
  </w:style>
  <w:style w:type="paragraph" w:customStyle="1" w:styleId="176">
    <w:name w:val="一级条标题"/>
    <w:basedOn w:val="177"/>
    <w:next w:val="170"/>
    <w:qFormat/>
    <w:uiPriority w:val="99"/>
    <w:pPr>
      <w:numPr>
        <w:ilvl w:val="2"/>
        <w:numId w:val="4"/>
      </w:numPr>
    </w:pPr>
  </w:style>
  <w:style w:type="paragraph" w:customStyle="1" w:styleId="177">
    <w:name w:val="章标题"/>
    <w:next w:val="170"/>
    <w:qFormat/>
    <w:uiPriority w:val="99"/>
    <w:pPr>
      <w:numPr>
        <w:ilvl w:val="1"/>
        <w:numId w:val="4"/>
      </w:numPr>
      <w:spacing w:beforeLines="50" w:afterLines="50"/>
      <w:jc w:val="both"/>
      <w:outlineLvl w:val="1"/>
    </w:pPr>
    <w:rPr>
      <w:rFonts w:ascii="黑体" w:hAnsi="Times New Roman" w:eastAsia="黑体" w:cs="Times New Roman"/>
      <w:sz w:val="21"/>
      <w:lang w:val="en-US" w:eastAsia="zh-CN" w:bidi="ar-SA"/>
    </w:rPr>
  </w:style>
  <w:style w:type="paragraph" w:customStyle="1" w:styleId="178">
    <w:name w:val="文献分类号"/>
    <w:qFormat/>
    <w:uiPriority w:val="99"/>
    <w:pPr>
      <w:framePr w:hSpace="180" w:vSpace="180" w:wrap="around" w:vAnchor="margin" w:hAnchor="margin" w:y="1" w:anchorLock="1"/>
      <w:widowControl w:val="0"/>
    </w:pPr>
    <w:rPr>
      <w:rFonts w:ascii="Times New Roman" w:hAnsi="Times New Roman" w:eastAsia="黑体" w:cs="Times New Roman"/>
      <w:sz w:val="21"/>
      <w:lang w:val="en-US" w:eastAsia="zh-CN" w:bidi="ar-SA"/>
    </w:rPr>
  </w:style>
  <w:style w:type="paragraph" w:customStyle="1" w:styleId="179">
    <w:name w:val="条文脚注"/>
    <w:basedOn w:val="37"/>
    <w:qFormat/>
    <w:uiPriority w:val="99"/>
    <w:pPr>
      <w:ind w:left="780" w:leftChars="200" w:hanging="360" w:hangingChars="200"/>
      <w:jc w:val="both"/>
    </w:pPr>
    <w:rPr>
      <w:rFonts w:ascii="宋体"/>
      <w:lang w:val="en-US" w:eastAsia="zh-CN"/>
    </w:rPr>
  </w:style>
  <w:style w:type="paragraph" w:customStyle="1" w:styleId="180">
    <w:name w:val="标准书脚_偶数页"/>
    <w:qFormat/>
    <w:uiPriority w:val="99"/>
    <w:pPr>
      <w:spacing w:before="120"/>
    </w:pPr>
    <w:rPr>
      <w:rFonts w:ascii="Times New Roman" w:hAnsi="Times New Roman" w:eastAsia="宋体" w:cs="Times New Roman"/>
      <w:sz w:val="18"/>
      <w:lang w:val="en-US" w:eastAsia="zh-CN" w:bidi="ar-SA"/>
    </w:rPr>
  </w:style>
  <w:style w:type="paragraph" w:customStyle="1" w:styleId="181">
    <w:name w:val="xl22"/>
    <w:basedOn w:val="1"/>
    <w:qFormat/>
    <w:uiPriority w:val="99"/>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182">
    <w:name w:val="样式"/>
    <w:qFormat/>
    <w:uiPriority w:val="99"/>
    <w:pPr>
      <w:widowControl w:val="0"/>
      <w:autoSpaceDE w:val="0"/>
      <w:autoSpaceDN w:val="0"/>
      <w:adjustRightInd w:val="0"/>
      <w:jc w:val="center"/>
    </w:pPr>
    <w:rPr>
      <w:rFonts w:ascii="宋体" w:hAnsi="宋体" w:eastAsia="宋体" w:cs="宋体"/>
      <w:sz w:val="24"/>
      <w:szCs w:val="24"/>
      <w:lang w:val="en-US" w:eastAsia="zh-CN" w:bidi="ar-SA"/>
    </w:rPr>
  </w:style>
  <w:style w:type="paragraph" w:customStyle="1" w:styleId="183">
    <w:name w:val="样式 标题 2 + Times New Roman 四号 非加粗 段前: 5 磅 段后: 0 磅 行距: 固定值 20..."/>
    <w:basedOn w:val="4"/>
    <w:qFormat/>
    <w:uiPriority w:val="99"/>
    <w:pPr>
      <w:spacing w:before="100" w:after="0" w:line="400" w:lineRule="exact"/>
    </w:pPr>
    <w:rPr>
      <w:rFonts w:ascii="Times New Roman" w:hAnsi="Times New Roman" w:cs="宋体"/>
      <w:b w:val="0"/>
      <w:bCs w:val="0"/>
      <w:sz w:val="28"/>
      <w:szCs w:val="20"/>
    </w:rPr>
  </w:style>
  <w:style w:type="paragraph" w:customStyle="1" w:styleId="184">
    <w:name w:val="样式 标题 3 + (中文) 黑体 小四 非加粗 段前: 7.8 磅 段后: 0 磅 行距: 固定值 20 磅"/>
    <w:basedOn w:val="5"/>
    <w:qFormat/>
    <w:uiPriority w:val="99"/>
    <w:pPr>
      <w:spacing w:before="0" w:after="0" w:line="400" w:lineRule="exact"/>
    </w:pPr>
    <w:rPr>
      <w:rFonts w:eastAsia="黑体" w:cs="宋体"/>
      <w:b w:val="0"/>
      <w:bCs w:val="0"/>
      <w:sz w:val="24"/>
      <w:szCs w:val="20"/>
    </w:rPr>
  </w:style>
  <w:style w:type="paragraph" w:customStyle="1" w:styleId="185">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186">
    <w:name w:val="表格"/>
    <w:basedOn w:val="1"/>
    <w:qFormat/>
    <w:uiPriority w:val="99"/>
    <w:pPr>
      <w:spacing w:line="400" w:lineRule="exact"/>
    </w:pPr>
    <w:rPr>
      <w:sz w:val="24"/>
    </w:rPr>
  </w:style>
  <w:style w:type="paragraph" w:customStyle="1" w:styleId="187">
    <w:name w:val="PlainText"/>
    <w:basedOn w:val="1"/>
    <w:qFormat/>
    <w:uiPriority w:val="0"/>
    <w:rPr>
      <w:rFonts w:ascii="宋体" w:hAnsi="Courier New" w:cs="宋体"/>
    </w:rPr>
  </w:style>
  <w:style w:type="paragraph" w:customStyle="1" w:styleId="188">
    <w:name w:val="样式 标题 1 + 居中 段前: 0 磅 段后: 0 磅 行距: 固定值 30 磅"/>
    <w:basedOn w:val="3"/>
    <w:qFormat/>
    <w:uiPriority w:val="99"/>
    <w:pPr>
      <w:spacing w:before="0" w:after="0" w:line="600" w:lineRule="exact"/>
      <w:jc w:val="center"/>
    </w:pPr>
    <w:rPr>
      <w:rFonts w:cs="宋体"/>
      <w:szCs w:val="20"/>
      <w:lang w:val="en-US" w:eastAsia="zh-CN"/>
    </w:rPr>
  </w:style>
  <w:style w:type="paragraph" w:customStyle="1" w:styleId="189">
    <w:name w:val="正文首行缩进两字符"/>
    <w:basedOn w:val="1"/>
    <w:qFormat/>
    <w:uiPriority w:val="99"/>
    <w:pPr>
      <w:spacing w:line="360" w:lineRule="auto"/>
      <w:ind w:firstLine="200" w:firstLineChars="200"/>
    </w:pPr>
  </w:style>
  <w:style w:type="paragraph" w:customStyle="1" w:styleId="190">
    <w:name w:val="Table Text"/>
    <w:basedOn w:val="1"/>
    <w:semiHidden/>
    <w:qFormat/>
    <w:uiPriority w:val="0"/>
    <w:rPr>
      <w:rFonts w:ascii="宋体" w:hAnsi="宋体" w:eastAsia="宋体" w:cs="宋体"/>
      <w:sz w:val="24"/>
      <w:szCs w:val="24"/>
      <w:lang w:val="en-US" w:eastAsia="en-US" w:bidi="ar-SA"/>
    </w:rPr>
  </w:style>
  <w:style w:type="paragraph" w:customStyle="1" w:styleId="191">
    <w:name w:val="表内文字"/>
    <w:basedOn w:val="1"/>
    <w:qFormat/>
    <w:uiPriority w:val="99"/>
    <w:pPr>
      <w:snapToGrid w:val="0"/>
      <w:spacing w:before="50" w:after="50"/>
      <w:jc w:val="center"/>
    </w:pPr>
    <w:rPr>
      <w:rFonts w:ascii="仿宋_GB2312" w:hAnsi="宋体" w:eastAsia="仿宋_GB2312"/>
      <w:b/>
      <w:color w:val="000000"/>
      <w:sz w:val="32"/>
      <w:szCs w:val="32"/>
    </w:rPr>
  </w:style>
  <w:style w:type="paragraph" w:customStyle="1" w:styleId="192">
    <w:name w:val="样式 首行缩进:  2 字符"/>
    <w:basedOn w:val="1"/>
    <w:qFormat/>
    <w:uiPriority w:val="99"/>
    <w:pPr>
      <w:spacing w:line="400" w:lineRule="exact"/>
      <w:ind w:firstLine="200" w:firstLineChars="200"/>
    </w:pPr>
    <w:rPr>
      <w:rFonts w:cs="宋体"/>
      <w:sz w:val="24"/>
    </w:rPr>
  </w:style>
  <w:style w:type="paragraph" w:customStyle="1" w:styleId="193">
    <w:name w:val="Plain Text_0"/>
    <w:basedOn w:val="1"/>
    <w:qFormat/>
    <w:uiPriority w:val="99"/>
    <w:rPr>
      <w:rFonts w:ascii="宋体" w:hAnsi="Courier New" w:cs="Century"/>
      <w:szCs w:val="21"/>
    </w:rPr>
  </w:style>
  <w:style w:type="paragraph" w:customStyle="1" w:styleId="194">
    <w:name w:val="标准书脚_奇数页"/>
    <w:qFormat/>
    <w:uiPriority w:val="99"/>
    <w:pPr>
      <w:spacing w:before="120"/>
      <w:jc w:val="right"/>
    </w:pPr>
    <w:rPr>
      <w:rFonts w:ascii="Times New Roman" w:hAnsi="Times New Roman" w:eastAsia="宋体" w:cs="Times New Roman"/>
      <w:sz w:val="18"/>
      <w:lang w:val="en-US" w:eastAsia="zh-CN" w:bidi="ar-SA"/>
    </w:rPr>
  </w:style>
  <w:style w:type="paragraph" w:customStyle="1" w:styleId="195">
    <w:name w:val="默认段落字体 Para Char Char Char Char Char Char Char Char Char1 Char Char Char Char"/>
    <w:basedOn w:val="1"/>
    <w:qFormat/>
    <w:uiPriority w:val="99"/>
    <w:rPr>
      <w:rFonts w:ascii="Tahoma" w:hAnsi="Tahoma"/>
      <w:sz w:val="24"/>
      <w:szCs w:val="20"/>
    </w:rPr>
  </w:style>
  <w:style w:type="paragraph" w:customStyle="1" w:styleId="196">
    <w:name w:val="Char1"/>
    <w:basedOn w:val="1"/>
    <w:qFormat/>
    <w:uiPriority w:val="99"/>
    <w:rPr>
      <w:szCs w:val="21"/>
    </w:rPr>
  </w:style>
  <w:style w:type="paragraph" w:styleId="197">
    <w:name w:val="List Paragraph"/>
    <w:basedOn w:val="1"/>
    <w:qFormat/>
    <w:uiPriority w:val="34"/>
    <w:pPr>
      <w:ind w:firstLine="420" w:firstLineChars="200"/>
    </w:pPr>
  </w:style>
  <w:style w:type="paragraph" w:customStyle="1" w:styleId="198">
    <w:name w:val="注×："/>
    <w:qFormat/>
    <w:uiPriority w:val="99"/>
    <w:pPr>
      <w:widowControl w:val="0"/>
      <w:numPr>
        <w:ilvl w:val="0"/>
        <w:numId w:val="5"/>
      </w:numPr>
      <w:tabs>
        <w:tab w:val="left" w:pos="630"/>
      </w:tabs>
      <w:autoSpaceDE w:val="0"/>
      <w:autoSpaceDN w:val="0"/>
      <w:jc w:val="both"/>
    </w:pPr>
    <w:rPr>
      <w:rFonts w:ascii="宋体" w:hAnsi="Times New Roman" w:eastAsia="宋体" w:cs="Times New Roman"/>
      <w:sz w:val="18"/>
      <w:lang w:val="en-US" w:eastAsia="zh-CN" w:bidi="ar-SA"/>
    </w:rPr>
  </w:style>
  <w:style w:type="paragraph" w:customStyle="1" w:styleId="199">
    <w:name w:val="Table Paragraph"/>
    <w:basedOn w:val="1"/>
    <w:qFormat/>
    <w:uiPriority w:val="1"/>
    <w:pPr>
      <w:jc w:val="left"/>
    </w:pPr>
    <w:rPr>
      <w:rFonts w:ascii="Calibri" w:hAnsi="Calibri" w:eastAsia="宋体" w:cs="Times New Roman"/>
      <w:kern w:val="0"/>
      <w:sz w:val="22"/>
      <w:szCs w:val="22"/>
      <w:lang w:eastAsia="en-US"/>
    </w:rPr>
  </w:style>
  <w:style w:type="paragraph" w:customStyle="1" w:styleId="200">
    <w:name w:val="正文段"/>
    <w:basedOn w:val="1"/>
    <w:qFormat/>
    <w:uiPriority w:val="99"/>
    <w:pPr>
      <w:widowControl/>
      <w:snapToGrid w:val="0"/>
      <w:spacing w:after="50" w:afterLines="50"/>
      <w:ind w:firstLine="200" w:firstLineChars="200"/>
    </w:pPr>
    <w:rPr>
      <w:kern w:val="0"/>
      <w:sz w:val="24"/>
      <w:szCs w:val="20"/>
    </w:rPr>
  </w:style>
  <w:style w:type="paragraph" w:customStyle="1" w:styleId="201">
    <w:name w:val="表格文字"/>
    <w:basedOn w:val="1"/>
    <w:qFormat/>
    <w:uiPriority w:val="99"/>
    <w:pPr>
      <w:spacing w:before="25" w:after="25"/>
      <w:jc w:val="left"/>
    </w:pPr>
    <w:rPr>
      <w:bCs/>
      <w:spacing w:val="10"/>
      <w:kern w:val="0"/>
      <w:sz w:val="24"/>
    </w:rPr>
  </w:style>
  <w:style w:type="paragraph" w:customStyle="1" w:styleId="202">
    <w:name w:val="Char Char Char Char Char Char Char"/>
    <w:basedOn w:val="1"/>
    <w:qFormat/>
    <w:uiPriority w:val="99"/>
  </w:style>
  <w:style w:type="paragraph" w:customStyle="1" w:styleId="203">
    <w:name w:val="样式 标题 2 + 非加粗 首行缩进:  2 字符"/>
    <w:basedOn w:val="4"/>
    <w:qFormat/>
    <w:uiPriority w:val="99"/>
    <w:pPr>
      <w:spacing w:before="0" w:after="0" w:line="600" w:lineRule="exact"/>
      <w:ind w:firstLine="640" w:firstLineChars="200"/>
      <w:jc w:val="left"/>
    </w:pPr>
    <w:rPr>
      <w:rFonts w:cs="宋体"/>
      <w:b w:val="0"/>
      <w:bCs w:val="0"/>
      <w:kern w:val="2"/>
      <w:szCs w:val="20"/>
      <w:lang w:val="en-US" w:eastAsia="zh-CN"/>
    </w:rPr>
  </w:style>
  <w:style w:type="paragraph" w:customStyle="1" w:styleId="204">
    <w:name w:val="Char Char Char Char Char Char Char Char Char Char Char Char"/>
    <w:basedOn w:val="1"/>
    <w:qFormat/>
    <w:uiPriority w:val="99"/>
    <w:pPr>
      <w:widowControl/>
      <w:spacing w:after="160" w:line="240" w:lineRule="exact"/>
      <w:jc w:val="left"/>
    </w:pPr>
  </w:style>
  <w:style w:type="paragraph" w:customStyle="1" w:styleId="205">
    <w:name w:val="p0"/>
    <w:basedOn w:val="1"/>
    <w:qFormat/>
    <w:uiPriority w:val="99"/>
    <w:pPr>
      <w:widowControl/>
    </w:pPr>
    <w:rPr>
      <w:kern w:val="0"/>
      <w:szCs w:val="21"/>
    </w:rPr>
  </w:style>
  <w:style w:type="paragraph" w:customStyle="1" w:styleId="206">
    <w:name w:val="Char"/>
    <w:basedOn w:val="1"/>
    <w:qFormat/>
    <w:uiPriority w:val="99"/>
  </w:style>
  <w:style w:type="paragraph" w:customStyle="1" w:styleId="207">
    <w:name w:val="Char Char Char1 Char Char Char Char Char Char Char"/>
    <w:basedOn w:val="1"/>
    <w:qFormat/>
    <w:uiPriority w:val="99"/>
  </w:style>
  <w:style w:type="paragraph" w:customStyle="1" w:styleId="208">
    <w:name w:val="Char Char Char"/>
    <w:basedOn w:val="1"/>
    <w:qFormat/>
    <w:uiPriority w:val="99"/>
    <w:rPr>
      <w:szCs w:val="20"/>
    </w:rPr>
  </w:style>
  <w:style w:type="paragraph" w:customStyle="1" w:styleId="209">
    <w:name w:val="Char Char Char Char"/>
    <w:basedOn w:val="1"/>
    <w:qFormat/>
    <w:uiPriority w:val="99"/>
    <w:pPr>
      <w:widowControl/>
      <w:spacing w:after="160" w:line="240" w:lineRule="exact"/>
      <w:jc w:val="left"/>
    </w:pPr>
  </w:style>
  <w:style w:type="paragraph" w:customStyle="1" w:styleId="210">
    <w:name w:val="标准标志"/>
    <w:next w:val="1"/>
    <w:qFormat/>
    <w:uiPriority w:val="99"/>
    <w:pPr>
      <w:framePr w:w="2268" w:h="1392"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211">
    <w:name w:val="标准称谓"/>
    <w:next w:val="1"/>
    <w:qFormat/>
    <w:uiPriority w:val="99"/>
    <w:pPr>
      <w:framePr w:w="9638" w:h="754"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212">
    <w:name w:val="标准书眉_奇数页"/>
    <w:next w:val="1"/>
    <w:qFormat/>
    <w:uiPriority w:val="99"/>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213">
    <w:name w:val="标准书眉_偶数页"/>
    <w:basedOn w:val="212"/>
    <w:next w:val="1"/>
    <w:qFormat/>
    <w:uiPriority w:val="99"/>
  </w:style>
  <w:style w:type="paragraph" w:customStyle="1" w:styleId="214">
    <w:name w:val="标准书眉一"/>
    <w:qFormat/>
    <w:uiPriority w:val="99"/>
    <w:pPr>
      <w:jc w:val="both"/>
    </w:pPr>
    <w:rPr>
      <w:rFonts w:ascii="Times New Roman" w:hAnsi="Times New Roman" w:eastAsia="宋体" w:cs="Times New Roman"/>
      <w:lang w:val="en-US" w:eastAsia="zh-CN" w:bidi="ar-SA"/>
    </w:rPr>
  </w:style>
  <w:style w:type="paragraph" w:customStyle="1" w:styleId="215">
    <w:name w:val="前言、引言标题"/>
    <w:next w:val="1"/>
    <w:qFormat/>
    <w:uiPriority w:val="99"/>
    <w:pPr>
      <w:numPr>
        <w:ilvl w:val="0"/>
        <w:numId w:val="4"/>
      </w:numPr>
      <w:shd w:val="clear" w:color="auto" w:fill="FFFFFF"/>
      <w:spacing w:before="640" w:after="560"/>
      <w:jc w:val="center"/>
      <w:outlineLvl w:val="0"/>
    </w:pPr>
    <w:rPr>
      <w:rFonts w:ascii="黑体" w:hAnsi="Times New Roman" w:eastAsia="黑体" w:cs="Times New Roman"/>
      <w:sz w:val="32"/>
      <w:lang w:val="en-US" w:eastAsia="zh-CN" w:bidi="ar-SA"/>
    </w:rPr>
  </w:style>
  <w:style w:type="paragraph" w:customStyle="1" w:styleId="216">
    <w:name w:val="参考文献、索引标题"/>
    <w:basedOn w:val="215"/>
    <w:next w:val="1"/>
    <w:qFormat/>
    <w:uiPriority w:val="99"/>
    <w:pPr>
      <w:numPr>
        <w:ilvl w:val="0"/>
        <w:numId w:val="0"/>
      </w:numPr>
      <w:spacing w:after="200"/>
    </w:pPr>
    <w:rPr>
      <w:sz w:val="21"/>
    </w:rPr>
  </w:style>
  <w:style w:type="paragraph" w:customStyle="1" w:styleId="217">
    <w:name w:val="二级无标题条"/>
    <w:basedOn w:val="1"/>
    <w:qFormat/>
    <w:uiPriority w:val="99"/>
    <w:pPr>
      <w:numPr>
        <w:ilvl w:val="3"/>
        <w:numId w:val="3"/>
      </w:numPr>
    </w:pPr>
  </w:style>
  <w:style w:type="paragraph" w:customStyle="1" w:styleId="218">
    <w:name w:val="发布部门"/>
    <w:next w:val="170"/>
    <w:qFormat/>
    <w:uiPriority w:val="99"/>
    <w:pPr>
      <w:framePr w:w="7433" w:h="585"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paragraph" w:customStyle="1" w:styleId="219">
    <w:name w:val="发布日期"/>
    <w:qFormat/>
    <w:uiPriority w:val="99"/>
    <w:pPr>
      <w:framePr w:w="4000" w:h="473"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220">
    <w:name w:val="封面标准号1"/>
    <w:qFormat/>
    <w:uiPriority w:val="99"/>
    <w:pPr>
      <w:widowControl w:val="0"/>
      <w:kinsoku w:val="0"/>
      <w:overflowPunct w:val="0"/>
      <w:autoSpaceDE w:val="0"/>
      <w:autoSpaceDN w:val="0"/>
      <w:spacing w:before="308"/>
      <w:jc w:val="right"/>
    </w:pPr>
    <w:rPr>
      <w:rFonts w:ascii="Times New Roman" w:hAnsi="Times New Roman" w:eastAsia="宋体" w:cs="Times New Roman"/>
      <w:sz w:val="28"/>
      <w:lang w:val="en-US" w:eastAsia="zh-CN" w:bidi="ar-SA"/>
    </w:rPr>
  </w:style>
  <w:style w:type="paragraph" w:customStyle="1" w:styleId="221">
    <w:name w:val="封面标准号2"/>
    <w:basedOn w:val="220"/>
    <w:qFormat/>
    <w:uiPriority w:val="99"/>
  </w:style>
  <w:style w:type="paragraph" w:customStyle="1" w:styleId="222">
    <w:name w:val="目次、索引正文"/>
    <w:qFormat/>
    <w:uiPriority w:val="99"/>
    <w:pPr>
      <w:spacing w:line="320" w:lineRule="exact"/>
      <w:jc w:val="both"/>
    </w:pPr>
    <w:rPr>
      <w:rFonts w:ascii="宋体" w:hAnsi="Times New Roman" w:eastAsia="宋体" w:cs="Times New Roman"/>
      <w:sz w:val="21"/>
      <w:lang w:val="en-US" w:eastAsia="zh-CN" w:bidi="ar-SA"/>
    </w:rPr>
  </w:style>
  <w:style w:type="paragraph" w:customStyle="1" w:styleId="223">
    <w:name w:val="封面标准代替信息"/>
    <w:basedOn w:val="221"/>
    <w:qFormat/>
    <w:uiPriority w:val="99"/>
  </w:style>
  <w:style w:type="paragraph" w:customStyle="1" w:styleId="224">
    <w:name w:val="封面标准名称"/>
    <w:qFormat/>
    <w:uiPriority w:val="99"/>
    <w:pPr>
      <w:framePr w:w="9638" w:h="6917" w:wrap="around" w:vAnchor="margin" w:hAnchor="margin" w:xAlign="center" w:y="5955" w:anchorLock="1"/>
      <w:widowControl w:val="0"/>
      <w:spacing w:line="680" w:lineRule="exact"/>
      <w:jc w:val="center"/>
    </w:pPr>
    <w:rPr>
      <w:rFonts w:ascii="黑体" w:hAnsi="Times New Roman" w:eastAsia="黑体" w:cs="Times New Roman"/>
      <w:sz w:val="52"/>
      <w:lang w:val="en-US" w:eastAsia="zh-CN" w:bidi="ar-SA"/>
    </w:rPr>
  </w:style>
  <w:style w:type="paragraph" w:customStyle="1" w:styleId="225">
    <w:name w:val="封面标准文稿编辑信息"/>
    <w:qFormat/>
    <w:uiPriority w:val="99"/>
    <w:pPr>
      <w:spacing w:before="180" w:line="180" w:lineRule="exact"/>
      <w:jc w:val="center"/>
    </w:pPr>
    <w:rPr>
      <w:rFonts w:ascii="宋体" w:hAnsi="Times New Roman" w:eastAsia="宋体" w:cs="Times New Roman"/>
      <w:sz w:val="21"/>
      <w:lang w:val="en-US" w:eastAsia="zh-CN" w:bidi="ar-SA"/>
    </w:rPr>
  </w:style>
  <w:style w:type="paragraph" w:customStyle="1" w:styleId="226">
    <w:name w:val="封面标准文稿类别"/>
    <w:qFormat/>
    <w:uiPriority w:val="99"/>
    <w:pPr>
      <w:spacing w:before="440" w:line="400" w:lineRule="exact"/>
      <w:jc w:val="center"/>
    </w:pPr>
    <w:rPr>
      <w:rFonts w:ascii="宋体" w:hAnsi="Times New Roman" w:eastAsia="宋体" w:cs="Times New Roman"/>
      <w:sz w:val="24"/>
      <w:lang w:val="en-US" w:eastAsia="zh-CN" w:bidi="ar-SA"/>
    </w:rPr>
  </w:style>
  <w:style w:type="paragraph" w:customStyle="1" w:styleId="227">
    <w:name w:val="其他标准称谓"/>
    <w:qFormat/>
    <w:uiPriority w:val="99"/>
    <w:pPr>
      <w:spacing w:line="0" w:lineRule="atLeast"/>
      <w:jc w:val="distribute"/>
    </w:pPr>
    <w:rPr>
      <w:rFonts w:ascii="黑体" w:hAnsi="宋体" w:eastAsia="黑体" w:cs="Times New Roman"/>
      <w:sz w:val="52"/>
      <w:lang w:val="en-US" w:eastAsia="zh-CN" w:bidi="ar-SA"/>
    </w:rPr>
  </w:style>
  <w:style w:type="paragraph" w:customStyle="1" w:styleId="228">
    <w:name w:val="封面标准英文名称"/>
    <w:qFormat/>
    <w:uiPriority w:val="99"/>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229">
    <w:name w:val="封面一致性程度标识"/>
    <w:qFormat/>
    <w:uiPriority w:val="99"/>
    <w:pPr>
      <w:spacing w:before="440" w:line="400" w:lineRule="exact"/>
      <w:jc w:val="center"/>
    </w:pPr>
    <w:rPr>
      <w:rFonts w:ascii="宋体" w:hAnsi="Times New Roman" w:eastAsia="宋体" w:cs="Times New Roman"/>
      <w:sz w:val="28"/>
      <w:lang w:val="en-US" w:eastAsia="zh-CN" w:bidi="ar-SA"/>
    </w:rPr>
  </w:style>
  <w:style w:type="paragraph" w:customStyle="1" w:styleId="230">
    <w:name w:val="封面正文"/>
    <w:qFormat/>
    <w:uiPriority w:val="99"/>
    <w:pPr>
      <w:jc w:val="both"/>
    </w:pPr>
    <w:rPr>
      <w:rFonts w:ascii="Times New Roman" w:hAnsi="Times New Roman" w:eastAsia="宋体" w:cs="Times New Roman"/>
      <w:lang w:val="en-US" w:eastAsia="zh-CN" w:bidi="ar-SA"/>
    </w:rPr>
  </w:style>
  <w:style w:type="paragraph" w:customStyle="1" w:styleId="231">
    <w:name w:val="附录标识"/>
    <w:basedOn w:val="215"/>
    <w:qFormat/>
    <w:uiPriority w:val="99"/>
    <w:pPr>
      <w:numPr>
        <w:ilvl w:val="0"/>
        <w:numId w:val="6"/>
      </w:numPr>
      <w:tabs>
        <w:tab w:val="left" w:pos="6405"/>
      </w:tabs>
      <w:spacing w:after="200"/>
    </w:pPr>
    <w:rPr>
      <w:sz w:val="21"/>
    </w:rPr>
  </w:style>
  <w:style w:type="paragraph" w:customStyle="1" w:styleId="232">
    <w:name w:val="附录表标题"/>
    <w:next w:val="170"/>
    <w:qFormat/>
    <w:uiPriority w:val="99"/>
    <w:pPr>
      <w:jc w:val="center"/>
    </w:pPr>
    <w:rPr>
      <w:rFonts w:ascii="黑体" w:hAnsi="Times New Roman" w:eastAsia="黑体" w:cs="Times New Roman"/>
      <w:kern w:val="21"/>
      <w:sz w:val="21"/>
      <w:lang w:val="en-US" w:eastAsia="zh-CN" w:bidi="ar-SA"/>
    </w:rPr>
  </w:style>
  <w:style w:type="paragraph" w:customStyle="1" w:styleId="233">
    <w:name w:val="附录章标题"/>
    <w:next w:val="170"/>
    <w:qFormat/>
    <w:uiPriority w:val="99"/>
    <w:pPr>
      <w:numPr>
        <w:ilvl w:val="1"/>
        <w:numId w:val="6"/>
      </w:numPr>
      <w:wordWrap w:val="0"/>
      <w:overflowPunct w:val="0"/>
      <w:autoSpaceDE w:val="0"/>
      <w:spacing w:beforeLines="50" w:afterLines="50"/>
      <w:jc w:val="both"/>
      <w:outlineLvl w:val="1"/>
    </w:pPr>
    <w:rPr>
      <w:rFonts w:ascii="黑体" w:hAnsi="Times New Roman" w:eastAsia="黑体" w:cs="Times New Roman"/>
      <w:kern w:val="21"/>
      <w:sz w:val="21"/>
      <w:lang w:val="en-US" w:eastAsia="zh-CN" w:bidi="ar-SA"/>
    </w:rPr>
  </w:style>
  <w:style w:type="paragraph" w:customStyle="1" w:styleId="234">
    <w:name w:val="附录一级条标题"/>
    <w:basedOn w:val="233"/>
    <w:next w:val="170"/>
    <w:qFormat/>
    <w:uiPriority w:val="99"/>
    <w:pPr>
      <w:numPr>
        <w:ilvl w:val="2"/>
        <w:numId w:val="6"/>
      </w:numPr>
      <w:autoSpaceDN w:val="0"/>
      <w:spacing w:beforeLines="0" w:afterLines="0"/>
      <w:outlineLvl w:val="2"/>
    </w:pPr>
  </w:style>
  <w:style w:type="paragraph" w:customStyle="1" w:styleId="235">
    <w:name w:val="附录二级条标题"/>
    <w:basedOn w:val="234"/>
    <w:next w:val="170"/>
    <w:qFormat/>
    <w:uiPriority w:val="99"/>
    <w:pPr>
      <w:numPr>
        <w:ilvl w:val="3"/>
        <w:numId w:val="6"/>
      </w:numPr>
      <w:outlineLvl w:val="3"/>
    </w:pPr>
  </w:style>
  <w:style w:type="paragraph" w:customStyle="1" w:styleId="236">
    <w:name w:val="附录三级条标题"/>
    <w:basedOn w:val="235"/>
    <w:next w:val="170"/>
    <w:qFormat/>
    <w:uiPriority w:val="99"/>
    <w:pPr>
      <w:numPr>
        <w:ilvl w:val="4"/>
        <w:numId w:val="6"/>
      </w:numPr>
    </w:pPr>
  </w:style>
  <w:style w:type="paragraph" w:customStyle="1" w:styleId="237">
    <w:name w:val="附录四级条标题"/>
    <w:basedOn w:val="236"/>
    <w:next w:val="170"/>
    <w:qFormat/>
    <w:uiPriority w:val="99"/>
    <w:pPr>
      <w:numPr>
        <w:ilvl w:val="5"/>
        <w:numId w:val="6"/>
      </w:numPr>
    </w:pPr>
  </w:style>
  <w:style w:type="paragraph" w:customStyle="1" w:styleId="238">
    <w:name w:val="附录图标题"/>
    <w:next w:val="170"/>
    <w:qFormat/>
    <w:uiPriority w:val="99"/>
    <w:pPr>
      <w:jc w:val="center"/>
    </w:pPr>
    <w:rPr>
      <w:rFonts w:ascii="黑体" w:hAnsi="Times New Roman" w:eastAsia="黑体" w:cs="Times New Roman"/>
      <w:sz w:val="21"/>
      <w:lang w:val="en-US" w:eastAsia="zh-CN" w:bidi="ar-SA"/>
    </w:rPr>
  </w:style>
  <w:style w:type="paragraph" w:customStyle="1" w:styleId="239">
    <w:name w:val="附录五级条标题"/>
    <w:basedOn w:val="237"/>
    <w:next w:val="170"/>
    <w:qFormat/>
    <w:uiPriority w:val="99"/>
    <w:pPr>
      <w:numPr>
        <w:ilvl w:val="6"/>
        <w:numId w:val="6"/>
      </w:numPr>
      <w:outlineLvl w:val="6"/>
    </w:pPr>
  </w:style>
  <w:style w:type="paragraph" w:customStyle="1" w:styleId="240">
    <w:name w:val="列项——"/>
    <w:qFormat/>
    <w:uiPriority w:val="99"/>
    <w:pPr>
      <w:widowControl w:val="0"/>
      <w:numPr>
        <w:ilvl w:val="0"/>
        <w:numId w:val="7"/>
      </w:numPr>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241">
    <w:name w:val="列项·"/>
    <w:qFormat/>
    <w:uiPriority w:val="99"/>
    <w:pPr>
      <w:numPr>
        <w:ilvl w:val="0"/>
        <w:numId w:val="8"/>
      </w:numPr>
      <w:tabs>
        <w:tab w:val="left" w:pos="840"/>
      </w:tabs>
      <w:ind w:left="840" w:leftChars="200" w:hanging="420" w:hangingChars="200"/>
      <w:jc w:val="both"/>
    </w:pPr>
    <w:rPr>
      <w:rFonts w:ascii="宋体" w:hAnsi="Times New Roman" w:eastAsia="宋体" w:cs="Times New Roman"/>
      <w:sz w:val="21"/>
      <w:lang w:val="en-US" w:eastAsia="zh-CN" w:bidi="ar-SA"/>
    </w:rPr>
  </w:style>
  <w:style w:type="paragraph" w:customStyle="1" w:styleId="242">
    <w:name w:val="目次、标准名称标题"/>
    <w:basedOn w:val="215"/>
    <w:next w:val="170"/>
    <w:qFormat/>
    <w:uiPriority w:val="99"/>
    <w:pPr>
      <w:numPr>
        <w:ilvl w:val="0"/>
        <w:numId w:val="0"/>
      </w:numPr>
      <w:spacing w:line="460" w:lineRule="exact"/>
    </w:pPr>
  </w:style>
  <w:style w:type="paragraph" w:customStyle="1" w:styleId="243">
    <w:name w:val="其他发布部门"/>
    <w:basedOn w:val="218"/>
    <w:qFormat/>
    <w:uiPriority w:val="99"/>
  </w:style>
  <w:style w:type="paragraph" w:customStyle="1" w:styleId="244">
    <w:name w:val="三级无标题条"/>
    <w:basedOn w:val="1"/>
    <w:qFormat/>
    <w:uiPriority w:val="99"/>
    <w:pPr>
      <w:numPr>
        <w:ilvl w:val="4"/>
        <w:numId w:val="3"/>
      </w:numPr>
    </w:pPr>
  </w:style>
  <w:style w:type="paragraph" w:customStyle="1" w:styleId="245">
    <w:name w:val="实施日期"/>
    <w:basedOn w:val="219"/>
    <w:qFormat/>
    <w:uiPriority w:val="99"/>
  </w:style>
  <w:style w:type="paragraph" w:customStyle="1" w:styleId="246">
    <w:name w:val="示例"/>
    <w:next w:val="170"/>
    <w:qFormat/>
    <w:uiPriority w:val="99"/>
    <w:pPr>
      <w:numPr>
        <w:ilvl w:val="0"/>
        <w:numId w:val="9"/>
      </w:numPr>
      <w:tabs>
        <w:tab w:val="left" w:pos="816"/>
      </w:tabs>
      <w:ind w:firstLine="419" w:firstLineChars="233"/>
      <w:jc w:val="both"/>
    </w:pPr>
    <w:rPr>
      <w:rFonts w:ascii="宋体" w:hAnsi="Times New Roman" w:eastAsia="宋体" w:cs="Times New Roman"/>
      <w:sz w:val="18"/>
      <w:lang w:val="en-US" w:eastAsia="zh-CN" w:bidi="ar-SA"/>
    </w:rPr>
  </w:style>
  <w:style w:type="paragraph" w:customStyle="1" w:styleId="247">
    <w:name w:val="五级条标题"/>
    <w:basedOn w:val="173"/>
    <w:next w:val="170"/>
    <w:qFormat/>
    <w:uiPriority w:val="99"/>
    <w:pPr>
      <w:numPr>
        <w:ilvl w:val="6"/>
        <w:numId w:val="4"/>
      </w:numPr>
      <w:outlineLvl w:val="6"/>
    </w:pPr>
  </w:style>
  <w:style w:type="paragraph" w:customStyle="1" w:styleId="248">
    <w:name w:val="五级无标题条"/>
    <w:basedOn w:val="1"/>
    <w:qFormat/>
    <w:uiPriority w:val="99"/>
    <w:pPr>
      <w:numPr>
        <w:ilvl w:val="6"/>
        <w:numId w:val="3"/>
      </w:numPr>
    </w:pPr>
  </w:style>
  <w:style w:type="paragraph" w:customStyle="1" w:styleId="249">
    <w:name w:val="一级无标题条"/>
    <w:basedOn w:val="1"/>
    <w:qFormat/>
    <w:uiPriority w:val="99"/>
    <w:pPr>
      <w:numPr>
        <w:ilvl w:val="2"/>
        <w:numId w:val="3"/>
      </w:numPr>
    </w:pPr>
  </w:style>
  <w:style w:type="paragraph" w:customStyle="1" w:styleId="250">
    <w:name w:val="正文表标题"/>
    <w:next w:val="170"/>
    <w:qFormat/>
    <w:uiPriority w:val="99"/>
    <w:pPr>
      <w:numPr>
        <w:ilvl w:val="0"/>
        <w:numId w:val="10"/>
      </w:numPr>
      <w:jc w:val="center"/>
    </w:pPr>
    <w:rPr>
      <w:rFonts w:ascii="黑体" w:hAnsi="Times New Roman" w:eastAsia="黑体" w:cs="Times New Roman"/>
      <w:sz w:val="21"/>
      <w:lang w:val="en-US" w:eastAsia="zh-CN" w:bidi="ar-SA"/>
    </w:rPr>
  </w:style>
  <w:style w:type="paragraph" w:customStyle="1" w:styleId="251">
    <w:name w:val="正文图标题"/>
    <w:next w:val="170"/>
    <w:qFormat/>
    <w:uiPriority w:val="99"/>
    <w:pPr>
      <w:numPr>
        <w:ilvl w:val="0"/>
        <w:numId w:val="11"/>
      </w:numPr>
      <w:jc w:val="center"/>
    </w:pPr>
    <w:rPr>
      <w:rFonts w:ascii="黑体" w:hAnsi="Times New Roman" w:eastAsia="黑体" w:cs="Times New Roman"/>
      <w:sz w:val="21"/>
      <w:lang w:val="en-US" w:eastAsia="zh-CN" w:bidi="ar-SA"/>
    </w:rPr>
  </w:style>
  <w:style w:type="paragraph" w:customStyle="1" w:styleId="252">
    <w:name w:val="注："/>
    <w:next w:val="170"/>
    <w:qFormat/>
    <w:uiPriority w:val="99"/>
    <w:pPr>
      <w:widowControl w:val="0"/>
      <w:numPr>
        <w:ilvl w:val="0"/>
        <w:numId w:val="12"/>
      </w:numPr>
      <w:autoSpaceDE w:val="0"/>
      <w:autoSpaceDN w:val="0"/>
      <w:jc w:val="both"/>
    </w:pPr>
    <w:rPr>
      <w:rFonts w:ascii="宋体" w:hAnsi="Times New Roman" w:eastAsia="宋体" w:cs="Times New Roman"/>
      <w:sz w:val="18"/>
      <w:lang w:val="en-US" w:eastAsia="zh-CN" w:bidi="ar-SA"/>
    </w:rPr>
  </w:style>
  <w:style w:type="paragraph" w:customStyle="1" w:styleId="253">
    <w:name w:val="字母编号列项（一级）"/>
    <w:qFormat/>
    <w:uiPriority w:val="99"/>
    <w:pPr>
      <w:ind w:left="840" w:leftChars="200" w:hanging="420" w:hangingChars="200"/>
      <w:jc w:val="both"/>
    </w:pPr>
    <w:rPr>
      <w:rFonts w:ascii="宋体" w:hAnsi="Times New Roman" w:eastAsia="宋体" w:cs="Times New Roman"/>
      <w:sz w:val="21"/>
      <w:lang w:val="en-US" w:eastAsia="zh-CN" w:bidi="ar-SA"/>
    </w:rPr>
  </w:style>
  <w:style w:type="paragraph" w:customStyle="1" w:styleId="254">
    <w:name w:val="目录"/>
    <w:basedOn w:val="1"/>
    <w:qFormat/>
    <w:uiPriority w:val="99"/>
    <w:pPr>
      <w:suppressLineNumbers/>
      <w:suppressAutoHyphens/>
    </w:pPr>
    <w:rPr>
      <w:lang w:eastAsia="ar-SA"/>
    </w:rPr>
  </w:style>
  <w:style w:type="table" w:customStyle="1" w:styleId="255">
    <w:name w:val="Table Normal_0"/>
    <w:semiHidden/>
    <w:qFormat/>
    <w:uiPriority w:val="2"/>
    <w:pPr>
      <w:widowControl w:val="0"/>
    </w:pPr>
    <w:rPr>
      <w:rFonts w:ascii="Calibri" w:hAnsi="Calibri" w:eastAsia="Times New Roman"/>
      <w:sz w:val="22"/>
      <w:szCs w:val="22"/>
      <w:lang w:val="en-US" w:eastAsia="en-US" w:bidi="ar-SA"/>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92</Pages>
  <Words>35310</Words>
  <Characters>36830</Characters>
  <Lines>705</Lines>
  <Paragraphs>198</Paragraphs>
  <TotalTime>2</TotalTime>
  <ScaleCrop>false</ScaleCrop>
  <LinksUpToDate>false</LinksUpToDate>
  <CharactersWithSpaces>37255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2022-12-11T19:10:00Z</dcterms:created>
  <dc:creator>番茄花园</dc:creator>
  <cp:lastModifiedBy>灬D君 ˇ </cp:lastModifiedBy>
  <cp:lastPrinted>2026-03-23T18:24:00Z</cp:lastPrinted>
  <dcterms:modified xsi:type="dcterms:W3CDTF">2026-04-01T03:45:24Z</dcterms:modified>
  <dc:title>公开招标采购文件范本</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8063E48E467F41A8B276A2459059ED69_13</vt:lpwstr>
  </property>
  <property fmtid="{D5CDD505-2E9C-101B-9397-08002B2CF9AE}" pid="3" name="KSOProductBuildVer">
    <vt:lpwstr>2052-12.1.0.25225</vt:lpwstr>
  </property>
  <property fmtid="{D5CDD505-2E9C-101B-9397-08002B2CF9AE}" pid="4" name="KSOTemplateDocerSaveRecord">
    <vt:lpwstr>eyJoZGlkIjoiNmUxYTYyN2Q2OGNlODIwZmVhNTE1OTNmMmJhYTRjMjkiLCJ1c2VySWQiOiIyNjU5MTA4NzQifQ==</vt:lpwstr>
  </property>
</Properties>
</file>