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78419">
      <w:pPr>
        <w:pStyle w:val="3"/>
        <w:pageBreakBefore w:val="0"/>
        <w:kinsoku/>
        <w:wordWrap/>
        <w:overflowPunct/>
        <w:topLinePunct w:val="0"/>
        <w:bidi w:val="0"/>
        <w:spacing w:before="0" w:beforeAutospacing="0" w:after="0" w:afterAutospacing="0"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采购需求</w:t>
      </w:r>
    </w:p>
    <w:p w14:paraId="5FDE2F5B">
      <w:pPr>
        <w:pageBreakBefore w:val="0"/>
        <w:kinsoku/>
        <w:wordWrap/>
        <w:overflowPunct/>
        <w:topLinePunct w:val="0"/>
        <w:bidi w:val="0"/>
        <w:spacing w:beforeAutospacing="0" w:afterAutospacing="0" w:line="360" w:lineRule="auto"/>
        <w:jc w:val="left"/>
        <w:rPr>
          <w:rFonts w:hint="eastAsia" w:ascii="宋体" w:hAnsi="宋体" w:eastAsia="宋体" w:cs="宋体"/>
          <w:color w:val="auto"/>
          <w:szCs w:val="21"/>
          <w:highlight w:val="none"/>
        </w:rPr>
      </w:pPr>
      <w:bookmarkStart w:id="0" w:name="_Toc254970490"/>
      <w:bookmarkStart w:id="1" w:name="_Toc254970631"/>
      <w:r>
        <w:rPr>
          <w:rFonts w:hint="eastAsia" w:ascii="宋体" w:hAnsi="宋体" w:eastAsia="宋体" w:cs="宋体"/>
          <w:color w:val="auto"/>
          <w:szCs w:val="21"/>
          <w:highlight w:val="none"/>
        </w:rPr>
        <w:t>说明：</w:t>
      </w:r>
    </w:p>
    <w:p w14:paraId="1FCFE273">
      <w:pPr>
        <w:pageBreakBefore w:val="0"/>
        <w:kinsoku/>
        <w:wordWrap/>
        <w:overflowPunct/>
        <w:topLinePunct w:val="0"/>
        <w:bidi w:val="0"/>
        <w:spacing w:beforeAutospacing="0" w:afterAutospacing="0"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r>
        <w:rPr>
          <w:rFonts w:hint="eastAsia" w:ascii="宋体" w:hAnsi="宋体" w:eastAsia="宋体" w:cs="宋体"/>
          <w:color w:val="auto"/>
          <w:szCs w:val="21"/>
          <w:highlight w:val="none"/>
        </w:rPr>
        <w:t>：本招标文件所称中小企业必须符合《政府采购促进中小企业发展管理办法》（财库〔2020〕46号）的规定。</w:t>
      </w:r>
    </w:p>
    <w:p w14:paraId="19E36169">
      <w:pPr>
        <w:pageBreakBefore w:val="0"/>
        <w:kinsoku/>
        <w:wordWrap/>
        <w:overflowPunct/>
        <w:topLinePunct w:val="0"/>
        <w:bidi w:val="0"/>
        <w:spacing w:beforeAutospacing="0" w:afterAutospacing="0" w:line="360" w:lineRule="auto"/>
        <w:ind w:firstLine="48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2.“实质性要求”是指招标文件中已经指明不满足则投标无效的条款，或者不能负偏离的条款，或者采购需求中带“▲”的条款</w:t>
      </w:r>
      <w:bookmarkStart w:id="9" w:name="_GoBack"/>
      <w:bookmarkEnd w:id="9"/>
      <w:r>
        <w:rPr>
          <w:rFonts w:hint="eastAsia" w:ascii="宋体" w:hAnsi="宋体" w:eastAsia="宋体" w:cs="宋体"/>
          <w:color w:val="auto"/>
          <w:szCs w:val="21"/>
          <w:highlight w:val="none"/>
        </w:rPr>
        <w:t>。</w:t>
      </w:r>
    </w:p>
    <w:p w14:paraId="38941DEF">
      <w:pPr>
        <w:pageBreakBefore w:val="0"/>
        <w:kinsoku/>
        <w:wordWrap/>
        <w:overflowPunct/>
        <w:topLinePunct w:val="0"/>
        <w:bidi w:val="0"/>
        <w:spacing w:beforeAutospacing="0" w:afterAutospacing="0" w:line="360" w:lineRule="auto"/>
        <w:ind w:firstLine="48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3.采购需求中出现的品牌、型号或者生产厂家仅起参考作用，不属于指定品牌、型号或者生产厂家的情形。投标人可参照或者选用其他相当的品牌、型号或者生产厂家替代。</w:t>
      </w:r>
    </w:p>
    <w:p w14:paraId="5E745506">
      <w:pPr>
        <w:pageBreakBefore w:val="0"/>
        <w:kinsoku/>
        <w:wordWrap/>
        <w:overflowPunct/>
        <w:topLinePunct w:val="0"/>
        <w:bidi w:val="0"/>
        <w:spacing w:beforeAutospacing="0" w:afterAutospacing="0" w:line="360" w:lineRule="auto"/>
        <w:ind w:firstLine="484" w:firstLineChars="202"/>
        <w:jc w:val="left"/>
        <w:rPr>
          <w:rStyle w:val="10"/>
          <w:rFonts w:hint="eastAsia" w:ascii="宋体" w:hAnsi="宋体" w:eastAsia="宋体" w:cs="宋体"/>
          <w:color w:val="auto"/>
          <w:highlight w:val="none"/>
        </w:rPr>
      </w:pPr>
      <w:r>
        <w:rPr>
          <w:rFonts w:hint="eastAsia" w:ascii="宋体" w:hAnsi="宋体" w:eastAsia="宋体" w:cs="宋体"/>
          <w:color w:val="auto"/>
          <w:szCs w:val="21"/>
          <w:highlight w:val="none"/>
        </w:rPr>
        <w:t>4.投标人应根据自身实际情况如实响应招标文件，不得仅将招标文件内容简单复制粘贴作为投标响应，还应当提供相关证明材料。</w:t>
      </w:r>
      <w:r>
        <w:rPr>
          <w:rFonts w:hint="eastAsia" w:ascii="宋体" w:hAnsi="宋体" w:eastAsia="宋体" w:cs="宋体"/>
          <w:color w:val="auto"/>
          <w:highlight w:val="none"/>
        </w:rPr>
        <w:t>对于重要技术条款或技术参数应当在投标文件中提供技术支持资料，技术支持资料以招标文件中规定的形式为准。</w:t>
      </w:r>
    </w:p>
    <w:p w14:paraId="4F8FE7BD">
      <w:pPr>
        <w:pageBreakBefore w:val="0"/>
        <w:kinsoku/>
        <w:wordWrap/>
        <w:overflowPunct/>
        <w:topLinePunct w:val="0"/>
        <w:bidi w:val="0"/>
        <w:spacing w:beforeAutospacing="0" w:afterAutospacing="0" w:line="360" w:lineRule="auto"/>
        <w:ind w:firstLine="352" w:firstLineChars="147"/>
        <w:jc w:val="left"/>
        <w:rPr>
          <w:rFonts w:hint="eastAsia" w:ascii="宋体" w:hAnsi="宋体" w:eastAsia="宋体" w:cs="宋体"/>
          <w:color w:val="auto"/>
          <w:highlight w:val="none"/>
        </w:rPr>
      </w:pPr>
      <w:r>
        <w:rPr>
          <w:rFonts w:hint="eastAsia" w:ascii="宋体" w:hAnsi="宋体" w:eastAsia="宋体" w:cs="宋体"/>
          <w:color w:val="auto"/>
          <w:szCs w:val="21"/>
          <w:highlight w:val="none"/>
        </w:rPr>
        <w:t>5.</w:t>
      </w:r>
      <w:r>
        <w:rPr>
          <w:rFonts w:hint="eastAsia" w:ascii="宋体" w:hAnsi="宋体" w:eastAsia="宋体" w:cs="宋体"/>
          <w:color w:val="auto"/>
          <w:highlight w:val="none"/>
        </w:rPr>
        <w:t>投标人必须自行为其投标产品侵犯他人的知识产权或者专利成果的行为承担相应法律责任。</w:t>
      </w:r>
    </w:p>
    <w:p w14:paraId="1EC0E098">
      <w:pPr>
        <w:pageBreakBefore w:val="0"/>
        <w:kinsoku/>
        <w:wordWrap/>
        <w:overflowPunct/>
        <w:topLinePunct w:val="0"/>
        <w:bidi w:val="0"/>
        <w:spacing w:beforeAutospacing="0" w:afterAutospacing="0" w:line="360" w:lineRule="auto"/>
        <w:ind w:firstLine="354" w:firstLineChars="147"/>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预算金额：人民币</w:t>
      </w:r>
      <w:r>
        <w:rPr>
          <w:rFonts w:hint="eastAsia" w:ascii="宋体" w:hAnsi="宋体" w:eastAsia="宋体" w:cs="宋体"/>
          <w:b/>
          <w:color w:val="auto"/>
          <w:szCs w:val="21"/>
          <w:highlight w:val="none"/>
          <w:lang w:eastAsia="zh-CN"/>
        </w:rPr>
        <w:t>肆佰贰拾玖万元整（¥4290000.00）</w:t>
      </w:r>
      <w:r>
        <w:rPr>
          <w:rFonts w:hint="eastAsia" w:ascii="宋体" w:hAnsi="宋体" w:eastAsia="宋体" w:cs="宋体"/>
          <w:b/>
          <w:color w:val="auto"/>
          <w:szCs w:val="21"/>
          <w:highlight w:val="none"/>
        </w:rPr>
        <w:t>。</w:t>
      </w:r>
    </w:p>
    <w:p w14:paraId="0C99D836">
      <w:pPr>
        <w:pageBreakBefore w:val="0"/>
        <w:kinsoku/>
        <w:wordWrap/>
        <w:overflowPunct/>
        <w:topLinePunct w:val="0"/>
        <w:bidi w:val="0"/>
        <w:spacing w:beforeAutospacing="0" w:afterAutospacing="0" w:line="360" w:lineRule="auto"/>
        <w:ind w:firstLine="354" w:firstLineChars="147"/>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最高限价：人民币</w:t>
      </w:r>
      <w:r>
        <w:rPr>
          <w:rFonts w:hint="eastAsia" w:ascii="宋体" w:hAnsi="宋体" w:eastAsia="宋体" w:cs="宋体"/>
          <w:b/>
          <w:color w:val="auto"/>
          <w:szCs w:val="21"/>
          <w:highlight w:val="none"/>
          <w:lang w:eastAsia="zh-CN"/>
        </w:rPr>
        <w:t>肆佰贰拾玖万元整（¥4290000.00）</w:t>
      </w:r>
      <w:r>
        <w:rPr>
          <w:rFonts w:hint="eastAsia" w:ascii="宋体" w:hAnsi="宋体" w:eastAsia="宋体" w:cs="宋体"/>
          <w:b/>
          <w:color w:val="auto"/>
          <w:szCs w:val="21"/>
          <w:highlight w:val="none"/>
        </w:rPr>
        <w:t>。</w:t>
      </w:r>
    </w:p>
    <w:bookmarkEnd w:id="0"/>
    <w:bookmarkEnd w:id="1"/>
    <w:tbl>
      <w:tblPr>
        <w:tblStyle w:val="7"/>
        <w:tblW w:w="95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0"/>
        <w:gridCol w:w="784"/>
        <w:gridCol w:w="294"/>
        <w:gridCol w:w="351"/>
        <w:gridCol w:w="646"/>
        <w:gridCol w:w="6976"/>
      </w:tblGrid>
      <w:tr w14:paraId="74E8C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9571" w:type="dxa"/>
            <w:gridSpan w:val="6"/>
            <w:vAlign w:val="center"/>
          </w:tcPr>
          <w:p w14:paraId="661F6D23">
            <w:pPr>
              <w:pStyle w:val="11"/>
              <w:pageBreakBefore w:val="0"/>
              <w:kinsoku/>
              <w:wordWrap/>
              <w:overflowPunct/>
              <w:topLinePunct w:val="0"/>
              <w:bidi w:val="0"/>
              <w:spacing w:beforeAutospacing="0" w:afterAutospacing="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一、采购需求</w:t>
            </w:r>
          </w:p>
        </w:tc>
      </w:tr>
      <w:tr w14:paraId="4631A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20" w:type="dxa"/>
            <w:vAlign w:val="center"/>
          </w:tcPr>
          <w:p w14:paraId="067D911E">
            <w:pPr>
              <w:pStyle w:val="11"/>
              <w:pageBreakBefore w:val="0"/>
              <w:kinsoku/>
              <w:wordWrap/>
              <w:overflowPunct/>
              <w:topLinePunct w:val="0"/>
              <w:bidi w:val="0"/>
              <w:spacing w:beforeAutospacing="0" w:afterAutospacing="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序号</w:t>
            </w:r>
          </w:p>
        </w:tc>
        <w:tc>
          <w:tcPr>
            <w:tcW w:w="784" w:type="dxa"/>
            <w:vAlign w:val="center"/>
          </w:tcPr>
          <w:p w14:paraId="54AAA726">
            <w:pPr>
              <w:pStyle w:val="11"/>
              <w:pageBreakBefore w:val="0"/>
              <w:kinsoku/>
              <w:wordWrap/>
              <w:overflowPunct/>
              <w:topLinePunct w:val="0"/>
              <w:bidi w:val="0"/>
              <w:spacing w:beforeAutospacing="0" w:afterAutospacing="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标的的名称</w:t>
            </w:r>
          </w:p>
        </w:tc>
        <w:tc>
          <w:tcPr>
            <w:tcW w:w="645" w:type="dxa"/>
            <w:gridSpan w:val="2"/>
          </w:tcPr>
          <w:p w14:paraId="738AB3EF">
            <w:pPr>
              <w:pStyle w:val="11"/>
              <w:pageBreakBefore w:val="0"/>
              <w:kinsoku/>
              <w:wordWrap/>
              <w:overflowPunct/>
              <w:topLinePunct w:val="0"/>
              <w:bidi w:val="0"/>
              <w:spacing w:beforeAutospacing="0" w:afterAutospacing="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数量及单位</w:t>
            </w:r>
          </w:p>
        </w:tc>
        <w:tc>
          <w:tcPr>
            <w:tcW w:w="646" w:type="dxa"/>
            <w:vAlign w:val="center"/>
          </w:tcPr>
          <w:p w14:paraId="10C7A698">
            <w:pPr>
              <w:pStyle w:val="11"/>
              <w:pageBreakBefore w:val="0"/>
              <w:kinsoku/>
              <w:wordWrap/>
              <w:overflowPunct/>
              <w:topLinePunct w:val="0"/>
              <w:bidi w:val="0"/>
              <w:spacing w:beforeAutospacing="0" w:afterAutospacing="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所属行业</w:t>
            </w:r>
          </w:p>
        </w:tc>
        <w:tc>
          <w:tcPr>
            <w:tcW w:w="6976" w:type="dxa"/>
            <w:vAlign w:val="center"/>
          </w:tcPr>
          <w:p w14:paraId="03DF93C9">
            <w:pPr>
              <w:pStyle w:val="11"/>
              <w:pageBreakBefore w:val="0"/>
              <w:kinsoku/>
              <w:wordWrap/>
              <w:overflowPunct/>
              <w:topLinePunct w:val="0"/>
              <w:bidi w:val="0"/>
              <w:spacing w:beforeAutospacing="0" w:afterAutospacing="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服务要求</w:t>
            </w:r>
          </w:p>
        </w:tc>
      </w:tr>
      <w:tr w14:paraId="2C4F0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520" w:type="dxa"/>
            <w:vAlign w:val="center"/>
          </w:tcPr>
          <w:p w14:paraId="707B4543">
            <w:pPr>
              <w:pStyle w:val="11"/>
              <w:pageBreakBefore w:val="0"/>
              <w:kinsoku/>
              <w:wordWrap/>
              <w:overflowPunct/>
              <w:topLinePunct w:val="0"/>
              <w:bidi w:val="0"/>
              <w:spacing w:beforeAutospacing="0" w:afterAutospacing="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w:t>
            </w:r>
          </w:p>
        </w:tc>
        <w:tc>
          <w:tcPr>
            <w:tcW w:w="784" w:type="dxa"/>
            <w:vAlign w:val="center"/>
          </w:tcPr>
          <w:p w14:paraId="1C349128">
            <w:pPr>
              <w:pStyle w:val="11"/>
              <w:pageBreakBefore w:val="0"/>
              <w:kinsoku/>
              <w:wordWrap/>
              <w:overflowPunct/>
              <w:topLinePunct w:val="0"/>
              <w:bidi w:val="0"/>
              <w:spacing w:beforeAutospacing="0" w:afterAutospacing="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2026-2028年市管城市照明设施维修养护服务采购项目</w:t>
            </w:r>
          </w:p>
        </w:tc>
        <w:tc>
          <w:tcPr>
            <w:tcW w:w="645" w:type="dxa"/>
            <w:gridSpan w:val="2"/>
            <w:vAlign w:val="center"/>
          </w:tcPr>
          <w:p w14:paraId="032F6887">
            <w:pPr>
              <w:pageBreakBefore w:val="0"/>
              <w:kinsoku/>
              <w:wordWrap/>
              <w:overflowPunct/>
              <w:topLinePunct w:val="0"/>
              <w:bidi w:val="0"/>
              <w:snapToGrid w:val="0"/>
              <w:spacing w:beforeAutospacing="0" w:afterAutospacing="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3年</w:t>
            </w:r>
          </w:p>
        </w:tc>
        <w:tc>
          <w:tcPr>
            <w:tcW w:w="646" w:type="dxa"/>
            <w:vAlign w:val="center"/>
          </w:tcPr>
          <w:p w14:paraId="061158C8">
            <w:pPr>
              <w:pStyle w:val="4"/>
              <w:pageBreakBefore w:val="0"/>
              <w:kinsoku/>
              <w:wordWrap/>
              <w:overflowPunct/>
              <w:topLinePunct w:val="0"/>
              <w:bidi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w:t>
            </w:r>
          </w:p>
          <w:p w14:paraId="0D1DE66E">
            <w:pPr>
              <w:pStyle w:val="4"/>
              <w:pageBreakBefore w:val="0"/>
              <w:kinsoku/>
              <w:wordWrap/>
              <w:overflowPunct/>
              <w:topLinePunct w:val="0"/>
              <w:bidi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未列</w:t>
            </w:r>
          </w:p>
          <w:p w14:paraId="0632B52F">
            <w:pPr>
              <w:pStyle w:val="4"/>
              <w:pageBreakBefore w:val="0"/>
              <w:kinsoku/>
              <w:wordWrap/>
              <w:overflowPunct/>
              <w:topLinePunct w:val="0"/>
              <w:bidi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明行</w:t>
            </w:r>
          </w:p>
          <w:p w14:paraId="6766FD2E">
            <w:pPr>
              <w:pStyle w:val="4"/>
              <w:pageBreakBefore w:val="0"/>
              <w:kinsoku/>
              <w:wordWrap/>
              <w:overflowPunct/>
              <w:topLinePunct w:val="0"/>
              <w:bidi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w:t>
            </w:r>
          </w:p>
          <w:p w14:paraId="5782AA7C">
            <w:pPr>
              <w:pStyle w:val="4"/>
              <w:pageBreakBefore w:val="0"/>
              <w:kinsoku/>
              <w:wordWrap/>
              <w:overflowPunct/>
              <w:topLinePunct w:val="0"/>
              <w:bidi w:val="0"/>
              <w:spacing w:beforeAutospacing="0" w:afterAutospacing="0" w:line="360" w:lineRule="auto"/>
              <w:rPr>
                <w:rFonts w:hint="eastAsia" w:ascii="宋体" w:hAnsi="宋体" w:eastAsia="宋体" w:cs="宋体"/>
                <w:color w:val="auto"/>
                <w:sz w:val="21"/>
                <w:szCs w:val="21"/>
                <w:highlight w:val="none"/>
                <w:lang w:val="en-US" w:eastAsia="zh-CN"/>
              </w:rPr>
            </w:pPr>
          </w:p>
        </w:tc>
        <w:tc>
          <w:tcPr>
            <w:tcW w:w="6976" w:type="dxa"/>
            <w:vAlign w:val="center"/>
          </w:tcPr>
          <w:p w14:paraId="79670F8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服务目标</w:t>
            </w:r>
          </w:p>
          <w:p w14:paraId="1D0424E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确保路灯照明设施正常运行率达到98%以上，亮灯率达到9</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%以上，为市民提供安全、舒适的夜间出行环境。</w:t>
            </w:r>
          </w:p>
          <w:p w14:paraId="11B87D1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实现城市照明设施管理的规范化、标准化，提升城市整体形象。</w:t>
            </w:r>
          </w:p>
          <w:p w14:paraId="598FF32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、服务承包范围：服务范围涵盖</w:t>
            </w:r>
            <w:r>
              <w:rPr>
                <w:rFonts w:hint="eastAsia" w:ascii="宋体" w:hAnsi="宋体" w:eastAsia="宋体" w:cs="宋体"/>
                <w:color w:val="auto"/>
                <w:sz w:val="21"/>
                <w:szCs w:val="21"/>
                <w:highlight w:val="none"/>
                <w:lang w:val="en-US" w:eastAsia="zh-CN"/>
              </w:rPr>
              <w:t>市级城市管理区域</w:t>
            </w:r>
            <w:r>
              <w:rPr>
                <w:rFonts w:hint="eastAsia" w:ascii="宋体" w:hAnsi="宋体" w:eastAsia="宋体" w:cs="宋体"/>
                <w:color w:val="auto"/>
                <w:sz w:val="21"/>
                <w:szCs w:val="21"/>
                <w:highlight w:val="none"/>
              </w:rPr>
              <w:t>内</w:t>
            </w:r>
            <w:r>
              <w:rPr>
                <w:rFonts w:hint="eastAsia" w:ascii="宋体" w:hAnsi="宋体" w:eastAsia="宋体" w:cs="宋体"/>
                <w:b w:val="0"/>
                <w:bCs w:val="0"/>
                <w:color w:val="auto"/>
                <w:sz w:val="21"/>
                <w:szCs w:val="21"/>
                <w:highlight w:val="none"/>
                <w:lang w:eastAsia="zh-CN"/>
              </w:rPr>
              <w:t>即文昌大道以南（含）、北部湾大道以西（含）、西湾环海大道（含西湾跨海大桥至针鱼岭大桥）与伏波大道（含江山大道路口至针鱼岭大桥段、不含江山大道路口至文昌大桥段）以东、兴港立交（不含）以北</w:t>
            </w:r>
            <w:r>
              <w:rPr>
                <w:rFonts w:hint="eastAsia" w:ascii="宋体" w:hAnsi="宋体" w:eastAsia="宋体" w:cs="宋体"/>
                <w:b w:val="0"/>
                <w:bCs w:val="0"/>
                <w:color w:val="auto"/>
                <w:sz w:val="21"/>
                <w:szCs w:val="21"/>
                <w:highlight w:val="none"/>
              </w:rPr>
              <w:t>的市管道路</w:t>
            </w:r>
            <w:r>
              <w:rPr>
                <w:rFonts w:hint="eastAsia" w:ascii="宋体" w:hAnsi="宋体" w:eastAsia="宋体" w:cs="宋体"/>
                <w:b w:val="0"/>
                <w:bCs w:val="0"/>
                <w:color w:val="auto"/>
                <w:sz w:val="21"/>
                <w:szCs w:val="21"/>
                <w:highlight w:val="none"/>
                <w:lang w:eastAsia="zh-CN"/>
              </w:rPr>
              <w:t>范围内的</w:t>
            </w:r>
            <w:r>
              <w:rPr>
                <w:rFonts w:hint="eastAsia" w:ascii="宋体" w:hAnsi="宋体" w:eastAsia="宋体" w:cs="宋体"/>
                <w:color w:val="auto"/>
                <w:sz w:val="21"/>
                <w:szCs w:val="21"/>
                <w:highlight w:val="none"/>
              </w:rPr>
              <w:t>所有</w:t>
            </w:r>
            <w:r>
              <w:rPr>
                <w:rFonts w:hint="eastAsia" w:ascii="宋体" w:hAnsi="宋体" w:eastAsia="宋体" w:cs="宋体"/>
                <w:color w:val="auto"/>
                <w:sz w:val="21"/>
                <w:szCs w:val="21"/>
                <w:highlight w:val="none"/>
                <w:lang w:val="en-US" w:eastAsia="zh-CN"/>
              </w:rPr>
              <w:t>市政公用</w:t>
            </w:r>
            <w:r>
              <w:rPr>
                <w:rFonts w:hint="eastAsia" w:ascii="宋体" w:hAnsi="宋体" w:eastAsia="宋体" w:cs="宋体"/>
                <w:color w:val="auto"/>
                <w:sz w:val="21"/>
                <w:szCs w:val="21"/>
                <w:highlight w:val="none"/>
              </w:rPr>
              <w:t>照明设施，包括但不限于</w:t>
            </w:r>
            <w:r>
              <w:rPr>
                <w:rFonts w:hint="eastAsia" w:ascii="宋体" w:hAnsi="宋体" w:eastAsia="宋体" w:cs="宋体"/>
                <w:color w:val="auto"/>
                <w:sz w:val="21"/>
                <w:szCs w:val="21"/>
                <w:highlight w:val="none"/>
                <w:lang w:eastAsia="zh-CN"/>
              </w:rPr>
              <w:t>箱变、变压器、</w:t>
            </w:r>
            <w:r>
              <w:rPr>
                <w:rFonts w:hint="eastAsia" w:ascii="宋体" w:hAnsi="宋体" w:eastAsia="宋体" w:cs="宋体"/>
                <w:color w:val="auto"/>
                <w:sz w:val="21"/>
                <w:szCs w:val="21"/>
                <w:highlight w:val="none"/>
              </w:rPr>
              <w:t>路灯灯具、灯杆、配电箱、电缆、控制设备</w:t>
            </w:r>
            <w:r>
              <w:rPr>
                <w:rFonts w:hint="eastAsia" w:ascii="宋体" w:hAnsi="宋体" w:eastAsia="宋体" w:cs="宋体"/>
                <w:color w:val="auto"/>
                <w:sz w:val="21"/>
                <w:szCs w:val="21"/>
                <w:highlight w:val="none"/>
                <w:lang w:eastAsia="zh-CN"/>
              </w:rPr>
              <w:t>、景观亮化</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eastAsia="zh-CN"/>
              </w:rPr>
              <w:t>照明设施</w:t>
            </w:r>
            <w:r>
              <w:rPr>
                <w:rFonts w:hint="eastAsia" w:ascii="宋体" w:hAnsi="宋体" w:eastAsia="宋体" w:cs="宋体"/>
                <w:color w:val="auto"/>
                <w:sz w:val="21"/>
                <w:szCs w:val="21"/>
                <w:highlight w:val="none"/>
              </w:rPr>
              <w:t>的日常巡检、维护保养、故障维修、灯具清洗、照明节能改造协助等工作，以及应对极端天气、突发事件等情况下的应急处置工作。</w:t>
            </w:r>
          </w:p>
          <w:p w14:paraId="2604009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三、承包方式：包工包料。</w:t>
            </w:r>
          </w:p>
          <w:p w14:paraId="56E08C8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四、服务期限：服务期限为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年，自合同签订之日起计算。</w:t>
            </w:r>
          </w:p>
          <w:p w14:paraId="4D62BE8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主要服务标准与要求</w:t>
            </w:r>
          </w:p>
          <w:p w14:paraId="7F281D3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日常巡检：服务企业需制定详细的全覆盖巡检计划，对城市照明设施进行每日巡检，巡检内容包括设施外观、运行状态、安全隐患等，并做好巡检记录。及时处理巡检过程中发现的问题。</w:t>
            </w:r>
          </w:p>
          <w:p w14:paraId="2DCDE9A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维护保养：定期对路灯灯具进行清洗，每年不少于1次；对灯杆进行防腐防锈处理，每3年不少于1次；对箱式变压器、配电箱等设备进行全面检测和维护，每季度不少于1次。确保设施处于良好运行状态。</w:t>
            </w:r>
          </w:p>
          <w:p w14:paraId="1B88C5D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故障维修：接到故障报修后，服务企业需在30分钟内响应，一般故障应在4小时内修复，复杂故障修复时间不得超过24小时（不可抗力因素除外）。</w:t>
            </w:r>
          </w:p>
          <w:p w14:paraId="70D2E3B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应急处置：制定完善的应急预案，组建应急抢修队伍，配备必要的应急物资和设备。在遇到极端天气、自然灾害等突发事件时，确保在1小时内到达现场进行处置，保障路灯照明设施尽快恢复正常运行。</w:t>
            </w:r>
          </w:p>
          <w:p w14:paraId="1801FF8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数据管理：实时记录设施运行状态、维护维修情况等数据，并定期向照明管理部门报送相关报表，为管理决策提供依据。</w:t>
            </w:r>
          </w:p>
          <w:p w14:paraId="6F2B5EC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服务内容</w:t>
            </w:r>
          </w:p>
          <w:p w14:paraId="4EB889F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必须配备适应本标内设施防盗和维护管理的工具设备及工作人员，其所有费用由供应商负责支出。配备1辆高空作业维护车辆、1辆皮卡巡逻作业车，配备1名项目经理；配备不少于13名（含13名）技术维修人员，所有技术维修均要求具有电工操作证，且至少有4人同时具有高处作业证、至少有2名人员同时具有熔化焊接与热切割作业证，电工技能、焊接技能熟练，且具有2年以上配电设备维修管理经验。配备1名项目资料员，要求具有资料员证，要求熟悉档案管理，了解建设承包方式、合同签订、施工预算、文字写作的基本知识，了解设计、施工验收规范和安全生产的法律法规、标准及规范，熟练使用办公软件，具有1年以上相关工作经验。配备专职安全员1名，要求具有安全员证。</w:t>
            </w:r>
          </w:p>
          <w:p w14:paraId="56FBD20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保证设施完好率，在合同期间发生照明设施被盗或人为破坏的，供应商负责赔偿并按采购单位要求的质量、时限进行修复。供应商发现照明设施重大故障及非被盗或人为损坏的1小时内应通知采购单位并做好现场安全防护措施。为做好被盗设施的修复工作，供应商可以通过保险公司购买财产被盗保险服务。因供应商巡查监管不到位造成损失的，相关修复费用由供应商承担。</w:t>
            </w:r>
          </w:p>
          <w:p w14:paraId="3C17787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必须落实安全生产措施，且应按采购单位的要求，上岗工人统一配备工作证件（报采购单位备案），为上岗工人配置统一的维护工作服、反光背心、反光袖套、反光雨衣、安全头盔、电工鞋、工具袋、高空作业绳、安全扣、防电手套、高压令克棒等，解决安全作业问题及购买保险。在进行维护作业时必须认真负责，并注意安全规范操作。维护人员在维护项目服务期限结束前的社保及人身意外保险由供应商负责。如发生任何意外事故，维护供应商负责事故处理及一切费用，概与采购单位无关。</w:t>
            </w:r>
          </w:p>
          <w:p w14:paraId="7C97022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4.电缆等维护要求：</w:t>
            </w:r>
          </w:p>
          <w:p w14:paraId="579C2C1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（1）电缆井：电缆井盖应该保证无破损和丢失，电缆井内无杂物填充，检查电缆井的封堵情况，必须符合采购单位要求，未达到要求的要按照采购单位要求整改。</w:t>
            </w:r>
          </w:p>
          <w:p w14:paraId="0F0264F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（2）电缆更换：电缆更换前必须报采购单位审核，必须采用同原来规格型号一致</w:t>
            </w:r>
            <w:r>
              <w:rPr>
                <w:rFonts w:hint="eastAsia" w:ascii="宋体" w:hAnsi="宋体" w:eastAsia="宋体" w:cs="宋体"/>
                <w:color w:val="auto"/>
                <w:sz w:val="21"/>
                <w:szCs w:val="21"/>
                <w:highlight w:val="none"/>
                <w:lang w:eastAsia="zh-CN"/>
              </w:rPr>
              <w:t>或更高等级</w:t>
            </w:r>
            <w:r>
              <w:rPr>
                <w:rFonts w:hint="eastAsia" w:ascii="宋体" w:hAnsi="宋体" w:eastAsia="宋体" w:cs="宋体"/>
                <w:color w:val="auto"/>
                <w:sz w:val="21"/>
                <w:szCs w:val="21"/>
                <w:highlight w:val="none"/>
              </w:rPr>
              <w:t>的电缆进行更换，不能采用降低规格或低于原材质的电缆进行更换，更换过程中需报采购单位进行现场核实或备案。电缆敷设必须符合相关技术规范及采购单位的要求。</w:t>
            </w:r>
          </w:p>
          <w:p w14:paraId="1C40CA6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（3）电缆绝缘电阻测试：在维护年度内进行一次电缆绝缘测试。</w:t>
            </w:r>
          </w:p>
          <w:p w14:paraId="046D251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缆的三相不平衡：要求调整负荷，使得中性线电流不超过20%，严禁同一条电缆三相供电合并成两相或单相供电，如有此类情况的，电缆需要更换，且更换后需要进行电缆绝缘测试并且符合相关技术要求，如有不符的需要整改并进行处罚。</w:t>
            </w:r>
          </w:p>
          <w:p w14:paraId="658A082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（5）供应商应每月定期到配电房或箱变了解电缆负荷情况，并作记录。</w:t>
            </w:r>
          </w:p>
          <w:p w14:paraId="5A11068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（6）路灯杆内电缆接头应符合采购单位的接头制作方式，并外套绝缘胶套。</w:t>
            </w:r>
          </w:p>
          <w:p w14:paraId="24336A2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（7）路灯电缆故障修复需破路或顶管时（由采购单位现场核定），破路费用以及产生的绿化恢复、人行道及路面修复等引起的所有费用涵盖在</w:t>
            </w:r>
            <w:r>
              <w:rPr>
                <w:rFonts w:hint="eastAsia" w:ascii="宋体" w:hAnsi="宋体" w:eastAsia="宋体" w:cs="宋体"/>
                <w:color w:val="auto"/>
                <w:sz w:val="21"/>
                <w:szCs w:val="21"/>
                <w:highlight w:val="none"/>
                <w:lang w:eastAsia="zh-CN"/>
              </w:rPr>
              <w:t>此采购服务</w:t>
            </w:r>
            <w:r>
              <w:rPr>
                <w:rFonts w:hint="eastAsia" w:ascii="宋体" w:hAnsi="宋体" w:eastAsia="宋体" w:cs="宋体"/>
                <w:color w:val="auto"/>
                <w:sz w:val="21"/>
                <w:szCs w:val="21"/>
                <w:highlight w:val="none"/>
              </w:rPr>
              <w:t>照明设施管养费用中，由供应商自行负责，不</w:t>
            </w:r>
            <w:r>
              <w:rPr>
                <w:rFonts w:hint="eastAsia" w:ascii="宋体" w:hAnsi="宋体" w:eastAsia="宋体" w:cs="宋体"/>
                <w:color w:val="auto"/>
                <w:sz w:val="21"/>
                <w:szCs w:val="21"/>
                <w:highlight w:val="none"/>
                <w:lang w:eastAsia="zh-CN"/>
              </w:rPr>
              <w:t>另行</w:t>
            </w:r>
            <w:r>
              <w:rPr>
                <w:rFonts w:hint="eastAsia" w:ascii="宋体" w:hAnsi="宋体" w:eastAsia="宋体" w:cs="宋体"/>
                <w:color w:val="auto"/>
                <w:sz w:val="21"/>
                <w:szCs w:val="21"/>
                <w:highlight w:val="none"/>
              </w:rPr>
              <w:t>结算，现场道路如果没有过路管线，顶管工作由采购单位现场研判实施，费用</w:t>
            </w:r>
            <w:r>
              <w:rPr>
                <w:rFonts w:hint="eastAsia" w:ascii="宋体" w:hAnsi="宋体" w:eastAsia="宋体" w:cs="宋体"/>
                <w:color w:val="auto"/>
                <w:sz w:val="21"/>
                <w:szCs w:val="21"/>
                <w:highlight w:val="none"/>
                <w:lang w:eastAsia="zh-CN"/>
              </w:rPr>
              <w:t>由供应商与采购单位另行商议</w:t>
            </w:r>
            <w:r>
              <w:rPr>
                <w:rFonts w:hint="eastAsia" w:ascii="宋体" w:hAnsi="宋体" w:eastAsia="宋体" w:cs="宋体"/>
                <w:color w:val="auto"/>
                <w:sz w:val="21"/>
                <w:szCs w:val="21"/>
                <w:highlight w:val="none"/>
              </w:rPr>
              <w:t>。</w:t>
            </w:r>
          </w:p>
          <w:p w14:paraId="0AEF3BF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5.照明设施维护：供应商负责照明设施的运行及安全工作,合同期内由照明设施引发的一切安全事故由供应商负责。不得私自安装未经采购单位批准的任何防盗设施，对照明设施的维护必须符合国家相关规范要求。</w:t>
            </w:r>
          </w:p>
          <w:p w14:paraId="1B03DC1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6.被盗和人为破坏的照明设施以及亮化设施的日常维修必须满足</w:t>
            </w:r>
            <w:r>
              <w:rPr>
                <w:rFonts w:hint="eastAsia" w:ascii="宋体" w:hAnsi="宋体" w:eastAsia="宋体" w:cs="宋体"/>
                <w:color w:val="auto"/>
                <w:sz w:val="21"/>
                <w:szCs w:val="21"/>
                <w:highlight w:val="none"/>
                <w:lang w:eastAsia="zh-CN"/>
              </w:rPr>
              <w:t>《防城港市城市照明管理办法》《防城港市市管城市照明设施维修养护服务项目考核办法》的规定要求</w:t>
            </w:r>
            <w:r>
              <w:rPr>
                <w:rFonts w:hint="eastAsia" w:ascii="宋体" w:hAnsi="宋体" w:eastAsia="宋体" w:cs="宋体"/>
                <w:color w:val="auto"/>
                <w:sz w:val="21"/>
                <w:szCs w:val="21"/>
                <w:highlight w:val="none"/>
              </w:rPr>
              <w:t>。</w:t>
            </w:r>
          </w:p>
          <w:p w14:paraId="23299C5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7.在合同期内，供应商因各种原因，造成第三方的损失或经济损失，由供应商独自承担其法律和经济责任，与采购单位无关。</w:t>
            </w:r>
          </w:p>
          <w:p w14:paraId="0D7E247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实施过程中供应商必须根据中标合同中的各项条款，履行各项职责。服务供应商应做好巡查维修计划、维修材料更换记录表、日常维护计划、保养记录的统计汇总，每月25日上报。如发现供应商组织措施不当、计划不落实、管理不严、实施方案中所列人员、机械设备（工具）与现场实际不符，导致维护质量达不到标准的，采购单位有权单方面终止合同。如延迟上报巡查计划、记录资料，按</w:t>
            </w:r>
            <w:r>
              <w:rPr>
                <w:rFonts w:hint="eastAsia" w:ascii="宋体" w:hAnsi="宋体" w:eastAsia="宋体" w:cs="宋体"/>
                <w:color w:val="auto"/>
                <w:sz w:val="21"/>
                <w:szCs w:val="21"/>
                <w:highlight w:val="none"/>
                <w:lang w:eastAsia="zh-CN"/>
              </w:rPr>
              <w:t>《防城港市市管城市照明设施维修养护服务项目考核办法》</w:t>
            </w:r>
            <w:r>
              <w:rPr>
                <w:rFonts w:hint="eastAsia" w:ascii="宋体" w:hAnsi="宋体" w:eastAsia="宋体" w:cs="宋体"/>
                <w:color w:val="auto"/>
                <w:sz w:val="21"/>
                <w:szCs w:val="21"/>
                <w:highlight w:val="none"/>
              </w:rPr>
              <w:t>给予扣分。</w:t>
            </w:r>
          </w:p>
          <w:p w14:paraId="45CBB5B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9.供应商必须积极响应并接受监督检查，若受到投诉、媒体曝光，经调查认定情况属实，且因供应商维护不到位的，根据考评细则进行相应的扣分，视情节轻重予按</w:t>
            </w:r>
            <w:r>
              <w:rPr>
                <w:rFonts w:hint="eastAsia" w:ascii="宋体" w:hAnsi="宋体" w:eastAsia="宋体" w:cs="宋体"/>
                <w:color w:val="auto"/>
                <w:sz w:val="21"/>
                <w:szCs w:val="21"/>
                <w:highlight w:val="none"/>
                <w:lang w:eastAsia="zh-CN"/>
              </w:rPr>
              <w:t>《防城港市市管城市照明设施维修养护服务项目考核办法》</w:t>
            </w:r>
            <w:r>
              <w:rPr>
                <w:rFonts w:hint="eastAsia" w:ascii="宋体" w:hAnsi="宋体" w:eastAsia="宋体" w:cs="宋体"/>
                <w:color w:val="auto"/>
                <w:sz w:val="21"/>
                <w:szCs w:val="21"/>
                <w:highlight w:val="none"/>
              </w:rPr>
              <w:t>给予扣分；造成恶劣影响的，采购单位有权单方面终止合同。</w:t>
            </w:r>
          </w:p>
          <w:p w14:paraId="0878F8A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供应商应设立开、关灯巡灯、节假日或重大活动值班及故障紧急抢修制度，发现问题要上报采购单位并及时记录和检修。每遇节假日或重大活动，供应商应服从采购单位的安排，根据节假日或重大活动的工作要求进行临时开、关灯的调整，并提前进行详细的亮灯情况及设施巡查，保证节假日或重大活动期间正常开、关灯。因各种原因被损坏或被盗的，第一时间处理，原则上在24小时内修复。如没有发现问题或发现问题不及时由第三方发现问题的，按</w:t>
            </w:r>
            <w:r>
              <w:rPr>
                <w:rFonts w:hint="eastAsia" w:ascii="宋体" w:hAnsi="宋体" w:eastAsia="宋体" w:cs="宋体"/>
                <w:color w:val="auto"/>
                <w:sz w:val="21"/>
                <w:szCs w:val="21"/>
                <w:highlight w:val="none"/>
                <w:lang w:eastAsia="zh-CN"/>
              </w:rPr>
              <w:t>《防城港市市管城市照明设施维修养护服务项目考核办法》</w:t>
            </w:r>
            <w:r>
              <w:rPr>
                <w:rFonts w:hint="eastAsia" w:ascii="宋体" w:hAnsi="宋体" w:eastAsia="宋体" w:cs="宋体"/>
                <w:color w:val="auto"/>
                <w:sz w:val="21"/>
                <w:szCs w:val="21"/>
                <w:highlight w:val="none"/>
              </w:rPr>
              <w:t>给予扣分。</w:t>
            </w:r>
          </w:p>
          <w:p w14:paraId="3B729CA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其它用电设施如广告、灯饰及其它非用于城市照明设施的用电未经采购单位同意，不得擅自接驳线路，供应商需对维护范围内的所有线路进行排查，并及时处理。采购单位将随机抽查，一经发现，按偷电处理，并按规定对供应商予以处理，情况严重者，采购单位有权单方面终止合同。若经采购单位同意接驳的线路，供应商必须认真配合。</w:t>
            </w:r>
          </w:p>
          <w:p w14:paraId="3132BB1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12.供应商对数字化城管案件、12345</w:t>
            </w:r>
            <w:r>
              <w:rPr>
                <w:rFonts w:hint="eastAsia" w:ascii="宋体" w:hAnsi="宋体" w:eastAsia="宋体" w:cs="宋体"/>
                <w:color w:val="auto"/>
                <w:sz w:val="21"/>
                <w:szCs w:val="21"/>
                <w:highlight w:val="none"/>
                <w:lang w:eastAsia="zh-CN"/>
              </w:rPr>
              <w:t>政务服务便民热线</w:t>
            </w:r>
            <w:r>
              <w:rPr>
                <w:rFonts w:hint="eastAsia" w:ascii="宋体" w:hAnsi="宋体" w:eastAsia="宋体" w:cs="宋体"/>
                <w:color w:val="auto"/>
                <w:sz w:val="21"/>
                <w:szCs w:val="21"/>
                <w:highlight w:val="none"/>
              </w:rPr>
              <w:t>、市长信箱及其他投诉案件必须按规定如期处理，并对处理现场用相机拍照记录存档，包括事前、事中和事后对比照片。如有延误，按考核办法扣分扣款。</w:t>
            </w:r>
          </w:p>
          <w:p w14:paraId="5F60896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13.供应商应制定有防汛抗台风、暴雨季节等应急预案，并提前进行排查整改。台风、雨季期间加强巡查，做好安全措施，并有应急抢修人员随时做好抢修准备。</w:t>
            </w:r>
          </w:p>
          <w:p w14:paraId="6A44831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14.根据实际需要，在维护期内如需拆除部分亮化设施的，应由供应商负责拆除并入库，产生的费用由供应商负责。</w:t>
            </w:r>
          </w:p>
          <w:p w14:paraId="4DE581E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供应商须对维护范围内的所有设施进行巡查及保护，并制止未经采购单位同意的可能损坏到照明设施的行为，如该行为已发生，供应商需立即修复并自行向当事方索赔；维护期内出现设施被损的一律由供应商进行修复及赔偿，采购单位给予协助。如相应损坏行为造成数字化案件扣分、12345</w:t>
            </w:r>
            <w:r>
              <w:rPr>
                <w:rFonts w:hint="eastAsia" w:ascii="宋体" w:hAnsi="宋体" w:eastAsia="宋体" w:cs="宋体"/>
                <w:color w:val="auto"/>
                <w:sz w:val="21"/>
                <w:szCs w:val="21"/>
                <w:highlight w:val="none"/>
                <w:lang w:eastAsia="zh-CN"/>
              </w:rPr>
              <w:t>政务服务便民热线</w:t>
            </w:r>
            <w:r>
              <w:rPr>
                <w:rFonts w:hint="eastAsia" w:ascii="宋体" w:hAnsi="宋体" w:eastAsia="宋体" w:cs="宋体"/>
                <w:color w:val="auto"/>
                <w:sz w:val="21"/>
                <w:szCs w:val="21"/>
                <w:highlight w:val="none"/>
              </w:rPr>
              <w:t>评价不满意、受到其他投诉</w:t>
            </w:r>
            <w:r>
              <w:rPr>
                <w:rFonts w:hint="eastAsia" w:ascii="宋体" w:hAnsi="宋体" w:eastAsia="宋体" w:cs="宋体"/>
                <w:color w:val="auto"/>
                <w:sz w:val="21"/>
                <w:szCs w:val="21"/>
                <w:highlight w:val="none"/>
                <w:lang w:eastAsia="zh-CN"/>
              </w:rPr>
              <w:t>不满意</w:t>
            </w:r>
            <w:r>
              <w:rPr>
                <w:rFonts w:hint="eastAsia" w:ascii="宋体" w:hAnsi="宋体" w:eastAsia="宋体" w:cs="宋体"/>
                <w:color w:val="auto"/>
                <w:sz w:val="21"/>
                <w:szCs w:val="21"/>
                <w:highlight w:val="none"/>
              </w:rPr>
              <w:t>的，按考评细则给予扣分。维护期间，</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必须做好灯容灯貌的清洁及维护工作。对在本标段区域内灯杆上未经过审批挂置广告牌及各类电线的，供应商必须及时制止并拆除。</w:t>
            </w:r>
          </w:p>
          <w:p w14:paraId="65EE102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在合同期内，供应商对维护范围内的设施运行及安全状况负责。并按采购单位要求，保证每个电箱的防漏电开关安全运行。定期对照明设施进行绝缘接地及漏电检测，每月至少一次对本标段范围内的路灯接地进行安全检查，检查存在的问题及整改情况据实详细记录并做好台账资料，对易涝区域的照明设施防控的统计情况，报采购单位存档备查。如因供应商未履行合同及招标文件的约定条款进行检测，造成安全事故发生，所产生的费用及法律责任均由供应商负责承担，且采购单位有权单方终止合同。</w:t>
            </w:r>
          </w:p>
          <w:p w14:paraId="718D42D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17.如涉及</w:t>
            </w:r>
            <w:r>
              <w:rPr>
                <w:rFonts w:hint="eastAsia" w:ascii="宋体" w:hAnsi="宋体" w:eastAsia="宋体" w:cs="宋体"/>
                <w:color w:val="auto"/>
                <w:sz w:val="21"/>
                <w:szCs w:val="21"/>
                <w:highlight w:val="none"/>
                <w:lang w:eastAsia="zh-CN"/>
              </w:rPr>
              <w:t>防城港市城市照明监控系统与集控器及单灯控制器故障</w:t>
            </w:r>
            <w:r>
              <w:rPr>
                <w:rFonts w:hint="eastAsia" w:ascii="宋体" w:hAnsi="宋体" w:eastAsia="宋体" w:cs="宋体"/>
                <w:color w:val="auto"/>
                <w:sz w:val="21"/>
                <w:szCs w:val="21"/>
                <w:highlight w:val="none"/>
              </w:rPr>
              <w:t>问题未亮灯的，供应商必须积极与采购单位联系并及时处理。</w:t>
            </w:r>
          </w:p>
          <w:p w14:paraId="68873EE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18.对养护内容进行日常维修、巡查、清洗及除草，对设备的运行情况及时记录并做好台账资料备查。</w:t>
            </w:r>
          </w:p>
          <w:p w14:paraId="69440ED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供应商每个月对维护设施、外接用电设施进行漏电检测以及对路灯设施、箱式变电站周围的金属构件进行检测，防止金属构件意外带电，所有的维护设施不得发生漏电事故，否则一切责任及造成的损失由供应商负责。未按时完成的按照量化考核表扣除维护费用。</w:t>
            </w:r>
          </w:p>
          <w:p w14:paraId="07ACC7A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交通事故造成灯杆、灯具、基础等附属部件损坏的，供应商在发现问题后1小时内通知采购单位，供应商具体负责并保证责任认定理赔等事宜的正常开展，供应商负责及时进行修复、更换或迁移。供应商每月需排查灯杆摇晃和基础螺丝松动现象并及时加固校正灯杆；因台风或大风等原因造成灯具、灯臂螺丝、螺母脱落造成的安全隐患，必须用配套的紧固件加固。</w:t>
            </w:r>
          </w:p>
          <w:p w14:paraId="4F12A24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人为或施工损坏。供应商有义务随时巡查辖区，并上报、制止辖区内未经采购单位同意的可能损坏到路灯及设备的行为。出现该种情况造成路灯设施损坏的（先恢复后追赔的原则），供应商必须及时按照采购单位要求恢复，在恢复完成后，供应商编制恢复工程预算书，交采购单位审核，并由供应商向肇事方追讨恢复所需费用，采购单位予以协助。但采购单位不确保该笔费用能够追讨或全额追讨，出现该情况的，由供应商自行承担修复费用。</w:t>
            </w:r>
          </w:p>
          <w:p w14:paraId="56F3907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22.人力不可抗拒的自然灾害，供应商需要制定方案，报送采购单位并及时修复受损设施，修复后按照实际工程量编制结算书，向采购单位申报结算审核，费用另计。</w:t>
            </w:r>
          </w:p>
          <w:p w14:paraId="1800013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23.关于新接收设施的要求</w:t>
            </w:r>
            <w:r>
              <w:rPr>
                <w:rFonts w:hint="eastAsia" w:ascii="宋体" w:hAnsi="宋体" w:eastAsia="宋体" w:cs="宋体"/>
                <w:color w:val="auto"/>
                <w:sz w:val="21"/>
                <w:szCs w:val="21"/>
                <w:highlight w:val="none"/>
                <w:lang w:eastAsia="zh-CN"/>
              </w:rPr>
              <w:t>：</w:t>
            </w:r>
          </w:p>
          <w:p w14:paraId="2CD81A8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（1）已竣工验收合格但未正式移交的照明设施，供应商只负责防盗巡查看护，不负责设施的日常维护维修。</w:t>
            </w:r>
          </w:p>
          <w:p w14:paraId="385F0B6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（2）对经验收合格的道路照明（含</w:t>
            </w:r>
            <w:r>
              <w:rPr>
                <w:rFonts w:hint="eastAsia" w:ascii="宋体" w:hAnsi="宋体" w:eastAsia="宋体" w:cs="宋体"/>
                <w:color w:val="auto"/>
                <w:sz w:val="21"/>
                <w:szCs w:val="21"/>
                <w:highlight w:val="none"/>
                <w:lang w:eastAsia="zh-CN"/>
              </w:rPr>
              <w:t>功能性照明设施、景观</w:t>
            </w:r>
            <w:r>
              <w:rPr>
                <w:rFonts w:hint="eastAsia" w:ascii="宋体" w:hAnsi="宋体" w:eastAsia="宋体" w:cs="宋体"/>
                <w:color w:val="auto"/>
                <w:sz w:val="21"/>
                <w:szCs w:val="21"/>
                <w:highlight w:val="none"/>
              </w:rPr>
              <w:t>亮化</w:t>
            </w:r>
            <w:r>
              <w:rPr>
                <w:rFonts w:hint="eastAsia" w:ascii="宋体" w:hAnsi="宋体" w:eastAsia="宋体" w:cs="宋体"/>
                <w:color w:val="auto"/>
                <w:sz w:val="21"/>
                <w:szCs w:val="21"/>
                <w:highlight w:val="none"/>
                <w:lang w:eastAsia="zh-CN"/>
              </w:rPr>
              <w:t>照明设施</w:t>
            </w:r>
            <w:r>
              <w:rPr>
                <w:rFonts w:hint="eastAsia" w:ascii="宋体" w:hAnsi="宋体" w:eastAsia="宋体" w:cs="宋体"/>
                <w:color w:val="auto"/>
                <w:sz w:val="21"/>
                <w:szCs w:val="21"/>
                <w:highlight w:val="none"/>
              </w:rPr>
              <w:t>），未包含在</w:t>
            </w:r>
            <w:r>
              <w:rPr>
                <w:rFonts w:hint="eastAsia" w:ascii="宋体" w:hAnsi="宋体" w:eastAsia="宋体" w:cs="宋体"/>
                <w:color w:val="auto"/>
                <w:sz w:val="21"/>
                <w:szCs w:val="21"/>
                <w:highlight w:val="none"/>
                <w:lang w:eastAsia="zh-CN"/>
              </w:rPr>
              <w:t>合同签订内市级城市管理区域</w:t>
            </w:r>
            <w:r>
              <w:rPr>
                <w:rFonts w:hint="eastAsia" w:ascii="宋体" w:hAnsi="宋体" w:eastAsia="宋体" w:cs="宋体"/>
                <w:color w:val="auto"/>
                <w:sz w:val="21"/>
                <w:szCs w:val="21"/>
                <w:highlight w:val="none"/>
              </w:rPr>
              <w:t>的，路灯灯具300套、景观照明灯具1000套以内的，供应商必须无条件在规定的时间内纳入看护及维修，不再增加费用；</w:t>
            </w:r>
            <w:r>
              <w:rPr>
                <w:rFonts w:hint="eastAsia" w:ascii="宋体" w:hAnsi="宋体" w:eastAsia="宋体" w:cs="宋体"/>
                <w:color w:val="auto"/>
                <w:sz w:val="21"/>
                <w:szCs w:val="21"/>
                <w:highlight w:val="none"/>
                <w:lang w:eastAsia="zh-CN"/>
              </w:rPr>
              <w:t>超过以上数量的</w:t>
            </w:r>
            <w:r>
              <w:rPr>
                <w:rFonts w:hint="eastAsia" w:ascii="宋体" w:hAnsi="宋体" w:eastAsia="宋体" w:cs="宋体"/>
                <w:color w:val="auto"/>
                <w:sz w:val="21"/>
                <w:szCs w:val="21"/>
                <w:highlight w:val="none"/>
              </w:rPr>
              <w:t>采购单位新接收的纳入</w:t>
            </w:r>
            <w:r>
              <w:rPr>
                <w:rFonts w:hint="eastAsia" w:ascii="宋体" w:hAnsi="宋体" w:eastAsia="宋体" w:cs="宋体"/>
                <w:color w:val="auto"/>
                <w:sz w:val="21"/>
                <w:szCs w:val="21"/>
                <w:highlight w:val="none"/>
                <w:lang w:val="en-US" w:eastAsia="zh-CN"/>
              </w:rPr>
              <w:t>市级城市管理区域</w:t>
            </w:r>
            <w:r>
              <w:rPr>
                <w:rFonts w:hint="eastAsia" w:ascii="宋体" w:hAnsi="宋体" w:eastAsia="宋体" w:cs="宋体"/>
                <w:color w:val="auto"/>
                <w:sz w:val="21"/>
                <w:szCs w:val="21"/>
                <w:highlight w:val="none"/>
              </w:rPr>
              <w:t>的城市照明及附属配套设施可根据需求委托供应商维修。</w:t>
            </w:r>
          </w:p>
          <w:p w14:paraId="724BC47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本次招标中设施量书面统计与现场不符时，以现场为准。中标后如在该路段有黑灯、被盗、被损的属采购单位产权的照明设施，但在招标文件中未体现出来，均由供应商负责修复或赔偿。还属于第三方质保内的节点，经核实有未改造的旧设施，或存在争议，经核实属采购单位产权的照明设施，即使在招标文件中未体现出来，也应由供应商负责维护。</w:t>
            </w:r>
          </w:p>
          <w:p w14:paraId="16A4263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25.本标段内路灯灯具如属防城港市城市照明提升服务项目的，维修不在本标段范围内。</w:t>
            </w:r>
          </w:p>
          <w:p w14:paraId="6460DD9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供应商在维护期内需要对采购单位的照明设施、灯具数量、型号、规格及电缆走向、长度等进行普查，中标后三个月内将标段范围内的照明设施量报采购单位备案。对在维护期内照明设施的变化情况要进行更新，在维护期满前一个月，将照明设施分布图、设施量统计表提交采购单位，作为与下一合同年度供应商交接的依据。</w:t>
            </w:r>
          </w:p>
          <w:p w14:paraId="5D0C32B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27.维护材料</w:t>
            </w:r>
          </w:p>
          <w:p w14:paraId="58A9178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（1）供应商在更换灯具、光源、电器等材料时，品牌、外形、规格应与原材料一致，如市场上已无原同品牌产品替换的，需采用合格产品进行替换（提供合格证、检测报告），并报采购单位签证备案。</w:t>
            </w:r>
          </w:p>
          <w:p w14:paraId="1392C03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各标段路灯、亮化维护涉及所有维护所用材料均由供应商采购，供应商要有相应的仓库存放灯杆、灯具、灯泡、电源、电缆等各类照明设施的维护材料及配件。采购单位采取不定期抽查方式对维护材料的库存及更换情况进行检查核对。采购单位对维护使用的零星材料提出质疑时，有权要求供应商提供未在招标文件中列出的零星材料的合格证或检测报告。</w:t>
            </w:r>
          </w:p>
          <w:p w14:paraId="42CA5A4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（3）采购单位将在每期验收考核支付时，同时对供应商库存的照明设施维修材料进行检查验收工作。</w:t>
            </w:r>
          </w:p>
          <w:p w14:paraId="5992574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（4）供应商须对维修中更换的照明设施做好记录、照片等台账资料，并报采购单位备案，每季度验收时，采购单位根据供应商的维修台账资料进行现场抽查。</w:t>
            </w:r>
          </w:p>
          <w:p w14:paraId="3AF2762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28.高杆灯维护的内容，每六个月检查一次（如遇台风预报，需要提前全部检查一次），每支高杆灯需要建立一个维护档案。未按时完成的按照量化考核表扣除维护费用。</w:t>
            </w:r>
          </w:p>
          <w:p w14:paraId="13F6FDD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（1）检查高杆照明设施的所有金属构件（包括灯杆内壁）的热镀锌防腐情况、紧固件的防松措施是否符合要求（防腐质量应符合GB/T9790、GBJ36011和GB/T11373的有关规定）。</w:t>
            </w:r>
          </w:p>
          <w:p w14:paraId="4313760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（2）确保正常亮灯的同时高杆灯的每组部件能够正常运行，保证升降传动系统完好并随时能正常运行。</w:t>
            </w:r>
          </w:p>
          <w:p w14:paraId="217F2FA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气安全性能检查：检查电源进线与地之间绝缘电阻情况（不得小于10M欧），保护接地和避雷装置检查①金属灯杆及电气设备金属外壳应有良好的保护接地,用接地电阻仪测试接地电阻不应大于10欧；②检查避雷针固定情况；③用水平尺测量基础面板的平面,结合灯杆垂直度的检查结果,分析基础的不均匀沉降情况,并做出相应处理。</w:t>
            </w:r>
          </w:p>
          <w:p w14:paraId="65D34E4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外接用电检查：供应商每月需对维护范围内的外接用电情况进行检查（其中，每年4-10月汛期应每半个月检查一次），包括电表核对、用电度数读抄、用电安全性检查。其它用电设施如广告、灯饰及其它非用于城市照明设施的用电未经采购单位同意，不得擅自接驳线路，供应商需对维护范围内的所有线路进行排查，并及时处理。采购单位将随机抽查，一经发现，按偷电处理，并按规定对供应商予以处理，情况严重者，采购单位有权单方面终止合同。若经采购单位同意接驳的线路，供应商必须认真配合。</w:t>
            </w:r>
          </w:p>
          <w:p w14:paraId="6E358B6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30.供应商负责本标段内所有照明设施安全检查及整改，对出现或存在安全隐患的设施与行为，要求在采购单位规定的响应时限内立即处置，并及时反馈给</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单位照明设施及附属供配电设施的安全检查情况及处理结果。若发生意外事故，供应商应配合采购单位进行照明设施公众责任保险的报案、查勘及处置等相关工作。</w:t>
            </w:r>
          </w:p>
          <w:p w14:paraId="4C19DC9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31.供应商提供服务的质量保证，对达不到约定技术指标要求的，根据实际情况，经双方协商，可按以下办法处理：</w:t>
            </w:r>
          </w:p>
          <w:p w14:paraId="780501E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（1）责成整改：由供应商承担所发生的全部费用；</w:t>
            </w:r>
          </w:p>
          <w:p w14:paraId="461B90C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（2）在合同有效期内，供应商应对服务出现的质量及安全问题负责处理解决并承担一切责任和费用。</w:t>
            </w:r>
          </w:p>
          <w:p w14:paraId="5ED3EC2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（3）供应商在服务期限内不能将相关业务、合同款收款、开票信息等以任何方式方法转给其他第三方（含下属分公司）。若发现供应商存在任何分包、转包或挂靠行为，或关键人员非</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自有员工，或现场实际作业人员与报备名单严重不符且无法合理解释，</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有权立即单方面终止合同，并视其为承包方方根本性违约。</w:t>
            </w:r>
          </w:p>
          <w:p w14:paraId="119283A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32.供应商必须提供安全事故承诺书，提供有关照明设施防盗损和维护的实施方案。</w:t>
            </w:r>
          </w:p>
          <w:p w14:paraId="134B41B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33.汛期期间、遇暴风雨等极端天气，供应商需加强巡查，对因暴雨形成内涝路段可能导致漏电及时处置，并报采购单位。</w:t>
            </w:r>
          </w:p>
          <w:p w14:paraId="2CF71F0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发生应急抢修、临时照明增设、市民投诉或其他原因需对照明设施完善等服务范围之外的（注：不包括列入改造计划，已安排经费的项目），额外增加的内容，经双方现场调查出具方案，如只是临时增设或采用架空等方式，后期材料还回收的，由供应商提供相关材料并负责施工；如属于永久保留设施的，涉及需要增加照明设施的，所需主材（灯杆、灯具、电缆）由采购单位提供，供应商需无条件配合，具体工作由供应商实施，产生的配件材料费、机械费由采购单位承担，人工费由供应商负责。</w:t>
            </w:r>
          </w:p>
          <w:p w14:paraId="509FACB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根据实际需要，供应商需在本合同签订后及时一次或分季度集中采购维修材料，确保维修材料满足日常维护需求，材料需办理统一进行验收，验收合格后方能进场使用，日常维护过程中，每处维修点的材料使用情况及维修过程报采购单位备案，并随时接受采购单位的检查验收。对隐瞒不报、没有按验收通过的材料进行维修的，</w:t>
            </w:r>
            <w:r>
              <w:rPr>
                <w:rFonts w:hint="eastAsia" w:ascii="宋体" w:hAnsi="宋体" w:eastAsia="宋体" w:cs="宋体"/>
                <w:color w:val="auto"/>
                <w:sz w:val="21"/>
                <w:szCs w:val="21"/>
                <w:highlight w:val="none"/>
                <w:lang w:eastAsia="zh-CN"/>
              </w:rPr>
              <w:t>采购单位有权</w:t>
            </w:r>
            <w:r>
              <w:rPr>
                <w:rFonts w:hint="eastAsia" w:ascii="宋体" w:hAnsi="宋体" w:eastAsia="宋体" w:cs="宋体"/>
                <w:color w:val="auto"/>
                <w:sz w:val="21"/>
                <w:szCs w:val="21"/>
                <w:highlight w:val="none"/>
              </w:rPr>
              <w:t>解除合同，发生的一切损失由供应商承担。</w:t>
            </w:r>
          </w:p>
          <w:p w14:paraId="70588B9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36.供应商负责每季度对路灯箱变电力设备、设施进行一次维护、检查、测试、保养，检查时若发现故障隐患和管理漏洞，供应商应及时给采购单位出具书面报告及处理意见，待采购单位确认后立即采取措施修复。</w:t>
            </w:r>
          </w:p>
          <w:p w14:paraId="07A2A9F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37.合同期内，供应商负责组织路灯箱变的故障维修工作，包括设备维修、更换以及供电部门供电报装手续等。</w:t>
            </w:r>
          </w:p>
          <w:p w14:paraId="3854C13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合同期内，供应商负责公园广场音乐喷泉的维护与管理，严格遵守采购单位在节假日期间对开放喷泉的工作安排，安排专人值守开放喷泉，维持开放喷泉时的现场秩序，同时承担相应安全责任。供应商负责喷泉相关设施、设备的日常管理维修（彩灯、电气线路、电气配件、喷泉喷嘴、水泵、音响设备等）相关费用涵盖</w:t>
            </w:r>
            <w:r>
              <w:rPr>
                <w:rFonts w:hint="eastAsia" w:ascii="宋体" w:hAnsi="宋体" w:eastAsia="宋体" w:cs="宋体"/>
                <w:color w:val="auto"/>
                <w:sz w:val="21"/>
                <w:szCs w:val="21"/>
                <w:highlight w:val="none"/>
                <w:lang w:eastAsia="zh-CN"/>
              </w:rPr>
              <w:t>此采购服务</w:t>
            </w:r>
            <w:r>
              <w:rPr>
                <w:rFonts w:hint="eastAsia" w:ascii="宋体" w:hAnsi="宋体" w:eastAsia="宋体" w:cs="宋体"/>
                <w:color w:val="auto"/>
                <w:sz w:val="21"/>
                <w:szCs w:val="21"/>
                <w:highlight w:val="none"/>
              </w:rPr>
              <w:t>照明设施管养费用中，由供应商自行负责，不</w:t>
            </w:r>
            <w:r>
              <w:rPr>
                <w:rFonts w:hint="eastAsia" w:ascii="宋体" w:hAnsi="宋体" w:eastAsia="宋体" w:cs="宋体"/>
                <w:color w:val="auto"/>
                <w:sz w:val="21"/>
                <w:szCs w:val="21"/>
                <w:highlight w:val="none"/>
                <w:lang w:eastAsia="zh-CN"/>
              </w:rPr>
              <w:t>另行结算</w:t>
            </w:r>
            <w:r>
              <w:rPr>
                <w:rFonts w:hint="eastAsia" w:ascii="宋体" w:hAnsi="宋体" w:eastAsia="宋体" w:cs="宋体"/>
                <w:color w:val="auto"/>
                <w:sz w:val="21"/>
                <w:szCs w:val="21"/>
                <w:highlight w:val="none"/>
              </w:rPr>
              <w:t>。喷泉需要进行大型维修的（电气控制系统、给排水设施等）由采购单位另行筹措经费解决。</w:t>
            </w:r>
          </w:p>
          <w:p w14:paraId="6E8F9B5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39.供应商需在第一合同年内委托专业机构对玉罗岭立交4座灯塔建筑结构安全进行检测，并出具相关检测报告。</w:t>
            </w:r>
          </w:p>
          <w:p w14:paraId="19D1E83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40.供应商需承担采购单位安装的路灯道旗广告的维护、修复工作。</w:t>
            </w:r>
          </w:p>
          <w:p w14:paraId="3A748F9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41.供应商需全面检查管护范围内所有灯杆的检修孔盖板情况，如有缺失需按原规格补齐。</w:t>
            </w:r>
          </w:p>
          <w:p w14:paraId="0E80500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42.除以上工作外采购单位安排的其他维护工作供应商必须按时完成</w:t>
            </w:r>
            <w:r>
              <w:rPr>
                <w:rFonts w:hint="eastAsia" w:ascii="宋体" w:hAnsi="宋体" w:eastAsia="宋体" w:cs="宋体"/>
                <w:color w:val="auto"/>
                <w:sz w:val="21"/>
                <w:szCs w:val="21"/>
                <w:highlight w:val="none"/>
                <w:lang w:eastAsia="zh-CN"/>
              </w:rPr>
              <w:t>。</w:t>
            </w:r>
          </w:p>
        </w:tc>
      </w:tr>
      <w:tr w14:paraId="18AAE4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71" w:type="dxa"/>
            <w:gridSpan w:val="6"/>
            <w:tcBorders>
              <w:top w:val="single" w:color="auto" w:sz="4" w:space="0"/>
              <w:left w:val="single" w:color="auto" w:sz="4" w:space="0"/>
              <w:bottom w:val="single" w:color="auto" w:sz="4" w:space="0"/>
              <w:right w:val="single" w:color="auto" w:sz="4" w:space="0"/>
            </w:tcBorders>
          </w:tcPr>
          <w:p w14:paraId="573427B5">
            <w:pPr>
              <w:pageBreakBefore w:val="0"/>
              <w:kinsoku/>
              <w:wordWrap/>
              <w:overflowPunct/>
              <w:topLinePunct w:val="0"/>
              <w:bidi w:val="0"/>
              <w:snapToGrid w:val="0"/>
              <w:spacing w:beforeAutospacing="0" w:afterAutospacing="0"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▲二、商务要求</w:t>
            </w:r>
          </w:p>
        </w:tc>
      </w:tr>
      <w:tr w14:paraId="5DC2A8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98" w:type="dxa"/>
            <w:gridSpan w:val="3"/>
            <w:tcBorders>
              <w:top w:val="single" w:color="auto" w:sz="4" w:space="0"/>
              <w:left w:val="single" w:color="auto" w:sz="4" w:space="0"/>
              <w:bottom w:val="single" w:color="auto" w:sz="4" w:space="0"/>
              <w:right w:val="single" w:color="auto" w:sz="4" w:space="0"/>
            </w:tcBorders>
            <w:vAlign w:val="center"/>
          </w:tcPr>
          <w:p w14:paraId="46417EF3">
            <w:pPr>
              <w:pageBreakBefore w:val="0"/>
              <w:kinsoku/>
              <w:wordWrap/>
              <w:overflowPunct/>
              <w:topLinePunct w:val="0"/>
              <w:bidi w:val="0"/>
              <w:snapToGrid w:val="0"/>
              <w:spacing w:beforeAutospacing="0" w:afterAutospacing="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7973" w:type="dxa"/>
            <w:gridSpan w:val="3"/>
            <w:tcBorders>
              <w:top w:val="single" w:color="auto" w:sz="4" w:space="0"/>
              <w:left w:val="single" w:color="auto" w:sz="4" w:space="0"/>
              <w:bottom w:val="single" w:color="auto" w:sz="4" w:space="0"/>
              <w:right w:val="single" w:color="auto" w:sz="4" w:space="0"/>
            </w:tcBorders>
          </w:tcPr>
          <w:p w14:paraId="4F61B9E1">
            <w:pPr>
              <w:pageBreakBefore w:val="0"/>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1.报价须含（但不限于）以下部分：</w:t>
            </w:r>
          </w:p>
          <w:p w14:paraId="393ADE5E">
            <w:pPr>
              <w:pageBreakBefore w:val="0"/>
              <w:kinsoku/>
              <w:wordWrap/>
              <w:overflowPunct/>
              <w:topLinePunct w:val="0"/>
              <w:bidi w:val="0"/>
              <w:snapToGrid w:val="0"/>
              <w:spacing w:beforeAutospacing="0" w:afterAutospacing="0"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（1）服务的价格；</w:t>
            </w:r>
          </w:p>
          <w:p w14:paraId="6C42A97E">
            <w:pPr>
              <w:pageBreakBefore w:val="0"/>
              <w:kinsoku/>
              <w:wordWrap/>
              <w:overflowPunct/>
              <w:topLinePunct w:val="0"/>
              <w:bidi w:val="0"/>
              <w:snapToGrid w:val="0"/>
              <w:spacing w:beforeAutospacing="0" w:afterAutospacing="0"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（2）必要的保险费用和各项税金；</w:t>
            </w:r>
          </w:p>
          <w:p w14:paraId="518133D5">
            <w:pPr>
              <w:pageBreakBefore w:val="0"/>
              <w:kinsoku/>
              <w:wordWrap/>
              <w:overflowPunct/>
              <w:topLinePunct w:val="0"/>
              <w:bidi w:val="0"/>
              <w:snapToGrid w:val="0"/>
              <w:spacing w:beforeAutospacing="0" w:afterAutospacing="0"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（3）人员服务费、服务实施费、项目管理费、交通、通讯、办公场地、物资及相关材料及设备等；</w:t>
            </w:r>
          </w:p>
          <w:p w14:paraId="22FF436F">
            <w:pPr>
              <w:pageBreakBefore w:val="0"/>
              <w:kinsoku/>
              <w:wordWrap/>
              <w:overflowPunct/>
              <w:topLinePunct w:val="0"/>
              <w:bidi w:val="0"/>
              <w:snapToGrid w:val="0"/>
              <w:spacing w:beforeAutospacing="0" w:afterAutospacing="0"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（4）其他费用[如技术支持、售后服务等及实施过程中的应预见和不可预见的]。</w:t>
            </w:r>
          </w:p>
          <w:p w14:paraId="5EE60507">
            <w:pPr>
              <w:pageBreakBefore w:val="0"/>
              <w:kinsoku/>
              <w:wordWrap/>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2.本项目实行费用包干制，投标报价包含完成上述服务内容所需的一切费用。投标人实施项目工作期间如出现人员人身、财产安全事故、损失等由投标人全部负责，采购人不负任何责任。</w:t>
            </w:r>
          </w:p>
        </w:tc>
      </w:tr>
      <w:tr w14:paraId="78E710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98" w:type="dxa"/>
            <w:gridSpan w:val="3"/>
            <w:tcBorders>
              <w:top w:val="single" w:color="auto" w:sz="4" w:space="0"/>
              <w:left w:val="single" w:color="auto" w:sz="4" w:space="0"/>
              <w:bottom w:val="single" w:color="auto" w:sz="4" w:space="0"/>
              <w:right w:val="single" w:color="auto" w:sz="4" w:space="0"/>
            </w:tcBorders>
            <w:vAlign w:val="center"/>
          </w:tcPr>
          <w:p w14:paraId="0DB5019C">
            <w:pPr>
              <w:pageBreakBefore w:val="0"/>
              <w:kinsoku/>
              <w:wordWrap/>
              <w:overflowPunct/>
              <w:topLinePunct w:val="0"/>
              <w:bidi w:val="0"/>
              <w:spacing w:beforeAutospacing="0" w:afterAutospacing="0"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交付地点</w:t>
            </w:r>
          </w:p>
        </w:tc>
        <w:tc>
          <w:tcPr>
            <w:tcW w:w="7973" w:type="dxa"/>
            <w:gridSpan w:val="3"/>
            <w:tcBorders>
              <w:top w:val="single" w:color="auto" w:sz="4" w:space="0"/>
              <w:left w:val="single" w:color="auto" w:sz="4" w:space="0"/>
              <w:bottom w:val="single" w:color="auto" w:sz="4" w:space="0"/>
              <w:right w:val="single" w:color="auto" w:sz="4" w:space="0"/>
            </w:tcBorders>
            <w:vAlign w:val="center"/>
          </w:tcPr>
          <w:p w14:paraId="36E03AF4">
            <w:pPr>
              <w:pageBreakBefore w:val="0"/>
              <w:kinsoku/>
              <w:wordWrap/>
              <w:overflowPunct/>
              <w:topLinePunct w:val="0"/>
              <w:bidi w:val="0"/>
              <w:spacing w:beforeAutospacing="0" w:afterAutospacing="0"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防城港市内采购人指定地点。</w:t>
            </w:r>
          </w:p>
        </w:tc>
      </w:tr>
      <w:tr w14:paraId="765AFB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98" w:type="dxa"/>
            <w:gridSpan w:val="3"/>
            <w:tcBorders>
              <w:top w:val="single" w:color="auto" w:sz="4" w:space="0"/>
              <w:left w:val="single" w:color="auto" w:sz="4" w:space="0"/>
              <w:bottom w:val="single" w:color="auto" w:sz="4" w:space="0"/>
              <w:right w:val="single" w:color="auto" w:sz="4" w:space="0"/>
            </w:tcBorders>
            <w:vAlign w:val="center"/>
          </w:tcPr>
          <w:p w14:paraId="176E9ABE">
            <w:pPr>
              <w:pageBreakBefore w:val="0"/>
              <w:kinsoku/>
              <w:wordWrap/>
              <w:overflowPunct/>
              <w:topLinePunct w:val="0"/>
              <w:bidi w:val="0"/>
              <w:spacing w:beforeAutospacing="0" w:afterAutospacing="0" w:line="360" w:lineRule="auto"/>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合同签订时间</w:t>
            </w:r>
          </w:p>
        </w:tc>
        <w:tc>
          <w:tcPr>
            <w:tcW w:w="7973" w:type="dxa"/>
            <w:gridSpan w:val="3"/>
            <w:tcBorders>
              <w:top w:val="single" w:color="auto" w:sz="4" w:space="0"/>
              <w:left w:val="single" w:color="auto" w:sz="4" w:space="0"/>
              <w:bottom w:val="single" w:color="auto" w:sz="4" w:space="0"/>
              <w:right w:val="single" w:color="auto" w:sz="4" w:space="0"/>
            </w:tcBorders>
            <w:vAlign w:val="center"/>
          </w:tcPr>
          <w:p w14:paraId="1E1C0F43">
            <w:pPr>
              <w:pageBreakBefore w:val="0"/>
              <w:kinsoku/>
              <w:wordWrap/>
              <w:overflowPunct/>
              <w:topLinePunct w:val="0"/>
              <w:bidi w:val="0"/>
              <w:spacing w:beforeAutospacing="0" w:afterAutospacing="0"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自中标通知书发出之日起25日内。</w:t>
            </w:r>
          </w:p>
        </w:tc>
      </w:tr>
      <w:tr w14:paraId="62F148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98" w:type="dxa"/>
            <w:gridSpan w:val="3"/>
            <w:tcBorders>
              <w:top w:val="single" w:color="auto" w:sz="4" w:space="0"/>
              <w:left w:val="single" w:color="auto" w:sz="4" w:space="0"/>
              <w:bottom w:val="single" w:color="auto" w:sz="4" w:space="0"/>
              <w:right w:val="single" w:color="auto" w:sz="4" w:space="0"/>
            </w:tcBorders>
            <w:vAlign w:val="center"/>
          </w:tcPr>
          <w:p w14:paraId="040B987A">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付款条件</w:t>
            </w:r>
          </w:p>
        </w:tc>
        <w:tc>
          <w:tcPr>
            <w:tcW w:w="7973" w:type="dxa"/>
            <w:gridSpan w:val="3"/>
            <w:tcBorders>
              <w:top w:val="single" w:color="auto" w:sz="4" w:space="0"/>
              <w:left w:val="single" w:color="auto" w:sz="4" w:space="0"/>
              <w:bottom w:val="single" w:color="auto" w:sz="4" w:space="0"/>
              <w:right w:val="single" w:color="auto" w:sz="4" w:space="0"/>
            </w:tcBorders>
            <w:vAlign w:val="center"/>
          </w:tcPr>
          <w:p w14:paraId="4F890FDF">
            <w:pPr>
              <w:pageBreakBefore w:val="0"/>
              <w:kinsoku/>
              <w:wordWrap/>
              <w:overflowPunct/>
              <w:topLinePunct w:val="0"/>
              <w:bidi w:val="0"/>
              <w:spacing w:beforeAutospacing="0" w:afterAutospacing="0"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由</w:t>
            </w:r>
            <w:r>
              <w:rPr>
                <w:rFonts w:hint="eastAsia" w:ascii="宋体" w:hAnsi="宋体" w:eastAsia="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rPr>
              <w:t>根据考核结果支付养护经费，在开具服务类发票后，按财政拨款进度支付。养护经费</w:t>
            </w:r>
            <w:r>
              <w:rPr>
                <w:rFonts w:hint="eastAsia" w:ascii="宋体" w:hAnsi="宋体" w:eastAsia="宋体" w:cs="宋体"/>
                <w:b w:val="0"/>
                <w:bCs/>
                <w:color w:val="auto"/>
                <w:sz w:val="21"/>
                <w:szCs w:val="21"/>
                <w:highlight w:val="none"/>
                <w:lang w:val="en-US" w:eastAsia="zh-CN"/>
              </w:rPr>
              <w:t>分为两部分，</w:t>
            </w:r>
            <w:r>
              <w:rPr>
                <w:rFonts w:hint="eastAsia" w:ascii="宋体" w:hAnsi="宋体" w:eastAsia="宋体" w:cs="宋体"/>
                <w:b w:val="0"/>
                <w:bCs/>
                <w:color w:val="auto"/>
                <w:sz w:val="21"/>
                <w:szCs w:val="21"/>
                <w:highlight w:val="none"/>
                <w:lang w:eastAsia="zh-CN"/>
              </w:rPr>
              <w:t>采购人以连续</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eastAsia="zh-CN"/>
              </w:rPr>
              <w:t>个月为</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个基础考核周期向市财政局申请基础养护经费，以</w:t>
            </w:r>
            <w:r>
              <w:rPr>
                <w:rFonts w:hint="eastAsia" w:ascii="宋体" w:hAnsi="宋体" w:eastAsia="宋体" w:cs="宋体"/>
                <w:b w:val="0"/>
                <w:bCs/>
                <w:color w:val="auto"/>
                <w:sz w:val="21"/>
                <w:szCs w:val="21"/>
                <w:highlight w:val="none"/>
                <w:lang w:val="en-US" w:eastAsia="zh-CN"/>
              </w:rPr>
              <w:t>连续12个月</w:t>
            </w:r>
            <w:r>
              <w:rPr>
                <w:rFonts w:hint="eastAsia" w:ascii="宋体" w:hAnsi="宋体" w:eastAsia="宋体" w:cs="宋体"/>
                <w:b w:val="0"/>
                <w:bCs/>
                <w:color w:val="auto"/>
                <w:sz w:val="21"/>
                <w:szCs w:val="21"/>
                <w:highlight w:val="none"/>
                <w:lang w:eastAsia="zh-CN"/>
              </w:rPr>
              <w:t>为</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个绩效考核周期向市财政局申请</w:t>
            </w:r>
            <w:r>
              <w:rPr>
                <w:rFonts w:hint="eastAsia" w:ascii="宋体" w:hAnsi="宋体" w:eastAsia="宋体" w:cs="宋体"/>
                <w:b w:val="0"/>
                <w:bCs/>
                <w:color w:val="auto"/>
                <w:sz w:val="21"/>
                <w:szCs w:val="21"/>
                <w:highlight w:val="none"/>
                <w:lang w:val="en-US" w:eastAsia="zh-CN"/>
              </w:rPr>
              <w:t>绩效养护经费</w:t>
            </w:r>
            <w:r>
              <w:rPr>
                <w:rFonts w:hint="eastAsia" w:ascii="宋体" w:hAnsi="宋体" w:eastAsia="宋体" w:cs="宋体"/>
                <w:b w:val="0"/>
                <w:bCs/>
                <w:color w:val="auto"/>
                <w:sz w:val="21"/>
                <w:szCs w:val="21"/>
                <w:highlight w:val="none"/>
              </w:rPr>
              <w:t>（如后期市财政局要求进行调整，中标</w:t>
            </w:r>
            <w:r>
              <w:rPr>
                <w:rFonts w:hint="eastAsia" w:ascii="宋体" w:hAnsi="宋体" w:eastAsia="宋体" w:cs="宋体"/>
                <w:b w:val="0"/>
                <w:bCs/>
                <w:color w:val="auto"/>
                <w:sz w:val="21"/>
                <w:szCs w:val="21"/>
                <w:highlight w:val="none"/>
                <w:lang w:val="en-US" w:eastAsia="zh-CN"/>
              </w:rPr>
              <w:t>人</w:t>
            </w:r>
            <w:r>
              <w:rPr>
                <w:rFonts w:hint="eastAsia" w:ascii="宋体" w:hAnsi="宋体" w:eastAsia="宋体" w:cs="宋体"/>
                <w:b w:val="0"/>
                <w:bCs/>
                <w:color w:val="auto"/>
                <w:sz w:val="21"/>
                <w:szCs w:val="21"/>
                <w:highlight w:val="none"/>
              </w:rPr>
              <w:t>需</w:t>
            </w:r>
            <w:r>
              <w:rPr>
                <w:rFonts w:hint="eastAsia" w:ascii="宋体" w:hAnsi="宋体" w:eastAsia="宋体" w:cs="宋体"/>
                <w:b w:val="0"/>
                <w:bCs/>
                <w:color w:val="auto"/>
                <w:sz w:val="21"/>
                <w:szCs w:val="21"/>
                <w:highlight w:val="none"/>
                <w:lang w:eastAsia="zh-CN"/>
              </w:rPr>
              <w:t>无条件</w:t>
            </w:r>
            <w:r>
              <w:rPr>
                <w:rFonts w:hint="eastAsia" w:ascii="宋体" w:hAnsi="宋体" w:eastAsia="宋体" w:cs="宋体"/>
                <w:b w:val="0"/>
                <w:bCs/>
                <w:color w:val="auto"/>
                <w:sz w:val="21"/>
                <w:szCs w:val="21"/>
                <w:highlight w:val="none"/>
              </w:rPr>
              <w:t>服从安排）。</w:t>
            </w:r>
          </w:p>
          <w:p w14:paraId="5978C6F6">
            <w:pPr>
              <w:pageBreakBefore w:val="0"/>
              <w:kinsoku/>
              <w:wordWrap/>
              <w:overflowPunct/>
              <w:topLinePunct w:val="0"/>
              <w:bidi w:val="0"/>
              <w:spacing w:beforeAutospacing="0" w:afterAutospacing="0"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2.基础养护经费根据日常考核+月度考核的结果，每3个月支付一次。</w:t>
            </w:r>
            <w:r>
              <w:rPr>
                <w:rFonts w:hint="eastAsia" w:ascii="宋体" w:hAnsi="宋体" w:eastAsia="宋体" w:cs="宋体"/>
                <w:b w:val="0"/>
                <w:bCs/>
                <w:color w:val="auto"/>
                <w:sz w:val="21"/>
                <w:szCs w:val="21"/>
                <w:highlight w:val="none"/>
              </w:rPr>
              <w:t>考核结果</w:t>
            </w:r>
            <w:r>
              <w:rPr>
                <w:rFonts w:hint="eastAsia" w:ascii="宋体" w:hAnsi="宋体" w:eastAsia="宋体" w:cs="宋体"/>
                <w:b w:val="0"/>
                <w:bCs/>
                <w:color w:val="auto"/>
                <w:sz w:val="21"/>
                <w:szCs w:val="21"/>
                <w:highlight w:val="none"/>
                <w:lang w:eastAsia="zh-CN"/>
              </w:rPr>
              <w:t>分为</w:t>
            </w:r>
            <w:r>
              <w:rPr>
                <w:rFonts w:hint="eastAsia" w:ascii="宋体" w:hAnsi="宋体" w:eastAsia="宋体" w:cs="宋体"/>
                <w:b w:val="0"/>
                <w:bCs/>
                <w:color w:val="auto"/>
                <w:sz w:val="21"/>
                <w:szCs w:val="21"/>
                <w:highlight w:val="none"/>
              </w:rPr>
              <w:t>合格和不合格两个等级（考核满分为100</w:t>
            </w:r>
            <w:r>
              <w:rPr>
                <w:rFonts w:hint="eastAsia" w:ascii="宋体" w:hAnsi="宋体" w:eastAsia="宋体" w:cs="宋体"/>
                <w:b w:val="0"/>
                <w:bCs/>
                <w:color w:val="auto"/>
                <w:sz w:val="21"/>
                <w:szCs w:val="21"/>
                <w:highlight w:val="none"/>
                <w:lang w:val="en-US" w:eastAsia="zh-CN"/>
              </w:rPr>
              <w:t>0</w:t>
            </w:r>
            <w:r>
              <w:rPr>
                <w:rFonts w:hint="eastAsia" w:ascii="宋体" w:hAnsi="宋体" w:eastAsia="宋体" w:cs="宋体"/>
                <w:b w:val="0"/>
                <w:bCs/>
                <w:color w:val="auto"/>
                <w:sz w:val="21"/>
                <w:szCs w:val="21"/>
                <w:highlight w:val="none"/>
              </w:rPr>
              <w:t>分，考核得分≥90</w:t>
            </w:r>
            <w:r>
              <w:rPr>
                <w:rFonts w:hint="eastAsia" w:ascii="宋体" w:hAnsi="宋体" w:eastAsia="宋体" w:cs="宋体"/>
                <w:b w:val="0"/>
                <w:bCs/>
                <w:color w:val="auto"/>
                <w:sz w:val="21"/>
                <w:szCs w:val="21"/>
                <w:highlight w:val="none"/>
                <w:lang w:val="en-US" w:eastAsia="zh-CN"/>
              </w:rPr>
              <w:t>0</w:t>
            </w:r>
            <w:r>
              <w:rPr>
                <w:rFonts w:hint="eastAsia" w:ascii="宋体" w:hAnsi="宋体" w:eastAsia="宋体" w:cs="宋体"/>
                <w:b w:val="0"/>
                <w:bCs/>
                <w:color w:val="auto"/>
                <w:sz w:val="21"/>
                <w:szCs w:val="21"/>
                <w:highlight w:val="none"/>
              </w:rPr>
              <w:t>分为合格等级，考核得分＜9</w:t>
            </w:r>
            <w:r>
              <w:rPr>
                <w:rFonts w:hint="eastAsia" w:ascii="宋体" w:hAnsi="宋体" w:eastAsia="宋体" w:cs="宋体"/>
                <w:b w:val="0"/>
                <w:bCs/>
                <w:color w:val="auto"/>
                <w:sz w:val="21"/>
                <w:szCs w:val="21"/>
                <w:highlight w:val="none"/>
                <w:lang w:val="en-US" w:eastAsia="zh-CN"/>
              </w:rPr>
              <w:t>0</w:t>
            </w:r>
            <w:r>
              <w:rPr>
                <w:rFonts w:hint="eastAsia" w:ascii="宋体" w:hAnsi="宋体" w:eastAsia="宋体" w:cs="宋体"/>
                <w:b w:val="0"/>
                <w:bCs/>
                <w:color w:val="auto"/>
                <w:sz w:val="21"/>
                <w:szCs w:val="21"/>
                <w:highlight w:val="none"/>
              </w:rPr>
              <w:t>0分为不合格等级）。</w:t>
            </w:r>
            <w:r>
              <w:rPr>
                <w:rFonts w:hint="eastAsia" w:ascii="宋体" w:hAnsi="宋体" w:eastAsia="宋体" w:cs="宋体"/>
                <w:b w:val="0"/>
                <w:bCs/>
                <w:color w:val="auto"/>
                <w:sz w:val="21"/>
                <w:szCs w:val="21"/>
                <w:highlight w:val="none"/>
                <w:lang w:val="en-US" w:eastAsia="zh-CN"/>
              </w:rPr>
              <w:t>考核结果达到</w:t>
            </w:r>
            <w:r>
              <w:rPr>
                <w:rFonts w:hint="eastAsia" w:ascii="宋体" w:hAnsi="宋体" w:eastAsia="宋体" w:cs="宋体"/>
                <w:b w:val="0"/>
                <w:bCs/>
                <w:color w:val="auto"/>
                <w:sz w:val="21"/>
                <w:szCs w:val="21"/>
                <w:highlight w:val="none"/>
              </w:rPr>
              <w:t>合格等级</w:t>
            </w:r>
            <w:r>
              <w:rPr>
                <w:rFonts w:hint="eastAsia" w:ascii="宋体" w:hAnsi="宋体" w:eastAsia="宋体" w:cs="宋体"/>
                <w:b w:val="0"/>
                <w:bCs/>
                <w:color w:val="auto"/>
                <w:sz w:val="21"/>
                <w:szCs w:val="21"/>
                <w:highlight w:val="none"/>
                <w:lang w:eastAsia="zh-CN"/>
              </w:rPr>
              <w:t>的</w:t>
            </w:r>
            <w:r>
              <w:rPr>
                <w:rFonts w:hint="eastAsia" w:ascii="宋体" w:hAnsi="宋体" w:eastAsia="宋体" w:cs="宋体"/>
                <w:b w:val="0"/>
                <w:bCs/>
                <w:color w:val="auto"/>
                <w:sz w:val="21"/>
                <w:szCs w:val="21"/>
                <w:highlight w:val="none"/>
              </w:rPr>
              <w:t>按约定支付</w:t>
            </w:r>
            <w:r>
              <w:rPr>
                <w:rFonts w:hint="eastAsia" w:ascii="宋体" w:hAnsi="宋体" w:eastAsia="宋体" w:cs="宋体"/>
                <w:b w:val="0"/>
                <w:bCs/>
                <w:color w:val="auto"/>
                <w:sz w:val="21"/>
                <w:szCs w:val="21"/>
                <w:highlight w:val="none"/>
                <w:lang w:val="en-US" w:eastAsia="zh-CN"/>
              </w:rPr>
              <w:t>当月全部金额的基础养护服务费</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考核结果为</w:t>
            </w:r>
            <w:r>
              <w:rPr>
                <w:rFonts w:hint="eastAsia" w:ascii="宋体" w:hAnsi="宋体" w:eastAsia="宋体" w:cs="宋体"/>
                <w:b w:val="0"/>
                <w:bCs/>
                <w:color w:val="auto"/>
                <w:sz w:val="21"/>
                <w:szCs w:val="21"/>
                <w:highlight w:val="none"/>
              </w:rPr>
              <w:t>不合格等级</w:t>
            </w:r>
            <w:r>
              <w:rPr>
                <w:rFonts w:hint="eastAsia" w:ascii="宋体" w:hAnsi="宋体" w:eastAsia="宋体" w:cs="宋体"/>
                <w:b w:val="0"/>
                <w:bCs/>
                <w:color w:val="auto"/>
                <w:sz w:val="21"/>
                <w:szCs w:val="21"/>
                <w:highlight w:val="none"/>
                <w:lang w:eastAsia="zh-CN"/>
              </w:rPr>
              <w:t>且＞</w:t>
            </w:r>
            <w:r>
              <w:rPr>
                <w:rFonts w:hint="eastAsia" w:ascii="宋体" w:hAnsi="宋体" w:eastAsia="宋体" w:cs="宋体"/>
                <w:b w:val="0"/>
                <w:bCs/>
                <w:color w:val="auto"/>
                <w:sz w:val="21"/>
                <w:szCs w:val="21"/>
                <w:highlight w:val="none"/>
                <w:lang w:val="en-US" w:eastAsia="zh-CN"/>
              </w:rPr>
              <w:t>600分</w:t>
            </w:r>
            <w:r>
              <w:rPr>
                <w:rFonts w:hint="eastAsia" w:ascii="宋体" w:hAnsi="宋体" w:eastAsia="宋体" w:cs="宋体"/>
                <w:b w:val="0"/>
                <w:bCs/>
                <w:color w:val="auto"/>
                <w:sz w:val="21"/>
                <w:szCs w:val="21"/>
                <w:highlight w:val="none"/>
              </w:rPr>
              <w:t>的按</w:t>
            </w:r>
            <w:r>
              <w:rPr>
                <w:rFonts w:hint="eastAsia" w:ascii="宋体" w:hAnsi="宋体" w:eastAsia="宋体" w:cs="宋体"/>
                <w:b w:val="0"/>
                <w:bCs/>
                <w:color w:val="auto"/>
                <w:sz w:val="21"/>
                <w:szCs w:val="21"/>
                <w:highlight w:val="none"/>
                <w:lang w:val="en-US" w:eastAsia="zh-CN"/>
              </w:rPr>
              <w:t>当月</w:t>
            </w:r>
            <w:r>
              <w:rPr>
                <w:rFonts w:hint="eastAsia" w:ascii="宋体" w:hAnsi="宋体" w:eastAsia="宋体" w:cs="宋体"/>
                <w:b w:val="0"/>
                <w:bCs/>
                <w:color w:val="auto"/>
                <w:sz w:val="21"/>
                <w:szCs w:val="21"/>
                <w:highlight w:val="none"/>
              </w:rPr>
              <w:t>考核得分比例</w:t>
            </w:r>
            <w:r>
              <w:rPr>
                <w:rFonts w:hint="eastAsia" w:ascii="宋体" w:hAnsi="宋体" w:eastAsia="宋体" w:cs="宋体"/>
                <w:b w:val="0"/>
                <w:bCs/>
                <w:color w:val="auto"/>
                <w:sz w:val="21"/>
                <w:szCs w:val="21"/>
                <w:highlight w:val="none"/>
                <w:lang w:eastAsia="zh-CN"/>
              </w:rPr>
              <w:t>支付</w:t>
            </w:r>
            <w:r>
              <w:rPr>
                <w:rFonts w:hint="eastAsia" w:ascii="宋体" w:hAnsi="宋体" w:eastAsia="宋体" w:cs="宋体"/>
                <w:b w:val="0"/>
                <w:bCs/>
                <w:color w:val="auto"/>
                <w:sz w:val="21"/>
                <w:szCs w:val="21"/>
                <w:highlight w:val="none"/>
                <w:lang w:val="en-US" w:eastAsia="zh-CN"/>
              </w:rPr>
              <w:t>基础养护服务费。</w:t>
            </w:r>
            <w:r>
              <w:rPr>
                <w:rFonts w:hint="eastAsia" w:ascii="宋体" w:hAnsi="宋体" w:eastAsia="宋体" w:cs="宋体"/>
                <w:b w:val="0"/>
                <w:bCs/>
                <w:color w:val="auto"/>
                <w:sz w:val="21"/>
                <w:szCs w:val="21"/>
                <w:highlight w:val="none"/>
              </w:rPr>
              <w:t>考核得分</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600分的不予支付当月服务费用，采购人在服务期内保留终止合同的权利。</w:t>
            </w:r>
          </w:p>
          <w:p w14:paraId="0D90D049">
            <w:pPr>
              <w:pageBreakBefore w:val="0"/>
              <w:kinsoku/>
              <w:wordWrap/>
              <w:overflowPunct/>
              <w:topLinePunct w:val="0"/>
              <w:bidi w:val="0"/>
              <w:spacing w:beforeAutospacing="0" w:afterAutospacing="0"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3.绩效养护经费根据1</w:t>
            </w:r>
            <w:r>
              <w:rPr>
                <w:rFonts w:hint="eastAsia" w:ascii="宋体" w:hAnsi="宋体" w:eastAsia="宋体" w:cs="宋体"/>
                <w:b w:val="0"/>
                <w:bCs/>
                <w:color w:val="auto"/>
                <w:sz w:val="21"/>
                <w:szCs w:val="21"/>
                <w:highlight w:val="none"/>
                <w:lang w:eastAsia="zh-CN"/>
              </w:rPr>
              <w:t>个绩效考核周期的</w:t>
            </w:r>
            <w:r>
              <w:rPr>
                <w:rFonts w:hint="eastAsia" w:ascii="宋体" w:hAnsi="宋体" w:eastAsia="宋体" w:cs="宋体"/>
                <w:b w:val="0"/>
                <w:bCs/>
                <w:color w:val="auto"/>
                <w:sz w:val="21"/>
                <w:szCs w:val="21"/>
                <w:highlight w:val="none"/>
                <w:lang w:val="en-US" w:eastAsia="zh-CN"/>
              </w:rPr>
              <w:t>考核结果（考核结果为该周期内每月考核+日常考核得分的累加），每12个月支付一次。其中，</w:t>
            </w:r>
            <w:r>
              <w:rPr>
                <w:rFonts w:hint="eastAsia" w:ascii="宋体" w:hAnsi="宋体" w:eastAsia="宋体" w:cs="宋体"/>
                <w:b w:val="0"/>
                <w:bCs/>
                <w:color w:val="auto"/>
                <w:sz w:val="21"/>
                <w:szCs w:val="21"/>
                <w:highlight w:val="none"/>
              </w:rPr>
              <w:t>考核</w:t>
            </w:r>
            <w:r>
              <w:rPr>
                <w:rFonts w:hint="eastAsia" w:ascii="宋体" w:hAnsi="宋体" w:eastAsia="宋体" w:cs="宋体"/>
                <w:b w:val="0"/>
                <w:bCs/>
                <w:color w:val="auto"/>
                <w:sz w:val="21"/>
                <w:szCs w:val="21"/>
                <w:highlight w:val="none"/>
                <w:lang w:eastAsia="zh-CN"/>
              </w:rPr>
              <w:t>合格的</w:t>
            </w:r>
            <w:r>
              <w:rPr>
                <w:rFonts w:hint="eastAsia" w:ascii="宋体" w:hAnsi="宋体" w:eastAsia="宋体" w:cs="宋体"/>
                <w:b w:val="0"/>
                <w:bCs/>
                <w:color w:val="auto"/>
                <w:sz w:val="21"/>
                <w:szCs w:val="21"/>
                <w:highlight w:val="none"/>
              </w:rPr>
              <w:t>得分</w:t>
            </w:r>
            <w:r>
              <w:rPr>
                <w:rFonts w:hint="eastAsia" w:ascii="宋体" w:hAnsi="宋体" w:eastAsia="宋体" w:cs="宋体"/>
                <w:b w:val="0"/>
                <w:bCs/>
                <w:color w:val="auto"/>
                <w:sz w:val="21"/>
                <w:szCs w:val="21"/>
                <w:highlight w:val="none"/>
                <w:lang w:eastAsia="zh-CN"/>
              </w:rPr>
              <w:t>全额计入绩效考核周期的考核结果，考核</w:t>
            </w:r>
            <w:r>
              <w:rPr>
                <w:rFonts w:hint="eastAsia" w:ascii="宋体" w:hAnsi="宋体" w:eastAsia="宋体" w:cs="宋体"/>
                <w:b w:val="0"/>
                <w:bCs/>
                <w:color w:val="auto"/>
                <w:sz w:val="21"/>
                <w:szCs w:val="21"/>
                <w:highlight w:val="none"/>
              </w:rPr>
              <w:t>不合格</w:t>
            </w:r>
            <w:r>
              <w:rPr>
                <w:rFonts w:hint="eastAsia" w:ascii="宋体" w:hAnsi="宋体" w:eastAsia="宋体" w:cs="宋体"/>
                <w:b w:val="0"/>
                <w:bCs/>
                <w:color w:val="auto"/>
                <w:sz w:val="21"/>
                <w:szCs w:val="21"/>
                <w:highlight w:val="none"/>
                <w:lang w:eastAsia="zh-CN"/>
              </w:rPr>
              <w:t>且＞</w:t>
            </w:r>
            <w:r>
              <w:rPr>
                <w:rFonts w:hint="eastAsia" w:ascii="宋体" w:hAnsi="宋体" w:eastAsia="宋体" w:cs="宋体"/>
                <w:b w:val="0"/>
                <w:bCs/>
                <w:color w:val="auto"/>
                <w:sz w:val="21"/>
                <w:szCs w:val="21"/>
                <w:highlight w:val="none"/>
                <w:lang w:val="en-US" w:eastAsia="zh-CN"/>
              </w:rPr>
              <w:t>600分</w:t>
            </w:r>
            <w:r>
              <w:rPr>
                <w:rFonts w:hint="eastAsia" w:ascii="宋体" w:hAnsi="宋体" w:eastAsia="宋体" w:cs="宋体"/>
                <w:b w:val="0"/>
                <w:bCs/>
                <w:color w:val="auto"/>
                <w:sz w:val="21"/>
                <w:szCs w:val="21"/>
                <w:highlight w:val="none"/>
              </w:rPr>
              <w:t>的得分</w:t>
            </w:r>
            <w:r>
              <w:rPr>
                <w:rFonts w:hint="eastAsia" w:ascii="宋体" w:hAnsi="宋体" w:eastAsia="宋体" w:cs="宋体"/>
                <w:b w:val="0"/>
                <w:bCs/>
                <w:color w:val="auto"/>
                <w:sz w:val="21"/>
                <w:szCs w:val="21"/>
                <w:highlight w:val="none"/>
                <w:lang w:eastAsia="zh-CN"/>
              </w:rPr>
              <w:t>按比例计入绩效考核周期的考核结果，</w:t>
            </w:r>
            <w:r>
              <w:rPr>
                <w:rFonts w:hint="eastAsia" w:ascii="宋体" w:hAnsi="宋体" w:eastAsia="宋体" w:cs="宋体"/>
                <w:b w:val="0"/>
                <w:bCs/>
                <w:color w:val="auto"/>
                <w:sz w:val="21"/>
                <w:szCs w:val="21"/>
                <w:highlight w:val="none"/>
              </w:rPr>
              <w:t>考核得分</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600分的不予计入</w:t>
            </w:r>
            <w:r>
              <w:rPr>
                <w:rFonts w:hint="eastAsia" w:ascii="宋体" w:hAnsi="宋体" w:eastAsia="宋体" w:cs="宋体"/>
                <w:b w:val="0"/>
                <w:bCs/>
                <w:color w:val="auto"/>
                <w:sz w:val="21"/>
                <w:szCs w:val="21"/>
                <w:highlight w:val="none"/>
                <w:lang w:eastAsia="zh-CN"/>
              </w:rPr>
              <w:t>考核结果。</w:t>
            </w:r>
            <w:r>
              <w:rPr>
                <w:rFonts w:hint="eastAsia" w:ascii="宋体" w:hAnsi="宋体" w:eastAsia="宋体" w:cs="宋体"/>
                <w:b w:val="0"/>
                <w:bCs/>
                <w:strike w:val="0"/>
                <w:dstrike w:val="0"/>
                <w:color w:val="auto"/>
                <w:sz w:val="21"/>
                <w:szCs w:val="21"/>
                <w:highlight w:val="none"/>
                <w:lang w:val="en-US" w:eastAsia="zh-CN"/>
              </w:rPr>
              <w:t>在1个绩效考核周期</w:t>
            </w:r>
            <w:r>
              <w:rPr>
                <w:rFonts w:hint="eastAsia" w:ascii="宋体" w:hAnsi="宋体" w:eastAsia="宋体" w:cs="宋体"/>
                <w:b w:val="0"/>
                <w:bCs/>
                <w:color w:val="auto"/>
                <w:sz w:val="21"/>
                <w:szCs w:val="21"/>
                <w:highlight w:val="none"/>
                <w:lang w:val="en-US" w:eastAsia="zh-CN"/>
              </w:rPr>
              <w:t>内出现累计6个月考核不合格的，将全额扣除本周期的绩效养护经费，采购人在服务期内保留终止合同的权利</w:t>
            </w:r>
            <w:r>
              <w:rPr>
                <w:rFonts w:hint="eastAsia" w:ascii="宋体" w:hAnsi="宋体" w:eastAsia="宋体" w:cs="宋体"/>
                <w:b w:val="0"/>
                <w:bCs/>
                <w:color w:val="auto"/>
                <w:sz w:val="21"/>
                <w:szCs w:val="21"/>
                <w:highlight w:val="none"/>
                <w:lang w:eastAsia="zh-CN"/>
              </w:rPr>
              <w:t>。因考核不合格扣减的养护经费，由采购人用于项目内城市照明设施更新修复工作经费。</w:t>
            </w:r>
          </w:p>
          <w:p w14:paraId="66A544D4">
            <w:pPr>
              <w:pageBreakBefore w:val="0"/>
              <w:kinsoku/>
              <w:wordWrap/>
              <w:overflowPunct/>
              <w:topLinePunct w:val="0"/>
              <w:bidi w:val="0"/>
              <w:snapToGrid w:val="0"/>
              <w:spacing w:beforeAutospacing="0" w:afterAutospacing="0"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附：《防城港市市管城市照明设施维修养护服务项目考核办法》。</w:t>
            </w:r>
          </w:p>
        </w:tc>
      </w:tr>
      <w:tr w14:paraId="0A280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98" w:type="dxa"/>
            <w:gridSpan w:val="3"/>
            <w:tcBorders>
              <w:top w:val="single" w:color="auto" w:sz="4" w:space="0"/>
              <w:left w:val="single" w:color="auto" w:sz="4" w:space="0"/>
              <w:bottom w:val="single" w:color="auto" w:sz="4" w:space="0"/>
              <w:right w:val="single" w:color="auto" w:sz="4" w:space="0"/>
            </w:tcBorders>
            <w:vAlign w:val="center"/>
          </w:tcPr>
          <w:p w14:paraId="5DC0CAF3">
            <w:pPr>
              <w:pageBreakBefore w:val="0"/>
              <w:kinsoku/>
              <w:wordWrap/>
              <w:overflowPunct/>
              <w:topLinePunct w:val="0"/>
              <w:bidi w:val="0"/>
              <w:spacing w:beforeAutospacing="0" w:afterAutospacing="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7973" w:type="dxa"/>
            <w:gridSpan w:val="3"/>
            <w:tcBorders>
              <w:top w:val="single" w:color="auto" w:sz="4" w:space="0"/>
              <w:left w:val="single" w:color="auto" w:sz="4" w:space="0"/>
              <w:bottom w:val="single" w:color="auto" w:sz="4" w:space="0"/>
              <w:right w:val="single" w:color="auto" w:sz="4" w:space="0"/>
            </w:tcBorders>
            <w:vAlign w:val="center"/>
          </w:tcPr>
          <w:p w14:paraId="51721033">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1.以上“服务要求”有1项以上（含1项）负偏离的，投标无效； “商务要求”有1项以上（含1项）负偏离的，则投标无效。</w:t>
            </w:r>
          </w:p>
          <w:p w14:paraId="6F761847">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2.投标人在投标文件中提供技术服务方案以供评分。</w:t>
            </w:r>
          </w:p>
          <w:p w14:paraId="225845C5">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3.本项目不允许投标人挂靠投标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不允许分包、转包</w:t>
            </w:r>
            <w:r>
              <w:rPr>
                <w:rFonts w:hint="eastAsia" w:ascii="宋体" w:hAnsi="宋体" w:eastAsia="宋体" w:cs="宋体"/>
                <w:color w:val="auto"/>
                <w:sz w:val="21"/>
                <w:szCs w:val="21"/>
                <w:highlight w:val="none"/>
              </w:rPr>
              <w:t>。投标人中标后，如采购人发现中标人存在挂靠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分包、转包</w:t>
            </w:r>
            <w:r>
              <w:rPr>
                <w:rFonts w:hint="eastAsia" w:ascii="宋体" w:hAnsi="宋体" w:eastAsia="宋体" w:cs="宋体"/>
                <w:color w:val="auto"/>
                <w:sz w:val="21"/>
                <w:szCs w:val="21"/>
                <w:highlight w:val="none"/>
              </w:rPr>
              <w:t>的，采购人将依法终止合同。</w:t>
            </w:r>
          </w:p>
        </w:tc>
      </w:tr>
    </w:tbl>
    <w:p w14:paraId="5E080F8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eastAsia" w:ascii="宋体" w:hAnsi="宋体" w:eastAsia="宋体" w:cs="宋体"/>
          <w:b/>
          <w:bCs/>
          <w:color w:val="auto"/>
          <w:spacing w:val="-11"/>
          <w:sz w:val="44"/>
          <w:szCs w:val="44"/>
          <w:highlight w:val="none"/>
          <w:lang w:val="en-US" w:eastAsia="zh-CN"/>
        </w:rPr>
      </w:pPr>
      <w:r>
        <w:rPr>
          <w:rFonts w:hint="eastAsia" w:ascii="宋体" w:hAnsi="宋体" w:eastAsia="宋体" w:cs="宋体"/>
          <w:b/>
          <w:bCs/>
          <w:color w:val="auto"/>
          <w:spacing w:val="-11"/>
          <w:sz w:val="44"/>
          <w:szCs w:val="44"/>
          <w:highlight w:val="none"/>
          <w:lang w:val="en-US" w:eastAsia="zh-CN"/>
        </w:rPr>
        <w:br w:type="page"/>
      </w:r>
      <w:r>
        <w:rPr>
          <w:rFonts w:hint="eastAsia" w:ascii="宋体" w:hAnsi="宋体" w:eastAsia="宋体" w:cs="宋体"/>
          <w:b/>
          <w:bCs/>
          <w:color w:val="auto"/>
          <w:spacing w:val="-11"/>
          <w:sz w:val="44"/>
          <w:szCs w:val="44"/>
          <w:highlight w:val="none"/>
          <w:lang w:val="en-US" w:eastAsia="zh-CN"/>
        </w:rPr>
        <w:t>防城港市市管城市照明设施维修养护服务项目</w:t>
      </w:r>
    </w:p>
    <w:p w14:paraId="164711D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pacing w:val="-11"/>
          <w:sz w:val="44"/>
          <w:szCs w:val="44"/>
          <w:highlight w:val="none"/>
          <w:lang w:val="en-US" w:eastAsia="zh-CN"/>
        </w:rPr>
        <w:t>考核办法</w:t>
      </w:r>
    </w:p>
    <w:p w14:paraId="32F9F09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440" w:firstLineChars="200"/>
        <w:textAlignment w:val="auto"/>
        <w:rPr>
          <w:rFonts w:hint="eastAsia" w:ascii="宋体" w:hAnsi="宋体" w:eastAsia="宋体" w:cs="宋体"/>
          <w:bCs/>
          <w:color w:val="auto"/>
          <w:sz w:val="22"/>
          <w:szCs w:val="22"/>
          <w:highlight w:val="none"/>
        </w:rPr>
      </w:pPr>
    </w:p>
    <w:p w14:paraId="199CE28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2"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一、总则</w:t>
      </w:r>
    </w:p>
    <w:p w14:paraId="6C97C83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为进一步加强防城港市市管城市照明设施维修养护服务工作的监督考核，促进城市公共照明设施规范管理，提高维修养护项目服务质量，实现城市照明设施维修管护制度化、规范化、程序化，量化考核指标，确保城市照明亮灯率、设施完好率，落实照明设施承包管理养护责任，根据</w:t>
      </w:r>
      <w:r>
        <w:rPr>
          <w:rFonts w:hint="eastAsia" w:ascii="宋体" w:hAnsi="宋体" w:eastAsia="宋体" w:cs="宋体"/>
          <w:color w:val="auto"/>
          <w:spacing w:val="-6"/>
          <w:sz w:val="21"/>
          <w:szCs w:val="21"/>
          <w:highlight w:val="none"/>
        </w:rPr>
        <w:t>《防城港市城市照明管理办法》等有关文件，结合实际特制定本办法。</w:t>
      </w:r>
    </w:p>
    <w:p w14:paraId="167DE72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2"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二、考核对象、范围和内容</w:t>
      </w:r>
    </w:p>
    <w:p w14:paraId="3902C1C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b/>
          <w:bCs/>
          <w:color w:val="auto"/>
          <w:kern w:val="2"/>
          <w:sz w:val="21"/>
          <w:szCs w:val="21"/>
          <w:highlight w:val="none"/>
          <w:lang w:val="en-US" w:eastAsia="zh-CN" w:bidi="ar-SA"/>
        </w:rPr>
        <w:t>（一）考核对象：</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年市管城市照明设施维修养护服务</w:t>
      </w:r>
      <w:r>
        <w:rPr>
          <w:rFonts w:hint="eastAsia" w:ascii="宋体" w:hAnsi="宋体" w:eastAsia="宋体" w:cs="宋体"/>
          <w:color w:val="auto"/>
          <w:sz w:val="21"/>
          <w:szCs w:val="21"/>
          <w:highlight w:val="none"/>
          <w:lang w:eastAsia="zh-CN"/>
        </w:rPr>
        <w:t>采购项目</w:t>
      </w:r>
      <w:r>
        <w:rPr>
          <w:rFonts w:hint="eastAsia" w:ascii="宋体" w:hAnsi="宋体" w:eastAsia="宋体" w:cs="宋体"/>
          <w:color w:val="auto"/>
          <w:sz w:val="21"/>
          <w:szCs w:val="21"/>
          <w:highlight w:val="none"/>
        </w:rPr>
        <w:t>中标服务供应商</w:t>
      </w:r>
      <w:r>
        <w:rPr>
          <w:rFonts w:hint="eastAsia" w:ascii="宋体" w:hAnsi="宋体" w:eastAsia="宋体" w:cs="宋体"/>
          <w:color w:val="auto"/>
          <w:spacing w:val="-6"/>
          <w:sz w:val="21"/>
          <w:szCs w:val="21"/>
          <w:highlight w:val="none"/>
        </w:rPr>
        <w:t>。</w:t>
      </w:r>
    </w:p>
    <w:p w14:paraId="4D011E1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（二）考核范围：</w:t>
      </w:r>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color w:val="auto"/>
          <w:sz w:val="21"/>
          <w:szCs w:val="21"/>
          <w:highlight w:val="none"/>
          <w:lang w:eastAsia="zh-CN"/>
        </w:rPr>
        <w:t>市级城市管理区域：</w:t>
      </w:r>
      <w:r>
        <w:rPr>
          <w:rFonts w:hint="eastAsia" w:ascii="宋体" w:hAnsi="宋体" w:eastAsia="宋体" w:cs="宋体"/>
          <w:color w:val="auto"/>
          <w:sz w:val="21"/>
          <w:szCs w:val="21"/>
          <w:highlight w:val="none"/>
        </w:rPr>
        <w:t>金花茶大道、田口街、文昌大道、民安街、</w:t>
      </w:r>
      <w:r>
        <w:rPr>
          <w:rFonts w:hint="eastAsia" w:ascii="宋体" w:hAnsi="宋体" w:eastAsia="宋体" w:cs="宋体"/>
          <w:color w:val="auto"/>
          <w:sz w:val="21"/>
          <w:szCs w:val="21"/>
          <w:highlight w:val="none"/>
          <w:lang w:eastAsia="zh-CN"/>
        </w:rPr>
        <w:t>大坡路（民安街路口至文昌大道路口）</w:t>
      </w:r>
      <w:r>
        <w:rPr>
          <w:rFonts w:hint="eastAsia" w:ascii="宋体" w:hAnsi="宋体" w:eastAsia="宋体" w:cs="宋体"/>
          <w:color w:val="auto"/>
          <w:sz w:val="21"/>
          <w:szCs w:val="21"/>
          <w:highlight w:val="none"/>
        </w:rPr>
        <w:t>、红头坝街、</w:t>
      </w:r>
      <w:r>
        <w:rPr>
          <w:rFonts w:hint="eastAsia" w:ascii="宋体" w:hAnsi="宋体" w:eastAsia="宋体" w:cs="宋体"/>
          <w:color w:val="auto"/>
          <w:sz w:val="21"/>
          <w:szCs w:val="21"/>
          <w:highlight w:val="none"/>
          <w:lang w:eastAsia="zh-CN"/>
        </w:rPr>
        <w:t>北站西路</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北站南路</w:t>
      </w:r>
      <w:r>
        <w:rPr>
          <w:rFonts w:hint="eastAsia" w:ascii="宋体" w:hAnsi="宋体" w:eastAsia="宋体" w:cs="宋体"/>
          <w:color w:val="auto"/>
          <w:sz w:val="21"/>
          <w:szCs w:val="21"/>
          <w:highlight w:val="none"/>
        </w:rPr>
        <w:t>、高铁北站南路西延长线、豪丫路、繆屋路、冲孔路、瑶绣路、京琴路、玉桂大道、港安街、三都路、将军山路、龙琴路、万山路、伏波路、永福路、港湾街、灵秀街、平安街、仁和街、金和街、金环街、界排街、祥云街西段、长泰路、独墩路、赤港一路、西湾环海大道、茶山路、民乐街、江山大道、西湾大道、北部湾大道、</w:t>
      </w:r>
      <w:r>
        <w:rPr>
          <w:rFonts w:hint="eastAsia" w:ascii="宋体" w:hAnsi="宋体" w:eastAsia="宋体" w:cs="宋体"/>
          <w:color w:val="auto"/>
          <w:sz w:val="21"/>
          <w:szCs w:val="21"/>
          <w:highlight w:val="none"/>
          <w:lang w:eastAsia="zh-CN"/>
        </w:rPr>
        <w:t>伏波大道（</w:t>
      </w:r>
      <w:r>
        <w:rPr>
          <w:rFonts w:hint="eastAsia" w:ascii="宋体" w:hAnsi="宋体" w:eastAsia="宋体" w:cs="宋体"/>
          <w:b w:val="0"/>
          <w:bCs w:val="0"/>
          <w:color w:val="auto"/>
          <w:szCs w:val="21"/>
          <w:highlight w:val="none"/>
          <w:lang w:eastAsia="zh-CN"/>
        </w:rPr>
        <w:t>江山大道路口至针鱼岭大桥段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迎宾路、和谐街、马正开路、海湾绿道全段(</w:t>
      </w:r>
      <w:r>
        <w:rPr>
          <w:rFonts w:hint="eastAsia" w:ascii="宋体" w:hAnsi="宋体" w:eastAsia="宋体" w:cs="宋体"/>
          <w:color w:val="auto"/>
          <w:sz w:val="21"/>
          <w:szCs w:val="21"/>
          <w:highlight w:val="none"/>
          <w:lang w:eastAsia="zh-CN"/>
        </w:rPr>
        <w:t>北码头滨海公园旁</w:t>
      </w:r>
      <w:r>
        <w:rPr>
          <w:rFonts w:hint="eastAsia" w:ascii="宋体" w:hAnsi="宋体" w:eastAsia="宋体" w:cs="宋体"/>
          <w:color w:val="auto"/>
          <w:sz w:val="21"/>
          <w:szCs w:val="21"/>
          <w:highlight w:val="none"/>
        </w:rPr>
        <w:t>至针鱼岭</w:t>
      </w:r>
      <w:r>
        <w:rPr>
          <w:rFonts w:hint="eastAsia" w:ascii="宋体" w:hAnsi="宋体" w:eastAsia="宋体" w:cs="宋体"/>
          <w:color w:val="auto"/>
          <w:sz w:val="21"/>
          <w:szCs w:val="21"/>
          <w:highlight w:val="none"/>
          <w:lang w:eastAsia="zh-CN"/>
        </w:rPr>
        <w:t>大桥</w:t>
      </w:r>
      <w:r>
        <w:rPr>
          <w:rFonts w:hint="eastAsia" w:ascii="宋体" w:hAnsi="宋体" w:eastAsia="宋体" w:cs="宋体"/>
          <w:color w:val="auto"/>
          <w:sz w:val="21"/>
          <w:szCs w:val="21"/>
          <w:highlight w:val="none"/>
        </w:rPr>
        <w:t>段)、针鱼岭大桥、红树林街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浦鱼岭街、万鹤路、跨海大桥、玉罗岭</w:t>
      </w:r>
      <w:r>
        <w:rPr>
          <w:rFonts w:hint="eastAsia" w:ascii="宋体" w:hAnsi="宋体" w:eastAsia="宋体" w:cs="宋体"/>
          <w:color w:val="auto"/>
          <w:sz w:val="21"/>
          <w:szCs w:val="21"/>
          <w:highlight w:val="none"/>
          <w:lang w:eastAsia="zh-CN"/>
        </w:rPr>
        <w:t>立交桥灯塔</w:t>
      </w:r>
      <w:r>
        <w:rPr>
          <w:rFonts w:hint="eastAsia" w:ascii="宋体" w:hAnsi="宋体" w:eastAsia="宋体" w:cs="宋体"/>
          <w:color w:val="auto"/>
          <w:sz w:val="21"/>
          <w:szCs w:val="21"/>
          <w:highlight w:val="none"/>
        </w:rPr>
        <w:t>、瑞海尚都小区与龙正中央海洋公园小区之间道路（暂未正式命名道路）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桃花湾广场、伏波</w:t>
      </w:r>
      <w:r>
        <w:rPr>
          <w:rFonts w:hint="eastAsia" w:ascii="宋体" w:hAnsi="宋体" w:eastAsia="宋体" w:cs="宋体"/>
          <w:color w:val="auto"/>
          <w:sz w:val="21"/>
          <w:szCs w:val="21"/>
          <w:highlight w:val="none"/>
          <w:lang w:eastAsia="zh-CN"/>
        </w:rPr>
        <w:t>文化园</w:t>
      </w:r>
      <w:r>
        <w:rPr>
          <w:rFonts w:hint="eastAsia" w:ascii="宋体" w:hAnsi="宋体" w:eastAsia="宋体" w:cs="宋体"/>
          <w:color w:val="auto"/>
          <w:sz w:val="21"/>
          <w:szCs w:val="21"/>
          <w:highlight w:val="none"/>
        </w:rPr>
        <w:t>、北部湾海洋文化公园、仙人山公园、白鹭公园、西岸公园、高铁站广场、金海湾广场、跨海</w:t>
      </w:r>
      <w:r>
        <w:rPr>
          <w:rFonts w:hint="eastAsia" w:ascii="宋体" w:hAnsi="宋体" w:eastAsia="宋体" w:cs="宋体"/>
          <w:color w:val="auto"/>
          <w:sz w:val="21"/>
          <w:szCs w:val="21"/>
          <w:highlight w:val="none"/>
          <w:lang w:eastAsia="zh-CN"/>
        </w:rPr>
        <w:t>大桥一桥</w:t>
      </w:r>
      <w:r>
        <w:rPr>
          <w:rFonts w:hint="eastAsia" w:ascii="宋体" w:hAnsi="宋体" w:eastAsia="宋体" w:cs="宋体"/>
          <w:color w:val="auto"/>
          <w:sz w:val="21"/>
          <w:szCs w:val="21"/>
          <w:highlight w:val="none"/>
        </w:rPr>
        <w:t>龙舟广场、桃花湖</w:t>
      </w:r>
      <w:r>
        <w:rPr>
          <w:rFonts w:hint="eastAsia" w:ascii="宋体" w:hAnsi="宋体" w:eastAsia="宋体" w:cs="宋体"/>
          <w:color w:val="auto"/>
          <w:sz w:val="21"/>
          <w:szCs w:val="21"/>
          <w:highlight w:val="none"/>
          <w:lang w:eastAsia="zh-CN"/>
        </w:rPr>
        <w:t>公园、龙马明珠广场</w:t>
      </w:r>
      <w:r>
        <w:rPr>
          <w:rFonts w:hint="eastAsia" w:ascii="宋体" w:hAnsi="宋体" w:eastAsia="宋体" w:cs="宋体"/>
          <w:color w:val="auto"/>
          <w:sz w:val="21"/>
          <w:szCs w:val="21"/>
          <w:highlight w:val="none"/>
        </w:rPr>
        <w:t>等道路、桥梁、绿化带景观照明</w:t>
      </w:r>
      <w:r>
        <w:rPr>
          <w:rFonts w:hint="eastAsia" w:ascii="宋体" w:hAnsi="宋体" w:eastAsia="宋体" w:cs="宋体"/>
          <w:color w:val="auto"/>
          <w:sz w:val="21"/>
          <w:szCs w:val="21"/>
          <w:highlight w:val="none"/>
          <w:lang w:eastAsia="zh-CN"/>
        </w:rPr>
        <w:t>、人行天桥</w:t>
      </w:r>
      <w:r>
        <w:rPr>
          <w:rFonts w:hint="eastAsia" w:ascii="宋体" w:hAnsi="宋体" w:eastAsia="宋体" w:cs="宋体"/>
          <w:color w:val="auto"/>
          <w:sz w:val="21"/>
          <w:szCs w:val="21"/>
          <w:highlight w:val="none"/>
        </w:rPr>
        <w:t>和公园广场等范围内的城市照明及附属配套设施(主要包括箱变、变压器、配电箱、路灯杆、灯具、景观亮化、供电线缆、电缆检查井等照明设施以及公园广场的音乐喷泉设施，不包括当前正在合作的</w:t>
      </w:r>
      <w:r>
        <w:rPr>
          <w:rFonts w:hint="eastAsia" w:ascii="宋体" w:hAnsi="宋体" w:eastAsia="宋体" w:cs="宋体"/>
          <w:color w:val="auto"/>
          <w:sz w:val="21"/>
          <w:szCs w:val="21"/>
          <w:highlight w:val="none"/>
          <w:lang w:eastAsia="zh-CN"/>
        </w:rPr>
        <w:t>防城港市城市照明提升服务项目</w:t>
      </w:r>
      <w:r>
        <w:rPr>
          <w:rFonts w:hint="eastAsia" w:ascii="宋体" w:hAnsi="宋体" w:eastAsia="宋体" w:cs="宋体"/>
          <w:color w:val="auto"/>
          <w:sz w:val="21"/>
          <w:szCs w:val="21"/>
          <w:highlight w:val="none"/>
        </w:rPr>
        <w:t>范围的照明设施)</w:t>
      </w:r>
      <w:r>
        <w:rPr>
          <w:rFonts w:hint="eastAsia" w:ascii="宋体" w:hAnsi="宋体" w:eastAsia="宋体" w:cs="宋体"/>
          <w:color w:val="auto"/>
          <w:sz w:val="21"/>
          <w:szCs w:val="21"/>
          <w:highlight w:val="none"/>
          <w:lang w:eastAsia="zh-CN"/>
        </w:rPr>
        <w:t>共</w:t>
      </w:r>
      <w:r>
        <w:rPr>
          <w:rFonts w:hint="eastAsia" w:ascii="宋体" w:hAnsi="宋体" w:eastAsia="宋体" w:cs="宋体"/>
          <w:color w:val="auto"/>
          <w:sz w:val="21"/>
          <w:szCs w:val="21"/>
          <w:highlight w:val="none"/>
          <w:lang w:val="en-US" w:eastAsia="zh-CN"/>
        </w:rPr>
        <w:t>69座专用箱变（变压器）、69套电箱、6725杆灯杆、26525盏路灯、28221盏景观灯（具体数量以现场实际清点为准）</w:t>
      </w:r>
      <w:r>
        <w:rPr>
          <w:rFonts w:hint="eastAsia" w:ascii="宋体" w:hAnsi="宋体" w:eastAsia="宋体" w:cs="宋体"/>
          <w:color w:val="auto"/>
          <w:sz w:val="21"/>
          <w:szCs w:val="21"/>
          <w:highlight w:val="none"/>
        </w:rPr>
        <w:t>。</w:t>
      </w:r>
    </w:p>
    <w:p w14:paraId="1CA548E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color w:val="auto"/>
          <w:spacing w:val="-6"/>
          <w:sz w:val="21"/>
          <w:szCs w:val="21"/>
          <w:highlight w:val="none"/>
        </w:rPr>
        <w:t>纳入服务合同范围内的</w:t>
      </w:r>
      <w:r>
        <w:rPr>
          <w:rFonts w:hint="eastAsia" w:ascii="宋体" w:hAnsi="宋体" w:eastAsia="宋体" w:cs="宋体"/>
          <w:color w:val="auto"/>
          <w:sz w:val="21"/>
          <w:szCs w:val="21"/>
          <w:highlight w:val="none"/>
          <w:lang w:eastAsia="zh-CN"/>
        </w:rPr>
        <w:t>市级城市管理区域内</w:t>
      </w:r>
      <w:r>
        <w:rPr>
          <w:rFonts w:hint="eastAsia" w:ascii="宋体" w:hAnsi="宋体" w:eastAsia="宋体" w:cs="宋体"/>
          <w:color w:val="auto"/>
          <w:spacing w:val="-6"/>
          <w:sz w:val="21"/>
          <w:szCs w:val="21"/>
          <w:highlight w:val="none"/>
        </w:rPr>
        <w:t>管理的道路照明、桥梁照明、绿化带景观照明</w:t>
      </w:r>
      <w:r>
        <w:rPr>
          <w:rFonts w:hint="eastAsia" w:ascii="宋体" w:hAnsi="宋体" w:eastAsia="宋体" w:cs="宋体"/>
          <w:color w:val="auto"/>
          <w:spacing w:val="-6"/>
          <w:sz w:val="21"/>
          <w:szCs w:val="21"/>
          <w:highlight w:val="none"/>
          <w:lang w:eastAsia="zh-CN"/>
        </w:rPr>
        <w:t>、人行天桥、</w:t>
      </w:r>
      <w:r>
        <w:rPr>
          <w:rFonts w:hint="eastAsia" w:ascii="宋体" w:hAnsi="宋体" w:eastAsia="宋体" w:cs="宋体"/>
          <w:color w:val="auto"/>
          <w:spacing w:val="-6"/>
          <w:sz w:val="21"/>
          <w:szCs w:val="21"/>
          <w:highlight w:val="none"/>
        </w:rPr>
        <w:t>公园广场等所有的路灯、景观灯及配套设施。</w:t>
      </w:r>
    </w:p>
    <w:p w14:paraId="72BF45B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2"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b/>
          <w:bCs/>
          <w:color w:val="auto"/>
          <w:kern w:val="2"/>
          <w:sz w:val="21"/>
          <w:szCs w:val="21"/>
          <w:highlight w:val="none"/>
          <w:lang w:val="en-US" w:eastAsia="zh-CN" w:bidi="ar-SA"/>
        </w:rPr>
        <w:t>（三）考核主要内容：</w:t>
      </w:r>
      <w:r>
        <w:rPr>
          <w:rFonts w:hint="eastAsia" w:ascii="宋体" w:hAnsi="宋体" w:eastAsia="宋体" w:cs="宋体"/>
          <w:color w:val="auto"/>
          <w:spacing w:val="-6"/>
          <w:sz w:val="21"/>
          <w:szCs w:val="21"/>
          <w:highlight w:val="none"/>
        </w:rPr>
        <w:t>主要考核</w:t>
      </w:r>
      <w:r>
        <w:rPr>
          <w:rFonts w:hint="eastAsia" w:ascii="宋体" w:hAnsi="宋体" w:eastAsia="宋体" w:cs="宋体"/>
          <w:color w:val="auto"/>
          <w:sz w:val="21"/>
          <w:szCs w:val="21"/>
          <w:highlight w:val="none"/>
          <w:lang w:eastAsia="zh-CN"/>
        </w:rPr>
        <w:t>市级城市管理区域内的</w:t>
      </w:r>
      <w:r>
        <w:rPr>
          <w:rFonts w:hint="eastAsia" w:ascii="宋体" w:hAnsi="宋体" w:eastAsia="宋体" w:cs="宋体"/>
          <w:color w:val="auto"/>
          <w:spacing w:val="-6"/>
          <w:sz w:val="21"/>
          <w:szCs w:val="21"/>
          <w:highlight w:val="none"/>
        </w:rPr>
        <w:t>道路及公园广场的城市照明设施维修养护工作，具体</w:t>
      </w:r>
      <w:r>
        <w:rPr>
          <w:rFonts w:hint="eastAsia" w:ascii="宋体" w:hAnsi="宋体" w:eastAsia="宋体" w:cs="宋体"/>
          <w:color w:val="auto"/>
          <w:kern w:val="0"/>
          <w:sz w:val="21"/>
          <w:szCs w:val="21"/>
          <w:highlight w:val="none"/>
        </w:rPr>
        <w:t>包括城市</w:t>
      </w:r>
      <w:r>
        <w:rPr>
          <w:rFonts w:hint="eastAsia" w:ascii="宋体" w:hAnsi="宋体" w:eastAsia="宋体" w:cs="宋体"/>
          <w:color w:val="auto"/>
          <w:spacing w:val="-6"/>
          <w:sz w:val="21"/>
          <w:szCs w:val="21"/>
          <w:highlight w:val="none"/>
        </w:rPr>
        <w:t>照明设施日常巡查维修、</w:t>
      </w:r>
      <w:r>
        <w:rPr>
          <w:rFonts w:hint="eastAsia" w:ascii="宋体" w:hAnsi="宋体" w:eastAsia="宋体" w:cs="宋体"/>
          <w:color w:val="auto"/>
          <w:spacing w:val="-6"/>
          <w:sz w:val="21"/>
          <w:szCs w:val="21"/>
          <w:highlight w:val="none"/>
          <w:lang w:eastAsia="zh-CN"/>
        </w:rPr>
        <w:t>照明</w:t>
      </w:r>
      <w:r>
        <w:rPr>
          <w:rFonts w:hint="eastAsia" w:ascii="宋体" w:hAnsi="宋体" w:eastAsia="宋体" w:cs="宋体"/>
          <w:color w:val="auto"/>
          <w:spacing w:val="-6"/>
          <w:sz w:val="21"/>
          <w:szCs w:val="21"/>
          <w:highlight w:val="none"/>
        </w:rPr>
        <w:t>设施</w:t>
      </w:r>
      <w:r>
        <w:rPr>
          <w:rFonts w:hint="eastAsia" w:ascii="宋体" w:hAnsi="宋体" w:eastAsia="宋体" w:cs="宋体"/>
          <w:color w:val="auto"/>
          <w:kern w:val="0"/>
          <w:sz w:val="21"/>
          <w:szCs w:val="21"/>
          <w:highlight w:val="none"/>
        </w:rPr>
        <w:t>涉电安全检查、突发事件应对处置、节假日及重大活动期间的照明设施应急保障工作等内容</w:t>
      </w:r>
      <w:r>
        <w:rPr>
          <w:rFonts w:hint="eastAsia" w:ascii="宋体" w:hAnsi="宋体" w:eastAsia="宋体" w:cs="宋体"/>
          <w:color w:val="auto"/>
          <w:sz w:val="21"/>
          <w:szCs w:val="21"/>
          <w:highlight w:val="none"/>
          <w:lang w:val="zh-CN"/>
        </w:rPr>
        <w:t>。</w:t>
      </w:r>
    </w:p>
    <w:p w14:paraId="61CAE34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2"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
          <w:bCs/>
          <w:color w:val="auto"/>
          <w:kern w:val="2"/>
          <w:sz w:val="21"/>
          <w:szCs w:val="21"/>
          <w:highlight w:val="none"/>
          <w:lang w:val="zh-CN" w:eastAsia="zh-CN" w:bidi="ar-SA"/>
        </w:rPr>
        <w:t>三、考核、评分办法</w:t>
      </w:r>
    </w:p>
    <w:p w14:paraId="38DC1D0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（一）</w:t>
      </w:r>
      <w:r>
        <w:rPr>
          <w:rFonts w:hint="eastAsia" w:ascii="宋体" w:hAnsi="宋体" w:eastAsia="宋体" w:cs="宋体"/>
          <w:b/>
          <w:bCs/>
          <w:color w:val="auto"/>
          <w:sz w:val="21"/>
          <w:szCs w:val="21"/>
          <w:highlight w:val="none"/>
        </w:rPr>
        <w:t>考核机构</w:t>
      </w:r>
    </w:p>
    <w:p w14:paraId="0962EB1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组建</w:t>
      </w:r>
      <w:bookmarkStart w:id="2" w:name="OLE_LINK8"/>
      <w:r>
        <w:rPr>
          <w:rFonts w:hint="eastAsia" w:ascii="宋体" w:hAnsi="宋体" w:eastAsia="宋体" w:cs="宋体"/>
          <w:color w:val="auto"/>
          <w:sz w:val="21"/>
          <w:szCs w:val="21"/>
          <w:highlight w:val="none"/>
          <w:lang w:eastAsia="zh-CN"/>
        </w:rPr>
        <w:t>城市</w:t>
      </w:r>
      <w:r>
        <w:rPr>
          <w:rFonts w:hint="eastAsia" w:ascii="宋体" w:hAnsi="宋体" w:eastAsia="宋体" w:cs="宋体"/>
          <w:color w:val="auto"/>
          <w:sz w:val="21"/>
          <w:szCs w:val="21"/>
          <w:highlight w:val="none"/>
        </w:rPr>
        <w:t>照明设施维修养护考评组</w:t>
      </w:r>
      <w:bookmarkEnd w:id="2"/>
      <w:r>
        <w:rPr>
          <w:rFonts w:hint="eastAsia" w:ascii="宋体" w:hAnsi="宋体" w:eastAsia="宋体" w:cs="宋体"/>
          <w:color w:val="auto"/>
          <w:sz w:val="21"/>
          <w:szCs w:val="21"/>
          <w:highlight w:val="none"/>
        </w:rPr>
        <w:t>，组长为</w:t>
      </w:r>
      <w:r>
        <w:rPr>
          <w:rFonts w:hint="eastAsia" w:ascii="宋体" w:hAnsi="宋体" w:eastAsia="宋体" w:cs="宋体"/>
          <w:color w:val="auto"/>
          <w:sz w:val="21"/>
          <w:szCs w:val="21"/>
          <w:highlight w:val="none"/>
          <w:lang w:eastAsia="zh-CN"/>
        </w:rPr>
        <w:t>市住房和城乡建设局</w:t>
      </w:r>
      <w:r>
        <w:rPr>
          <w:rFonts w:hint="eastAsia" w:ascii="宋体" w:hAnsi="宋体" w:eastAsia="宋体" w:cs="宋体"/>
          <w:color w:val="auto"/>
          <w:sz w:val="21"/>
          <w:szCs w:val="21"/>
          <w:highlight w:val="none"/>
        </w:rPr>
        <w:t>分管领导，副组长为市</w:t>
      </w:r>
      <w:r>
        <w:rPr>
          <w:rFonts w:hint="eastAsia" w:ascii="宋体" w:hAnsi="宋体" w:eastAsia="宋体" w:cs="宋体"/>
          <w:color w:val="auto"/>
          <w:sz w:val="21"/>
          <w:szCs w:val="21"/>
          <w:highlight w:val="none"/>
          <w:lang w:eastAsia="zh-CN"/>
        </w:rPr>
        <w:t>道路照明设施管理所</w:t>
      </w:r>
      <w:r>
        <w:rPr>
          <w:rFonts w:hint="eastAsia" w:ascii="宋体" w:hAnsi="宋体" w:eastAsia="宋体" w:cs="宋体"/>
          <w:color w:val="auto"/>
          <w:sz w:val="21"/>
          <w:szCs w:val="21"/>
          <w:highlight w:val="none"/>
        </w:rPr>
        <w:t>负责人，考评组成员由</w:t>
      </w:r>
      <w:r>
        <w:rPr>
          <w:rFonts w:hint="eastAsia" w:ascii="宋体" w:hAnsi="宋体" w:eastAsia="宋体" w:cs="宋体"/>
          <w:color w:val="auto"/>
          <w:sz w:val="21"/>
          <w:szCs w:val="21"/>
          <w:highlight w:val="none"/>
          <w:lang w:eastAsia="zh-CN"/>
        </w:rPr>
        <w:t>市住房和城乡建设局城市建设与更新</w:t>
      </w:r>
      <w:r>
        <w:rPr>
          <w:rFonts w:hint="eastAsia" w:ascii="宋体" w:hAnsi="宋体" w:eastAsia="宋体" w:cs="宋体"/>
          <w:color w:val="auto"/>
          <w:sz w:val="21"/>
          <w:szCs w:val="21"/>
          <w:highlight w:val="none"/>
        </w:rPr>
        <w:t>科和市</w:t>
      </w:r>
      <w:r>
        <w:rPr>
          <w:rFonts w:hint="eastAsia" w:ascii="宋体" w:hAnsi="宋体" w:eastAsia="宋体" w:cs="宋体"/>
          <w:color w:val="auto"/>
          <w:sz w:val="21"/>
          <w:szCs w:val="21"/>
          <w:highlight w:val="none"/>
          <w:lang w:eastAsia="zh-CN"/>
        </w:rPr>
        <w:t>道路照明设施管理所等相关</w:t>
      </w:r>
      <w:r>
        <w:rPr>
          <w:rFonts w:hint="eastAsia" w:ascii="宋体" w:hAnsi="宋体" w:eastAsia="宋体" w:cs="宋体"/>
          <w:color w:val="auto"/>
          <w:sz w:val="21"/>
          <w:szCs w:val="21"/>
          <w:highlight w:val="none"/>
        </w:rPr>
        <w:t>人员组成，市</w:t>
      </w:r>
      <w:r>
        <w:rPr>
          <w:rFonts w:hint="eastAsia" w:ascii="宋体" w:hAnsi="宋体" w:eastAsia="宋体" w:cs="宋体"/>
          <w:color w:val="auto"/>
          <w:sz w:val="21"/>
          <w:szCs w:val="21"/>
          <w:highlight w:val="none"/>
          <w:lang w:eastAsia="zh-CN"/>
        </w:rPr>
        <w:t>道路照明设施管理所</w:t>
      </w:r>
      <w:r>
        <w:rPr>
          <w:rFonts w:hint="eastAsia" w:ascii="宋体" w:hAnsi="宋体" w:eastAsia="宋体" w:cs="宋体"/>
          <w:color w:val="auto"/>
          <w:sz w:val="21"/>
          <w:szCs w:val="21"/>
          <w:highlight w:val="none"/>
        </w:rPr>
        <w:t>负责考核当中的相关组织、衔接、收集整理台账等工作</w:t>
      </w:r>
      <w:r>
        <w:rPr>
          <w:rFonts w:hint="eastAsia" w:ascii="宋体" w:hAnsi="宋体" w:eastAsia="宋体" w:cs="宋体"/>
          <w:color w:val="auto"/>
          <w:sz w:val="21"/>
          <w:szCs w:val="21"/>
          <w:highlight w:val="none"/>
          <w:lang w:eastAsia="zh-CN"/>
        </w:rPr>
        <w:t>，考评组成员可视工作实际进行调整。</w:t>
      </w:r>
    </w:p>
    <w:p w14:paraId="03D84EC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2"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考核程序</w:t>
      </w:r>
    </w:p>
    <w:p w14:paraId="38D0C47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考核分为日常考核、月度考核和年度考核。其中日常考核主要由</w:t>
      </w:r>
      <w:bookmarkStart w:id="3" w:name="OLE_LINK9"/>
      <w:r>
        <w:rPr>
          <w:rFonts w:hint="eastAsia" w:ascii="宋体" w:hAnsi="宋体" w:eastAsia="宋体" w:cs="宋体"/>
          <w:color w:val="auto"/>
          <w:sz w:val="21"/>
          <w:szCs w:val="21"/>
          <w:highlight w:val="none"/>
        </w:rPr>
        <w:t>市</w:t>
      </w:r>
      <w:r>
        <w:rPr>
          <w:rFonts w:hint="eastAsia" w:ascii="宋体" w:hAnsi="宋体" w:eastAsia="宋体" w:cs="宋体"/>
          <w:color w:val="auto"/>
          <w:sz w:val="21"/>
          <w:szCs w:val="21"/>
          <w:highlight w:val="none"/>
          <w:lang w:eastAsia="zh-CN"/>
        </w:rPr>
        <w:t>道路照明设施管理所负责</w:t>
      </w:r>
      <w:bookmarkEnd w:id="3"/>
      <w:r>
        <w:rPr>
          <w:rFonts w:hint="eastAsia" w:ascii="宋体" w:hAnsi="宋体" w:eastAsia="宋体" w:cs="宋体"/>
          <w:color w:val="auto"/>
          <w:sz w:val="21"/>
          <w:szCs w:val="21"/>
          <w:highlight w:val="none"/>
          <w:lang w:eastAsia="zh-CN"/>
        </w:rPr>
        <w:t>，主要</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eastAsia="zh-CN"/>
        </w:rPr>
        <w:t>日常巡检、抽</w:t>
      </w:r>
      <w:r>
        <w:rPr>
          <w:rFonts w:hint="eastAsia" w:ascii="宋体" w:hAnsi="宋体" w:eastAsia="宋体" w:cs="宋体"/>
          <w:color w:val="auto"/>
          <w:sz w:val="21"/>
          <w:szCs w:val="21"/>
          <w:highlight w:val="none"/>
        </w:rPr>
        <w:t>查、群众投诉反馈、设施运行数据监测等方式，对服务企业的服务质量、工作效率、响应速度</w:t>
      </w:r>
      <w:r>
        <w:rPr>
          <w:rFonts w:hint="eastAsia" w:ascii="宋体" w:hAnsi="宋体" w:eastAsia="宋体" w:cs="宋体"/>
          <w:color w:val="auto"/>
          <w:sz w:val="21"/>
          <w:szCs w:val="21"/>
          <w:highlight w:val="none"/>
          <w:lang w:eastAsia="zh-CN"/>
        </w:rPr>
        <w:t>、处置成效、养护成果</w:t>
      </w:r>
      <w:r>
        <w:rPr>
          <w:rFonts w:hint="eastAsia" w:ascii="宋体" w:hAnsi="宋体" w:eastAsia="宋体" w:cs="宋体"/>
          <w:color w:val="auto"/>
          <w:sz w:val="21"/>
          <w:szCs w:val="21"/>
          <w:highlight w:val="none"/>
        </w:rPr>
        <w:t>等进行实时监督和考核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安全</w:t>
      </w:r>
      <w:r>
        <w:rPr>
          <w:rFonts w:hint="eastAsia" w:ascii="宋体" w:hAnsi="宋体" w:eastAsia="宋体" w:cs="宋体"/>
          <w:color w:val="auto"/>
          <w:sz w:val="21"/>
          <w:szCs w:val="21"/>
          <w:highlight w:val="none"/>
        </w:rPr>
        <w:t>隐患</w:t>
      </w:r>
      <w:r>
        <w:rPr>
          <w:rFonts w:hint="eastAsia" w:ascii="宋体" w:hAnsi="宋体" w:eastAsia="宋体" w:cs="宋体"/>
          <w:color w:val="auto"/>
          <w:sz w:val="21"/>
          <w:szCs w:val="21"/>
          <w:highlight w:val="none"/>
          <w:lang w:eastAsia="zh-CN"/>
        </w:rPr>
        <w:t>未消除、未按安全章程与制度规范施工作业、</w:t>
      </w:r>
      <w:r>
        <w:rPr>
          <w:rFonts w:hint="eastAsia" w:ascii="宋体" w:hAnsi="宋体" w:eastAsia="宋体" w:cs="宋体"/>
          <w:color w:val="auto"/>
          <w:sz w:val="21"/>
          <w:szCs w:val="21"/>
          <w:highlight w:val="none"/>
        </w:rPr>
        <w:t>故障</w:t>
      </w:r>
      <w:r>
        <w:rPr>
          <w:rFonts w:hint="eastAsia" w:ascii="宋体" w:hAnsi="宋体" w:eastAsia="宋体" w:cs="宋体"/>
          <w:color w:val="auto"/>
          <w:sz w:val="21"/>
          <w:szCs w:val="21"/>
          <w:highlight w:val="none"/>
          <w:lang w:eastAsia="zh-CN"/>
        </w:rPr>
        <w:t>排查与检修不到位、设施（设备）缺失、台账记录缺失或不达标、设施（设备）维修保养不到位、城市照明监控系统与现场巡查未落实、未经允许调整城市照明监控系统控制策略和开</w:t>
      </w:r>
      <w:r>
        <w:rPr>
          <w:rFonts w:hint="eastAsia" w:ascii="宋体" w:hAnsi="宋体" w:eastAsia="宋体" w:cs="宋体"/>
          <w:color w:val="auto"/>
          <w:sz w:val="21"/>
          <w:szCs w:val="21"/>
          <w:highlight w:val="none"/>
          <w:lang w:val="en-US" w:eastAsia="zh-CN"/>
        </w:rPr>
        <w:t>/关灯时间</w:t>
      </w:r>
      <w:r>
        <w:rPr>
          <w:rFonts w:hint="eastAsia" w:ascii="宋体" w:hAnsi="宋体" w:eastAsia="宋体" w:cs="宋体"/>
          <w:color w:val="auto"/>
          <w:sz w:val="21"/>
          <w:szCs w:val="21"/>
          <w:highlight w:val="none"/>
          <w:lang w:eastAsia="zh-CN"/>
        </w:rPr>
        <w:t>、未经允许私拉接电或巡检不到位导致被偷电与被盗设施（设备）、未及时处置恢复被损被盗设施（设备）、未及时反馈处置信息被考核方与第三方发现或投诉、保障照明与供电不到位、时效响应方面拖延迟缓、未在规定时限内处置修复及整改项目逾期未完成</w:t>
      </w:r>
      <w:r>
        <w:rPr>
          <w:rFonts w:hint="eastAsia" w:ascii="宋体" w:hAnsi="宋体" w:eastAsia="宋体" w:cs="宋体"/>
          <w:color w:val="auto"/>
          <w:sz w:val="21"/>
          <w:szCs w:val="21"/>
          <w:highlight w:val="none"/>
        </w:rPr>
        <w:t>问题</w:t>
      </w:r>
      <w:r>
        <w:rPr>
          <w:rFonts w:hint="eastAsia" w:ascii="宋体" w:hAnsi="宋体" w:eastAsia="宋体" w:cs="宋体"/>
          <w:color w:val="auto"/>
          <w:sz w:val="21"/>
          <w:szCs w:val="21"/>
          <w:highlight w:val="none"/>
          <w:lang w:eastAsia="zh-CN"/>
        </w:rPr>
        <w:t>，考评组</w:t>
      </w:r>
      <w:r>
        <w:rPr>
          <w:rFonts w:hint="eastAsia" w:ascii="宋体" w:hAnsi="宋体" w:eastAsia="宋体" w:cs="宋体"/>
          <w:color w:val="auto"/>
          <w:sz w:val="21"/>
          <w:szCs w:val="21"/>
          <w:highlight w:val="none"/>
        </w:rPr>
        <w:t>下发考评扣分通知单，按规定扣除相应分值</w:t>
      </w:r>
      <w:r>
        <w:rPr>
          <w:rFonts w:hint="eastAsia" w:ascii="宋体" w:hAnsi="宋体" w:eastAsia="宋体" w:cs="宋体"/>
          <w:color w:val="auto"/>
          <w:sz w:val="21"/>
          <w:szCs w:val="21"/>
          <w:highlight w:val="none"/>
          <w:lang w:eastAsia="zh-CN"/>
        </w:rPr>
        <w:t>或扣除相应服务费，</w:t>
      </w:r>
      <w:r>
        <w:rPr>
          <w:rFonts w:hint="eastAsia" w:ascii="宋体" w:hAnsi="宋体" w:eastAsia="宋体" w:cs="宋体"/>
          <w:color w:val="auto"/>
          <w:sz w:val="21"/>
          <w:szCs w:val="21"/>
          <w:highlight w:val="none"/>
        </w:rPr>
        <w:t>并将有关情况登记汇总，若</w:t>
      </w:r>
      <w:r>
        <w:rPr>
          <w:rFonts w:hint="eastAsia" w:ascii="宋体" w:hAnsi="宋体" w:eastAsia="宋体" w:cs="宋体"/>
          <w:color w:val="auto"/>
          <w:sz w:val="21"/>
          <w:szCs w:val="21"/>
          <w:highlight w:val="none"/>
          <w:lang w:eastAsia="zh-CN"/>
        </w:rPr>
        <w:t>服务企业</w:t>
      </w:r>
      <w:r>
        <w:rPr>
          <w:rFonts w:hint="eastAsia" w:ascii="宋体" w:hAnsi="宋体" w:eastAsia="宋体" w:cs="宋体"/>
          <w:color w:val="auto"/>
          <w:sz w:val="21"/>
          <w:szCs w:val="21"/>
          <w:highlight w:val="none"/>
        </w:rPr>
        <w:t>未能按期完成整改的，</w:t>
      </w:r>
      <w:r>
        <w:rPr>
          <w:rFonts w:hint="eastAsia" w:ascii="宋体" w:hAnsi="宋体" w:eastAsia="宋体" w:cs="宋体"/>
          <w:color w:val="auto"/>
          <w:sz w:val="21"/>
          <w:szCs w:val="21"/>
          <w:highlight w:val="none"/>
          <w:lang w:eastAsia="zh-CN"/>
        </w:rPr>
        <w:t>将继续滚动式扣分直至完成并达到工作要求。月度考核由</w:t>
      </w:r>
      <w:r>
        <w:rPr>
          <w:rFonts w:hint="eastAsia" w:ascii="宋体" w:hAnsi="宋体" w:eastAsia="宋体" w:cs="宋体"/>
          <w:color w:val="auto"/>
          <w:sz w:val="21"/>
          <w:szCs w:val="21"/>
          <w:highlight w:val="none"/>
        </w:rPr>
        <w:t>市</w:t>
      </w:r>
      <w:r>
        <w:rPr>
          <w:rFonts w:hint="eastAsia" w:ascii="宋体" w:hAnsi="宋体" w:eastAsia="宋体" w:cs="宋体"/>
          <w:color w:val="auto"/>
          <w:sz w:val="21"/>
          <w:szCs w:val="21"/>
          <w:highlight w:val="none"/>
          <w:lang w:eastAsia="zh-CN"/>
        </w:rPr>
        <w:t>道路照明设施管理所负责，主要</w:t>
      </w:r>
      <w:r>
        <w:rPr>
          <w:rFonts w:hint="eastAsia" w:ascii="宋体" w:hAnsi="宋体" w:eastAsia="宋体" w:cs="宋体"/>
          <w:color w:val="auto"/>
          <w:sz w:val="21"/>
          <w:szCs w:val="21"/>
          <w:highlight w:val="none"/>
        </w:rPr>
        <w:t>通过现场检查、</w:t>
      </w:r>
      <w:r>
        <w:rPr>
          <w:rFonts w:hint="eastAsia" w:ascii="宋体" w:hAnsi="宋体" w:eastAsia="宋体" w:cs="宋体"/>
          <w:color w:val="auto"/>
          <w:sz w:val="21"/>
          <w:szCs w:val="21"/>
          <w:highlight w:val="none"/>
          <w:lang w:eastAsia="zh-CN"/>
        </w:rPr>
        <w:t>资料台账抽查审核、项目奖惩、当月维修养护服务综合评议、</w:t>
      </w:r>
      <w:r>
        <w:rPr>
          <w:rFonts w:hint="eastAsia" w:ascii="宋体" w:hAnsi="宋体" w:eastAsia="宋体" w:cs="宋体"/>
          <w:color w:val="auto"/>
          <w:sz w:val="21"/>
          <w:szCs w:val="21"/>
          <w:highlight w:val="none"/>
        </w:rPr>
        <w:t>群众投诉反馈、设施运行数据监测等方式，对服务企业的服务质量、工作效率、响应速度</w:t>
      </w:r>
      <w:r>
        <w:rPr>
          <w:rFonts w:hint="eastAsia" w:ascii="宋体" w:hAnsi="宋体" w:eastAsia="宋体" w:cs="宋体"/>
          <w:color w:val="auto"/>
          <w:sz w:val="21"/>
          <w:szCs w:val="21"/>
          <w:highlight w:val="none"/>
          <w:lang w:eastAsia="zh-CN"/>
        </w:rPr>
        <w:t>、承诺服务及合同履约情况</w:t>
      </w:r>
      <w:r>
        <w:rPr>
          <w:rFonts w:hint="eastAsia" w:ascii="宋体" w:hAnsi="宋体" w:eastAsia="宋体" w:cs="宋体"/>
          <w:color w:val="auto"/>
          <w:sz w:val="21"/>
          <w:szCs w:val="21"/>
          <w:highlight w:val="none"/>
        </w:rPr>
        <w:t>等进行实时监督和考核</w:t>
      </w:r>
      <w:r>
        <w:rPr>
          <w:rFonts w:hint="eastAsia" w:ascii="宋体" w:hAnsi="宋体" w:eastAsia="宋体" w:cs="宋体"/>
          <w:color w:val="auto"/>
          <w:sz w:val="21"/>
          <w:szCs w:val="21"/>
          <w:highlight w:val="none"/>
          <w:lang w:eastAsia="zh-CN"/>
        </w:rPr>
        <w:t>。年度考核由</w:t>
      </w:r>
      <w:r>
        <w:rPr>
          <w:rFonts w:hint="eastAsia" w:ascii="宋体" w:hAnsi="宋体" w:eastAsia="宋体" w:cs="宋体"/>
          <w:color w:val="auto"/>
          <w:sz w:val="21"/>
          <w:szCs w:val="21"/>
          <w:highlight w:val="none"/>
        </w:rPr>
        <w:t>照明设施维修养护考评组</w:t>
      </w:r>
      <w:r>
        <w:rPr>
          <w:rFonts w:hint="eastAsia" w:ascii="宋体" w:hAnsi="宋体" w:eastAsia="宋体" w:cs="宋体"/>
          <w:color w:val="auto"/>
          <w:sz w:val="21"/>
          <w:szCs w:val="21"/>
          <w:highlight w:val="none"/>
          <w:lang w:eastAsia="zh-CN"/>
        </w:rPr>
        <w:t>负责，对</w:t>
      </w:r>
      <w:r>
        <w:rPr>
          <w:rFonts w:hint="eastAsia" w:ascii="宋体" w:hAnsi="宋体" w:eastAsia="宋体" w:cs="宋体"/>
          <w:color w:val="auto"/>
          <w:sz w:val="21"/>
          <w:szCs w:val="21"/>
          <w:highlight w:val="none"/>
        </w:rPr>
        <w:t>每年对服务企业进行</w:t>
      </w:r>
      <w:bookmarkStart w:id="4" w:name="OLE_LINK2"/>
      <w:r>
        <w:rPr>
          <w:rFonts w:hint="eastAsia" w:ascii="宋体" w:hAnsi="宋体" w:eastAsia="宋体" w:cs="宋体"/>
          <w:color w:val="auto"/>
          <w:sz w:val="21"/>
          <w:szCs w:val="21"/>
          <w:highlight w:val="none"/>
        </w:rPr>
        <w:t>全面考核评估</w:t>
      </w:r>
      <w:bookmarkEnd w:id="4"/>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该</w:t>
      </w:r>
      <w:r>
        <w:rPr>
          <w:rFonts w:hint="eastAsia" w:ascii="宋体" w:hAnsi="宋体" w:eastAsia="宋体" w:cs="宋体"/>
          <w:color w:val="auto"/>
          <w:sz w:val="21"/>
          <w:szCs w:val="21"/>
          <w:highlight w:val="none"/>
        </w:rPr>
        <w:t>考核结果作为</w:t>
      </w:r>
      <w:r>
        <w:rPr>
          <w:rFonts w:hint="eastAsia" w:ascii="宋体" w:hAnsi="宋体" w:eastAsia="宋体" w:cs="宋体"/>
          <w:color w:val="auto"/>
          <w:sz w:val="21"/>
          <w:szCs w:val="21"/>
          <w:highlight w:val="none"/>
          <w:lang w:val="en-US" w:eastAsia="zh-CN"/>
        </w:rPr>
        <w:t>绩效</w:t>
      </w:r>
      <w:r>
        <w:rPr>
          <w:rFonts w:hint="eastAsia" w:ascii="宋体" w:hAnsi="宋体" w:eastAsia="宋体" w:cs="宋体"/>
          <w:color w:val="auto"/>
          <w:sz w:val="21"/>
          <w:szCs w:val="21"/>
          <w:highlight w:val="none"/>
        </w:rPr>
        <w:t>奖惩的重要依据。</w:t>
      </w:r>
    </w:p>
    <w:p w14:paraId="67E10F5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2"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kern w:val="2"/>
          <w:sz w:val="21"/>
          <w:szCs w:val="21"/>
          <w:highlight w:val="none"/>
          <w:lang w:val="en-US" w:eastAsia="zh-CN" w:bidi="ar-SA"/>
        </w:rPr>
        <w:t>（三）考核、评分标准</w:t>
      </w:r>
    </w:p>
    <w:p w14:paraId="69272115">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sectPr>
          <w:footerReference r:id="rId5" w:type="default"/>
          <w:pgSz w:w="11906" w:h="16838"/>
          <w:pgMar w:top="2098" w:right="1474" w:bottom="1474" w:left="1474" w:header="0" w:footer="930" w:gutter="0"/>
          <w:pgNumType w:fmt="decimal"/>
          <w:cols w:space="0" w:num="1"/>
          <w:rtlGutter w:val="0"/>
          <w:docGrid w:linePitch="312" w:charSpace="0"/>
        </w:sectPr>
      </w:pPr>
      <w:r>
        <w:rPr>
          <w:rFonts w:hint="eastAsia" w:ascii="宋体" w:hAnsi="宋体" w:eastAsia="宋体" w:cs="宋体"/>
          <w:color w:val="auto"/>
          <w:sz w:val="21"/>
          <w:szCs w:val="21"/>
          <w:highlight w:val="none"/>
          <w:lang w:val="en-US" w:eastAsia="zh-CN"/>
        </w:rPr>
        <w:t>1.日常考核细则</w:t>
      </w:r>
      <w:bookmarkStart w:id="5" w:name="_Toc529885405"/>
    </w:p>
    <w:tbl>
      <w:tblPr>
        <w:tblStyle w:val="8"/>
        <w:tblW w:w="10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750"/>
        <w:gridCol w:w="1708"/>
        <w:gridCol w:w="700"/>
        <w:gridCol w:w="4991"/>
        <w:gridCol w:w="837"/>
        <w:gridCol w:w="402"/>
      </w:tblGrid>
      <w:tr w14:paraId="3213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68C3B836">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序号</w:t>
            </w:r>
          </w:p>
        </w:tc>
        <w:tc>
          <w:tcPr>
            <w:tcW w:w="750" w:type="dxa"/>
            <w:vAlign w:val="center"/>
          </w:tcPr>
          <w:p w14:paraId="7710B0DB">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w:t>
            </w:r>
          </w:p>
        </w:tc>
        <w:tc>
          <w:tcPr>
            <w:tcW w:w="1708" w:type="dxa"/>
            <w:vAlign w:val="center"/>
          </w:tcPr>
          <w:p w14:paraId="7BCC4872">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考核内容</w:t>
            </w:r>
          </w:p>
        </w:tc>
        <w:tc>
          <w:tcPr>
            <w:tcW w:w="700" w:type="dxa"/>
            <w:vAlign w:val="center"/>
          </w:tcPr>
          <w:p w14:paraId="6145255B">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分值</w:t>
            </w:r>
          </w:p>
        </w:tc>
        <w:tc>
          <w:tcPr>
            <w:tcW w:w="4991" w:type="dxa"/>
            <w:vAlign w:val="center"/>
          </w:tcPr>
          <w:p w14:paraId="07B2F7B1">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计分方法和扣分</w:t>
            </w:r>
            <w:r>
              <w:rPr>
                <w:rFonts w:hint="eastAsia" w:ascii="宋体" w:hAnsi="宋体" w:eastAsia="宋体" w:cs="宋体"/>
                <w:color w:val="auto"/>
                <w:sz w:val="21"/>
                <w:szCs w:val="21"/>
                <w:highlight w:val="none"/>
                <w:lang w:val="en-US" w:eastAsia="zh-CN"/>
              </w:rPr>
              <w:t>/扣款</w:t>
            </w:r>
            <w:r>
              <w:rPr>
                <w:rFonts w:hint="eastAsia" w:ascii="宋体" w:hAnsi="宋体" w:eastAsia="宋体" w:cs="宋体"/>
                <w:color w:val="auto"/>
                <w:sz w:val="21"/>
                <w:szCs w:val="21"/>
                <w:highlight w:val="none"/>
              </w:rPr>
              <w:t>标准</w:t>
            </w:r>
          </w:p>
        </w:tc>
        <w:tc>
          <w:tcPr>
            <w:tcW w:w="837" w:type="dxa"/>
            <w:vAlign w:val="center"/>
          </w:tcPr>
          <w:p w14:paraId="381F82B6">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得分</w:t>
            </w:r>
          </w:p>
        </w:tc>
        <w:tc>
          <w:tcPr>
            <w:tcW w:w="402" w:type="dxa"/>
            <w:vAlign w:val="center"/>
          </w:tcPr>
          <w:p w14:paraId="70B1B26A">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备注</w:t>
            </w:r>
          </w:p>
        </w:tc>
      </w:tr>
      <w:tr w14:paraId="22F1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1" w:hRule="atLeast"/>
          <w:jc w:val="center"/>
        </w:trPr>
        <w:tc>
          <w:tcPr>
            <w:tcW w:w="683" w:type="dxa"/>
            <w:vAlign w:val="center"/>
          </w:tcPr>
          <w:p w14:paraId="2E09CD36">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750" w:type="dxa"/>
            <w:vAlign w:val="center"/>
          </w:tcPr>
          <w:p w14:paraId="1144913B">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巡查维修</w:t>
            </w:r>
          </w:p>
        </w:tc>
        <w:tc>
          <w:tcPr>
            <w:tcW w:w="1708" w:type="dxa"/>
            <w:vAlign w:val="center"/>
          </w:tcPr>
          <w:p w14:paraId="45D5D16A">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1.对合同范围内所有照明设施巡查，对亮灯率、设备完好率、防盗情况进行记录。</w:t>
            </w:r>
          </w:p>
          <w:p w14:paraId="6623FAFB">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2.对中标方日常巡查与招标方抽查检查发现的隐患问题及时处理到位（遇到天气问题等不可抗力特殊情况顺延）。</w:t>
            </w:r>
          </w:p>
        </w:tc>
        <w:tc>
          <w:tcPr>
            <w:tcW w:w="700" w:type="dxa"/>
            <w:vAlign w:val="center"/>
          </w:tcPr>
          <w:p w14:paraId="01FBABE2">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w:t>
            </w:r>
          </w:p>
        </w:tc>
        <w:tc>
          <w:tcPr>
            <w:tcW w:w="4991" w:type="dxa"/>
            <w:vAlign w:val="center"/>
          </w:tcPr>
          <w:p w14:paraId="2D8A3574">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中标方每月25日前上报巡查计划表，包含人员安排、车辆信息及联系方式，未按时上报的每次扣10分。</w:t>
            </w:r>
            <w:r>
              <w:rPr>
                <w:rFonts w:hint="eastAsia" w:ascii="宋体" w:hAnsi="宋体" w:eastAsia="宋体" w:cs="宋体"/>
                <w:color w:val="auto"/>
                <w:sz w:val="21"/>
                <w:szCs w:val="21"/>
                <w:highlight w:val="none"/>
                <w:lang w:val="en-US" w:eastAsia="zh-CN"/>
              </w:rPr>
              <w:t>每7天为一个周期上报一次全覆盖巡查轨迹，包含巡查图片、动态轨迹视频。未按时上报每次扣5分。</w:t>
            </w:r>
          </w:p>
          <w:p w14:paraId="59E8DB32">
            <w:pPr>
              <w:pStyle w:val="2"/>
              <w:keepNext w:val="0"/>
              <w:keepLines w:val="0"/>
              <w:pageBreakBefore w:val="0"/>
              <w:widowControl w:val="0"/>
              <w:numPr>
                <w:ilvl w:val="0"/>
                <w:numId w:val="0"/>
              </w:numPr>
              <w:kinsoku/>
              <w:wordWrap/>
              <w:overflowPunct/>
              <w:topLinePunct w:val="0"/>
              <w:autoSpaceDE/>
              <w:autoSpaceDN/>
              <w:bidi w:val="0"/>
              <w:snapToGrid/>
              <w:spacing w:before="0" w:beforeAutospacing="0" w:afterAutospacing="0" w:line="360" w:lineRule="auto"/>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color w:val="auto"/>
                <w:sz w:val="21"/>
                <w:szCs w:val="21"/>
                <w:highlight w:val="none"/>
              </w:rPr>
              <w:t>中标方未及时上报一次巡查记录、未对亮灯、完好率等情况进行及时记录、或未使用相机对发现问题的节点进行拍照记录的每次扣5分。</w:t>
            </w:r>
          </w:p>
          <w:p w14:paraId="7B10B737">
            <w:pPr>
              <w:pStyle w:val="2"/>
              <w:keepNext w:val="0"/>
              <w:keepLines w:val="0"/>
              <w:pageBreakBefore w:val="0"/>
              <w:widowControl w:val="0"/>
              <w:numPr>
                <w:ilvl w:val="0"/>
                <w:numId w:val="0"/>
              </w:numPr>
              <w:kinsoku/>
              <w:wordWrap/>
              <w:overflowPunct/>
              <w:topLinePunct w:val="0"/>
              <w:autoSpaceDE/>
              <w:autoSpaceDN/>
              <w:bidi w:val="0"/>
              <w:snapToGrid/>
              <w:spacing w:before="0" w:beforeAutospacing="0" w:afterAutospacing="0"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rPr>
              <w:t>3.</w:t>
            </w:r>
            <w:r>
              <w:rPr>
                <w:rFonts w:hint="eastAsia" w:ascii="宋体" w:hAnsi="宋体" w:eastAsia="宋体" w:cs="宋体"/>
                <w:color w:val="auto"/>
                <w:sz w:val="21"/>
                <w:szCs w:val="21"/>
                <w:highlight w:val="none"/>
              </w:rPr>
              <w:t>招标方不定期按中标方制定的巡查计划表对人员的到位情况进行抽查，如发现中标方人员配置不齐的每次扣10分。</w:t>
            </w:r>
          </w:p>
          <w:p w14:paraId="44DC6E13">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4.因中标方巡查不到位，没有及时发现问题，由招标方或第三方发现问题的（如大面积停电故障、整段熄灯、城市照明监控系统故障、异常开/关灯等。）每次扣款200元，扣10分。</w:t>
            </w:r>
          </w:p>
          <w:p w14:paraId="5108ACB5">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国家法定节日（含“壮族三月三”）、重大活动、汛期及台风值班（根据上级通知要求）前三天对城区主干道（北部湾大道、金花茶大道、西湾大道、江山大道、玉桂大道、迎宾街、跨海大桥、针鱼岭大桥等）、城市沙滩二期、北部湾海洋文化公园、白鹭公园、伏波公园、仙人山公园等进行全面巡查和维修。因中标方巡查和维修不到位（因其他单位损坏、天气条件及现场客观条件不允许影响维修、供电停电等特殊情况除外），收到群众投诉2条及以上，每件投诉扣5分；被上级领导或招标方检查发现问题每次扣200元。</w:t>
            </w:r>
          </w:p>
          <w:p w14:paraId="7ED48BA7">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4.未及时发现及处理电缆被盗、灯杆被损坏、灯具缺失等情况，收到</w:t>
            </w:r>
            <w:r>
              <w:rPr>
                <w:rFonts w:hint="eastAsia" w:ascii="宋体" w:hAnsi="宋体" w:eastAsia="宋体" w:cs="宋体"/>
                <w:color w:val="auto"/>
                <w:sz w:val="21"/>
                <w:szCs w:val="21"/>
                <w:highlight w:val="none"/>
                <w:lang w:val="en-US" w:eastAsia="zh-CN"/>
              </w:rPr>
              <w:t>群众投诉，每件投诉扣5分；被上级领导或招标方检查发现问题每次扣200元。</w:t>
            </w:r>
          </w:p>
        </w:tc>
        <w:tc>
          <w:tcPr>
            <w:tcW w:w="837" w:type="dxa"/>
            <w:vAlign w:val="center"/>
          </w:tcPr>
          <w:p w14:paraId="2B4C5094">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vertAlign w:val="baseline"/>
              </w:rPr>
            </w:pPr>
          </w:p>
        </w:tc>
        <w:tc>
          <w:tcPr>
            <w:tcW w:w="402" w:type="dxa"/>
            <w:vAlign w:val="center"/>
          </w:tcPr>
          <w:p w14:paraId="75712D02">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vertAlign w:val="baseline"/>
              </w:rPr>
            </w:pPr>
          </w:p>
        </w:tc>
      </w:tr>
      <w:tr w14:paraId="735D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117B3D2B">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750" w:type="dxa"/>
            <w:vAlign w:val="center"/>
          </w:tcPr>
          <w:p w14:paraId="79C92124">
            <w:pPr>
              <w:keepNext w:val="0"/>
              <w:keepLines w:val="0"/>
              <w:pageBreakBefore w:val="0"/>
              <w:widowControl w:val="0"/>
              <w:kinsoku/>
              <w:wordWrap/>
              <w:overflowPunct/>
              <w:topLinePunct w:val="0"/>
              <w:autoSpaceDE/>
              <w:autoSpaceDN/>
              <w:bidi w:val="0"/>
              <w:snapToGrid/>
              <w:spacing w:beforeAutospacing="0" w:afterAutospacing="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安全生产、文明施工</w:t>
            </w:r>
          </w:p>
        </w:tc>
        <w:tc>
          <w:tcPr>
            <w:tcW w:w="1708" w:type="dxa"/>
            <w:vAlign w:val="center"/>
          </w:tcPr>
          <w:p w14:paraId="6B57CE9B">
            <w:pPr>
              <w:keepNext w:val="0"/>
              <w:keepLines w:val="0"/>
              <w:pageBreakBefore w:val="0"/>
              <w:widowControl w:val="0"/>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中标方负责照明设施的运行及安全工作,必须要对施工现场进行安全监督。</w:t>
            </w:r>
          </w:p>
        </w:tc>
        <w:tc>
          <w:tcPr>
            <w:tcW w:w="700" w:type="dxa"/>
            <w:vAlign w:val="center"/>
          </w:tcPr>
          <w:p w14:paraId="0BFA5542">
            <w:pPr>
              <w:keepNext w:val="0"/>
              <w:keepLines w:val="0"/>
              <w:pageBreakBefore w:val="0"/>
              <w:widowControl w:val="0"/>
              <w:kinsoku/>
              <w:wordWrap/>
              <w:overflowPunct/>
              <w:topLinePunct w:val="0"/>
              <w:autoSpaceDE/>
              <w:autoSpaceDN/>
              <w:bidi w:val="0"/>
              <w:snapToGrid/>
              <w:spacing w:beforeAutospacing="0" w:afterAutospacing="0"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100</w:t>
            </w:r>
          </w:p>
        </w:tc>
        <w:tc>
          <w:tcPr>
            <w:tcW w:w="4991" w:type="dxa"/>
            <w:vAlign w:val="center"/>
          </w:tcPr>
          <w:p w14:paraId="20BB49EF">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1.施工时违反安全章程制度操作，每次扣10分。</w:t>
            </w:r>
          </w:p>
          <w:p w14:paraId="1BD6C1D0">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2.施工时现场施工人员未按要求着反光服、佩戴安全帽、未按要求规范放置安全锥筒等安全工具的每次扣10分；</w:t>
            </w:r>
          </w:p>
          <w:p w14:paraId="2F063EDA">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3.占道施工时未做好安全防护工作的每次扣10分；</w:t>
            </w:r>
          </w:p>
          <w:p w14:paraId="22889D85">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4.高空作业未佩戴安全帽、防坠自锁器、下方未配置安全人员采取措施进行安全隔离或有其他违规操作的每次扣10分；</w:t>
            </w:r>
          </w:p>
          <w:p w14:paraId="02072D18">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5.中标方在施工过程中未按照相关规定做好围挡施工、违反安全文明施工要求的每次扣10分。</w:t>
            </w:r>
          </w:p>
          <w:p w14:paraId="355392DB">
            <w:pPr>
              <w:pStyle w:val="2"/>
              <w:keepNext w:val="0"/>
              <w:keepLines w:val="0"/>
              <w:pageBreakBefore w:val="0"/>
              <w:widowControl w:val="0"/>
              <w:kinsoku/>
              <w:wordWrap/>
              <w:overflowPunct/>
              <w:topLinePunct w:val="0"/>
              <w:autoSpaceDE/>
              <w:autoSpaceDN/>
              <w:bidi w:val="0"/>
              <w:snapToGrid/>
              <w:spacing w:before="0" w:beforeAutospacing="0" w:afterAutospacing="0" w:line="360" w:lineRule="auto"/>
              <w:ind w:left="0" w:leftChars="0" w:firstLine="0" w:firstLine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6.未按相关要求开展安全生产、消防、防汛防台风等传达部署、学习培训、演练演习的，每次扣10分；拒不开展的，每缺少一次扣20分，直至落实到位；缺少佐证台账资料的，每缺少一项扣10分。</w:t>
            </w:r>
          </w:p>
          <w:p w14:paraId="0C31E593">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7.中标方没有制定详细、符合本项目安全生产、文明施工方面的章程、制度的扣20分，限期整改未完成再扣20分，滚动式扣分直至落实到位。</w:t>
            </w:r>
          </w:p>
          <w:p w14:paraId="0C516ABE">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8.未按要求积极落实隐患排查及整治的，收到群众投诉，每件投诉扣5分；被安全监督部门、供电部门检查发现安全问题，经核实为中标方原因导致的，每次扣10分；被招标方或第三方发现一次扣200元。</w:t>
            </w:r>
          </w:p>
          <w:p w14:paraId="4AEB1FA2">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9.</w:t>
            </w:r>
            <w:bookmarkStart w:id="6" w:name="OLE_LINK7"/>
            <w:r>
              <w:rPr>
                <w:rFonts w:hint="eastAsia" w:ascii="宋体" w:hAnsi="宋体" w:eastAsia="宋体" w:cs="宋体"/>
                <w:color w:val="auto"/>
                <w:sz w:val="21"/>
                <w:szCs w:val="21"/>
                <w:highlight w:val="none"/>
                <w:lang w:val="en-US" w:eastAsia="zh-CN"/>
              </w:rPr>
              <w:t>对招标方巡查发现</w:t>
            </w:r>
            <w:r>
              <w:rPr>
                <w:rFonts w:hint="eastAsia" w:ascii="宋体" w:hAnsi="宋体" w:eastAsia="宋体" w:cs="宋体"/>
                <w:color w:val="auto"/>
                <w:kern w:val="0"/>
                <w:sz w:val="21"/>
                <w:szCs w:val="21"/>
                <w:highlight w:val="none"/>
                <w:lang w:val="en-US" w:eastAsia="zh-CN" w:bidi="ar-SA"/>
              </w:rPr>
              <w:t>一般</w:t>
            </w:r>
            <w:r>
              <w:rPr>
                <w:rFonts w:hint="eastAsia" w:ascii="宋体" w:hAnsi="宋体" w:eastAsia="宋体" w:cs="宋体"/>
                <w:color w:val="auto"/>
                <w:kern w:val="2"/>
                <w:sz w:val="21"/>
                <w:szCs w:val="21"/>
                <w:highlight w:val="none"/>
                <w:lang w:val="en-US" w:eastAsia="zh-CN" w:bidi="ar-SA"/>
              </w:rPr>
              <w:t>隐患</w:t>
            </w:r>
            <w:r>
              <w:rPr>
                <w:rFonts w:hint="eastAsia" w:ascii="宋体" w:hAnsi="宋体" w:eastAsia="宋体" w:cs="宋体"/>
                <w:color w:val="auto"/>
                <w:sz w:val="21"/>
                <w:szCs w:val="21"/>
                <w:highlight w:val="none"/>
                <w:lang w:val="en-US" w:eastAsia="zh-CN"/>
              </w:rPr>
              <w:t>问题要及时处理，如灯具缺失、灯具底座缺失或松动、灯杆歪斜与基础锈蚀及松动、线头裸露、检查口盖板缺失、检查井盖损坏缺失等3天内可完成处理的</w:t>
            </w:r>
            <w:bookmarkEnd w:id="6"/>
            <w:r>
              <w:rPr>
                <w:rFonts w:hint="eastAsia" w:ascii="宋体" w:hAnsi="宋体" w:eastAsia="宋体" w:cs="宋体"/>
                <w:color w:val="auto"/>
                <w:sz w:val="21"/>
                <w:szCs w:val="21"/>
                <w:highlight w:val="none"/>
                <w:lang w:val="en-US" w:eastAsia="zh-CN"/>
              </w:rPr>
              <w:t>隐患，逾期1天扣5分，逾期2天扣10分，以此类推扣完该项分值为止。</w:t>
            </w:r>
          </w:p>
          <w:p w14:paraId="592967BB">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w:t>
            </w:r>
            <w:r>
              <w:rPr>
                <w:rFonts w:hint="eastAsia" w:ascii="宋体" w:hAnsi="宋体" w:eastAsia="宋体" w:cs="宋体"/>
                <w:color w:val="auto"/>
                <w:sz w:val="21"/>
                <w:szCs w:val="21"/>
                <w:highlight w:val="none"/>
                <w:lang w:val="en-US" w:eastAsia="zh-CN"/>
              </w:rPr>
              <w:t>对招标方巡查发现的重大隐患问题要及时处理，需要采取工程性修复的，要第一时间采取应急安全处置措施，并及时与招标方协商解决隐患；未在1小时内采取应急安全处置措施的，扣20分，300元；超过1小时每增加0.5小时，扣10分</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color w:val="auto"/>
                <w:sz w:val="21"/>
                <w:szCs w:val="21"/>
                <w:highlight w:val="none"/>
                <w:lang w:val="en-US" w:eastAsia="zh-CN"/>
              </w:rPr>
              <w:t>以此类推扣完该项分值为止；不及时或</w:t>
            </w:r>
            <w:r>
              <w:rPr>
                <w:rFonts w:hint="eastAsia" w:ascii="宋体" w:hAnsi="宋体" w:eastAsia="宋体" w:cs="宋体"/>
                <w:color w:val="auto"/>
                <w:kern w:val="0"/>
                <w:sz w:val="21"/>
                <w:szCs w:val="21"/>
                <w:highlight w:val="none"/>
                <w:lang w:val="en-US" w:eastAsia="zh-CN" w:bidi="ar-SA"/>
              </w:rPr>
              <w:t>拒不与招标方商定解决隐患的，招标方将委托第三方解决隐患问题，费用从此采购服务照明设施管养费中扣除，并保留终止合同的权利</w:t>
            </w:r>
            <w:r>
              <w:rPr>
                <w:rFonts w:hint="eastAsia" w:ascii="宋体" w:hAnsi="宋体" w:eastAsia="宋体" w:cs="宋体"/>
                <w:color w:val="auto"/>
                <w:sz w:val="21"/>
                <w:szCs w:val="21"/>
                <w:highlight w:val="none"/>
                <w:lang w:val="en-US" w:eastAsia="zh-CN"/>
              </w:rPr>
              <w:t>。</w:t>
            </w:r>
          </w:p>
          <w:p w14:paraId="556AF7A4">
            <w:pPr>
              <w:keepNext w:val="0"/>
              <w:keepLines w:val="0"/>
              <w:pageBreakBefore w:val="0"/>
              <w:widowControl w:val="0"/>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11.承包期内在管理辖区内发生一般安全事故2次，或者发生较大安全事故、重大安全事故、特别重大安全事故的，除招标方有权终止合同外还要追究中标方法律责任。</w:t>
            </w:r>
          </w:p>
        </w:tc>
        <w:tc>
          <w:tcPr>
            <w:tcW w:w="837" w:type="dxa"/>
            <w:vAlign w:val="center"/>
          </w:tcPr>
          <w:p w14:paraId="4C96CE5F">
            <w:pPr>
              <w:pStyle w:val="5"/>
              <w:keepNext w:val="0"/>
              <w:keepLines w:val="0"/>
              <w:pageBreakBefore w:val="0"/>
              <w:widowControl w:val="0"/>
              <w:kinsoku/>
              <w:wordWrap/>
              <w:overflowPunct/>
              <w:topLinePunct w:val="0"/>
              <w:autoSpaceDE/>
              <w:autoSpaceDN/>
              <w:bidi w:val="0"/>
              <w:snapToGrid/>
              <w:spacing w:beforeAutospacing="0" w:afterAutospacing="0" w:line="360" w:lineRule="auto"/>
              <w:jc w:val="center"/>
              <w:outlineLvl w:val="0"/>
              <w:rPr>
                <w:rFonts w:hint="eastAsia" w:ascii="宋体" w:hAnsi="宋体" w:eastAsia="宋体" w:cs="宋体"/>
                <w:color w:val="auto"/>
                <w:kern w:val="2"/>
                <w:sz w:val="21"/>
                <w:szCs w:val="21"/>
                <w:highlight w:val="none"/>
                <w:lang w:val="en-US" w:eastAsia="zh-CN" w:bidi="ar-SA"/>
              </w:rPr>
            </w:pPr>
          </w:p>
        </w:tc>
        <w:tc>
          <w:tcPr>
            <w:tcW w:w="402" w:type="dxa"/>
            <w:vAlign w:val="center"/>
          </w:tcPr>
          <w:p w14:paraId="7427AD46">
            <w:pPr>
              <w:pStyle w:val="5"/>
              <w:keepNext w:val="0"/>
              <w:keepLines w:val="0"/>
              <w:pageBreakBefore w:val="0"/>
              <w:widowControl w:val="0"/>
              <w:kinsoku/>
              <w:wordWrap/>
              <w:overflowPunct/>
              <w:topLinePunct w:val="0"/>
              <w:autoSpaceDE/>
              <w:autoSpaceDN/>
              <w:bidi w:val="0"/>
              <w:snapToGrid/>
              <w:spacing w:beforeAutospacing="0" w:afterAutospacing="0" w:line="360" w:lineRule="auto"/>
              <w:jc w:val="center"/>
              <w:outlineLvl w:val="0"/>
              <w:rPr>
                <w:rFonts w:hint="eastAsia" w:ascii="宋体" w:hAnsi="宋体" w:eastAsia="宋体" w:cs="宋体"/>
                <w:color w:val="auto"/>
                <w:kern w:val="2"/>
                <w:sz w:val="21"/>
                <w:szCs w:val="21"/>
                <w:highlight w:val="none"/>
                <w:lang w:val="en-US" w:eastAsia="zh-CN" w:bidi="ar-SA"/>
              </w:rPr>
            </w:pPr>
          </w:p>
        </w:tc>
      </w:tr>
      <w:tr w14:paraId="17091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48F7150D">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750" w:type="dxa"/>
            <w:vAlign w:val="center"/>
          </w:tcPr>
          <w:p w14:paraId="6070F7C9">
            <w:pPr>
              <w:keepNext w:val="0"/>
              <w:keepLines w:val="0"/>
              <w:pageBreakBefore w:val="0"/>
              <w:widowControl w:val="0"/>
              <w:kinsoku/>
              <w:wordWrap/>
              <w:overflowPunct/>
              <w:topLinePunct w:val="0"/>
              <w:autoSpaceDE/>
              <w:autoSpaceDN/>
              <w:bidi w:val="0"/>
              <w:snapToGrid/>
              <w:spacing w:beforeAutospacing="0" w:afterAutospacing="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时效响应</w:t>
            </w:r>
          </w:p>
        </w:tc>
        <w:tc>
          <w:tcPr>
            <w:tcW w:w="1708" w:type="dxa"/>
            <w:vAlign w:val="center"/>
          </w:tcPr>
          <w:p w14:paraId="3126C78D">
            <w:pPr>
              <w:keepNext w:val="0"/>
              <w:keepLines w:val="0"/>
              <w:pageBreakBefore w:val="0"/>
              <w:widowControl w:val="0"/>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中标方必须保证在合同范围内按巡查计划表安排值班员巡查，出现紧急情况，自接通知后半小时内赶赴现场处理，并处置、排除安全隐患。</w:t>
            </w:r>
          </w:p>
        </w:tc>
        <w:tc>
          <w:tcPr>
            <w:tcW w:w="700" w:type="dxa"/>
            <w:vAlign w:val="center"/>
          </w:tcPr>
          <w:p w14:paraId="47736963">
            <w:pPr>
              <w:keepNext w:val="0"/>
              <w:keepLines w:val="0"/>
              <w:pageBreakBefore w:val="0"/>
              <w:widowControl w:val="0"/>
              <w:kinsoku/>
              <w:wordWrap/>
              <w:overflowPunct/>
              <w:topLinePunct w:val="0"/>
              <w:autoSpaceDE/>
              <w:autoSpaceDN/>
              <w:bidi w:val="0"/>
              <w:snapToGrid/>
              <w:spacing w:beforeAutospacing="0" w:afterAutospacing="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100</w:t>
            </w:r>
          </w:p>
        </w:tc>
        <w:tc>
          <w:tcPr>
            <w:tcW w:w="4991" w:type="dxa"/>
            <w:vAlign w:val="center"/>
          </w:tcPr>
          <w:p w14:paraId="716A8BAC">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发生事故或其他紧急情况，中标方半小时内到达现场并及时处理安全隐患，到达现场超时半个小时至1个小时内扣5分，1个小时至2个时间内，扣10分，2个小时至3小时扣20分，3个小时以上该项不得分。</w:t>
            </w:r>
          </w:p>
          <w:p w14:paraId="505258E7">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设施损坏未在规定时限内处理的（在</w:t>
            </w:r>
            <w:r>
              <w:rPr>
                <w:rFonts w:hint="eastAsia" w:ascii="宋体" w:hAnsi="宋体" w:eastAsia="宋体" w:cs="宋体"/>
                <w:color w:val="auto"/>
                <w:sz w:val="21"/>
                <w:szCs w:val="21"/>
                <w:highlight w:val="none"/>
                <w:lang w:eastAsia="zh-CN"/>
              </w:rPr>
              <w:t>防城港市城市管理监控指挥中心</w:t>
            </w:r>
            <w:r>
              <w:rPr>
                <w:rFonts w:hint="eastAsia" w:ascii="宋体" w:hAnsi="宋体" w:eastAsia="宋体" w:cs="宋体"/>
                <w:color w:val="auto"/>
                <w:sz w:val="21"/>
                <w:szCs w:val="21"/>
                <w:highlight w:val="none"/>
              </w:rPr>
              <w:t>处置手册要求时限内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行业标准要求规定时间范围内</w:t>
            </w:r>
            <w:r>
              <w:rPr>
                <w:rFonts w:hint="eastAsia" w:ascii="宋体" w:hAnsi="宋体" w:eastAsia="宋体" w:cs="宋体"/>
                <w:color w:val="auto"/>
                <w:sz w:val="21"/>
                <w:szCs w:val="21"/>
                <w:highlight w:val="none"/>
                <w:lang w:val="en-US" w:eastAsia="zh-CN"/>
              </w:rPr>
              <w:t>或双方协商确认的期限内</w:t>
            </w:r>
            <w:r>
              <w:rPr>
                <w:rFonts w:hint="eastAsia" w:ascii="宋体" w:hAnsi="宋体" w:eastAsia="宋体" w:cs="宋体"/>
                <w:color w:val="auto"/>
                <w:sz w:val="21"/>
                <w:szCs w:val="21"/>
                <w:highlight w:val="none"/>
              </w:rPr>
              <w:t>），每次扣20分。</w:t>
            </w:r>
          </w:p>
        </w:tc>
        <w:tc>
          <w:tcPr>
            <w:tcW w:w="837" w:type="dxa"/>
            <w:vAlign w:val="center"/>
          </w:tcPr>
          <w:p w14:paraId="3B2EF504">
            <w:pPr>
              <w:pStyle w:val="5"/>
              <w:keepNext w:val="0"/>
              <w:keepLines w:val="0"/>
              <w:pageBreakBefore w:val="0"/>
              <w:widowControl w:val="0"/>
              <w:kinsoku/>
              <w:wordWrap/>
              <w:overflowPunct/>
              <w:topLinePunct w:val="0"/>
              <w:autoSpaceDE/>
              <w:autoSpaceDN/>
              <w:bidi w:val="0"/>
              <w:snapToGrid/>
              <w:spacing w:beforeAutospacing="0" w:afterAutospacing="0" w:line="360" w:lineRule="auto"/>
              <w:jc w:val="center"/>
              <w:outlineLvl w:val="0"/>
              <w:rPr>
                <w:rFonts w:hint="eastAsia" w:ascii="宋体" w:hAnsi="宋体" w:eastAsia="宋体" w:cs="宋体"/>
                <w:color w:val="auto"/>
                <w:kern w:val="2"/>
                <w:sz w:val="21"/>
                <w:szCs w:val="21"/>
                <w:highlight w:val="none"/>
                <w:lang w:val="en-US" w:eastAsia="zh-CN" w:bidi="ar-SA"/>
              </w:rPr>
            </w:pPr>
          </w:p>
        </w:tc>
        <w:tc>
          <w:tcPr>
            <w:tcW w:w="402" w:type="dxa"/>
            <w:vAlign w:val="center"/>
          </w:tcPr>
          <w:p w14:paraId="066DFD53">
            <w:pPr>
              <w:pStyle w:val="5"/>
              <w:keepNext w:val="0"/>
              <w:keepLines w:val="0"/>
              <w:pageBreakBefore w:val="0"/>
              <w:widowControl w:val="0"/>
              <w:kinsoku/>
              <w:wordWrap/>
              <w:overflowPunct/>
              <w:topLinePunct w:val="0"/>
              <w:autoSpaceDE/>
              <w:autoSpaceDN/>
              <w:bidi w:val="0"/>
              <w:snapToGrid/>
              <w:spacing w:beforeAutospacing="0" w:afterAutospacing="0" w:line="360" w:lineRule="auto"/>
              <w:jc w:val="center"/>
              <w:outlineLvl w:val="0"/>
              <w:rPr>
                <w:rFonts w:hint="eastAsia" w:ascii="宋体" w:hAnsi="宋体" w:eastAsia="宋体" w:cs="宋体"/>
                <w:color w:val="auto"/>
                <w:sz w:val="21"/>
                <w:szCs w:val="21"/>
                <w:highlight w:val="none"/>
              </w:rPr>
            </w:pPr>
          </w:p>
        </w:tc>
      </w:tr>
      <w:tr w14:paraId="6D96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2AFBE094">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750" w:type="dxa"/>
            <w:vAlign w:val="center"/>
          </w:tcPr>
          <w:p w14:paraId="0C4851E8">
            <w:pPr>
              <w:keepNext w:val="0"/>
              <w:keepLines w:val="0"/>
              <w:pageBreakBefore w:val="0"/>
              <w:widowControl w:val="0"/>
              <w:kinsoku/>
              <w:wordWrap/>
              <w:overflowPunct/>
              <w:topLinePunct w:val="0"/>
              <w:autoSpaceDE/>
              <w:autoSpaceDN/>
              <w:bidi w:val="0"/>
              <w:snapToGrid/>
              <w:spacing w:beforeAutospacing="0" w:afterAutospacing="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数字化城管案件、</w:t>
            </w:r>
            <w:r>
              <w:rPr>
                <w:rFonts w:hint="eastAsia" w:ascii="宋体" w:hAnsi="宋体" w:eastAsia="宋体" w:cs="宋体"/>
                <w:color w:val="auto"/>
                <w:szCs w:val="21"/>
                <w:highlight w:val="none"/>
              </w:rPr>
              <w:t>12345</w:t>
            </w:r>
            <w:r>
              <w:rPr>
                <w:rFonts w:hint="eastAsia" w:ascii="宋体" w:hAnsi="宋体" w:eastAsia="宋体" w:cs="宋体"/>
                <w:color w:val="auto"/>
                <w:szCs w:val="21"/>
                <w:highlight w:val="none"/>
                <w:lang w:eastAsia="zh-CN"/>
              </w:rPr>
              <w:t>政务服务便民热线、市长信箱</w:t>
            </w:r>
            <w:r>
              <w:rPr>
                <w:rFonts w:hint="eastAsia" w:ascii="宋体" w:hAnsi="宋体" w:eastAsia="宋体" w:cs="宋体"/>
                <w:color w:val="auto"/>
                <w:sz w:val="21"/>
                <w:szCs w:val="21"/>
                <w:highlight w:val="none"/>
              </w:rPr>
              <w:t>投诉等处置</w:t>
            </w:r>
          </w:p>
        </w:tc>
        <w:tc>
          <w:tcPr>
            <w:tcW w:w="1708" w:type="dxa"/>
            <w:vAlign w:val="center"/>
          </w:tcPr>
          <w:p w14:paraId="5D193EB1">
            <w:pPr>
              <w:keepNext w:val="0"/>
              <w:keepLines w:val="0"/>
              <w:pageBreakBefore w:val="0"/>
              <w:widowControl w:val="0"/>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因中标方维护不到位受到市民投诉、数字城管立案、</w:t>
            </w:r>
            <w:r>
              <w:rPr>
                <w:rFonts w:hint="eastAsia" w:ascii="宋体" w:hAnsi="宋体" w:eastAsia="宋体" w:cs="宋体"/>
                <w:color w:val="auto"/>
                <w:szCs w:val="21"/>
                <w:highlight w:val="none"/>
              </w:rPr>
              <w:t>12345</w:t>
            </w:r>
            <w:r>
              <w:rPr>
                <w:rFonts w:hint="eastAsia" w:ascii="宋体" w:hAnsi="宋体" w:eastAsia="宋体" w:cs="宋体"/>
                <w:color w:val="auto"/>
                <w:szCs w:val="21"/>
                <w:highlight w:val="none"/>
                <w:lang w:eastAsia="zh-CN"/>
              </w:rPr>
              <w:t>政务服务便民热线、市长信箱</w:t>
            </w:r>
            <w:r>
              <w:rPr>
                <w:rFonts w:hint="eastAsia" w:ascii="宋体" w:hAnsi="宋体" w:eastAsia="宋体" w:cs="宋体"/>
                <w:color w:val="auto"/>
                <w:sz w:val="21"/>
                <w:szCs w:val="21"/>
                <w:highlight w:val="none"/>
              </w:rPr>
              <w:t>及媒体曝光的应及时处置并及时反馈。</w:t>
            </w:r>
          </w:p>
        </w:tc>
        <w:tc>
          <w:tcPr>
            <w:tcW w:w="700" w:type="dxa"/>
            <w:vAlign w:val="center"/>
          </w:tcPr>
          <w:p w14:paraId="03530EDD">
            <w:pPr>
              <w:keepNext w:val="0"/>
              <w:keepLines w:val="0"/>
              <w:pageBreakBefore w:val="0"/>
              <w:widowControl w:val="0"/>
              <w:kinsoku/>
              <w:wordWrap/>
              <w:overflowPunct/>
              <w:topLinePunct w:val="0"/>
              <w:autoSpaceDE/>
              <w:autoSpaceDN/>
              <w:bidi w:val="0"/>
              <w:snapToGrid/>
              <w:spacing w:beforeAutospacing="0" w:afterAutospacing="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100</w:t>
            </w:r>
          </w:p>
        </w:tc>
        <w:tc>
          <w:tcPr>
            <w:tcW w:w="4991" w:type="dxa"/>
            <w:vAlign w:val="center"/>
          </w:tcPr>
          <w:p w14:paraId="1ACC8C27">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没有在规定时间内处理完毕或不能使用照片证明处置结果的每次扣10分。</w:t>
            </w:r>
          </w:p>
          <w:p w14:paraId="68FFB275">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未妥善处理,一个月内再次受到有效投诉的，每次叠加扣10分。</w:t>
            </w:r>
          </w:p>
          <w:p w14:paraId="299F80C4">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处理完毕，未及时回复的，每次扣5分。</w:t>
            </w:r>
          </w:p>
          <w:p w14:paraId="5B9D7996">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ind w:lef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4.</w:t>
            </w:r>
            <w:r>
              <w:rPr>
                <w:rFonts w:hint="eastAsia" w:ascii="宋体" w:hAnsi="宋体" w:eastAsia="宋体" w:cs="宋体"/>
                <w:color w:val="auto"/>
                <w:sz w:val="21"/>
                <w:szCs w:val="21"/>
                <w:highlight w:val="none"/>
              </w:rPr>
              <w:t>由于中标方处置不当，照明设施故障受市一级层面批评或市一级媒体负面报道的，每次扣5分；受到自治区及以上层面通报批评的，每次扣10分；受到自治区领导或市主要领导批评的，每次扣10分。</w:t>
            </w:r>
          </w:p>
        </w:tc>
        <w:tc>
          <w:tcPr>
            <w:tcW w:w="837" w:type="dxa"/>
            <w:vAlign w:val="center"/>
          </w:tcPr>
          <w:p w14:paraId="410BBD8C">
            <w:pPr>
              <w:pStyle w:val="5"/>
              <w:keepNext w:val="0"/>
              <w:keepLines w:val="0"/>
              <w:pageBreakBefore w:val="0"/>
              <w:widowControl w:val="0"/>
              <w:kinsoku/>
              <w:wordWrap/>
              <w:overflowPunct/>
              <w:topLinePunct w:val="0"/>
              <w:autoSpaceDE/>
              <w:autoSpaceDN/>
              <w:bidi w:val="0"/>
              <w:snapToGrid/>
              <w:spacing w:beforeAutospacing="0" w:afterAutospacing="0" w:line="360" w:lineRule="auto"/>
              <w:jc w:val="center"/>
              <w:outlineLvl w:val="0"/>
              <w:rPr>
                <w:rFonts w:hint="eastAsia" w:ascii="宋体" w:hAnsi="宋体" w:eastAsia="宋体" w:cs="宋体"/>
                <w:color w:val="auto"/>
                <w:kern w:val="2"/>
                <w:sz w:val="21"/>
                <w:szCs w:val="21"/>
                <w:highlight w:val="none"/>
                <w:lang w:val="en-US" w:eastAsia="zh-CN" w:bidi="ar-SA"/>
              </w:rPr>
            </w:pPr>
          </w:p>
        </w:tc>
        <w:tc>
          <w:tcPr>
            <w:tcW w:w="402" w:type="dxa"/>
            <w:vAlign w:val="center"/>
          </w:tcPr>
          <w:p w14:paraId="58407EA3">
            <w:pPr>
              <w:pStyle w:val="5"/>
              <w:keepNext w:val="0"/>
              <w:keepLines w:val="0"/>
              <w:pageBreakBefore w:val="0"/>
              <w:widowControl w:val="0"/>
              <w:kinsoku/>
              <w:wordWrap/>
              <w:overflowPunct/>
              <w:topLinePunct w:val="0"/>
              <w:autoSpaceDE/>
              <w:autoSpaceDN/>
              <w:bidi w:val="0"/>
              <w:snapToGrid/>
              <w:spacing w:beforeAutospacing="0" w:afterAutospacing="0" w:line="360" w:lineRule="auto"/>
              <w:jc w:val="center"/>
              <w:outlineLvl w:val="0"/>
              <w:rPr>
                <w:rFonts w:hint="eastAsia" w:ascii="宋体" w:hAnsi="宋体" w:eastAsia="宋体" w:cs="宋体"/>
                <w:color w:val="auto"/>
                <w:kern w:val="2"/>
                <w:sz w:val="21"/>
                <w:szCs w:val="21"/>
                <w:highlight w:val="none"/>
                <w:lang w:val="en-US" w:eastAsia="zh-CN" w:bidi="ar-SA"/>
              </w:rPr>
            </w:pPr>
          </w:p>
        </w:tc>
      </w:tr>
      <w:tr w14:paraId="3D0E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07DB0D01">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750" w:type="dxa"/>
            <w:vAlign w:val="center"/>
          </w:tcPr>
          <w:p w14:paraId="4EFA098E">
            <w:pPr>
              <w:keepNext w:val="0"/>
              <w:keepLines w:val="0"/>
              <w:pageBreakBefore w:val="0"/>
              <w:widowControl w:val="0"/>
              <w:kinsoku/>
              <w:wordWrap/>
              <w:overflowPunct/>
              <w:topLinePunct w:val="0"/>
              <w:autoSpaceDE/>
              <w:autoSpaceDN/>
              <w:bidi w:val="0"/>
              <w:snapToGrid/>
              <w:spacing w:beforeAutospacing="0" w:afterAutospacing="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承诺服务</w:t>
            </w:r>
          </w:p>
        </w:tc>
        <w:tc>
          <w:tcPr>
            <w:tcW w:w="1708" w:type="dxa"/>
            <w:vAlign w:val="center"/>
          </w:tcPr>
          <w:p w14:paraId="3990A1AF">
            <w:pPr>
              <w:keepNext w:val="0"/>
              <w:keepLines w:val="0"/>
              <w:pageBreakBefore w:val="0"/>
              <w:widowControl w:val="0"/>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对灯杆、灯罩、设备表面定期清洗，对看护范围内的箱变、架变、配电房、控制箱、节能箱等照明设施周围定期进行除草，及时清除城市照明设施上的乱张贴和乱涂写。按合同约定完成采购需求所要求的各项工作。</w:t>
            </w:r>
          </w:p>
        </w:tc>
        <w:tc>
          <w:tcPr>
            <w:tcW w:w="700" w:type="dxa"/>
            <w:vAlign w:val="center"/>
          </w:tcPr>
          <w:p w14:paraId="4AB436FC">
            <w:pPr>
              <w:keepNext w:val="0"/>
              <w:keepLines w:val="0"/>
              <w:pageBreakBefore w:val="0"/>
              <w:widowControl w:val="0"/>
              <w:kinsoku/>
              <w:wordWrap/>
              <w:overflowPunct/>
              <w:topLinePunct w:val="0"/>
              <w:autoSpaceDE/>
              <w:autoSpaceDN/>
              <w:bidi w:val="0"/>
              <w:snapToGrid/>
              <w:spacing w:beforeAutospacing="0" w:afterAutospacing="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00</w:t>
            </w:r>
          </w:p>
        </w:tc>
        <w:tc>
          <w:tcPr>
            <w:tcW w:w="4991" w:type="dxa"/>
            <w:vAlign w:val="center"/>
          </w:tcPr>
          <w:p w14:paraId="57D9467B">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中标方没有按期对灯杆、灯罩、设备进行清洗的每次扣10分。</w:t>
            </w:r>
          </w:p>
          <w:p w14:paraId="1CAABCA1">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2.中标方每月未对箱变、架变、配电房、控制箱、节能箱等照明设施周围定期进行除草的，每次扣10分。</w:t>
            </w:r>
          </w:p>
          <w:p w14:paraId="192C64F4">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3.因中标方巡查不到位，由招标方或第三方发现设施有乱张贴、乱涂写的每次扣10分。</w:t>
            </w:r>
          </w:p>
          <w:p w14:paraId="7E7933F3">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4.因中标方没有按招标方要求在规定时间内落实时控开关(定时器)的开、关灯时间调整和运行时间调校的，由招标方或第三方发现问题的，每段道路或每座公园广场扣5分。</w:t>
            </w:r>
          </w:p>
          <w:p w14:paraId="66FB0C75">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5.未按合同约定条款，对承包工作内容的相关设施(设备)进行日常维修、维护的，由招标方或第三方发现问题的，每次扣5分。</w:t>
            </w:r>
          </w:p>
        </w:tc>
        <w:tc>
          <w:tcPr>
            <w:tcW w:w="837" w:type="dxa"/>
            <w:vAlign w:val="center"/>
          </w:tcPr>
          <w:p w14:paraId="0C9DC36B">
            <w:pPr>
              <w:pStyle w:val="5"/>
              <w:keepNext w:val="0"/>
              <w:keepLines w:val="0"/>
              <w:pageBreakBefore w:val="0"/>
              <w:widowControl w:val="0"/>
              <w:kinsoku/>
              <w:wordWrap/>
              <w:overflowPunct/>
              <w:topLinePunct w:val="0"/>
              <w:autoSpaceDE/>
              <w:autoSpaceDN/>
              <w:bidi w:val="0"/>
              <w:snapToGrid/>
              <w:spacing w:beforeAutospacing="0" w:afterAutospacing="0" w:line="360" w:lineRule="auto"/>
              <w:jc w:val="center"/>
              <w:outlineLvl w:val="0"/>
              <w:rPr>
                <w:rFonts w:hint="eastAsia" w:ascii="宋体" w:hAnsi="宋体" w:eastAsia="宋体" w:cs="宋体"/>
                <w:color w:val="auto"/>
                <w:kern w:val="2"/>
                <w:sz w:val="21"/>
                <w:szCs w:val="21"/>
                <w:highlight w:val="none"/>
                <w:lang w:val="en-US" w:eastAsia="zh-CN" w:bidi="ar-SA"/>
              </w:rPr>
            </w:pPr>
          </w:p>
        </w:tc>
        <w:tc>
          <w:tcPr>
            <w:tcW w:w="402" w:type="dxa"/>
            <w:vAlign w:val="center"/>
          </w:tcPr>
          <w:p w14:paraId="3F9C781E">
            <w:pPr>
              <w:pStyle w:val="5"/>
              <w:keepNext w:val="0"/>
              <w:keepLines w:val="0"/>
              <w:pageBreakBefore w:val="0"/>
              <w:widowControl w:val="0"/>
              <w:kinsoku/>
              <w:wordWrap/>
              <w:overflowPunct/>
              <w:topLinePunct w:val="0"/>
              <w:autoSpaceDE/>
              <w:autoSpaceDN/>
              <w:bidi w:val="0"/>
              <w:snapToGrid/>
              <w:spacing w:beforeAutospacing="0" w:afterAutospacing="0" w:line="360" w:lineRule="auto"/>
              <w:jc w:val="center"/>
              <w:outlineLvl w:val="0"/>
              <w:rPr>
                <w:rFonts w:hint="eastAsia" w:ascii="宋体" w:hAnsi="宋体" w:eastAsia="宋体" w:cs="宋体"/>
                <w:color w:val="auto"/>
                <w:kern w:val="2"/>
                <w:sz w:val="21"/>
                <w:szCs w:val="21"/>
                <w:highlight w:val="none"/>
                <w:lang w:val="en-US" w:eastAsia="zh-CN" w:bidi="ar-SA"/>
              </w:rPr>
            </w:pPr>
          </w:p>
        </w:tc>
      </w:tr>
      <w:tr w14:paraId="1E430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2023FAB6">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750" w:type="dxa"/>
            <w:vAlign w:val="center"/>
          </w:tcPr>
          <w:p w14:paraId="056D2F9D">
            <w:pPr>
              <w:keepNext w:val="0"/>
              <w:keepLines w:val="0"/>
              <w:pageBreakBefore w:val="0"/>
              <w:widowControl w:val="0"/>
              <w:kinsoku/>
              <w:wordWrap/>
              <w:overflowPunct/>
              <w:topLinePunct w:val="0"/>
              <w:autoSpaceDE/>
              <w:autoSpaceDN/>
              <w:bidi w:val="0"/>
              <w:snapToGrid/>
              <w:spacing w:beforeAutospacing="0" w:afterAutospacing="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设施被损被盗处置</w:t>
            </w:r>
          </w:p>
        </w:tc>
        <w:tc>
          <w:tcPr>
            <w:tcW w:w="1708" w:type="dxa"/>
            <w:vAlign w:val="center"/>
          </w:tcPr>
          <w:p w14:paraId="14D789D1">
            <w:pPr>
              <w:keepNext w:val="0"/>
              <w:keepLines w:val="0"/>
              <w:pageBreakBefore w:val="0"/>
              <w:widowControl w:val="0"/>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发现设施有被损、被盗时应及时制止并立即修复。</w:t>
            </w:r>
          </w:p>
        </w:tc>
        <w:tc>
          <w:tcPr>
            <w:tcW w:w="700" w:type="dxa"/>
            <w:vAlign w:val="center"/>
          </w:tcPr>
          <w:p w14:paraId="09142129">
            <w:pPr>
              <w:keepNext w:val="0"/>
              <w:keepLines w:val="0"/>
              <w:pageBreakBefore w:val="0"/>
              <w:widowControl w:val="0"/>
              <w:kinsoku/>
              <w:wordWrap/>
              <w:overflowPunct/>
              <w:topLinePunct w:val="0"/>
              <w:autoSpaceDE/>
              <w:autoSpaceDN/>
              <w:bidi w:val="0"/>
              <w:snapToGrid/>
              <w:spacing w:beforeAutospacing="0" w:afterAutospacing="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100</w:t>
            </w:r>
          </w:p>
        </w:tc>
        <w:tc>
          <w:tcPr>
            <w:tcW w:w="4991" w:type="dxa"/>
            <w:vAlign w:val="center"/>
          </w:tcPr>
          <w:p w14:paraId="513F5316">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维护范围内的所有灯具、设备、电线、电缆等发生被盗、被损的未及时（在</w:t>
            </w:r>
            <w:r>
              <w:rPr>
                <w:rFonts w:hint="eastAsia" w:ascii="宋体" w:hAnsi="宋体" w:eastAsia="宋体" w:cs="宋体"/>
                <w:color w:val="auto"/>
                <w:sz w:val="21"/>
                <w:szCs w:val="21"/>
                <w:highlight w:val="none"/>
                <w:lang w:eastAsia="zh-CN"/>
              </w:rPr>
              <w:t>防城港市城市管理监控指挥中心</w:t>
            </w:r>
            <w:r>
              <w:rPr>
                <w:rFonts w:hint="eastAsia" w:ascii="宋体" w:hAnsi="宋体" w:eastAsia="宋体" w:cs="宋体"/>
                <w:color w:val="auto"/>
                <w:sz w:val="21"/>
                <w:szCs w:val="21"/>
                <w:highlight w:val="none"/>
              </w:rPr>
              <w:t>处置手册要求时限内）进行恢复的每次扣20分。</w:t>
            </w:r>
          </w:p>
          <w:p w14:paraId="37AB7CBD">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2.中标方没有对设施被损、被盗情况及时报给招标人导致出现大面积不亮灯超过3小时的严重后果每次扣20分。</w:t>
            </w:r>
          </w:p>
        </w:tc>
        <w:tc>
          <w:tcPr>
            <w:tcW w:w="837" w:type="dxa"/>
            <w:vAlign w:val="center"/>
          </w:tcPr>
          <w:p w14:paraId="52663B5C">
            <w:pPr>
              <w:pStyle w:val="5"/>
              <w:keepNext w:val="0"/>
              <w:keepLines w:val="0"/>
              <w:pageBreakBefore w:val="0"/>
              <w:widowControl w:val="0"/>
              <w:kinsoku/>
              <w:wordWrap/>
              <w:overflowPunct/>
              <w:topLinePunct w:val="0"/>
              <w:autoSpaceDE/>
              <w:autoSpaceDN/>
              <w:bidi w:val="0"/>
              <w:snapToGrid/>
              <w:spacing w:beforeAutospacing="0" w:afterAutospacing="0" w:line="360" w:lineRule="auto"/>
              <w:jc w:val="center"/>
              <w:outlineLvl w:val="0"/>
              <w:rPr>
                <w:rFonts w:hint="eastAsia" w:ascii="宋体" w:hAnsi="宋体" w:eastAsia="宋体" w:cs="宋体"/>
                <w:color w:val="auto"/>
                <w:kern w:val="2"/>
                <w:sz w:val="21"/>
                <w:szCs w:val="21"/>
                <w:highlight w:val="none"/>
                <w:lang w:val="en-US" w:eastAsia="zh-CN" w:bidi="ar-SA"/>
              </w:rPr>
            </w:pPr>
          </w:p>
        </w:tc>
        <w:tc>
          <w:tcPr>
            <w:tcW w:w="402" w:type="dxa"/>
            <w:vAlign w:val="center"/>
          </w:tcPr>
          <w:p w14:paraId="1E1F9934">
            <w:pPr>
              <w:pStyle w:val="5"/>
              <w:keepNext w:val="0"/>
              <w:keepLines w:val="0"/>
              <w:pageBreakBefore w:val="0"/>
              <w:widowControl w:val="0"/>
              <w:kinsoku/>
              <w:wordWrap/>
              <w:overflowPunct/>
              <w:topLinePunct w:val="0"/>
              <w:autoSpaceDE/>
              <w:autoSpaceDN/>
              <w:bidi w:val="0"/>
              <w:snapToGrid/>
              <w:spacing w:beforeAutospacing="0" w:afterAutospacing="0" w:line="360" w:lineRule="auto"/>
              <w:jc w:val="center"/>
              <w:outlineLvl w:val="0"/>
              <w:rPr>
                <w:rFonts w:hint="eastAsia" w:ascii="宋体" w:hAnsi="宋体" w:eastAsia="宋体" w:cs="宋体"/>
                <w:color w:val="auto"/>
                <w:kern w:val="2"/>
                <w:sz w:val="21"/>
                <w:szCs w:val="21"/>
                <w:highlight w:val="none"/>
                <w:lang w:val="en-US" w:eastAsia="zh-CN" w:bidi="ar-SA"/>
              </w:rPr>
            </w:pPr>
          </w:p>
        </w:tc>
      </w:tr>
      <w:tr w14:paraId="1429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253E342E">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w:t>
            </w:r>
          </w:p>
        </w:tc>
        <w:tc>
          <w:tcPr>
            <w:tcW w:w="750" w:type="dxa"/>
            <w:vAlign w:val="center"/>
          </w:tcPr>
          <w:p w14:paraId="4B4A08E3">
            <w:pPr>
              <w:keepNext w:val="0"/>
              <w:keepLines w:val="0"/>
              <w:pageBreakBefore w:val="0"/>
              <w:widowControl w:val="0"/>
              <w:kinsoku/>
              <w:wordWrap/>
              <w:overflowPunct/>
              <w:topLinePunct w:val="0"/>
              <w:autoSpaceDE/>
              <w:autoSpaceDN/>
              <w:bidi w:val="0"/>
              <w:snapToGrid/>
              <w:spacing w:beforeAutospacing="0" w:afterAutospacing="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接电管理</w:t>
            </w:r>
          </w:p>
        </w:tc>
        <w:tc>
          <w:tcPr>
            <w:tcW w:w="1708" w:type="dxa"/>
            <w:vAlign w:val="center"/>
          </w:tcPr>
          <w:p w14:paraId="1CEB8FCE">
            <w:pPr>
              <w:keepNext w:val="0"/>
              <w:keepLines w:val="0"/>
              <w:pageBreakBefore w:val="0"/>
              <w:widowControl w:val="0"/>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中标方应对维护范围内的所有用电点进行监督检查，确保景观照明电路专线专用，不得未经允许私自外接用电。</w:t>
            </w:r>
          </w:p>
        </w:tc>
        <w:tc>
          <w:tcPr>
            <w:tcW w:w="700" w:type="dxa"/>
            <w:vAlign w:val="center"/>
          </w:tcPr>
          <w:p w14:paraId="44EE2D79">
            <w:pPr>
              <w:keepNext w:val="0"/>
              <w:keepLines w:val="0"/>
              <w:pageBreakBefore w:val="0"/>
              <w:widowControl w:val="0"/>
              <w:kinsoku/>
              <w:wordWrap/>
              <w:overflowPunct/>
              <w:topLinePunct w:val="0"/>
              <w:autoSpaceDE/>
              <w:autoSpaceDN/>
              <w:bidi w:val="0"/>
              <w:snapToGrid/>
              <w:spacing w:beforeAutospacing="0" w:afterAutospacing="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100</w:t>
            </w:r>
          </w:p>
        </w:tc>
        <w:tc>
          <w:tcPr>
            <w:tcW w:w="4991" w:type="dxa"/>
            <w:vAlign w:val="center"/>
          </w:tcPr>
          <w:p w14:paraId="3256DCA0">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未经招标方同意，中标方私自接驳线路或同意他人接驳线路的，每次扣20分，并按偷电处理，情节严重的移交公安机关处理，招标方有权单方面终止合同。</w:t>
            </w:r>
          </w:p>
          <w:p w14:paraId="2B702E2E">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2.因中标方巡查、检查不到位，导致其他人员偷接电现象的每次扣10分。</w:t>
            </w:r>
          </w:p>
        </w:tc>
        <w:tc>
          <w:tcPr>
            <w:tcW w:w="837" w:type="dxa"/>
            <w:vAlign w:val="center"/>
          </w:tcPr>
          <w:p w14:paraId="5CDDFB4A">
            <w:pPr>
              <w:pStyle w:val="5"/>
              <w:keepNext w:val="0"/>
              <w:keepLines w:val="0"/>
              <w:pageBreakBefore w:val="0"/>
              <w:widowControl w:val="0"/>
              <w:kinsoku/>
              <w:wordWrap/>
              <w:overflowPunct/>
              <w:topLinePunct w:val="0"/>
              <w:autoSpaceDE/>
              <w:autoSpaceDN/>
              <w:bidi w:val="0"/>
              <w:snapToGrid/>
              <w:spacing w:beforeAutospacing="0" w:afterAutospacing="0" w:line="360" w:lineRule="auto"/>
              <w:jc w:val="center"/>
              <w:outlineLvl w:val="0"/>
              <w:rPr>
                <w:rFonts w:hint="eastAsia" w:ascii="宋体" w:hAnsi="宋体" w:eastAsia="宋体" w:cs="宋体"/>
                <w:color w:val="auto"/>
                <w:kern w:val="2"/>
                <w:sz w:val="21"/>
                <w:szCs w:val="21"/>
                <w:highlight w:val="none"/>
                <w:lang w:val="en-US" w:eastAsia="zh-CN" w:bidi="ar-SA"/>
              </w:rPr>
            </w:pPr>
          </w:p>
        </w:tc>
        <w:tc>
          <w:tcPr>
            <w:tcW w:w="402" w:type="dxa"/>
            <w:vAlign w:val="center"/>
          </w:tcPr>
          <w:p w14:paraId="6B8C6D6C">
            <w:pPr>
              <w:pStyle w:val="5"/>
              <w:keepNext w:val="0"/>
              <w:keepLines w:val="0"/>
              <w:pageBreakBefore w:val="0"/>
              <w:widowControl w:val="0"/>
              <w:kinsoku/>
              <w:wordWrap/>
              <w:overflowPunct/>
              <w:topLinePunct w:val="0"/>
              <w:autoSpaceDE/>
              <w:autoSpaceDN/>
              <w:bidi w:val="0"/>
              <w:snapToGrid/>
              <w:spacing w:beforeAutospacing="0" w:afterAutospacing="0" w:line="360" w:lineRule="auto"/>
              <w:jc w:val="center"/>
              <w:outlineLvl w:val="0"/>
              <w:rPr>
                <w:rFonts w:hint="eastAsia" w:ascii="宋体" w:hAnsi="宋体" w:eastAsia="宋体" w:cs="宋体"/>
                <w:color w:val="auto"/>
                <w:kern w:val="2"/>
                <w:sz w:val="21"/>
                <w:szCs w:val="21"/>
                <w:highlight w:val="none"/>
                <w:lang w:val="en-US" w:eastAsia="zh-CN" w:bidi="ar-SA"/>
              </w:rPr>
            </w:pPr>
          </w:p>
        </w:tc>
      </w:tr>
      <w:tr w14:paraId="47C96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Align w:val="center"/>
          </w:tcPr>
          <w:p w14:paraId="6B1E5953">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vertAlign w:val="baseline"/>
                <w:lang w:val="en-US" w:eastAsia="zh-CN"/>
              </w:rPr>
            </w:pPr>
          </w:p>
        </w:tc>
        <w:tc>
          <w:tcPr>
            <w:tcW w:w="750" w:type="dxa"/>
            <w:vAlign w:val="center"/>
          </w:tcPr>
          <w:p w14:paraId="3BAC55DA">
            <w:pPr>
              <w:keepNext w:val="0"/>
              <w:keepLines w:val="0"/>
              <w:pageBreakBefore w:val="0"/>
              <w:widowControl w:val="0"/>
              <w:kinsoku/>
              <w:wordWrap/>
              <w:overflowPunct/>
              <w:topLinePunct w:val="0"/>
              <w:autoSpaceDE/>
              <w:autoSpaceDN/>
              <w:bidi w:val="0"/>
              <w:snapToGrid/>
              <w:spacing w:beforeAutospacing="0" w:afterAutospacing="0"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总分</w:t>
            </w:r>
          </w:p>
        </w:tc>
        <w:tc>
          <w:tcPr>
            <w:tcW w:w="1708" w:type="dxa"/>
            <w:vAlign w:val="center"/>
          </w:tcPr>
          <w:p w14:paraId="1A6E6480">
            <w:pPr>
              <w:keepNext w:val="0"/>
              <w:keepLines w:val="0"/>
              <w:pageBreakBefore w:val="0"/>
              <w:widowControl w:val="0"/>
              <w:kinsoku/>
              <w:wordWrap/>
              <w:overflowPunct/>
              <w:topLinePunct w:val="0"/>
              <w:autoSpaceDE/>
              <w:autoSpaceDN/>
              <w:bidi w:val="0"/>
              <w:snapToGrid/>
              <w:spacing w:beforeAutospacing="0" w:afterAutospacing="0" w:line="360" w:lineRule="auto"/>
              <w:jc w:val="left"/>
              <w:rPr>
                <w:rFonts w:hint="eastAsia" w:ascii="宋体" w:hAnsi="宋体" w:eastAsia="宋体" w:cs="宋体"/>
                <w:color w:val="auto"/>
                <w:sz w:val="21"/>
                <w:szCs w:val="21"/>
                <w:highlight w:val="none"/>
              </w:rPr>
            </w:pPr>
          </w:p>
        </w:tc>
        <w:tc>
          <w:tcPr>
            <w:tcW w:w="700" w:type="dxa"/>
            <w:vAlign w:val="center"/>
          </w:tcPr>
          <w:p w14:paraId="0460B9BD">
            <w:pPr>
              <w:keepNext w:val="0"/>
              <w:keepLines w:val="0"/>
              <w:pageBreakBefore w:val="0"/>
              <w:widowControl w:val="0"/>
              <w:kinsoku/>
              <w:wordWrap/>
              <w:overflowPunct/>
              <w:topLinePunct w:val="0"/>
              <w:autoSpaceDE/>
              <w:autoSpaceDN/>
              <w:bidi w:val="0"/>
              <w:snapToGrid/>
              <w:spacing w:beforeAutospacing="0" w:afterAutospacing="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700</w:t>
            </w:r>
          </w:p>
        </w:tc>
        <w:tc>
          <w:tcPr>
            <w:tcW w:w="4991" w:type="dxa"/>
            <w:vAlign w:val="center"/>
          </w:tcPr>
          <w:p w14:paraId="11E4ACC0">
            <w:pPr>
              <w:keepNext w:val="0"/>
              <w:keepLines w:val="0"/>
              <w:pageBreakBefore w:val="0"/>
              <w:widowControl w:val="0"/>
              <w:numPr>
                <w:ilvl w:val="0"/>
                <w:numId w:val="0"/>
              </w:numPr>
              <w:kinsoku/>
              <w:wordWrap/>
              <w:overflowPunct/>
              <w:topLinePunct w:val="0"/>
              <w:autoSpaceDE/>
              <w:autoSpaceDN/>
              <w:bidi w:val="0"/>
              <w:snapToGrid/>
              <w:spacing w:beforeAutospacing="0" w:afterAutospacing="0" w:line="360" w:lineRule="auto"/>
              <w:jc w:val="left"/>
              <w:rPr>
                <w:rFonts w:hint="eastAsia" w:ascii="宋体" w:hAnsi="宋体" w:eastAsia="宋体" w:cs="宋体"/>
                <w:b/>
                <w:bCs/>
                <w:color w:val="auto"/>
                <w:sz w:val="21"/>
                <w:szCs w:val="21"/>
                <w:highlight w:val="none"/>
              </w:rPr>
            </w:pPr>
          </w:p>
        </w:tc>
        <w:tc>
          <w:tcPr>
            <w:tcW w:w="837" w:type="dxa"/>
            <w:vAlign w:val="center"/>
          </w:tcPr>
          <w:p w14:paraId="78B284AA">
            <w:pPr>
              <w:pStyle w:val="5"/>
              <w:keepNext w:val="0"/>
              <w:keepLines w:val="0"/>
              <w:pageBreakBefore w:val="0"/>
              <w:widowControl w:val="0"/>
              <w:kinsoku/>
              <w:wordWrap/>
              <w:overflowPunct/>
              <w:topLinePunct w:val="0"/>
              <w:autoSpaceDE/>
              <w:autoSpaceDN/>
              <w:bidi w:val="0"/>
              <w:snapToGrid/>
              <w:spacing w:beforeAutospacing="0" w:afterAutospacing="0" w:line="360" w:lineRule="auto"/>
              <w:jc w:val="center"/>
              <w:outlineLvl w:val="0"/>
              <w:rPr>
                <w:rFonts w:hint="eastAsia" w:ascii="宋体" w:hAnsi="宋体" w:eastAsia="宋体" w:cs="宋体"/>
                <w:color w:val="auto"/>
                <w:kern w:val="2"/>
                <w:sz w:val="21"/>
                <w:szCs w:val="21"/>
                <w:highlight w:val="none"/>
                <w:lang w:val="en-US" w:eastAsia="zh-CN" w:bidi="ar-SA"/>
              </w:rPr>
            </w:pPr>
          </w:p>
        </w:tc>
        <w:tc>
          <w:tcPr>
            <w:tcW w:w="402" w:type="dxa"/>
            <w:vAlign w:val="center"/>
          </w:tcPr>
          <w:p w14:paraId="5433EDF1">
            <w:pPr>
              <w:pStyle w:val="5"/>
              <w:keepNext w:val="0"/>
              <w:keepLines w:val="0"/>
              <w:pageBreakBefore w:val="0"/>
              <w:widowControl w:val="0"/>
              <w:kinsoku/>
              <w:wordWrap/>
              <w:overflowPunct/>
              <w:topLinePunct w:val="0"/>
              <w:autoSpaceDE/>
              <w:autoSpaceDN/>
              <w:bidi w:val="0"/>
              <w:snapToGrid/>
              <w:spacing w:beforeAutospacing="0" w:afterAutospacing="0" w:line="360" w:lineRule="auto"/>
              <w:jc w:val="center"/>
              <w:outlineLvl w:val="0"/>
              <w:rPr>
                <w:rFonts w:hint="eastAsia" w:ascii="宋体" w:hAnsi="宋体" w:eastAsia="宋体" w:cs="宋体"/>
                <w:color w:val="auto"/>
                <w:kern w:val="2"/>
                <w:sz w:val="21"/>
                <w:szCs w:val="21"/>
                <w:highlight w:val="none"/>
                <w:lang w:val="en-US" w:eastAsia="zh-CN" w:bidi="ar-SA"/>
              </w:rPr>
            </w:pPr>
          </w:p>
        </w:tc>
      </w:tr>
    </w:tbl>
    <w:p w14:paraId="1B381AD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2.月度考核细则</w:t>
      </w:r>
    </w:p>
    <w:bookmarkEnd w:id="5"/>
    <w:tbl>
      <w:tblPr>
        <w:tblStyle w:val="7"/>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840"/>
        <w:gridCol w:w="1922"/>
        <w:gridCol w:w="928"/>
        <w:gridCol w:w="3874"/>
        <w:gridCol w:w="800"/>
        <w:gridCol w:w="669"/>
      </w:tblGrid>
      <w:tr w14:paraId="2081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515EB322">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40" w:type="dxa"/>
            <w:tcBorders>
              <w:top w:val="single" w:color="auto" w:sz="4" w:space="0"/>
              <w:left w:val="single" w:color="auto" w:sz="4" w:space="0"/>
              <w:bottom w:val="single" w:color="auto" w:sz="4" w:space="0"/>
              <w:right w:val="single" w:color="auto" w:sz="4" w:space="0"/>
            </w:tcBorders>
            <w:vAlign w:val="center"/>
          </w:tcPr>
          <w:p w14:paraId="7BE9C85A">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1922" w:type="dxa"/>
            <w:tcBorders>
              <w:top w:val="single" w:color="auto" w:sz="4" w:space="0"/>
              <w:left w:val="single" w:color="auto" w:sz="4" w:space="0"/>
              <w:bottom w:val="single" w:color="auto" w:sz="4" w:space="0"/>
              <w:right w:val="single" w:color="auto" w:sz="4" w:space="0"/>
            </w:tcBorders>
            <w:vAlign w:val="center"/>
          </w:tcPr>
          <w:p w14:paraId="5C16537B">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考核内容</w:t>
            </w:r>
          </w:p>
        </w:tc>
        <w:tc>
          <w:tcPr>
            <w:tcW w:w="928" w:type="dxa"/>
            <w:tcBorders>
              <w:top w:val="single" w:color="auto" w:sz="4" w:space="0"/>
              <w:left w:val="single" w:color="auto" w:sz="4" w:space="0"/>
              <w:bottom w:val="single" w:color="auto" w:sz="4" w:space="0"/>
              <w:right w:val="single" w:color="auto" w:sz="4" w:space="0"/>
            </w:tcBorders>
            <w:vAlign w:val="center"/>
          </w:tcPr>
          <w:p w14:paraId="339CA003">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3874" w:type="dxa"/>
            <w:tcBorders>
              <w:top w:val="single" w:color="auto" w:sz="4" w:space="0"/>
              <w:left w:val="single" w:color="auto" w:sz="4" w:space="0"/>
              <w:bottom w:val="single" w:color="auto" w:sz="4" w:space="0"/>
              <w:right w:val="single" w:color="auto" w:sz="4" w:space="0"/>
            </w:tcBorders>
            <w:vAlign w:val="center"/>
          </w:tcPr>
          <w:p w14:paraId="39A9F54F">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计分方法和扣分标准</w:t>
            </w:r>
          </w:p>
        </w:tc>
        <w:tc>
          <w:tcPr>
            <w:tcW w:w="800" w:type="dxa"/>
            <w:tcBorders>
              <w:top w:val="single" w:color="auto" w:sz="4" w:space="0"/>
              <w:left w:val="single" w:color="auto" w:sz="4" w:space="0"/>
              <w:bottom w:val="single" w:color="auto" w:sz="4" w:space="0"/>
              <w:right w:val="single" w:color="auto" w:sz="4" w:space="0"/>
            </w:tcBorders>
            <w:vAlign w:val="center"/>
          </w:tcPr>
          <w:p w14:paraId="0F3A6A5F">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w:t>
            </w:r>
          </w:p>
        </w:tc>
        <w:tc>
          <w:tcPr>
            <w:tcW w:w="669" w:type="dxa"/>
            <w:tcBorders>
              <w:top w:val="single" w:color="auto" w:sz="4" w:space="0"/>
              <w:left w:val="single" w:color="auto" w:sz="4" w:space="0"/>
              <w:bottom w:val="single" w:color="auto" w:sz="4" w:space="0"/>
              <w:right w:val="single" w:color="auto" w:sz="4" w:space="0"/>
            </w:tcBorders>
            <w:vAlign w:val="center"/>
          </w:tcPr>
          <w:p w14:paraId="24D9207A">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2D4C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7C0F6FF2">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40" w:type="dxa"/>
            <w:tcBorders>
              <w:top w:val="single" w:color="auto" w:sz="4" w:space="0"/>
              <w:left w:val="single" w:color="auto" w:sz="4" w:space="0"/>
              <w:bottom w:val="single" w:color="auto" w:sz="4" w:space="0"/>
              <w:right w:val="single" w:color="auto" w:sz="4" w:space="0"/>
            </w:tcBorders>
            <w:vAlign w:val="center"/>
          </w:tcPr>
          <w:p w14:paraId="48BC8F21">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维修</w:t>
            </w:r>
          </w:p>
        </w:tc>
        <w:tc>
          <w:tcPr>
            <w:tcW w:w="1922" w:type="dxa"/>
            <w:tcBorders>
              <w:top w:val="single" w:color="auto" w:sz="4" w:space="0"/>
              <w:left w:val="single" w:color="auto" w:sz="4" w:space="0"/>
              <w:bottom w:val="single" w:color="auto" w:sz="4" w:space="0"/>
              <w:right w:val="single" w:color="auto" w:sz="4" w:space="0"/>
            </w:tcBorders>
            <w:vAlign w:val="center"/>
          </w:tcPr>
          <w:p w14:paraId="2674D167">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每一条主干道的亮灯率均应达到98%；每一条次干道、支路的亮灯率均应达到96%。每一条道路照明设施完好率均应达到96%，每座公园广场的景观照明设施亮灯率应达到92%。</w:t>
            </w:r>
          </w:p>
        </w:tc>
        <w:tc>
          <w:tcPr>
            <w:tcW w:w="928" w:type="dxa"/>
            <w:tcBorders>
              <w:top w:val="single" w:color="auto" w:sz="4" w:space="0"/>
              <w:left w:val="single" w:color="auto" w:sz="4" w:space="0"/>
              <w:bottom w:val="single" w:color="auto" w:sz="4" w:space="0"/>
              <w:right w:val="single" w:color="auto" w:sz="4" w:space="0"/>
            </w:tcBorders>
            <w:vAlign w:val="center"/>
          </w:tcPr>
          <w:p w14:paraId="5561DC42">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c>
          <w:tcPr>
            <w:tcW w:w="3874" w:type="dxa"/>
            <w:tcBorders>
              <w:top w:val="single" w:color="auto" w:sz="4" w:space="0"/>
              <w:left w:val="single" w:color="auto" w:sz="4" w:space="0"/>
              <w:bottom w:val="single" w:color="auto" w:sz="4" w:space="0"/>
              <w:right w:val="single" w:color="auto" w:sz="4" w:space="0"/>
            </w:tcBorders>
            <w:vAlign w:val="center"/>
          </w:tcPr>
          <w:p w14:paraId="2E80D5EB">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color w:val="auto"/>
                <w:sz w:val="21"/>
                <w:szCs w:val="21"/>
                <w:highlight w:val="none"/>
              </w:rPr>
              <w:t>招标方每月</w:t>
            </w:r>
            <w:r>
              <w:rPr>
                <w:rFonts w:hint="eastAsia" w:ascii="宋体" w:hAnsi="宋体" w:eastAsia="宋体" w:cs="宋体"/>
                <w:color w:val="auto"/>
                <w:sz w:val="21"/>
                <w:szCs w:val="21"/>
                <w:highlight w:val="none"/>
                <w:lang w:eastAsia="zh-CN"/>
              </w:rPr>
              <w:t>集中</w:t>
            </w:r>
            <w:r>
              <w:rPr>
                <w:rFonts w:hint="eastAsia" w:ascii="宋体" w:hAnsi="宋体" w:eastAsia="宋体" w:cs="宋体"/>
                <w:color w:val="auto"/>
                <w:sz w:val="21"/>
                <w:szCs w:val="21"/>
                <w:highlight w:val="none"/>
              </w:rPr>
              <w:t>对中标方维修情况进行核查，任何一个考核对象的亮灯率、设施完好率任何一项指标每低于考核标准要求1个百分点，扣20分。</w:t>
            </w:r>
          </w:p>
          <w:p w14:paraId="1B21F7CE">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color w:val="auto"/>
                <w:sz w:val="21"/>
                <w:szCs w:val="21"/>
                <w:highlight w:val="none"/>
              </w:rPr>
              <w:t>非外力损坏、供电停电、自然灾害等不可抗力等原因造成的主干道平均亮灯率低于93%，次干道、支路的平均亮灯率低于91%，设施平均完好率低于91%，景观照明设施平均亮灯率低于87%，</w:t>
            </w:r>
            <w:r>
              <w:rPr>
                <w:rFonts w:hint="eastAsia" w:ascii="宋体" w:hAnsi="宋体" w:eastAsia="宋体" w:cs="宋体"/>
                <w:b w:val="0"/>
                <w:bCs w:val="0"/>
                <w:color w:val="auto"/>
                <w:sz w:val="21"/>
                <w:szCs w:val="21"/>
                <w:highlight w:val="none"/>
              </w:rPr>
              <w:t>出现上述任何一种情况，招标方有权直接终止合同，重新招标。</w:t>
            </w:r>
          </w:p>
        </w:tc>
        <w:tc>
          <w:tcPr>
            <w:tcW w:w="800" w:type="dxa"/>
            <w:tcBorders>
              <w:top w:val="single" w:color="auto" w:sz="4" w:space="0"/>
              <w:left w:val="single" w:color="auto" w:sz="4" w:space="0"/>
              <w:bottom w:val="single" w:color="auto" w:sz="4" w:space="0"/>
              <w:right w:val="single" w:color="auto" w:sz="4" w:space="0"/>
            </w:tcBorders>
            <w:vAlign w:val="center"/>
          </w:tcPr>
          <w:p w14:paraId="78289532">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sz w:val="21"/>
                <w:szCs w:val="21"/>
                <w:highlight w:val="none"/>
              </w:rPr>
            </w:pPr>
          </w:p>
        </w:tc>
        <w:tc>
          <w:tcPr>
            <w:tcW w:w="669" w:type="dxa"/>
            <w:tcBorders>
              <w:top w:val="single" w:color="auto" w:sz="4" w:space="0"/>
              <w:left w:val="single" w:color="auto" w:sz="4" w:space="0"/>
              <w:bottom w:val="single" w:color="auto" w:sz="4" w:space="0"/>
              <w:right w:val="single" w:color="auto" w:sz="4" w:space="0"/>
            </w:tcBorders>
            <w:vAlign w:val="center"/>
          </w:tcPr>
          <w:p w14:paraId="6DF26633">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sz w:val="21"/>
                <w:szCs w:val="21"/>
                <w:highlight w:val="none"/>
              </w:rPr>
            </w:pPr>
          </w:p>
        </w:tc>
      </w:tr>
      <w:tr w14:paraId="7DDB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41809BE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840" w:type="dxa"/>
            <w:tcBorders>
              <w:top w:val="single" w:color="auto" w:sz="4" w:space="0"/>
              <w:left w:val="single" w:color="auto" w:sz="4" w:space="0"/>
              <w:bottom w:val="single" w:color="auto" w:sz="4" w:space="0"/>
              <w:right w:val="single" w:color="auto" w:sz="4" w:space="0"/>
            </w:tcBorders>
            <w:vAlign w:val="center"/>
          </w:tcPr>
          <w:p w14:paraId="67C02D8E">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台帐记录</w:t>
            </w:r>
          </w:p>
        </w:tc>
        <w:tc>
          <w:tcPr>
            <w:tcW w:w="1922" w:type="dxa"/>
            <w:tcBorders>
              <w:top w:val="single" w:color="auto" w:sz="4" w:space="0"/>
              <w:left w:val="single" w:color="auto" w:sz="4" w:space="0"/>
              <w:bottom w:val="single" w:color="auto" w:sz="4" w:space="0"/>
              <w:right w:val="single" w:color="auto" w:sz="4" w:space="0"/>
            </w:tcBorders>
            <w:vAlign w:val="center"/>
          </w:tcPr>
          <w:p w14:paraId="2B052AA3">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日常的设施巡查、维修过程中应做好记录并将相关记录在每个月的25日前报送至招标方作为验收资料依据，按时完成并提供上级交办的工作台账。</w:t>
            </w:r>
          </w:p>
        </w:tc>
        <w:tc>
          <w:tcPr>
            <w:tcW w:w="928" w:type="dxa"/>
            <w:tcBorders>
              <w:top w:val="single" w:color="auto" w:sz="4" w:space="0"/>
              <w:left w:val="single" w:color="auto" w:sz="4" w:space="0"/>
              <w:bottom w:val="single" w:color="auto" w:sz="4" w:space="0"/>
              <w:right w:val="single" w:color="auto" w:sz="4" w:space="0"/>
            </w:tcBorders>
            <w:vAlign w:val="center"/>
          </w:tcPr>
          <w:p w14:paraId="1B840FA3">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c>
          <w:tcPr>
            <w:tcW w:w="3874" w:type="dxa"/>
            <w:tcBorders>
              <w:top w:val="single" w:color="auto" w:sz="4" w:space="0"/>
              <w:left w:val="single" w:color="auto" w:sz="4" w:space="0"/>
              <w:bottom w:val="single" w:color="auto" w:sz="4" w:space="0"/>
              <w:right w:val="single" w:color="auto" w:sz="4" w:space="0"/>
            </w:tcBorders>
            <w:vAlign w:val="center"/>
          </w:tcPr>
          <w:p w14:paraId="745AF1F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未在每个月的25日前上报当月巡查、维修、安全生产排查整治、案件处理、亮灯率点检等相关工作总结、报表、报告台账资料的扣10分。</w:t>
            </w:r>
          </w:p>
          <w:p w14:paraId="3287246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2.上报台账缺一份记录的每次扣5分。</w:t>
            </w:r>
          </w:p>
          <w:p w14:paraId="33F3469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3.记录不完善、台账达不到要求标准的每次扣5分。</w:t>
            </w:r>
          </w:p>
          <w:p w14:paraId="45F831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4.未按照招标方要求及时提供工作开展情况、数据及佐证对比照片等工作台账的，每延误1天，扣5分。</w:t>
            </w:r>
          </w:p>
        </w:tc>
        <w:tc>
          <w:tcPr>
            <w:tcW w:w="800" w:type="dxa"/>
            <w:tcBorders>
              <w:top w:val="single" w:color="auto" w:sz="4" w:space="0"/>
              <w:left w:val="single" w:color="auto" w:sz="4" w:space="0"/>
              <w:bottom w:val="single" w:color="auto" w:sz="4" w:space="0"/>
              <w:right w:val="single" w:color="auto" w:sz="4" w:space="0"/>
            </w:tcBorders>
            <w:vAlign w:val="center"/>
          </w:tcPr>
          <w:p w14:paraId="6DDAB4B6">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sz w:val="21"/>
                <w:szCs w:val="21"/>
                <w:highlight w:val="none"/>
              </w:rPr>
            </w:pPr>
          </w:p>
        </w:tc>
        <w:tc>
          <w:tcPr>
            <w:tcW w:w="669" w:type="dxa"/>
            <w:tcBorders>
              <w:top w:val="single" w:color="auto" w:sz="4" w:space="0"/>
              <w:left w:val="single" w:color="auto" w:sz="4" w:space="0"/>
              <w:bottom w:val="single" w:color="auto" w:sz="4" w:space="0"/>
              <w:right w:val="single" w:color="auto" w:sz="4" w:space="0"/>
            </w:tcBorders>
            <w:vAlign w:val="center"/>
          </w:tcPr>
          <w:p w14:paraId="5FC5948B">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sz w:val="21"/>
                <w:szCs w:val="21"/>
                <w:highlight w:val="none"/>
              </w:rPr>
            </w:pPr>
          </w:p>
        </w:tc>
      </w:tr>
      <w:tr w14:paraId="7E792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04815582">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40" w:type="dxa"/>
            <w:tcBorders>
              <w:top w:val="single" w:color="auto" w:sz="4" w:space="0"/>
              <w:left w:val="single" w:color="auto" w:sz="4" w:space="0"/>
              <w:bottom w:val="single" w:color="auto" w:sz="4" w:space="0"/>
              <w:right w:val="single" w:color="auto" w:sz="4" w:space="0"/>
            </w:tcBorders>
            <w:vAlign w:val="center"/>
          </w:tcPr>
          <w:p w14:paraId="489559A7">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日常考核发现问题重复发生</w:t>
            </w:r>
          </w:p>
        </w:tc>
        <w:tc>
          <w:tcPr>
            <w:tcW w:w="1922" w:type="dxa"/>
            <w:tcBorders>
              <w:top w:val="single" w:color="auto" w:sz="4" w:space="0"/>
              <w:left w:val="single" w:color="auto" w:sz="4" w:space="0"/>
              <w:bottom w:val="single" w:color="auto" w:sz="4" w:space="0"/>
              <w:right w:val="single" w:color="auto" w:sz="4" w:space="0"/>
            </w:tcBorders>
            <w:vAlign w:val="center"/>
          </w:tcPr>
          <w:p w14:paraId="3B251E41">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对日常考核发现问题整改情况进行检查。</w:t>
            </w:r>
          </w:p>
        </w:tc>
        <w:tc>
          <w:tcPr>
            <w:tcW w:w="928" w:type="dxa"/>
            <w:tcBorders>
              <w:top w:val="single" w:color="auto" w:sz="4" w:space="0"/>
              <w:left w:val="single" w:color="auto" w:sz="4" w:space="0"/>
              <w:bottom w:val="single" w:color="auto" w:sz="4" w:space="0"/>
              <w:right w:val="single" w:color="auto" w:sz="4" w:space="0"/>
            </w:tcBorders>
            <w:vAlign w:val="center"/>
          </w:tcPr>
          <w:p w14:paraId="67A561B3">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c>
          <w:tcPr>
            <w:tcW w:w="3874" w:type="dxa"/>
            <w:tcBorders>
              <w:top w:val="single" w:color="auto" w:sz="4" w:space="0"/>
              <w:left w:val="single" w:color="auto" w:sz="4" w:space="0"/>
              <w:bottom w:val="single" w:color="auto" w:sz="4" w:space="0"/>
              <w:right w:val="single" w:color="auto" w:sz="4" w:space="0"/>
            </w:tcBorders>
            <w:vAlign w:val="center"/>
          </w:tcPr>
          <w:p w14:paraId="55D58862">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color w:val="auto"/>
                <w:sz w:val="21"/>
                <w:szCs w:val="21"/>
                <w:highlight w:val="none"/>
                <w:lang w:eastAsia="zh-CN"/>
              </w:rPr>
              <w:t>对日常考核发现问题未按时整改、整改不到位、同样问题再次发生，每一件</w:t>
            </w:r>
            <w:r>
              <w:rPr>
                <w:rFonts w:hint="eastAsia" w:ascii="宋体" w:hAnsi="宋体" w:eastAsia="宋体" w:cs="宋体"/>
                <w:color w:val="auto"/>
                <w:sz w:val="21"/>
                <w:szCs w:val="21"/>
                <w:highlight w:val="none"/>
                <w:lang w:val="en-US" w:eastAsia="zh-CN"/>
              </w:rPr>
              <w:t>/单问题，扣10分，如扣分达100分，当月考核不合格，并扣1000元。</w:t>
            </w:r>
          </w:p>
        </w:tc>
        <w:tc>
          <w:tcPr>
            <w:tcW w:w="800" w:type="dxa"/>
            <w:tcBorders>
              <w:top w:val="single" w:color="auto" w:sz="4" w:space="0"/>
              <w:left w:val="single" w:color="auto" w:sz="4" w:space="0"/>
              <w:bottom w:val="single" w:color="auto" w:sz="4" w:space="0"/>
              <w:right w:val="single" w:color="auto" w:sz="4" w:space="0"/>
            </w:tcBorders>
            <w:vAlign w:val="center"/>
          </w:tcPr>
          <w:p w14:paraId="590AC6DC">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sz w:val="21"/>
                <w:szCs w:val="21"/>
                <w:highlight w:val="none"/>
              </w:rPr>
            </w:pPr>
          </w:p>
        </w:tc>
        <w:tc>
          <w:tcPr>
            <w:tcW w:w="669" w:type="dxa"/>
            <w:tcBorders>
              <w:top w:val="single" w:color="auto" w:sz="4" w:space="0"/>
              <w:left w:val="single" w:color="auto" w:sz="4" w:space="0"/>
              <w:bottom w:val="single" w:color="auto" w:sz="4" w:space="0"/>
              <w:right w:val="single" w:color="auto" w:sz="4" w:space="0"/>
            </w:tcBorders>
            <w:vAlign w:val="center"/>
          </w:tcPr>
          <w:p w14:paraId="3FE159FD">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sz w:val="21"/>
                <w:szCs w:val="21"/>
                <w:highlight w:val="none"/>
              </w:rPr>
            </w:pPr>
          </w:p>
        </w:tc>
      </w:tr>
      <w:tr w14:paraId="4A22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2B4FB498">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7EFAB285">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922" w:type="dxa"/>
            <w:tcBorders>
              <w:top w:val="single" w:color="auto" w:sz="4" w:space="0"/>
              <w:left w:val="single" w:color="auto" w:sz="4" w:space="0"/>
              <w:bottom w:val="single" w:color="auto" w:sz="4" w:space="0"/>
              <w:right w:val="single" w:color="auto" w:sz="4" w:space="0"/>
            </w:tcBorders>
            <w:vAlign w:val="center"/>
          </w:tcPr>
          <w:p w14:paraId="0ECAB840">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rPr>
            </w:pPr>
          </w:p>
        </w:tc>
        <w:tc>
          <w:tcPr>
            <w:tcW w:w="928" w:type="dxa"/>
            <w:tcBorders>
              <w:top w:val="single" w:color="auto" w:sz="4" w:space="0"/>
              <w:left w:val="single" w:color="auto" w:sz="4" w:space="0"/>
              <w:bottom w:val="single" w:color="auto" w:sz="4" w:space="0"/>
              <w:right w:val="single" w:color="auto" w:sz="4" w:space="0"/>
            </w:tcBorders>
            <w:vAlign w:val="center"/>
          </w:tcPr>
          <w:p w14:paraId="00582DF5">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w:t>
            </w:r>
          </w:p>
        </w:tc>
        <w:tc>
          <w:tcPr>
            <w:tcW w:w="3874" w:type="dxa"/>
            <w:tcBorders>
              <w:top w:val="single" w:color="auto" w:sz="4" w:space="0"/>
              <w:left w:val="single" w:color="auto" w:sz="4" w:space="0"/>
              <w:bottom w:val="single" w:color="auto" w:sz="4" w:space="0"/>
              <w:right w:val="single" w:color="auto" w:sz="4" w:space="0"/>
            </w:tcBorders>
            <w:vAlign w:val="center"/>
          </w:tcPr>
          <w:p w14:paraId="7493D273">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w:t>
            </w:r>
          </w:p>
        </w:tc>
        <w:tc>
          <w:tcPr>
            <w:tcW w:w="800" w:type="dxa"/>
            <w:tcBorders>
              <w:top w:val="single" w:color="auto" w:sz="4" w:space="0"/>
              <w:left w:val="single" w:color="auto" w:sz="4" w:space="0"/>
              <w:bottom w:val="single" w:color="auto" w:sz="4" w:space="0"/>
              <w:right w:val="single" w:color="auto" w:sz="4" w:space="0"/>
            </w:tcBorders>
            <w:vAlign w:val="center"/>
          </w:tcPr>
          <w:p w14:paraId="45E0193C">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sz w:val="21"/>
                <w:szCs w:val="21"/>
                <w:highlight w:val="none"/>
              </w:rPr>
            </w:pPr>
          </w:p>
        </w:tc>
        <w:tc>
          <w:tcPr>
            <w:tcW w:w="669" w:type="dxa"/>
            <w:tcBorders>
              <w:top w:val="single" w:color="auto" w:sz="4" w:space="0"/>
              <w:left w:val="single" w:color="auto" w:sz="4" w:space="0"/>
              <w:bottom w:val="single" w:color="auto" w:sz="4" w:space="0"/>
              <w:right w:val="single" w:color="auto" w:sz="4" w:space="0"/>
            </w:tcBorders>
            <w:vAlign w:val="center"/>
          </w:tcPr>
          <w:p w14:paraId="5E63AAAF">
            <w:pPr>
              <w:pStyle w:val="5"/>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color w:val="auto"/>
                <w:sz w:val="21"/>
                <w:szCs w:val="21"/>
                <w:highlight w:val="none"/>
              </w:rPr>
            </w:pPr>
          </w:p>
        </w:tc>
      </w:tr>
      <w:tr w14:paraId="73A5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9763" w:type="dxa"/>
            <w:gridSpan w:val="7"/>
            <w:tcBorders>
              <w:top w:val="single" w:color="auto" w:sz="4" w:space="0"/>
              <w:left w:val="single" w:color="auto" w:sz="4" w:space="0"/>
              <w:bottom w:val="single" w:color="auto" w:sz="4" w:space="0"/>
              <w:right w:val="single" w:color="auto" w:sz="4" w:space="0"/>
            </w:tcBorders>
            <w:vAlign w:val="center"/>
          </w:tcPr>
          <w:p w14:paraId="4B1B6A43">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备注：以上扣分项可叠加扣分。</w:t>
            </w:r>
          </w:p>
        </w:tc>
      </w:tr>
    </w:tbl>
    <w:p w14:paraId="23FB000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3.年度考核（</w:t>
      </w:r>
      <w:r>
        <w:rPr>
          <w:rFonts w:hint="eastAsia" w:ascii="宋体" w:hAnsi="宋体" w:eastAsia="宋体" w:cs="宋体"/>
          <w:b w:val="0"/>
          <w:bCs/>
          <w:color w:val="auto"/>
          <w:szCs w:val="21"/>
          <w:highlight w:val="none"/>
          <w:lang w:eastAsia="zh-CN"/>
        </w:rPr>
        <w:t>以</w:t>
      </w:r>
      <w:r>
        <w:rPr>
          <w:rFonts w:hint="eastAsia" w:ascii="宋体" w:hAnsi="宋体" w:eastAsia="宋体" w:cs="宋体"/>
          <w:b w:val="0"/>
          <w:bCs/>
          <w:color w:val="auto"/>
          <w:szCs w:val="21"/>
          <w:highlight w:val="none"/>
          <w:lang w:val="en-US" w:eastAsia="zh-CN"/>
        </w:rPr>
        <w:t>连续12个月</w:t>
      </w:r>
      <w:r>
        <w:rPr>
          <w:rFonts w:hint="eastAsia" w:ascii="宋体" w:hAnsi="宋体" w:eastAsia="宋体" w:cs="宋体"/>
          <w:b w:val="0"/>
          <w:bCs/>
          <w:color w:val="auto"/>
          <w:szCs w:val="21"/>
          <w:highlight w:val="none"/>
          <w:lang w:eastAsia="zh-CN"/>
        </w:rPr>
        <w:t>为</w:t>
      </w: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个周期</w:t>
      </w:r>
      <w:r>
        <w:rPr>
          <w:rFonts w:hint="eastAsia" w:ascii="宋体" w:hAnsi="宋体" w:eastAsia="宋体" w:cs="宋体"/>
          <w:color w:val="auto"/>
          <w:sz w:val="21"/>
          <w:szCs w:val="21"/>
          <w:highlight w:val="none"/>
          <w:lang w:val="en-US" w:eastAsia="zh-CN"/>
        </w:rPr>
        <w:t>）</w:t>
      </w:r>
    </w:p>
    <w:p w14:paraId="1F2072D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年度考核将基础养护（</w:t>
      </w:r>
      <w:r>
        <w:rPr>
          <w:rFonts w:hint="eastAsia" w:ascii="宋体" w:hAnsi="宋体" w:eastAsia="宋体" w:cs="宋体"/>
          <w:b w:val="0"/>
          <w:bCs/>
          <w:color w:val="auto"/>
          <w:szCs w:val="21"/>
          <w:highlight w:val="none"/>
          <w:lang w:val="en-US" w:eastAsia="zh-CN"/>
        </w:rPr>
        <w:t>每月考核+日常考核）</w:t>
      </w:r>
      <w:r>
        <w:rPr>
          <w:rFonts w:hint="eastAsia" w:ascii="宋体" w:hAnsi="宋体" w:eastAsia="宋体" w:cs="宋体"/>
          <w:b w:val="0"/>
          <w:bCs w:val="0"/>
          <w:color w:val="auto"/>
          <w:sz w:val="21"/>
          <w:szCs w:val="21"/>
          <w:highlight w:val="none"/>
          <w:lang w:val="en-US" w:eastAsia="zh-CN"/>
        </w:rPr>
        <w:t>的情况进行全面评估，对基础养护考核存在问题未按时整改、整改不到位、未按采购方要求提供佐证材料等情况，在计算年度考核总得分时每条未完成问题再扣50分，以最终得分情况依据考核结果档次计算绩效费用，</w:t>
      </w:r>
      <w:r>
        <w:rPr>
          <w:rFonts w:hint="eastAsia" w:ascii="宋体" w:hAnsi="宋体" w:eastAsia="宋体" w:cs="宋体"/>
          <w:b w:val="0"/>
          <w:bCs/>
          <w:color w:val="auto"/>
          <w:szCs w:val="21"/>
          <w:highlight w:val="none"/>
          <w:lang w:val="en-US" w:eastAsia="zh-CN"/>
        </w:rPr>
        <w:t>如连续3个月（即1</w:t>
      </w:r>
      <w:r>
        <w:rPr>
          <w:rFonts w:hint="eastAsia" w:ascii="宋体" w:hAnsi="宋体" w:eastAsia="宋体" w:cs="宋体"/>
          <w:b w:val="0"/>
          <w:bCs/>
          <w:color w:val="auto"/>
          <w:szCs w:val="21"/>
          <w:highlight w:val="none"/>
          <w:lang w:eastAsia="zh-CN"/>
        </w:rPr>
        <w:t>个基础考核周期</w:t>
      </w:r>
      <w:r>
        <w:rPr>
          <w:rFonts w:hint="eastAsia" w:ascii="宋体" w:hAnsi="宋体" w:eastAsia="宋体" w:cs="宋体"/>
          <w:b w:val="0"/>
          <w:bCs/>
          <w:color w:val="auto"/>
          <w:szCs w:val="21"/>
          <w:highlight w:val="none"/>
          <w:lang w:val="en-US" w:eastAsia="zh-CN"/>
        </w:rPr>
        <w:t>）考核不合格或当年度内累计6个月考核不合格</w:t>
      </w:r>
      <w:r>
        <w:rPr>
          <w:rFonts w:hint="eastAsia" w:ascii="宋体" w:hAnsi="宋体" w:eastAsia="宋体" w:cs="宋体"/>
          <w:color w:val="auto"/>
          <w:sz w:val="21"/>
          <w:szCs w:val="21"/>
          <w:highlight w:val="none"/>
          <w:lang w:val="en-US" w:eastAsia="zh-CN"/>
        </w:rPr>
        <w:t>，将全额扣除绩效费用，采购方有权终止合同。</w:t>
      </w:r>
    </w:p>
    <w:p w14:paraId="38F3189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2"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（四）奖励机制(考核加分上限为100分，计入月度考核分数)</w:t>
      </w:r>
    </w:p>
    <w:p w14:paraId="014FB5C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照明设施维修养护工作成效或亮点获得市一级表扬的，考核结果加5分/次；受到市级报刊、网站、微信公众号等官方媒体正面报道的，考核结果加5分/次；受到自治区及以上层面通报表扬的，考核结果加10分/次；受到自治区领导或市主要领导表扬（书面批示）的，考核结果加10分/次。积极主动配合采购方做好市场化服务范围以外的照明设施维修工作的，考核结果加5分/次；积极主动配合采购方做好重大活动照明保障、供电保障工作的，考核结果加10分/次。</w:t>
      </w:r>
    </w:p>
    <w:p w14:paraId="3672E3A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2"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（五）考核结果档次</w:t>
      </w:r>
    </w:p>
    <w:p w14:paraId="25FA324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考核实行千分制，按照扣分原则，下不保底。根据检查情况依据考核标准进行评分，</w:t>
      </w:r>
      <w:r>
        <w:rPr>
          <w:rFonts w:hint="eastAsia" w:ascii="宋体" w:hAnsi="宋体" w:eastAsia="宋体" w:cs="宋体"/>
          <w:b w:val="0"/>
          <w:bCs w:val="0"/>
          <w:color w:val="auto"/>
          <w:sz w:val="21"/>
          <w:szCs w:val="21"/>
          <w:highlight w:val="none"/>
          <w:lang w:val="en-US" w:eastAsia="zh-CN"/>
        </w:rPr>
        <w:t>基础养护（</w:t>
      </w:r>
      <w:r>
        <w:rPr>
          <w:rFonts w:hint="eastAsia" w:ascii="宋体" w:hAnsi="宋体" w:eastAsia="宋体" w:cs="宋体"/>
          <w:b w:val="0"/>
          <w:bCs/>
          <w:color w:val="auto"/>
          <w:szCs w:val="21"/>
          <w:highlight w:val="none"/>
          <w:lang w:val="en-US" w:eastAsia="zh-CN"/>
        </w:rPr>
        <w:t>每月考核+日常考核）</w:t>
      </w:r>
      <w:r>
        <w:rPr>
          <w:rFonts w:hint="eastAsia" w:ascii="宋体" w:hAnsi="宋体" w:eastAsia="宋体" w:cs="宋体"/>
          <w:color w:val="auto"/>
          <w:kern w:val="2"/>
          <w:sz w:val="21"/>
          <w:szCs w:val="21"/>
          <w:highlight w:val="none"/>
          <w:lang w:val="en-US" w:eastAsia="zh-CN" w:bidi="ar-SA"/>
        </w:rPr>
        <w:t>得分900分（含900分）以上为合格，采购方按70%</w:t>
      </w:r>
      <w:r>
        <w:rPr>
          <w:rFonts w:hint="eastAsia" w:ascii="宋体" w:hAnsi="宋体" w:eastAsia="宋体" w:cs="宋体"/>
          <w:b w:val="0"/>
          <w:bCs w:val="0"/>
          <w:color w:val="auto"/>
          <w:sz w:val="21"/>
          <w:szCs w:val="21"/>
          <w:highlight w:val="none"/>
          <w:lang w:val="en-US" w:eastAsia="zh-CN"/>
        </w:rPr>
        <w:t>年度预算养护经费</w:t>
      </w:r>
      <w:r>
        <w:rPr>
          <w:rFonts w:hint="eastAsia" w:ascii="宋体" w:hAnsi="宋体" w:eastAsia="宋体" w:cs="宋体"/>
          <w:color w:val="auto"/>
          <w:kern w:val="2"/>
          <w:sz w:val="21"/>
          <w:szCs w:val="21"/>
          <w:highlight w:val="none"/>
          <w:lang w:val="en-US" w:eastAsia="zh-CN" w:bidi="ar-SA"/>
        </w:rPr>
        <w:t>计算当月</w:t>
      </w:r>
      <w:r>
        <w:rPr>
          <w:rFonts w:hint="eastAsia" w:ascii="宋体" w:hAnsi="宋体" w:eastAsia="宋体" w:cs="宋体"/>
          <w:b w:val="0"/>
          <w:bCs/>
          <w:color w:val="auto"/>
          <w:szCs w:val="21"/>
          <w:highlight w:val="none"/>
          <w:lang w:val="en-US" w:eastAsia="zh-CN"/>
        </w:rPr>
        <w:t>基础养护服务费</w:t>
      </w:r>
      <w:r>
        <w:rPr>
          <w:rFonts w:hint="eastAsia" w:ascii="宋体" w:hAnsi="宋体" w:eastAsia="宋体" w:cs="宋体"/>
          <w:color w:val="auto"/>
          <w:kern w:val="2"/>
          <w:sz w:val="21"/>
          <w:szCs w:val="21"/>
          <w:highlight w:val="none"/>
          <w:lang w:val="en-US" w:eastAsia="zh-CN" w:bidi="ar-SA"/>
        </w:rPr>
        <w:t>；900分（不含900分）以下为不合格，</w:t>
      </w:r>
      <w:r>
        <w:rPr>
          <w:rFonts w:hint="eastAsia" w:ascii="宋体" w:hAnsi="宋体" w:eastAsia="宋体" w:cs="宋体"/>
          <w:b w:val="0"/>
          <w:bCs/>
          <w:color w:val="auto"/>
          <w:szCs w:val="21"/>
          <w:highlight w:val="none"/>
          <w:lang w:eastAsia="zh-CN"/>
        </w:rPr>
        <w:t>其中大于</w:t>
      </w:r>
      <w:r>
        <w:rPr>
          <w:rFonts w:hint="eastAsia" w:ascii="宋体" w:hAnsi="宋体" w:eastAsia="宋体" w:cs="宋体"/>
          <w:b w:val="0"/>
          <w:bCs/>
          <w:color w:val="auto"/>
          <w:szCs w:val="21"/>
          <w:highlight w:val="none"/>
          <w:lang w:val="en-US" w:eastAsia="zh-CN"/>
        </w:rPr>
        <w:t>600分（不含600分）</w:t>
      </w:r>
      <w:r>
        <w:rPr>
          <w:rFonts w:hint="eastAsia" w:ascii="宋体" w:hAnsi="宋体" w:eastAsia="宋体" w:cs="宋体"/>
          <w:b w:val="0"/>
          <w:bCs/>
          <w:color w:val="auto"/>
          <w:szCs w:val="21"/>
          <w:highlight w:val="none"/>
        </w:rPr>
        <w:t>的按</w:t>
      </w:r>
      <w:r>
        <w:rPr>
          <w:rFonts w:hint="eastAsia" w:ascii="宋体" w:hAnsi="宋体" w:eastAsia="宋体" w:cs="宋体"/>
          <w:color w:val="auto"/>
          <w:kern w:val="2"/>
          <w:sz w:val="21"/>
          <w:szCs w:val="21"/>
          <w:highlight w:val="none"/>
          <w:lang w:val="en-US" w:eastAsia="zh-CN" w:bidi="ar-SA"/>
        </w:rPr>
        <w:t>当月</w:t>
      </w:r>
      <w:r>
        <w:rPr>
          <w:rFonts w:hint="eastAsia" w:ascii="宋体" w:hAnsi="宋体" w:eastAsia="宋体" w:cs="宋体"/>
          <w:b w:val="0"/>
          <w:bCs/>
          <w:color w:val="auto"/>
          <w:szCs w:val="21"/>
          <w:highlight w:val="none"/>
        </w:rPr>
        <w:t>考核得分比例</w:t>
      </w:r>
      <w:r>
        <w:rPr>
          <w:rFonts w:hint="eastAsia" w:ascii="宋体" w:hAnsi="宋体" w:eastAsia="宋体" w:cs="宋体"/>
          <w:color w:val="auto"/>
          <w:kern w:val="2"/>
          <w:sz w:val="21"/>
          <w:szCs w:val="21"/>
          <w:highlight w:val="none"/>
          <w:lang w:val="en-US" w:eastAsia="zh-CN" w:bidi="ar-SA"/>
        </w:rPr>
        <w:t>计算</w:t>
      </w:r>
      <w:r>
        <w:rPr>
          <w:rFonts w:hint="eastAsia" w:ascii="宋体" w:hAnsi="宋体" w:eastAsia="宋体" w:cs="宋体"/>
          <w:b w:val="0"/>
          <w:bCs/>
          <w:color w:val="auto"/>
          <w:szCs w:val="21"/>
          <w:highlight w:val="none"/>
          <w:lang w:val="en-US" w:eastAsia="zh-CN"/>
        </w:rPr>
        <w:t>基础养护服务费</w:t>
      </w:r>
      <w:r>
        <w:rPr>
          <w:rFonts w:hint="eastAsia" w:ascii="宋体" w:hAnsi="宋体" w:eastAsia="宋体" w:cs="宋体"/>
          <w:color w:val="auto"/>
          <w:kern w:val="2"/>
          <w:sz w:val="21"/>
          <w:szCs w:val="21"/>
          <w:highlight w:val="none"/>
          <w:lang w:val="en-US" w:eastAsia="zh-CN" w:bidi="ar-SA"/>
        </w:rPr>
        <w:t>，并由照明设施维修养护考评组组长约谈承包单位负责人，600分（含600分）以下的，不予支付当月服务费用，采购方有权终止合同。采购方按得分率计算</w:t>
      </w:r>
      <w:r>
        <w:rPr>
          <w:rFonts w:hint="eastAsia" w:ascii="宋体" w:hAnsi="宋体" w:eastAsia="宋体" w:cs="宋体"/>
          <w:b w:val="0"/>
          <w:bCs/>
          <w:strike w:val="0"/>
          <w:dstrike w:val="0"/>
          <w:color w:val="auto"/>
          <w:szCs w:val="21"/>
          <w:highlight w:val="none"/>
          <w:lang w:val="en-US" w:eastAsia="zh-CN"/>
        </w:rPr>
        <w:t>1个绩效考核周期内的</w:t>
      </w:r>
      <w:r>
        <w:rPr>
          <w:rFonts w:hint="eastAsia" w:ascii="宋体" w:hAnsi="宋体" w:eastAsia="宋体" w:cs="宋体"/>
          <w:color w:val="auto"/>
          <w:kern w:val="2"/>
          <w:sz w:val="21"/>
          <w:szCs w:val="21"/>
          <w:highlight w:val="none"/>
          <w:lang w:val="en-US" w:eastAsia="zh-CN" w:bidi="ar-SA"/>
        </w:rPr>
        <w:t>基础养护与绩效养护服务费，具体计算方法如下：</w:t>
      </w:r>
    </w:p>
    <w:p w14:paraId="5570BF2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1.服</w:t>
      </w:r>
      <w:r>
        <w:rPr>
          <w:rFonts w:hint="eastAsia" w:ascii="宋体" w:hAnsi="宋体" w:eastAsia="宋体" w:cs="宋体"/>
          <w:b w:val="0"/>
          <w:bCs/>
          <w:color w:val="auto"/>
          <w:szCs w:val="21"/>
          <w:highlight w:val="none"/>
          <w:lang w:val="en-US" w:eastAsia="zh-CN"/>
        </w:rPr>
        <w:t>务期内连续3个月为1</w:t>
      </w:r>
      <w:r>
        <w:rPr>
          <w:rFonts w:hint="eastAsia" w:ascii="宋体" w:hAnsi="宋体" w:eastAsia="宋体" w:cs="宋体"/>
          <w:b w:val="0"/>
          <w:bCs/>
          <w:color w:val="auto"/>
          <w:szCs w:val="21"/>
          <w:highlight w:val="none"/>
          <w:lang w:eastAsia="zh-CN"/>
        </w:rPr>
        <w:t>个基础考核周期，</w:t>
      </w:r>
      <w:r>
        <w:rPr>
          <w:rFonts w:hint="eastAsia" w:ascii="宋体" w:hAnsi="宋体" w:eastAsia="宋体" w:cs="宋体"/>
          <w:b w:val="0"/>
          <w:bCs/>
          <w:color w:val="auto"/>
          <w:szCs w:val="21"/>
          <w:highlight w:val="none"/>
          <w:lang w:val="en-US" w:eastAsia="zh-CN"/>
        </w:rPr>
        <w:t>年度考核结果为</w:t>
      </w:r>
      <w:r>
        <w:rPr>
          <w:rFonts w:hint="eastAsia" w:ascii="宋体" w:hAnsi="宋体" w:eastAsia="宋体" w:cs="宋体"/>
          <w:b w:val="0"/>
          <w:bCs/>
          <w:strike w:val="0"/>
          <w:dstrike w:val="0"/>
          <w:color w:val="auto"/>
          <w:szCs w:val="21"/>
          <w:highlight w:val="none"/>
          <w:lang w:val="en-US" w:eastAsia="zh-CN"/>
        </w:rPr>
        <w:t>1个绩效考核周期内</w:t>
      </w:r>
      <w:r>
        <w:rPr>
          <w:rFonts w:hint="eastAsia" w:ascii="宋体" w:hAnsi="宋体" w:eastAsia="宋体" w:cs="宋体"/>
          <w:b w:val="0"/>
          <w:bCs/>
          <w:color w:val="auto"/>
          <w:szCs w:val="21"/>
          <w:highlight w:val="none"/>
          <w:lang w:val="en-US" w:eastAsia="zh-CN"/>
        </w:rPr>
        <w:t>每月考核+日常考核得分的累加；当月基础养护600分（含600分）以下的不计入本轮</w:t>
      </w:r>
      <w:r>
        <w:rPr>
          <w:rFonts w:hint="eastAsia" w:ascii="宋体" w:hAnsi="宋体" w:eastAsia="宋体" w:cs="宋体"/>
          <w:b w:val="0"/>
          <w:bCs/>
          <w:strike w:val="0"/>
          <w:dstrike w:val="0"/>
          <w:color w:val="auto"/>
          <w:szCs w:val="21"/>
          <w:highlight w:val="none"/>
          <w:lang w:val="en-US" w:eastAsia="zh-CN"/>
        </w:rPr>
        <w:t>绩效考核周期的</w:t>
      </w:r>
      <w:r>
        <w:rPr>
          <w:rFonts w:hint="eastAsia" w:ascii="宋体" w:hAnsi="宋体" w:eastAsia="宋体" w:cs="宋体"/>
          <w:b w:val="0"/>
          <w:bCs/>
          <w:color w:val="auto"/>
          <w:szCs w:val="21"/>
          <w:highlight w:val="none"/>
          <w:lang w:val="en-US" w:eastAsia="zh-CN"/>
        </w:rPr>
        <w:t>考核结果，不计入</w:t>
      </w:r>
      <w:r>
        <w:rPr>
          <w:rFonts w:hint="eastAsia" w:ascii="宋体" w:hAnsi="宋体" w:eastAsia="宋体" w:cs="宋体"/>
          <w:b w:val="0"/>
          <w:bCs/>
          <w:strike w:val="0"/>
          <w:dstrike w:val="0"/>
          <w:color w:val="auto"/>
          <w:szCs w:val="21"/>
          <w:highlight w:val="none"/>
          <w:lang w:val="en-US" w:eastAsia="zh-CN"/>
        </w:rPr>
        <w:t>绩效考核周期的</w:t>
      </w:r>
      <w:r>
        <w:rPr>
          <w:rFonts w:hint="eastAsia" w:ascii="宋体" w:hAnsi="宋体" w:eastAsia="宋体" w:cs="宋体"/>
          <w:b w:val="0"/>
          <w:bCs/>
          <w:color w:val="auto"/>
          <w:szCs w:val="21"/>
          <w:highlight w:val="none"/>
          <w:lang w:val="en-US" w:eastAsia="zh-CN"/>
        </w:rPr>
        <w:t>考核结果即不予支付该部分服务费；</w:t>
      </w:r>
      <w:r>
        <w:rPr>
          <w:rFonts w:hint="eastAsia" w:ascii="宋体" w:hAnsi="宋体" w:eastAsia="宋体" w:cs="宋体"/>
          <w:b w:val="0"/>
          <w:bCs/>
          <w:strike w:val="0"/>
          <w:dstrike w:val="0"/>
          <w:color w:val="auto"/>
          <w:szCs w:val="21"/>
          <w:highlight w:val="none"/>
          <w:lang w:val="en-US" w:eastAsia="zh-CN"/>
        </w:rPr>
        <w:t>1个绩效考核周期的</w:t>
      </w:r>
      <w:r>
        <w:rPr>
          <w:rFonts w:hint="eastAsia" w:ascii="宋体" w:hAnsi="宋体" w:eastAsia="宋体" w:cs="宋体"/>
          <w:b w:val="0"/>
          <w:bCs/>
          <w:color w:val="auto"/>
          <w:szCs w:val="21"/>
          <w:highlight w:val="none"/>
          <w:lang w:val="en-US" w:eastAsia="zh-CN"/>
        </w:rPr>
        <w:t>基础养护经费=</w:t>
      </w:r>
      <w:r>
        <w:rPr>
          <w:rFonts w:hint="eastAsia" w:ascii="宋体" w:hAnsi="宋体" w:eastAsia="宋体" w:cs="宋体"/>
          <w:color w:val="auto"/>
          <w:kern w:val="2"/>
          <w:sz w:val="21"/>
          <w:szCs w:val="21"/>
          <w:highlight w:val="none"/>
          <w:lang w:val="en-US" w:eastAsia="zh-CN" w:bidi="ar-SA"/>
        </w:rPr>
        <w:t>70%</w:t>
      </w:r>
      <w:r>
        <w:rPr>
          <w:rFonts w:hint="eastAsia" w:ascii="宋体" w:hAnsi="宋体" w:eastAsia="宋体" w:cs="宋体"/>
          <w:b w:val="0"/>
          <w:bCs w:val="0"/>
          <w:color w:val="auto"/>
          <w:sz w:val="21"/>
          <w:szCs w:val="21"/>
          <w:highlight w:val="none"/>
          <w:lang w:val="en-US" w:eastAsia="zh-CN"/>
        </w:rPr>
        <w:t>年度预算养护经费，年度</w:t>
      </w:r>
      <w:r>
        <w:rPr>
          <w:rFonts w:hint="eastAsia" w:ascii="宋体" w:hAnsi="宋体" w:eastAsia="宋体" w:cs="宋体"/>
          <w:b w:val="0"/>
          <w:bCs/>
          <w:color w:val="auto"/>
          <w:szCs w:val="21"/>
          <w:highlight w:val="none"/>
          <w:lang w:val="en-US" w:eastAsia="zh-CN"/>
        </w:rPr>
        <w:t>绩效养护经费=</w:t>
      </w:r>
      <w:r>
        <w:rPr>
          <w:rFonts w:hint="eastAsia" w:ascii="宋体" w:hAnsi="宋体" w:eastAsia="宋体" w:cs="宋体"/>
          <w:color w:val="auto"/>
          <w:kern w:val="2"/>
          <w:sz w:val="21"/>
          <w:szCs w:val="21"/>
          <w:highlight w:val="none"/>
          <w:lang w:val="en-US" w:eastAsia="zh-CN" w:bidi="ar-SA"/>
        </w:rPr>
        <w:t>30%</w:t>
      </w:r>
      <w:r>
        <w:rPr>
          <w:rFonts w:hint="eastAsia" w:ascii="宋体" w:hAnsi="宋体" w:eastAsia="宋体" w:cs="宋体"/>
          <w:b w:val="0"/>
          <w:bCs w:val="0"/>
          <w:color w:val="auto"/>
          <w:sz w:val="21"/>
          <w:szCs w:val="21"/>
          <w:highlight w:val="none"/>
          <w:lang w:val="en-US" w:eastAsia="zh-CN"/>
        </w:rPr>
        <w:t>年度预算养护经费</w:t>
      </w:r>
      <w:r>
        <w:rPr>
          <w:rFonts w:hint="eastAsia" w:ascii="宋体" w:hAnsi="宋体" w:eastAsia="宋体" w:cs="宋体"/>
          <w:b w:val="0"/>
          <w:bCs/>
          <w:color w:val="auto"/>
          <w:szCs w:val="21"/>
          <w:highlight w:val="none"/>
          <w:lang w:val="en-US" w:eastAsia="zh-CN"/>
        </w:rPr>
        <w:t>。</w:t>
      </w:r>
    </w:p>
    <w:p w14:paraId="7C99F10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2.每月考核900分以上的（上限为满分1000分），计算方式为当月</w:t>
      </w:r>
      <w:r>
        <w:rPr>
          <w:rFonts w:hint="eastAsia" w:ascii="宋体" w:hAnsi="宋体" w:eastAsia="宋体" w:cs="宋体"/>
          <w:b w:val="0"/>
          <w:bCs w:val="0"/>
          <w:color w:val="auto"/>
          <w:sz w:val="21"/>
          <w:szCs w:val="21"/>
          <w:highlight w:val="none"/>
          <w:lang w:val="en-US" w:eastAsia="zh-CN"/>
        </w:rPr>
        <w:t>基础养护</w:t>
      </w:r>
      <w:r>
        <w:rPr>
          <w:rFonts w:hint="eastAsia" w:ascii="宋体" w:hAnsi="宋体" w:eastAsia="宋体" w:cs="宋体"/>
          <w:color w:val="auto"/>
          <w:kern w:val="2"/>
          <w:sz w:val="21"/>
          <w:szCs w:val="21"/>
          <w:highlight w:val="none"/>
          <w:lang w:val="en-US" w:eastAsia="zh-CN" w:bidi="ar-SA"/>
        </w:rPr>
        <w:t>服务费=70%</w:t>
      </w:r>
      <w:r>
        <w:rPr>
          <w:rFonts w:hint="eastAsia" w:ascii="宋体" w:hAnsi="宋体" w:eastAsia="宋体" w:cs="宋体"/>
          <w:b w:val="0"/>
          <w:bCs w:val="0"/>
          <w:color w:val="auto"/>
          <w:sz w:val="21"/>
          <w:szCs w:val="21"/>
          <w:highlight w:val="none"/>
          <w:lang w:val="en-US" w:eastAsia="zh-CN"/>
        </w:rPr>
        <w:t>年度预算养护经费</w:t>
      </w:r>
      <w:r>
        <w:rPr>
          <w:rFonts w:hint="eastAsia" w:ascii="宋体" w:hAnsi="宋体" w:eastAsia="宋体" w:cs="宋体"/>
          <w:color w:val="auto"/>
          <w:kern w:val="2"/>
          <w:sz w:val="21"/>
          <w:szCs w:val="21"/>
          <w:highlight w:val="none"/>
          <w:lang w:val="en-US" w:eastAsia="zh-CN" w:bidi="ar-SA"/>
        </w:rPr>
        <w:t>÷12</w:t>
      </w:r>
      <w:r>
        <w:rPr>
          <w:rFonts w:hint="eastAsia" w:ascii="宋体" w:hAnsi="宋体" w:eastAsia="宋体" w:cs="宋体"/>
          <w:color w:val="auto"/>
          <w:sz w:val="21"/>
          <w:szCs w:val="21"/>
          <w:highlight w:val="none"/>
        </w:rPr>
        <w:t>×100%</w:t>
      </w:r>
      <w:r>
        <w:rPr>
          <w:rFonts w:hint="eastAsia" w:ascii="宋体" w:hAnsi="宋体" w:eastAsia="宋体" w:cs="宋体"/>
          <w:color w:val="auto"/>
          <w:kern w:val="2"/>
          <w:sz w:val="21"/>
          <w:szCs w:val="21"/>
          <w:highlight w:val="none"/>
          <w:lang w:val="en-US" w:eastAsia="zh-CN" w:bidi="ar-SA"/>
        </w:rPr>
        <w:t>。</w:t>
      </w:r>
    </w:p>
    <w:p w14:paraId="05AD940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3.每月考核900分以下，600分（不含600分）以上的，计算方式为当月</w:t>
      </w:r>
      <w:r>
        <w:rPr>
          <w:rFonts w:hint="eastAsia" w:ascii="宋体" w:hAnsi="宋体" w:eastAsia="宋体" w:cs="宋体"/>
          <w:b w:val="0"/>
          <w:bCs w:val="0"/>
          <w:color w:val="auto"/>
          <w:sz w:val="21"/>
          <w:szCs w:val="21"/>
          <w:highlight w:val="none"/>
          <w:lang w:val="en-US" w:eastAsia="zh-CN"/>
        </w:rPr>
        <w:t>基础养护</w:t>
      </w:r>
      <w:r>
        <w:rPr>
          <w:rFonts w:hint="eastAsia" w:ascii="宋体" w:hAnsi="宋体" w:eastAsia="宋体" w:cs="宋体"/>
          <w:color w:val="auto"/>
          <w:kern w:val="2"/>
          <w:sz w:val="21"/>
          <w:szCs w:val="21"/>
          <w:highlight w:val="none"/>
          <w:lang w:val="en-US" w:eastAsia="zh-CN" w:bidi="ar-SA"/>
        </w:rPr>
        <w:t>服务费=当期得分÷900×（70%</w:t>
      </w:r>
      <w:r>
        <w:rPr>
          <w:rFonts w:hint="eastAsia" w:ascii="宋体" w:hAnsi="宋体" w:eastAsia="宋体" w:cs="宋体"/>
          <w:b w:val="0"/>
          <w:bCs w:val="0"/>
          <w:color w:val="auto"/>
          <w:sz w:val="21"/>
          <w:szCs w:val="21"/>
          <w:highlight w:val="none"/>
          <w:lang w:val="en-US" w:eastAsia="zh-CN"/>
        </w:rPr>
        <w:t>年度预算养护经费</w:t>
      </w:r>
      <w:r>
        <w:rPr>
          <w:rFonts w:hint="eastAsia" w:ascii="宋体" w:hAnsi="宋体" w:eastAsia="宋体" w:cs="宋体"/>
          <w:color w:val="auto"/>
          <w:kern w:val="2"/>
          <w:sz w:val="21"/>
          <w:szCs w:val="21"/>
          <w:highlight w:val="none"/>
          <w:lang w:val="en-US" w:eastAsia="zh-CN" w:bidi="ar-SA"/>
        </w:rPr>
        <w:t>÷12）。</w:t>
      </w:r>
    </w:p>
    <w:p w14:paraId="2BE879B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4.年度绩效服务费=</w:t>
      </w:r>
      <w:r>
        <w:rPr>
          <w:rFonts w:hint="eastAsia" w:ascii="宋体" w:hAnsi="宋体" w:eastAsia="宋体" w:cs="宋体"/>
          <w:b w:val="0"/>
          <w:bCs/>
          <w:strike w:val="0"/>
          <w:dstrike w:val="0"/>
          <w:color w:val="auto"/>
          <w:szCs w:val="21"/>
          <w:highlight w:val="none"/>
          <w:lang w:val="en-US" w:eastAsia="zh-CN"/>
        </w:rPr>
        <w:t>1个绩效考核周期内的</w:t>
      </w:r>
      <w:r>
        <w:rPr>
          <w:rFonts w:hint="eastAsia" w:ascii="宋体" w:hAnsi="宋体" w:eastAsia="宋体" w:cs="宋体"/>
          <w:color w:val="auto"/>
          <w:kern w:val="2"/>
          <w:sz w:val="21"/>
          <w:szCs w:val="21"/>
          <w:highlight w:val="none"/>
          <w:lang w:val="en-US" w:eastAsia="zh-CN" w:bidi="ar-SA"/>
        </w:rPr>
        <w:t>考核结果总得分÷全年考核满分12000分×30%</w:t>
      </w:r>
      <w:r>
        <w:rPr>
          <w:rFonts w:hint="eastAsia" w:ascii="宋体" w:hAnsi="宋体" w:eastAsia="宋体" w:cs="宋体"/>
          <w:b w:val="0"/>
          <w:bCs w:val="0"/>
          <w:color w:val="auto"/>
          <w:sz w:val="21"/>
          <w:szCs w:val="21"/>
          <w:highlight w:val="none"/>
          <w:lang w:val="en-US" w:eastAsia="zh-CN"/>
        </w:rPr>
        <w:t>年度预算养护经费</w:t>
      </w:r>
      <w:r>
        <w:rPr>
          <w:rFonts w:hint="eastAsia" w:ascii="宋体" w:hAnsi="宋体" w:eastAsia="宋体" w:cs="宋体"/>
          <w:color w:val="auto"/>
          <w:kern w:val="2"/>
          <w:sz w:val="21"/>
          <w:szCs w:val="21"/>
          <w:highlight w:val="none"/>
          <w:lang w:val="en-US" w:eastAsia="zh-CN" w:bidi="ar-SA"/>
        </w:rPr>
        <w:t>。</w:t>
      </w:r>
    </w:p>
    <w:p w14:paraId="2D730D1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（六）考核争议处理</w:t>
      </w:r>
    </w:p>
    <w:p w14:paraId="6D7D652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被考核对象对照明设施维修养护考核结果存有异议的，可在3个工作日内向</w:t>
      </w:r>
      <w:bookmarkStart w:id="7" w:name="OLE_LINK12"/>
      <w:r>
        <w:rPr>
          <w:rFonts w:hint="eastAsia" w:ascii="宋体" w:hAnsi="宋体" w:eastAsia="宋体" w:cs="宋体"/>
          <w:color w:val="auto"/>
          <w:kern w:val="2"/>
          <w:sz w:val="21"/>
          <w:szCs w:val="21"/>
          <w:highlight w:val="none"/>
          <w:lang w:val="en-US" w:eastAsia="zh-CN" w:bidi="ar-SA"/>
        </w:rPr>
        <w:t>防城港市道路照明设施管理所</w:t>
      </w:r>
      <w:bookmarkEnd w:id="7"/>
      <w:r>
        <w:rPr>
          <w:rFonts w:hint="eastAsia" w:ascii="宋体" w:hAnsi="宋体" w:eastAsia="宋体" w:cs="宋体"/>
          <w:color w:val="auto"/>
          <w:kern w:val="2"/>
          <w:sz w:val="21"/>
          <w:szCs w:val="21"/>
          <w:highlight w:val="none"/>
          <w:lang w:val="en-US" w:eastAsia="zh-CN" w:bidi="ar-SA"/>
        </w:rPr>
        <w:t>提交复查申请，</w:t>
      </w:r>
      <w:bookmarkStart w:id="8" w:name="OLE_LINK14"/>
      <w:r>
        <w:rPr>
          <w:rFonts w:hint="eastAsia" w:ascii="宋体" w:hAnsi="宋体" w:eastAsia="宋体" w:cs="宋体"/>
          <w:color w:val="auto"/>
          <w:kern w:val="2"/>
          <w:sz w:val="21"/>
          <w:szCs w:val="21"/>
          <w:highlight w:val="none"/>
          <w:lang w:val="en-US" w:eastAsia="zh-CN" w:bidi="ar-SA"/>
        </w:rPr>
        <w:t>防城港市道路照明设施管理所</w:t>
      </w:r>
      <w:bookmarkEnd w:id="8"/>
      <w:r>
        <w:rPr>
          <w:rFonts w:hint="eastAsia" w:ascii="宋体" w:hAnsi="宋体" w:eastAsia="宋体" w:cs="宋体"/>
          <w:color w:val="auto"/>
          <w:kern w:val="2"/>
          <w:sz w:val="21"/>
          <w:szCs w:val="21"/>
          <w:highlight w:val="none"/>
          <w:lang w:val="en-US" w:eastAsia="zh-CN" w:bidi="ar-SA"/>
        </w:rPr>
        <w:t>受理后在3个工作日内进行复查，并对复查结果再次确认；如被考核对象对复查结果仍存有异议，可向防城港市住房和城乡建设局再次提出书面复核申请，防城港市住房和城乡建设局受理后进行复核，并对考核结果最终确认。</w:t>
      </w:r>
    </w:p>
    <w:p w14:paraId="5CB195F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2" w:firstLineChars="200"/>
        <w:textAlignment w:val="auto"/>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kern w:val="2"/>
          <w:sz w:val="21"/>
          <w:szCs w:val="21"/>
          <w:highlight w:val="none"/>
          <w:lang w:val="zh-CN" w:eastAsia="zh-CN" w:bidi="ar-SA"/>
        </w:rPr>
        <w:t>四、实施时间</w:t>
      </w:r>
    </w:p>
    <w:p w14:paraId="5DF8D1B8">
      <w:pPr>
        <w:pageBreakBefore w:val="0"/>
        <w:kinsoku/>
        <w:wordWrap/>
        <w:overflowPunct/>
        <w:topLinePunct w:val="0"/>
        <w:bidi w:val="0"/>
        <w:spacing w:beforeAutospacing="0" w:afterAutospacing="0" w:line="338" w:lineRule="auto"/>
        <w:ind w:firstLine="416" w:firstLineChars="200"/>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本考核办法由双方盖章，自合同签订之日起</w:t>
      </w:r>
      <w:r>
        <w:rPr>
          <w:rFonts w:hint="eastAsia" w:ascii="宋体" w:hAnsi="宋体" w:eastAsia="宋体" w:cs="宋体"/>
          <w:color w:val="auto"/>
          <w:spacing w:val="-1"/>
          <w:sz w:val="21"/>
          <w:szCs w:val="21"/>
          <w:highlight w:val="none"/>
          <w:lang w:eastAsia="zh-CN"/>
        </w:rPr>
        <w:t>施行</w:t>
      </w:r>
      <w:r>
        <w:rPr>
          <w:rFonts w:hint="eastAsia" w:ascii="宋体" w:hAnsi="宋体" w:eastAsia="宋体" w:cs="宋体"/>
          <w:color w:val="auto"/>
          <w:spacing w:val="-1"/>
          <w:sz w:val="21"/>
          <w:szCs w:val="21"/>
          <w:highlight w:val="none"/>
        </w:rPr>
        <w:t>。</w:t>
      </w:r>
    </w:p>
    <w:p w14:paraId="1E4BA5F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2" w:firstLineChars="200"/>
        <w:textAlignment w:val="auto"/>
        <w:rPr>
          <w:rFonts w:hint="eastAsia" w:ascii="宋体" w:hAnsi="宋体" w:eastAsia="宋体" w:cs="宋体"/>
          <w:b/>
          <w:bCs/>
          <w:color w:val="auto"/>
          <w:kern w:val="2"/>
          <w:sz w:val="21"/>
          <w:szCs w:val="21"/>
          <w:highlight w:val="none"/>
          <w:lang w:val="zh-CN" w:eastAsia="zh-CN" w:bidi="ar-SA"/>
        </w:rPr>
      </w:pPr>
      <w:r>
        <w:rPr>
          <w:rFonts w:hint="eastAsia" w:ascii="宋体" w:hAnsi="宋体" w:eastAsia="宋体" w:cs="宋体"/>
          <w:b/>
          <w:bCs/>
          <w:color w:val="auto"/>
          <w:kern w:val="2"/>
          <w:sz w:val="21"/>
          <w:szCs w:val="21"/>
          <w:highlight w:val="none"/>
          <w:lang w:val="zh-CN" w:eastAsia="zh-CN" w:bidi="ar-SA"/>
        </w:rPr>
        <w:t>五、附则</w:t>
      </w:r>
    </w:p>
    <w:p w14:paraId="5678B361">
      <w:pPr>
        <w:pageBreakBefore w:val="0"/>
        <w:kinsoku/>
        <w:wordWrap/>
        <w:overflowPunct/>
        <w:topLinePunct w:val="0"/>
        <w:bidi w:val="0"/>
        <w:spacing w:beforeAutospacing="0" w:afterAutospacing="0" w:line="338" w:lineRule="auto"/>
        <w:ind w:left="12" w:firstLine="517"/>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(一)本办法由</w:t>
      </w:r>
      <w:r>
        <w:rPr>
          <w:rFonts w:hint="eastAsia" w:ascii="宋体" w:hAnsi="宋体" w:eastAsia="宋体" w:cs="宋体"/>
          <w:color w:val="auto"/>
          <w:spacing w:val="-1"/>
          <w:sz w:val="21"/>
          <w:szCs w:val="21"/>
          <w:highlight w:val="none"/>
          <w:lang w:val="en-US" w:eastAsia="zh-CN"/>
        </w:rPr>
        <w:t>防城港市住房和城乡建设局</w:t>
      </w:r>
      <w:r>
        <w:rPr>
          <w:rFonts w:hint="eastAsia" w:ascii="宋体" w:hAnsi="宋体" w:eastAsia="宋体" w:cs="宋体"/>
          <w:color w:val="auto"/>
          <w:spacing w:val="-1"/>
          <w:sz w:val="21"/>
          <w:szCs w:val="21"/>
          <w:highlight w:val="none"/>
        </w:rPr>
        <w:t>负责解释，根据实际情况适时修改，未尽事宜，依照合同协议、</w:t>
      </w:r>
      <w:r>
        <w:rPr>
          <w:rFonts w:hint="eastAsia" w:ascii="宋体" w:hAnsi="宋体" w:eastAsia="宋体" w:cs="宋体"/>
          <w:color w:val="auto"/>
          <w:spacing w:val="-1"/>
          <w:sz w:val="21"/>
          <w:szCs w:val="21"/>
          <w:highlight w:val="none"/>
          <w:lang w:eastAsia="zh-CN"/>
        </w:rPr>
        <w:t>招标</w:t>
      </w:r>
      <w:r>
        <w:rPr>
          <w:rFonts w:hint="eastAsia" w:ascii="宋体" w:hAnsi="宋体" w:eastAsia="宋体" w:cs="宋体"/>
          <w:color w:val="auto"/>
          <w:spacing w:val="-1"/>
          <w:sz w:val="21"/>
          <w:szCs w:val="21"/>
          <w:highlight w:val="none"/>
        </w:rPr>
        <w:t>文件、城市照明管理办法等有关规定执行。</w:t>
      </w:r>
    </w:p>
    <w:p w14:paraId="7BEC3255">
      <w:pPr>
        <w:pageBreakBefore w:val="0"/>
        <w:kinsoku/>
        <w:wordWrap/>
        <w:overflowPunct/>
        <w:topLinePunct w:val="0"/>
        <w:bidi w:val="0"/>
        <w:spacing w:beforeAutospacing="0" w:afterAutospacing="0" w:line="338" w:lineRule="auto"/>
        <w:ind w:left="12" w:firstLine="517"/>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(二)</w:t>
      </w:r>
      <w:r>
        <w:rPr>
          <w:rFonts w:hint="eastAsia" w:ascii="宋体" w:hAnsi="宋体" w:eastAsia="宋体" w:cs="宋体"/>
          <w:color w:val="auto"/>
          <w:spacing w:val="-1"/>
          <w:sz w:val="21"/>
          <w:szCs w:val="21"/>
          <w:highlight w:val="none"/>
          <w:lang w:eastAsia="zh-CN"/>
        </w:rPr>
        <w:t>防城港</w:t>
      </w:r>
      <w:r>
        <w:rPr>
          <w:rFonts w:hint="eastAsia" w:ascii="宋体" w:hAnsi="宋体" w:eastAsia="宋体" w:cs="宋体"/>
          <w:color w:val="auto"/>
          <w:spacing w:val="-1"/>
          <w:sz w:val="21"/>
          <w:szCs w:val="21"/>
          <w:highlight w:val="none"/>
        </w:rPr>
        <w:t>市</w:t>
      </w:r>
      <w:r>
        <w:rPr>
          <w:rFonts w:hint="eastAsia" w:ascii="宋体" w:hAnsi="宋体" w:eastAsia="宋体" w:cs="宋体"/>
          <w:color w:val="auto"/>
          <w:spacing w:val="-1"/>
          <w:sz w:val="21"/>
          <w:szCs w:val="21"/>
          <w:highlight w:val="none"/>
          <w:lang w:eastAsia="zh-CN"/>
        </w:rPr>
        <w:t>道路照明设施管理所</w:t>
      </w:r>
      <w:r>
        <w:rPr>
          <w:rFonts w:hint="eastAsia" w:ascii="宋体" w:hAnsi="宋体" w:eastAsia="宋体" w:cs="宋体"/>
          <w:color w:val="auto"/>
          <w:spacing w:val="-1"/>
          <w:sz w:val="21"/>
          <w:szCs w:val="21"/>
          <w:highlight w:val="none"/>
        </w:rPr>
        <w:t>将每次考核评分情况</w:t>
      </w:r>
      <w:r>
        <w:rPr>
          <w:rFonts w:hint="eastAsia" w:ascii="宋体" w:hAnsi="宋体" w:eastAsia="宋体" w:cs="宋体"/>
          <w:color w:val="auto"/>
          <w:spacing w:val="-1"/>
          <w:sz w:val="21"/>
          <w:szCs w:val="21"/>
          <w:highlight w:val="none"/>
          <w:lang w:eastAsia="zh-CN"/>
        </w:rPr>
        <w:t>报告</w:t>
      </w:r>
      <w:r>
        <w:rPr>
          <w:rFonts w:hint="eastAsia" w:ascii="宋体" w:hAnsi="宋体" w:eastAsia="宋体" w:cs="宋体"/>
          <w:color w:val="auto"/>
          <w:spacing w:val="-1"/>
          <w:sz w:val="21"/>
          <w:szCs w:val="21"/>
          <w:highlight w:val="none"/>
        </w:rPr>
        <w:t>防城港市</w:t>
      </w:r>
      <w:r>
        <w:rPr>
          <w:rFonts w:hint="eastAsia" w:ascii="宋体" w:hAnsi="宋体" w:eastAsia="宋体" w:cs="宋体"/>
          <w:color w:val="auto"/>
          <w:spacing w:val="-1"/>
          <w:sz w:val="21"/>
          <w:szCs w:val="21"/>
          <w:highlight w:val="none"/>
          <w:lang w:eastAsia="zh-CN"/>
        </w:rPr>
        <w:t>住房和城乡建设局</w:t>
      </w:r>
      <w:r>
        <w:rPr>
          <w:rFonts w:hint="eastAsia" w:ascii="宋体" w:hAnsi="宋体" w:eastAsia="宋体" w:cs="宋体"/>
          <w:color w:val="auto"/>
          <w:spacing w:val="-1"/>
          <w:sz w:val="21"/>
          <w:szCs w:val="21"/>
          <w:highlight w:val="none"/>
        </w:rPr>
        <w:t>，作为服务费支付、合同管理、考核监管的依据。</w:t>
      </w:r>
    </w:p>
    <w:tbl>
      <w:tblPr>
        <w:tblStyle w:val="7"/>
        <w:tblpPr w:leftFromText="180" w:rightFromText="180" w:vertAnchor="text" w:horzAnchor="margin" w:tblpY="214"/>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079B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5" w:hRule="atLeast"/>
        </w:trPr>
        <w:tc>
          <w:tcPr>
            <w:tcW w:w="4582" w:type="dxa"/>
            <w:tcBorders>
              <w:top w:val="single" w:color="auto" w:sz="4" w:space="0"/>
              <w:left w:val="single" w:color="auto" w:sz="4" w:space="0"/>
              <w:bottom w:val="single" w:color="auto" w:sz="4" w:space="0"/>
              <w:right w:val="single" w:color="auto" w:sz="4" w:space="0"/>
            </w:tcBorders>
            <w:vAlign w:val="center"/>
          </w:tcPr>
          <w:p w14:paraId="2D51A361">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章）</w:t>
            </w:r>
          </w:p>
          <w:p w14:paraId="6ED52D8F">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zCs w:val="21"/>
                <w:highlight w:val="none"/>
              </w:rPr>
            </w:pPr>
          </w:p>
          <w:p w14:paraId="32094302">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1080" w:firstLineChars="450"/>
              <w:jc w:val="right"/>
              <w:textAlignment w:val="auto"/>
              <w:rPr>
                <w:rFonts w:hint="eastAsia" w:ascii="宋体" w:hAnsi="宋体" w:eastAsia="宋体" w:cs="宋体"/>
                <w:color w:val="auto"/>
                <w:szCs w:val="21"/>
                <w:highlight w:val="none"/>
              </w:rPr>
            </w:pPr>
          </w:p>
          <w:p w14:paraId="694B631B">
            <w:pPr>
              <w:pStyle w:val="2"/>
              <w:pageBreakBefore w:val="0"/>
              <w:kinsoku/>
              <w:wordWrap/>
              <w:overflowPunct/>
              <w:topLinePunct w:val="0"/>
              <w:bidi w:val="0"/>
              <w:spacing w:before="0" w:beforeAutospacing="0" w:afterAutospacing="0"/>
              <w:rPr>
                <w:rFonts w:hint="eastAsia" w:ascii="宋体" w:hAnsi="宋体" w:eastAsia="宋体" w:cs="宋体"/>
                <w:color w:val="auto"/>
                <w:highlight w:val="none"/>
              </w:rPr>
            </w:pPr>
          </w:p>
          <w:p w14:paraId="47583066">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1080" w:firstLineChars="450"/>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月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日</w:t>
            </w:r>
          </w:p>
        </w:tc>
        <w:tc>
          <w:tcPr>
            <w:tcW w:w="4583" w:type="dxa"/>
            <w:tcBorders>
              <w:top w:val="single" w:color="auto" w:sz="4" w:space="0"/>
              <w:left w:val="single" w:color="auto" w:sz="4" w:space="0"/>
              <w:bottom w:val="single" w:color="auto" w:sz="4" w:space="0"/>
              <w:right w:val="single" w:color="auto" w:sz="4" w:space="0"/>
            </w:tcBorders>
            <w:vAlign w:val="center"/>
          </w:tcPr>
          <w:p w14:paraId="0D15ACC4">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val="en-US" w:eastAsia="zh-CN"/>
              </w:rPr>
              <w:t>公</w:t>
            </w:r>
            <w:r>
              <w:rPr>
                <w:rFonts w:hint="eastAsia" w:ascii="宋体" w:hAnsi="宋体" w:eastAsia="宋体" w:cs="宋体"/>
                <w:color w:val="auto"/>
                <w:szCs w:val="21"/>
                <w:highlight w:val="none"/>
              </w:rPr>
              <w:t xml:space="preserve">章）       </w:t>
            </w:r>
          </w:p>
          <w:p w14:paraId="7949A9D4">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28656AA">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jc w:val="right"/>
              <w:textAlignment w:val="auto"/>
              <w:rPr>
                <w:rFonts w:hint="eastAsia" w:ascii="宋体" w:hAnsi="宋体" w:eastAsia="宋体" w:cs="宋体"/>
                <w:color w:val="auto"/>
                <w:szCs w:val="21"/>
                <w:highlight w:val="none"/>
              </w:rPr>
            </w:pPr>
          </w:p>
          <w:p w14:paraId="483F0EBE">
            <w:pPr>
              <w:pStyle w:val="2"/>
              <w:pageBreakBefore w:val="0"/>
              <w:kinsoku/>
              <w:wordWrap/>
              <w:overflowPunct/>
              <w:topLinePunct w:val="0"/>
              <w:bidi w:val="0"/>
              <w:spacing w:before="0" w:beforeAutospacing="0" w:afterAutospacing="0"/>
              <w:rPr>
                <w:rFonts w:hint="eastAsia" w:ascii="宋体" w:hAnsi="宋体" w:eastAsia="宋体" w:cs="宋体"/>
                <w:color w:val="auto"/>
                <w:highlight w:val="none"/>
              </w:rPr>
            </w:pPr>
          </w:p>
          <w:p w14:paraId="2894DAE2">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月</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日</w:t>
            </w:r>
          </w:p>
        </w:tc>
      </w:tr>
    </w:tbl>
    <w:p w14:paraId="4E5F34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p>
    <w:p w14:paraId="34BB54E7">
      <w:pPr>
        <w:rPr>
          <w:rFonts w:hint="eastAsia" w:ascii="宋体" w:hAnsi="宋体" w:eastAsia="宋体" w:cs="宋体"/>
        </w:rPr>
      </w:pPr>
    </w:p>
    <w:sectPr>
      <w:footerReference r:id="rId6" w:type="default"/>
      <w:pgSz w:w="11906" w:h="16838"/>
      <w:pgMar w:top="1587" w:right="1474" w:bottom="158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DF86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A68093">
                          <w:pPr>
                            <w:pStyle w:val="6"/>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ZcpqcoBAACa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J8&#10;nf3pA9TY9hCwMQ13fsi9Ux4wmWUPKtr8RkEE6+ju+equHBIR+aP1ar2usCSwNh8Qhz1+HiKkt9Jb&#10;koOGRry+4io/vYc0ts4teZrz99oYzPPauL8SiJkzLHMfOeYoDfthIr737Rn19HjzDXW46JSYdw6N&#10;zUsyB3EO9nNwDFEfOqS2LLwg3B4Tkijc8oQRdhqMV1bUTeuVd+LPc+l6/KW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ZcpqcoBAACaAwAADgAAAAAAAAABACAAAAAeAQAAZHJzL2Uyb0Rv&#10;Yy54bWxQSwUGAAAAAAYABgBZAQAAWgUAAAAA&#10;">
              <v:fill on="f" focussize="0,0"/>
              <v:stroke on="f"/>
              <v:imagedata o:title=""/>
              <o:lock v:ext="edit" aspectratio="f"/>
              <v:textbox inset="0mm,0mm,0mm,0mm" style="mso-fit-shape-to-text:t;">
                <w:txbxContent>
                  <w:p w14:paraId="29A6809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5B5F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D96ACD">
                          <w:pPr>
                            <w:pStyle w:val="6"/>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GTNcoBAACa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Hl&#10;Te5PH6DGtPuAiWl46wfcmtkP6MyyBxVt/qIggnHs7vnaXTkkIvKj9Wq9rjAkMDZfEJ89PA8R0jvp&#10;LclGQyOOr3SVnz5AGlPnlFzN+TttTBmhcX85EDN7WOY+csxWGvbDJGjv2zPq6XHyDXW46JSY9w4b&#10;m5dkNuJs7GfjGKI+dEhtWXhBeHNMSKJwyxVG2Kkwjqyom9Yr78Tje8l6+KW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wGTNcoBAACaAwAADgAAAAAAAAABACAAAAAeAQAAZHJzL2Uyb0Rv&#10;Yy54bWxQSwUGAAAAAAYABgBZAQAAWgUAAAAA&#10;">
              <v:fill on="f" focussize="0,0"/>
              <v:stroke on="f"/>
              <v:imagedata o:title=""/>
              <o:lock v:ext="edit" aspectratio="f"/>
              <v:textbox inset="0mm,0mm,0mm,0mm" style="mso-fit-shape-to-text:t;">
                <w:txbxContent>
                  <w:p w14:paraId="7FD96ACD">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DB14C2"/>
    <w:rsid w:val="54DB1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仿宋" w:cs="Times New Roman"/>
      <w:kern w:val="2"/>
      <w:sz w:val="24"/>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240" w:lineRule="auto"/>
      <w:outlineLvl w:val="0"/>
    </w:pPr>
    <w:rPr>
      <w:rFonts w:ascii="Times New Roman" w:hAnsi="Times New Roman" w:eastAsia="微软雅黑" w:cs="Times New Roman"/>
      <w:b/>
      <w:kern w:val="44"/>
      <w:sz w:val="32"/>
      <w:szCs w:val="24"/>
      <w:lang w:eastAsia="zh-CN"/>
    </w:rPr>
  </w:style>
  <w:style w:type="paragraph" w:styleId="2">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Plain Text"/>
    <w:basedOn w:val="1"/>
    <w:next w:val="1"/>
    <w:qFormat/>
    <w:uiPriority w:val="0"/>
    <w:rPr>
      <w:rFonts w:ascii="宋体" w:hAnsi="Courier New"/>
      <w:kern w:val="0"/>
      <w:sz w:val="20"/>
      <w:szCs w:val="21"/>
    </w:r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unhideWhenUsed/>
    <w:qFormat/>
    <w:uiPriority w:val="0"/>
    <w:rPr>
      <w:sz w:val="21"/>
      <w:szCs w:val="21"/>
    </w:rPr>
  </w:style>
  <w:style w:type="paragraph" w:customStyle="1" w:styleId="11">
    <w:name w:val="Table Paragraph"/>
    <w:basedOn w:val="1"/>
    <w:qFormat/>
    <w:uiPriority w:val="1"/>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2026-04-10T05:08:00Z</dcterms:created>
  <dc:creator>Administrator</dc:creator>
  <cp:lastModifiedBy>Administrator</cp:lastModifiedBy>
  <dcterms:modified xsi:type="dcterms:W3CDTF">2026-04-10T05:09:35Z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1E0D9EDEA2E047ED94422274D71F55D3_11</vt:lpwstr>
  </property>
  <property fmtid="{D5CDD505-2E9C-101B-9397-08002B2CF9AE}" pid="4" name="KSOTemplateDocerSaveRecord">
    <vt:lpwstr>eyJoZGlkIjoiNzg1ZjBjMTI5OWI1NDViYTQ2YmM2M2FjYTIyYThiM2MiLCJ1c2VySWQiOiIxNDU2MjM0MDA4In0=</vt:lpwstr>
  </property>
</Properties>
</file>