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6E728">
      <w:pPr>
        <w:pStyle w:val="29"/>
        <w:ind w:left="1260"/>
        <w:jc w:val="left"/>
        <w:rPr>
          <w:rFonts w:hAnsi="宋体" w:cs="宋体"/>
          <w:b/>
          <w:color w:val="000000" w:themeColor="text1"/>
          <w:sz w:val="56"/>
          <w:szCs w:val="56"/>
          <w14:textFill>
            <w14:solidFill>
              <w14:schemeClr w14:val="tx1"/>
            </w14:solidFill>
          </w14:textFill>
        </w:rPr>
      </w:pPr>
      <w:bookmarkStart w:id="0" w:name="_Toc183682338"/>
      <w:bookmarkStart w:id="1" w:name="_Toc217446030"/>
      <w:r>
        <w:rPr>
          <w:rFonts w:hint="eastAsia" w:hAnsi="宋体" w:cs="宋体"/>
          <w:b/>
          <w:color w:val="000000" w:themeColor="text1"/>
          <w:sz w:val="56"/>
          <w:szCs w:val="56"/>
          <w14:textFill>
            <w14:solidFill>
              <w14:schemeClr w14:val="tx1"/>
            </w14:solidFill>
          </w14:textFill>
        </w:rPr>
        <w:t>北 海 市 政 府 采 购 中 心</w:t>
      </w:r>
    </w:p>
    <w:p w14:paraId="0775AD70">
      <w:pPr>
        <w:jc w:val="center"/>
        <w:rPr>
          <w:rFonts w:ascii="宋体" w:hAnsi="宋体" w:cs="宋体"/>
          <w:b/>
          <w:color w:val="000000" w:themeColor="text1"/>
          <w:sz w:val="28"/>
          <w14:textFill>
            <w14:solidFill>
              <w14:schemeClr w14:val="tx1"/>
            </w14:solidFill>
          </w14:textFill>
        </w:rPr>
      </w:pPr>
      <w:r>
        <w:rPr>
          <w:rFonts w:hint="eastAsia" w:ascii="宋体" w:hAnsi="宋体" w:cs="宋体"/>
          <w:b/>
          <w:color w:val="000000" w:themeColor="text1"/>
          <w:sz w:val="28"/>
          <w14:textFill>
            <w14:solidFill>
              <w14:schemeClr w14:val="tx1"/>
            </w14:solidFill>
          </w14:textFill>
        </w:rPr>
        <w:t>BEIHAI  CITY  GOVERNMENT  PROCUREMENT  CENTER</w:t>
      </w:r>
    </w:p>
    <w:p w14:paraId="064F4932">
      <w:pPr>
        <w:pStyle w:val="29"/>
        <w:rPr>
          <w:rFonts w:hAnsi="宋体" w:cs="宋体"/>
          <w:color w:val="000000" w:themeColor="text1"/>
          <w:spacing w:val="-20"/>
          <w:u w:val="single"/>
          <w14:textFill>
            <w14:solidFill>
              <w14:schemeClr w14:val="tx1"/>
            </w14:solidFill>
          </w14:textFill>
        </w:rPr>
      </w:pPr>
      <w:r>
        <w:rPr>
          <w:rFonts w:hint="eastAsia" w:hAnsi="宋体" w:cs="宋体"/>
          <w:color w:val="000000" w:themeColor="text1"/>
          <w:spacing w:val="-20"/>
          <w:u w:val="single"/>
          <w14:textFill>
            <w14:solidFill>
              <w14:schemeClr w14:val="tx1"/>
            </w14:solidFill>
          </w14:textFill>
        </w:rPr>
        <w:t xml:space="preserve">                                                                                                                                                                   </w:t>
      </w:r>
    </w:p>
    <w:p w14:paraId="3738521F">
      <w:pPr>
        <w:rPr>
          <w:rFonts w:ascii="宋体" w:hAnsi="宋体" w:cs="宋体"/>
          <w:color w:val="000000" w:themeColor="text1"/>
          <w14:textFill>
            <w14:solidFill>
              <w14:schemeClr w14:val="tx1"/>
            </w14:solidFill>
          </w14:textFill>
        </w:rPr>
      </w:pPr>
    </w:p>
    <w:p w14:paraId="1FDBB34F">
      <w:pPr>
        <w:tabs>
          <w:tab w:val="left" w:pos="4200"/>
        </w:tabs>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b/>
      </w:r>
    </w:p>
    <w:p w14:paraId="662C205C">
      <w:pPr>
        <w:rPr>
          <w:rFonts w:ascii="宋体" w:hAnsi="宋体" w:cs="宋体"/>
          <w:color w:val="000000" w:themeColor="text1"/>
          <w14:textFill>
            <w14:solidFill>
              <w14:schemeClr w14:val="tx1"/>
            </w14:solidFill>
          </w14:textFill>
        </w:rPr>
      </w:pPr>
    </w:p>
    <w:p w14:paraId="615213F7">
      <w:pPr>
        <w:rPr>
          <w:rFonts w:ascii="宋体" w:hAnsi="宋体" w:cs="宋体"/>
          <w:color w:val="000000" w:themeColor="text1"/>
          <w14:textFill>
            <w14:solidFill>
              <w14:schemeClr w14:val="tx1"/>
            </w14:solidFill>
          </w14:textFill>
        </w:rPr>
      </w:pPr>
    </w:p>
    <w:p w14:paraId="520FDF3B">
      <w:pPr>
        <w:pStyle w:val="29"/>
        <w:tabs>
          <w:tab w:val="left" w:pos="4253"/>
        </w:tabs>
        <w:jc w:val="both"/>
        <w:rPr>
          <w:rFonts w:hAnsi="宋体" w:cs="宋体"/>
          <w:b/>
          <w:color w:val="000000" w:themeColor="text1"/>
          <w:spacing w:val="32"/>
          <w:sz w:val="72"/>
          <w:szCs w:val="72"/>
          <w14:textFill>
            <w14:solidFill>
              <w14:schemeClr w14:val="tx1"/>
            </w14:solidFill>
          </w14:textFill>
        </w:rPr>
      </w:pPr>
    </w:p>
    <w:p w14:paraId="14DC5D18">
      <w:pPr>
        <w:pStyle w:val="29"/>
        <w:tabs>
          <w:tab w:val="left" w:pos="4253"/>
        </w:tabs>
        <w:jc w:val="center"/>
        <w:rPr>
          <w:rFonts w:hAnsi="宋体" w:cs="宋体"/>
          <w:b/>
          <w:color w:val="000000" w:themeColor="text1"/>
          <w:spacing w:val="32"/>
          <w:sz w:val="72"/>
          <w:szCs w:val="72"/>
          <w14:textFill>
            <w14:solidFill>
              <w14:schemeClr w14:val="tx1"/>
            </w14:solidFill>
          </w14:textFill>
        </w:rPr>
      </w:pPr>
    </w:p>
    <w:p w14:paraId="0998DCDE">
      <w:pPr>
        <w:pStyle w:val="29"/>
        <w:tabs>
          <w:tab w:val="left" w:pos="4253"/>
        </w:tabs>
        <w:jc w:val="center"/>
        <w:rPr>
          <w:rFonts w:hAnsi="宋体" w:cs="宋体"/>
          <w:b/>
          <w:color w:val="000000" w:themeColor="text1"/>
          <w:spacing w:val="32"/>
          <w:sz w:val="72"/>
          <w:szCs w:val="72"/>
          <w14:textFill>
            <w14:solidFill>
              <w14:schemeClr w14:val="tx1"/>
            </w14:solidFill>
          </w14:textFill>
        </w:rPr>
      </w:pPr>
      <w:r>
        <w:rPr>
          <w:rFonts w:hint="eastAsia" w:hAnsi="宋体" w:cs="宋体"/>
          <w:b/>
          <w:color w:val="000000" w:themeColor="text1"/>
          <w:spacing w:val="32"/>
          <w:sz w:val="72"/>
          <w:szCs w:val="72"/>
          <w14:textFill>
            <w14:solidFill>
              <w14:schemeClr w14:val="tx1"/>
            </w14:solidFill>
          </w14:textFill>
        </w:rPr>
        <w:t>公开招标文件</w:t>
      </w:r>
    </w:p>
    <w:p w14:paraId="42125747">
      <w:pPr>
        <w:pStyle w:val="29"/>
        <w:rPr>
          <w:rFonts w:hAnsi="宋体" w:cs="宋体"/>
          <w:b/>
          <w:color w:val="000000" w:themeColor="text1"/>
          <w:sz w:val="28"/>
          <w:szCs w:val="28"/>
          <w14:textFill>
            <w14:solidFill>
              <w14:schemeClr w14:val="tx1"/>
            </w14:solidFill>
          </w14:textFill>
        </w:rPr>
      </w:pPr>
    </w:p>
    <w:p w14:paraId="325CC766">
      <w:pPr>
        <w:pStyle w:val="29"/>
        <w:rPr>
          <w:rFonts w:hAnsi="宋体" w:cs="宋体"/>
          <w:b/>
          <w:color w:val="000000" w:themeColor="text1"/>
          <w:sz w:val="28"/>
          <w:szCs w:val="28"/>
          <w14:textFill>
            <w14:solidFill>
              <w14:schemeClr w14:val="tx1"/>
            </w14:solidFill>
          </w14:textFill>
        </w:rPr>
      </w:pPr>
    </w:p>
    <w:p w14:paraId="3442619B">
      <w:pPr>
        <w:pStyle w:val="29"/>
        <w:rPr>
          <w:rFonts w:hAnsi="宋体" w:cs="宋体"/>
          <w:b/>
          <w:color w:val="000000" w:themeColor="text1"/>
          <w:sz w:val="28"/>
          <w:szCs w:val="28"/>
          <w14:textFill>
            <w14:solidFill>
              <w14:schemeClr w14:val="tx1"/>
            </w14:solidFill>
          </w14:textFill>
        </w:rPr>
      </w:pPr>
    </w:p>
    <w:p w14:paraId="7BC177EB">
      <w:pPr>
        <w:rPr>
          <w:color w:val="000000" w:themeColor="text1"/>
          <w14:textFill>
            <w14:solidFill>
              <w14:schemeClr w14:val="tx1"/>
            </w14:solidFill>
          </w14:textFill>
        </w:rPr>
      </w:pPr>
    </w:p>
    <w:p w14:paraId="2F742BF6">
      <w:pPr>
        <w:jc w:val="left"/>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宋体"/>
          <w:b/>
          <w:color w:val="000000" w:themeColor="text1"/>
          <w:sz w:val="28"/>
          <w:szCs w:val="28"/>
          <w:lang w:eastAsia="zh-CN"/>
          <w14:textFill>
            <w14:solidFill>
              <w14:schemeClr w14:val="tx1"/>
            </w14:solidFill>
          </w14:textFill>
        </w:rPr>
        <w:t>广西壮族自治区第十六届运动会和广西壮族自治区第十一届残疾人运动会暨第六届特殊奥林匹克运动会开闭幕式及火炬传递仪式服务</w:t>
      </w:r>
      <w:r>
        <w:rPr>
          <w:rFonts w:hint="eastAsia" w:ascii="宋体" w:hAnsi="宋体" w:cs="宋体"/>
          <w:b/>
          <w:color w:val="000000" w:themeColor="text1"/>
          <w:sz w:val="28"/>
          <w:szCs w:val="28"/>
          <w14:textFill>
            <w14:solidFill>
              <w14:schemeClr w14:val="tx1"/>
            </w14:solidFill>
          </w14:textFill>
        </w:rPr>
        <w:t>公开招标</w:t>
      </w:r>
    </w:p>
    <w:p w14:paraId="3C628A7D">
      <w:pPr>
        <w:pStyle w:val="29"/>
        <w:rPr>
          <w:rFonts w:hint="eastAsia" w:hAnsi="宋体" w:eastAsia="宋体" w:cs="宋体"/>
          <w:b/>
          <w:color w:val="000000" w:themeColor="text1"/>
          <w:sz w:val="28"/>
          <w:szCs w:val="28"/>
          <w:lang w:eastAsia="zh-CN"/>
          <w14:textFill>
            <w14:solidFill>
              <w14:schemeClr w14:val="tx1"/>
            </w14:solidFill>
          </w14:textFill>
        </w:rPr>
      </w:pPr>
      <w:r>
        <w:rPr>
          <w:rFonts w:hint="eastAsia" w:hAnsi="宋体" w:cs="宋体"/>
          <w:b/>
          <w:color w:val="000000" w:themeColor="text1"/>
          <w:sz w:val="28"/>
          <w:szCs w:val="28"/>
          <w14:textFill>
            <w14:solidFill>
              <w14:schemeClr w14:val="tx1"/>
            </w14:solidFill>
          </w14:textFill>
        </w:rPr>
        <w:t>项目编号：</w:t>
      </w:r>
      <w:r>
        <w:rPr>
          <w:rFonts w:hint="eastAsia" w:hAnsi="宋体" w:cs="宋体"/>
          <w:b/>
          <w:color w:val="000000" w:themeColor="text1"/>
          <w:sz w:val="28"/>
          <w:szCs w:val="28"/>
          <w:lang w:eastAsia="zh-CN"/>
          <w14:textFill>
            <w14:solidFill>
              <w14:schemeClr w14:val="tx1"/>
            </w14:solidFill>
          </w14:textFill>
        </w:rPr>
        <w:t>BHZC2026-G3-990062-CGZX</w:t>
      </w:r>
    </w:p>
    <w:p w14:paraId="27EEED7C">
      <w:pPr>
        <w:pStyle w:val="29"/>
        <w:rPr>
          <w:rFonts w:hAnsi="宋体" w:cs="宋体"/>
          <w:color w:val="000000" w:themeColor="text1"/>
          <w14:textFill>
            <w14:solidFill>
              <w14:schemeClr w14:val="tx1"/>
            </w14:solidFill>
          </w14:textFill>
        </w:rPr>
      </w:pPr>
      <w:r>
        <w:rPr>
          <w:rFonts w:hint="eastAsia" w:hAnsi="宋体" w:cs="宋体"/>
          <w:b/>
          <w:color w:val="000000" w:themeColor="text1"/>
          <w:sz w:val="28"/>
          <w:szCs w:val="28"/>
          <w14:textFill>
            <w14:solidFill>
              <w14:schemeClr w14:val="tx1"/>
            </w14:solidFill>
          </w14:textFill>
        </w:rPr>
        <w:t>采购单位：中国共产党北海市委员会宣传部</w:t>
      </w:r>
      <w:r>
        <w:rPr>
          <w:rFonts w:hint="eastAsia" w:hAnsi="宋体" w:cs="宋体"/>
          <w:b/>
          <w:color w:val="000000" w:themeColor="text1"/>
          <w:sz w:val="28"/>
          <w:szCs w:val="28"/>
          <w14:textFill>
            <w14:solidFill>
              <w14:schemeClr w14:val="tx1"/>
            </w14:solidFill>
          </w14:textFill>
        </w:rPr>
        <w:tab/>
      </w:r>
    </w:p>
    <w:p w14:paraId="5BAC2345">
      <w:pPr>
        <w:pStyle w:val="29"/>
        <w:rPr>
          <w:rFonts w:hAnsi="宋体" w:cs="宋体"/>
          <w:color w:val="000000" w:themeColor="text1"/>
          <w:u w:val="single"/>
          <w14:textFill>
            <w14:solidFill>
              <w14:schemeClr w14:val="tx1"/>
            </w14:solidFill>
          </w14:textFill>
        </w:rPr>
      </w:pPr>
    </w:p>
    <w:p w14:paraId="05EF8E7B">
      <w:pPr>
        <w:pStyle w:val="29"/>
        <w:rPr>
          <w:rFonts w:hAnsi="宋体" w:cs="宋体"/>
          <w:color w:val="000000" w:themeColor="text1"/>
          <w14:textFill>
            <w14:solidFill>
              <w14:schemeClr w14:val="tx1"/>
            </w14:solidFill>
          </w14:textFill>
        </w:rPr>
      </w:pPr>
      <w:r>
        <w:rPr>
          <w:rFonts w:hint="eastAsia" w:hAnsi="宋体" w:cs="宋体"/>
          <w:color w:val="000000" w:themeColor="text1"/>
          <w:sz w:val="15"/>
          <w:szCs w:val="15"/>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99060</wp:posOffset>
                </wp:positionV>
                <wp:extent cx="6360795" cy="10795"/>
                <wp:effectExtent l="0" t="7620" r="1905" b="10160"/>
                <wp:wrapNone/>
                <wp:docPr id="1" name="直线 4"/>
                <wp:cNvGraphicFramePr/>
                <a:graphic xmlns:a="http://schemas.openxmlformats.org/drawingml/2006/main">
                  <a:graphicData uri="http://schemas.microsoft.com/office/word/2010/wordprocessingShape">
                    <wps:wsp>
                      <wps:cNvCnPr/>
                      <wps:spPr>
                        <a:xfrm flipV="1">
                          <a:off x="0" y="0"/>
                          <a:ext cx="6360795" cy="1079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flip:y;margin-left:7.7pt;margin-top:7.8pt;height:0.85pt;width:500.85pt;z-index:251659264;mso-width-relative:page;mso-height-relative:page;" filled="f" stroked="t" coordsize="21600,21600" o:gfxdata="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1nSdYA&#10;AAAJAQAADwAAAAAAAAABACAAAAAiAAAAZHJzL2Rvd25yZXYueG1sUEsBAhQAFAAAAAgAh07iQEuM&#10;o7LoAQAA3gMAAA4AAAAAAAAAAQAgAAAAJQEAAGRycy9lMm9Eb2MueG1sUEsFBgAAAAAGAAYAWQEA&#10;AH8FAAAAAA==&#10;">
                <v:fill on="f" focussize="0,0"/>
                <v:stroke weight="1.25pt" color="#000000" joinstyle="round"/>
                <v:imagedata o:title=""/>
                <o:lock v:ext="edit" aspectratio="f"/>
              </v:line>
            </w:pict>
          </mc:Fallback>
        </mc:AlternateContent>
      </w:r>
    </w:p>
    <w:p w14:paraId="3B5226D5">
      <w:pPr>
        <w:spacing w:line="440" w:lineRule="exact"/>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北海市政府采购中心</w:t>
      </w:r>
    </w:p>
    <w:p w14:paraId="3B52445C">
      <w:pPr>
        <w:pStyle w:val="29"/>
        <w:jc w:val="center"/>
        <w:rPr>
          <w:rFonts w:hAnsi="宋体" w:cs="宋体"/>
          <w:color w:val="000000" w:themeColor="text1"/>
          <w:sz w:val="28"/>
          <w:szCs w:val="28"/>
          <w14:textFill>
            <w14:solidFill>
              <w14:schemeClr w14:val="tx1"/>
            </w14:solidFill>
          </w14:textFill>
        </w:rPr>
      </w:pPr>
      <w:r>
        <w:rPr>
          <w:rFonts w:hint="eastAsia" w:hAnsi="宋体" w:cs="宋体"/>
          <w:b/>
          <w:color w:val="000000" w:themeColor="text1"/>
          <w:kern w:val="2"/>
          <w:sz w:val="28"/>
          <w:szCs w:val="28"/>
          <w14:textFill>
            <w14:solidFill>
              <w14:schemeClr w14:val="tx1"/>
            </w14:solidFill>
          </w14:textFill>
        </w:rPr>
        <w:t xml:space="preserve"> 2026年 月 日</w:t>
      </w:r>
      <w:r>
        <w:rPr>
          <w:rFonts w:hint="eastAsia" w:hAnsi="宋体" w:cs="宋体"/>
          <w:b/>
          <w:color w:val="000000" w:themeColor="text1"/>
          <w:kern w:val="2"/>
          <w:sz w:val="28"/>
          <w:szCs w:val="28"/>
          <w14:textFill>
            <w14:solidFill>
              <w14:schemeClr w14:val="tx1"/>
            </w14:solidFill>
          </w14:textFill>
        </w:rPr>
        <w:tab/>
      </w:r>
    </w:p>
    <w:p w14:paraId="159320A8">
      <w:pPr>
        <w:pStyle w:val="29"/>
        <w:spacing w:line="600" w:lineRule="exact"/>
        <w:jc w:val="center"/>
        <w:rPr>
          <w:rFonts w:hAnsi="宋体" w:cs="宋体"/>
          <w:color w:val="000000" w:themeColor="text1"/>
          <w:sz w:val="40"/>
          <w:szCs w:val="40"/>
          <w14:textFill>
            <w14:solidFill>
              <w14:schemeClr w14:val="tx1"/>
            </w14:solidFill>
          </w14:textFill>
        </w:rPr>
        <w:sectPr>
          <w:footerReference r:id="rId5" w:type="first"/>
          <w:headerReference r:id="rId3" w:type="default"/>
          <w:footerReference r:id="rId4" w:type="default"/>
          <w:pgSz w:w="11906" w:h="16838"/>
          <w:pgMar w:top="1440" w:right="1080" w:bottom="1440" w:left="1080" w:header="851" w:footer="992" w:gutter="0"/>
          <w:cols w:space="720" w:num="1"/>
          <w:titlePg/>
          <w:docGrid w:type="lines" w:linePitch="312" w:charSpace="0"/>
        </w:sectPr>
      </w:pPr>
    </w:p>
    <w:p w14:paraId="05821AB0">
      <w:pPr>
        <w:pStyle w:val="29"/>
        <w:spacing w:line="600" w:lineRule="exact"/>
        <w:jc w:val="center"/>
        <w:rPr>
          <w:rFonts w:hAnsi="宋体" w:cs="宋体"/>
          <w:color w:val="000000" w:themeColor="text1"/>
          <w:sz w:val="40"/>
          <w:szCs w:val="40"/>
          <w14:textFill>
            <w14:solidFill>
              <w14:schemeClr w14:val="tx1"/>
            </w14:solidFill>
          </w14:textFill>
        </w:rPr>
      </w:pPr>
    </w:p>
    <w:p w14:paraId="2E1A8ACF">
      <w:pPr>
        <w:pStyle w:val="29"/>
        <w:spacing w:line="600" w:lineRule="exact"/>
        <w:jc w:val="center"/>
        <w:outlineLvl w:val="0"/>
        <w:rPr>
          <w:rFonts w:hAnsi="宋体" w:cs="宋体"/>
          <w:color w:val="000000" w:themeColor="text1"/>
          <w:sz w:val="40"/>
          <w:szCs w:val="40"/>
          <w14:textFill>
            <w14:solidFill>
              <w14:schemeClr w14:val="tx1"/>
            </w14:solidFill>
          </w14:textFill>
        </w:rPr>
      </w:pPr>
      <w:bookmarkStart w:id="2" w:name="_Toc19525382"/>
      <w:bookmarkStart w:id="3" w:name="_Toc17145"/>
      <w:bookmarkStart w:id="4" w:name="_Toc9204"/>
      <w:bookmarkStart w:id="5" w:name="_Toc9838476"/>
      <w:bookmarkStart w:id="6" w:name="_Toc67320237"/>
      <w:r>
        <w:rPr>
          <w:rFonts w:hint="eastAsia" w:hAnsi="宋体" w:cs="宋体"/>
          <w:color w:val="000000" w:themeColor="text1"/>
          <w:sz w:val="40"/>
          <w:szCs w:val="40"/>
          <w14:textFill>
            <w14:solidFill>
              <w14:schemeClr w14:val="tx1"/>
            </w14:solidFill>
          </w14:textFill>
        </w:rPr>
        <w:t>目录</w:t>
      </w:r>
      <w:bookmarkEnd w:id="2"/>
      <w:bookmarkEnd w:id="3"/>
      <w:bookmarkEnd w:id="4"/>
      <w:bookmarkEnd w:id="5"/>
      <w:bookmarkEnd w:id="6"/>
    </w:p>
    <w:p w14:paraId="20B0E8FE">
      <w:pPr>
        <w:pStyle w:val="29"/>
        <w:spacing w:line="600" w:lineRule="exact"/>
        <w:jc w:val="center"/>
        <w:rPr>
          <w:rFonts w:hAnsi="宋体" w:cs="宋体"/>
          <w:color w:val="000000" w:themeColor="text1"/>
          <w:sz w:val="40"/>
          <w:szCs w:val="40"/>
          <w14:textFill>
            <w14:solidFill>
              <w14:schemeClr w14:val="tx1"/>
            </w14:solidFill>
          </w14:textFill>
        </w:rPr>
      </w:pPr>
    </w:p>
    <w:p w14:paraId="2AA32B14">
      <w:pPr>
        <w:pStyle w:val="37"/>
        <w:tabs>
          <w:tab w:val="right" w:leader="dot" w:pos="9746"/>
          <w:tab w:val="clear" w:pos="9360"/>
        </w:tabs>
        <w:rPr>
          <w:color w:val="000000" w:themeColor="text1"/>
          <w14:textFill>
            <w14:solidFill>
              <w14:schemeClr w14:val="tx1"/>
            </w14:solidFill>
          </w14:textFill>
        </w:rPr>
      </w:pPr>
      <w:r>
        <w:rPr>
          <w:rFonts w:hint="eastAsia" w:cs="宋体"/>
          <w:color w:val="000000" w:themeColor="text1"/>
          <w:sz w:val="24"/>
          <w:szCs w:val="24"/>
          <w14:textFill>
            <w14:solidFill>
              <w14:schemeClr w14:val="tx1"/>
            </w14:solidFill>
          </w14:textFill>
        </w:rPr>
        <w:fldChar w:fldCharType="begin"/>
      </w:r>
      <w:r>
        <w:rPr>
          <w:rFonts w:hint="eastAsia" w:cs="宋体"/>
          <w:color w:val="000000" w:themeColor="text1"/>
          <w:sz w:val="24"/>
          <w:szCs w:val="24"/>
          <w14:textFill>
            <w14:solidFill>
              <w14:schemeClr w14:val="tx1"/>
            </w14:solidFill>
          </w14:textFill>
        </w:rPr>
        <w:instrText xml:space="preserve"> TOC \o "1-1" \h \z \u </w:instrText>
      </w:r>
      <w:r>
        <w:rPr>
          <w:rFonts w:hint="eastAsia" w:cs="宋体"/>
          <w:color w:val="000000" w:themeColor="text1"/>
          <w:sz w:val="24"/>
          <w:szCs w:val="24"/>
          <w14:textFill>
            <w14:solidFill>
              <w14:schemeClr w14:val="tx1"/>
            </w14:solidFill>
          </w14:textFill>
        </w:rPr>
        <w:fldChar w:fldCharType="separate"/>
      </w:r>
      <w:r>
        <w:rPr>
          <w:rFonts w:hint="eastAsia" w:cs="宋体"/>
          <w:color w:val="000000" w:themeColor="text1"/>
          <w:szCs w:val="24"/>
          <w14:textFill>
            <w14:solidFill>
              <w14:schemeClr w14:val="tx1"/>
            </w14:solidFill>
          </w14:textFill>
        </w:rPr>
        <w:fldChar w:fldCharType="begin"/>
      </w:r>
      <w:r>
        <w:rPr>
          <w:rFonts w:hint="eastAsia" w:cs="宋体"/>
          <w:color w:val="000000" w:themeColor="text1"/>
          <w:szCs w:val="24"/>
          <w14:textFill>
            <w14:solidFill>
              <w14:schemeClr w14:val="tx1"/>
            </w14:solidFill>
          </w14:textFill>
        </w:rPr>
        <w:instrText xml:space="preserve"> HYPERLINK \l _Toc9204 </w:instrText>
      </w:r>
      <w:r>
        <w:rPr>
          <w:rFonts w:hint="eastAsia" w:cs="宋体"/>
          <w:color w:val="000000" w:themeColor="text1"/>
          <w:szCs w:val="24"/>
          <w14:textFill>
            <w14:solidFill>
              <w14:schemeClr w14:val="tx1"/>
            </w14:solidFill>
          </w14:textFill>
        </w:rPr>
        <w:fldChar w:fldCharType="separate"/>
      </w:r>
      <w:r>
        <w:rPr>
          <w:rFonts w:hint="eastAsia" w:hAnsi="宋体" w:cs="宋体"/>
          <w:color w:val="000000" w:themeColor="text1"/>
          <w:szCs w:val="40"/>
          <w14:textFill>
            <w14:solidFill>
              <w14:schemeClr w14:val="tx1"/>
            </w14:solidFill>
          </w14:textFill>
        </w:rPr>
        <w:t>目录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_Toc9204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cs="宋体"/>
          <w:color w:val="000000" w:themeColor="text1"/>
          <w:szCs w:val="24"/>
          <w14:textFill>
            <w14:solidFill>
              <w14:schemeClr w14:val="tx1"/>
            </w14:solidFill>
          </w14:textFill>
        </w:rPr>
        <w:fldChar w:fldCharType="end"/>
      </w:r>
    </w:p>
    <w:p w14:paraId="4DF3F19B">
      <w:pPr>
        <w:pStyle w:val="37"/>
        <w:tabs>
          <w:tab w:val="right" w:leader="dot" w:pos="9746"/>
          <w:tab w:val="clear" w:pos="9360"/>
        </w:tabs>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HYPERLINK \l _Toc22175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szCs w:val="36"/>
          <w14:textFill>
            <w14:solidFill>
              <w14:schemeClr w14:val="tx1"/>
            </w14:solidFill>
          </w14:textFill>
        </w:rPr>
        <w:t>第一章 公开招标公告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1A23B585">
      <w:pPr>
        <w:pStyle w:val="37"/>
        <w:tabs>
          <w:tab w:val="right" w:leader="dot" w:pos="9746"/>
          <w:tab w:val="clear" w:pos="9360"/>
        </w:tabs>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HYPERLINK \l _Toc8535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szCs w:val="36"/>
          <w14:textFill>
            <w14:solidFill>
              <w14:schemeClr w14:val="tx1"/>
            </w14:solidFill>
          </w14:textFill>
        </w:rPr>
        <w:t>第二章 招标项目采购需求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_Toc8535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1FACCCAF">
      <w:pPr>
        <w:pStyle w:val="37"/>
        <w:tabs>
          <w:tab w:val="right" w:leader="dot" w:pos="9746"/>
          <w:tab w:val="clear" w:pos="9360"/>
        </w:tabs>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HYPERLINK \l _Toc19636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szCs w:val="36"/>
          <w14:textFill>
            <w14:solidFill>
              <w14:schemeClr w14:val="tx1"/>
            </w14:solidFill>
          </w14:textFill>
        </w:rPr>
        <w:t>第三章 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_Toc19636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7B4BAE54">
      <w:pPr>
        <w:pStyle w:val="37"/>
        <w:tabs>
          <w:tab w:val="right" w:leader="dot" w:pos="9746"/>
          <w:tab w:val="clear" w:pos="9360"/>
        </w:tabs>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HYPERLINK \l _Toc19711 </w:instrText>
      </w:r>
      <w:r>
        <w:rPr>
          <w:rFonts w:hint="eastAsia" w:ascii="宋体" w:hAnsi="宋体" w:cs="宋体"/>
          <w:color w:val="000000" w:themeColor="text1"/>
          <w14:textFill>
            <w14:solidFill>
              <w14:schemeClr w14:val="tx1"/>
            </w14:solidFill>
          </w14:textFill>
        </w:rPr>
        <w:fldChar w:fldCharType="separate"/>
      </w:r>
      <w:r>
        <w:rPr>
          <w:rFonts w:hint="eastAsia" w:hAnsi="宋体" w:cs="宋体"/>
          <w:color w:val="000000" w:themeColor="text1"/>
          <w:szCs w:val="36"/>
          <w14:textFill>
            <w14:solidFill>
              <w14:schemeClr w14:val="tx1"/>
            </w14:solidFill>
          </w14:textFill>
        </w:rPr>
        <w:t>第四章 评标办法及评分标准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_Toc19711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042A2E30">
      <w:pPr>
        <w:pStyle w:val="37"/>
        <w:tabs>
          <w:tab w:val="right" w:leader="dot" w:pos="9746"/>
          <w:tab w:val="clear" w:pos="9360"/>
        </w:tabs>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HYPERLINK \l _Toc5671 </w:instrText>
      </w:r>
      <w:r>
        <w:rPr>
          <w:rFonts w:hint="eastAsia" w:ascii="宋体" w:hAnsi="宋体" w:cs="宋体"/>
          <w:color w:val="000000" w:themeColor="text1"/>
          <w14:textFill>
            <w14:solidFill>
              <w14:schemeClr w14:val="tx1"/>
            </w14:solidFill>
          </w14:textFill>
        </w:rPr>
        <w:fldChar w:fldCharType="separate"/>
      </w:r>
      <w:r>
        <w:rPr>
          <w:rFonts w:hint="eastAsia" w:hAnsi="宋体" w:cs="宋体"/>
          <w:color w:val="000000" w:themeColor="text1"/>
          <w:szCs w:val="36"/>
          <w14:textFill>
            <w14:solidFill>
              <w14:schemeClr w14:val="tx1"/>
            </w14:solidFill>
          </w14:textFill>
        </w:rPr>
        <w:t>第五章 合同文本（格式）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_Toc5671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0AEC5BC5">
      <w:pPr>
        <w:pStyle w:val="37"/>
        <w:tabs>
          <w:tab w:val="right" w:leader="dot" w:pos="9746"/>
          <w:tab w:val="clear" w:pos="9360"/>
        </w:tabs>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HYPERLINK \l _Toc10502 </w:instrText>
      </w:r>
      <w:r>
        <w:rPr>
          <w:rFonts w:hint="eastAsia" w:ascii="宋体" w:hAnsi="宋体" w:cs="宋体"/>
          <w:color w:val="000000" w:themeColor="text1"/>
          <w14:textFill>
            <w14:solidFill>
              <w14:schemeClr w14:val="tx1"/>
            </w14:solidFill>
          </w14:textFill>
        </w:rPr>
        <w:fldChar w:fldCharType="separate"/>
      </w:r>
      <w:r>
        <w:rPr>
          <w:rFonts w:hint="eastAsia"/>
          <w:color w:val="000000" w:themeColor="text1"/>
          <w:szCs w:val="36"/>
          <w:lang w:val="en-US" w:eastAsia="zh-CN"/>
          <w14:textFill>
            <w14:solidFill>
              <w14:schemeClr w14:val="tx1"/>
            </w14:solidFill>
          </w14:textFill>
        </w:rPr>
        <w:t>北海市</w:t>
      </w:r>
      <w:r>
        <w:rPr>
          <w:color w:val="000000" w:themeColor="text1"/>
          <w:szCs w:val="36"/>
          <w14:textFill>
            <w14:solidFill>
              <w14:schemeClr w14:val="tx1"/>
            </w14:solidFill>
          </w14:textFill>
        </w:rPr>
        <w:t>政府采购合同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_Toc10502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6EB0BEE7">
      <w:pPr>
        <w:pStyle w:val="37"/>
        <w:tabs>
          <w:tab w:val="right" w:leader="dot" w:pos="9746"/>
          <w:tab w:val="clear" w:pos="9360"/>
        </w:tabs>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HYPERLINK \l _Toc20 </w:instrText>
      </w:r>
      <w:r>
        <w:rPr>
          <w:rFonts w:hint="eastAsia" w:ascii="宋体" w:hAnsi="宋体" w:cs="宋体"/>
          <w:color w:val="000000" w:themeColor="text1"/>
          <w14:textFill>
            <w14:solidFill>
              <w14:schemeClr w14:val="tx1"/>
            </w14:solidFill>
          </w14:textFill>
        </w:rPr>
        <w:fldChar w:fldCharType="separate"/>
      </w:r>
      <w:r>
        <w:rPr>
          <w:rFonts w:hint="eastAsia" w:hAnsi="宋体" w:cs="宋体"/>
          <w:color w:val="000000" w:themeColor="text1"/>
          <w:szCs w:val="36"/>
          <w14:textFill>
            <w14:solidFill>
              <w14:schemeClr w14:val="tx1"/>
            </w14:solidFill>
          </w14:textFill>
        </w:rPr>
        <w:t>第六章 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59</w:t>
      </w:r>
      <w:r>
        <w:rPr>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4CAA7D73">
      <w:pPr>
        <w:spacing w:line="600" w:lineRule="exact"/>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end"/>
      </w:r>
    </w:p>
    <w:p w14:paraId="1E3D066C">
      <w:pPr>
        <w:pStyle w:val="29"/>
        <w:spacing w:before="120" w:after="120" w:line="360" w:lineRule="auto"/>
        <w:rPr>
          <w:rFonts w:hAnsi="宋体" w:cs="宋体"/>
          <w:color w:val="000000" w:themeColor="text1"/>
          <w:sz w:val="21"/>
          <w14:textFill>
            <w14:solidFill>
              <w14:schemeClr w14:val="tx1"/>
            </w14:solidFill>
          </w14:textFill>
        </w:rPr>
      </w:pPr>
    </w:p>
    <w:p w14:paraId="405936B2">
      <w:pPr>
        <w:pStyle w:val="29"/>
        <w:spacing w:before="120" w:after="120" w:line="360" w:lineRule="auto"/>
        <w:rPr>
          <w:rFonts w:hAnsi="宋体" w:cs="宋体"/>
          <w:color w:val="000000" w:themeColor="text1"/>
          <w14:textFill>
            <w14:solidFill>
              <w14:schemeClr w14:val="tx1"/>
            </w14:solidFill>
          </w14:textFill>
        </w:rPr>
      </w:pPr>
    </w:p>
    <w:p w14:paraId="38A34F78">
      <w:pPr>
        <w:pStyle w:val="29"/>
        <w:spacing w:before="120" w:after="120" w:line="360" w:lineRule="auto"/>
        <w:rPr>
          <w:rFonts w:hAnsi="宋体" w:cs="宋体"/>
          <w:color w:val="000000" w:themeColor="text1"/>
          <w14:textFill>
            <w14:solidFill>
              <w14:schemeClr w14:val="tx1"/>
            </w14:solidFill>
          </w14:textFill>
        </w:rPr>
      </w:pPr>
    </w:p>
    <w:p w14:paraId="731E3DAF">
      <w:pPr>
        <w:pStyle w:val="29"/>
        <w:spacing w:before="120" w:after="120" w:line="360" w:lineRule="auto"/>
        <w:rPr>
          <w:rFonts w:hAnsi="宋体" w:cs="宋体"/>
          <w:color w:val="000000" w:themeColor="text1"/>
          <w14:textFill>
            <w14:solidFill>
              <w14:schemeClr w14:val="tx1"/>
            </w14:solidFill>
          </w14:textFill>
        </w:rPr>
      </w:pPr>
    </w:p>
    <w:p w14:paraId="77F1FE3C">
      <w:pPr>
        <w:pStyle w:val="29"/>
        <w:spacing w:before="120" w:after="120" w:line="360" w:lineRule="auto"/>
        <w:rPr>
          <w:rFonts w:hAnsi="宋体" w:cs="宋体"/>
          <w:color w:val="000000" w:themeColor="text1"/>
          <w14:textFill>
            <w14:solidFill>
              <w14:schemeClr w14:val="tx1"/>
            </w14:solidFill>
          </w14:textFill>
        </w:rPr>
      </w:pPr>
    </w:p>
    <w:p w14:paraId="15FE8C4C">
      <w:pPr>
        <w:pStyle w:val="29"/>
        <w:spacing w:before="120" w:after="120" w:line="360" w:lineRule="auto"/>
        <w:rPr>
          <w:rFonts w:hAnsi="宋体" w:cs="宋体"/>
          <w:color w:val="000000" w:themeColor="text1"/>
          <w14:textFill>
            <w14:solidFill>
              <w14:schemeClr w14:val="tx1"/>
            </w14:solidFill>
          </w14:textFill>
        </w:rPr>
      </w:pPr>
    </w:p>
    <w:p w14:paraId="7B1A0C2C">
      <w:pPr>
        <w:pStyle w:val="29"/>
        <w:spacing w:before="120" w:after="120" w:line="360" w:lineRule="auto"/>
        <w:rPr>
          <w:rFonts w:hAnsi="宋体" w:cs="宋体"/>
          <w:color w:val="000000" w:themeColor="text1"/>
          <w14:textFill>
            <w14:solidFill>
              <w14:schemeClr w14:val="tx1"/>
            </w14:solidFill>
          </w14:textFill>
        </w:rPr>
      </w:pPr>
    </w:p>
    <w:p w14:paraId="136CF49C">
      <w:pPr>
        <w:pStyle w:val="29"/>
        <w:spacing w:before="120" w:after="120" w:line="360" w:lineRule="auto"/>
        <w:rPr>
          <w:rFonts w:hAnsi="宋体" w:cs="宋体"/>
          <w:color w:val="000000" w:themeColor="text1"/>
          <w14:textFill>
            <w14:solidFill>
              <w14:schemeClr w14:val="tx1"/>
            </w14:solidFill>
          </w14:textFill>
        </w:rPr>
        <w:sectPr>
          <w:footerReference r:id="rId7" w:type="first"/>
          <w:footerReference r:id="rId6" w:type="default"/>
          <w:pgSz w:w="11906" w:h="16838"/>
          <w:pgMar w:top="1440" w:right="1080" w:bottom="1440" w:left="1080" w:header="851" w:footer="992" w:gutter="0"/>
          <w:pgNumType w:start="1"/>
          <w:cols w:space="720" w:num="1"/>
          <w:docGrid w:type="lines" w:linePitch="312" w:charSpace="0"/>
        </w:sectPr>
      </w:pPr>
    </w:p>
    <w:p w14:paraId="2EFA9DCD">
      <w:pPr>
        <w:pStyle w:val="29"/>
        <w:spacing w:before="120" w:after="120" w:line="360" w:lineRule="auto"/>
        <w:rPr>
          <w:rFonts w:hAnsi="宋体" w:cs="宋体"/>
          <w:color w:val="000000" w:themeColor="text1"/>
          <w14:textFill>
            <w14:solidFill>
              <w14:schemeClr w14:val="tx1"/>
            </w14:solidFill>
          </w14:textFill>
        </w:rPr>
      </w:pPr>
    </w:p>
    <w:p w14:paraId="496DFCA6">
      <w:pPr>
        <w:pStyle w:val="29"/>
        <w:spacing w:before="120" w:after="120" w:line="360" w:lineRule="auto"/>
        <w:rPr>
          <w:rFonts w:hAnsi="宋体" w:cs="宋体"/>
          <w:color w:val="000000" w:themeColor="text1"/>
          <w14:textFill>
            <w14:solidFill>
              <w14:schemeClr w14:val="tx1"/>
            </w14:solidFill>
          </w14:textFill>
        </w:rPr>
      </w:pPr>
    </w:p>
    <w:p w14:paraId="3D045139">
      <w:pPr>
        <w:pStyle w:val="29"/>
        <w:spacing w:before="120" w:after="120" w:line="360" w:lineRule="auto"/>
        <w:rPr>
          <w:rFonts w:hAnsi="宋体" w:cs="宋体"/>
          <w:color w:val="000000" w:themeColor="text1"/>
          <w14:textFill>
            <w14:solidFill>
              <w14:schemeClr w14:val="tx1"/>
            </w14:solidFill>
          </w14:textFill>
        </w:rPr>
      </w:pPr>
    </w:p>
    <w:p w14:paraId="014BB664">
      <w:pPr>
        <w:pStyle w:val="29"/>
        <w:spacing w:before="120" w:after="120" w:line="360" w:lineRule="auto"/>
        <w:rPr>
          <w:rFonts w:hAnsi="宋体" w:cs="宋体"/>
          <w:color w:val="000000" w:themeColor="text1"/>
          <w14:textFill>
            <w14:solidFill>
              <w14:schemeClr w14:val="tx1"/>
            </w14:solidFill>
          </w14:textFill>
        </w:rPr>
      </w:pPr>
    </w:p>
    <w:p w14:paraId="19135E32">
      <w:pPr>
        <w:pStyle w:val="29"/>
        <w:spacing w:before="120" w:after="120" w:line="360" w:lineRule="auto"/>
        <w:rPr>
          <w:rFonts w:hAnsi="宋体" w:cs="宋体"/>
          <w:color w:val="000000" w:themeColor="text1"/>
          <w14:textFill>
            <w14:solidFill>
              <w14:schemeClr w14:val="tx1"/>
            </w14:solidFill>
          </w14:textFill>
        </w:rPr>
      </w:pPr>
    </w:p>
    <w:p w14:paraId="6825A561">
      <w:pPr>
        <w:pStyle w:val="29"/>
        <w:spacing w:before="120" w:after="120" w:line="360" w:lineRule="auto"/>
        <w:rPr>
          <w:rFonts w:hAnsi="宋体" w:cs="宋体"/>
          <w:color w:val="000000" w:themeColor="text1"/>
          <w14:textFill>
            <w14:solidFill>
              <w14:schemeClr w14:val="tx1"/>
            </w14:solidFill>
          </w14:textFill>
        </w:rPr>
      </w:pPr>
    </w:p>
    <w:p w14:paraId="79322060">
      <w:pPr>
        <w:pStyle w:val="29"/>
        <w:spacing w:before="120" w:after="120" w:line="360" w:lineRule="auto"/>
        <w:rPr>
          <w:rFonts w:hAnsi="宋体" w:cs="宋体"/>
          <w:color w:val="000000" w:themeColor="text1"/>
          <w14:textFill>
            <w14:solidFill>
              <w14:schemeClr w14:val="tx1"/>
            </w14:solidFill>
          </w14:textFill>
        </w:rPr>
      </w:pPr>
    </w:p>
    <w:p w14:paraId="6C809B0A">
      <w:pPr>
        <w:pStyle w:val="29"/>
        <w:spacing w:line="600" w:lineRule="exact"/>
        <w:rPr>
          <w:rFonts w:hAnsi="宋体" w:cs="宋体"/>
          <w:color w:val="000000" w:themeColor="text1"/>
          <w:sz w:val="36"/>
          <w:szCs w:val="36"/>
          <w14:textFill>
            <w14:solidFill>
              <w14:schemeClr w14:val="tx1"/>
            </w14:solidFill>
          </w14:textFill>
        </w:rPr>
      </w:pPr>
    </w:p>
    <w:p w14:paraId="442FA0BF">
      <w:pPr>
        <w:jc w:val="center"/>
        <w:rPr>
          <w:rFonts w:ascii="宋体" w:hAnsi="宋体" w:cs="宋体"/>
          <w:color w:val="000000" w:themeColor="text1"/>
          <w14:textFill>
            <w14:solidFill>
              <w14:schemeClr w14:val="tx1"/>
            </w14:solidFill>
          </w14:textFill>
        </w:rPr>
      </w:pPr>
    </w:p>
    <w:p w14:paraId="5BAFC4E8">
      <w:pPr>
        <w:pStyle w:val="29"/>
        <w:spacing w:line="600" w:lineRule="exact"/>
        <w:rPr>
          <w:rFonts w:hAnsi="宋体" w:cs="宋体"/>
          <w:color w:val="000000" w:themeColor="text1"/>
          <w:sz w:val="36"/>
          <w:szCs w:val="36"/>
          <w14:textFill>
            <w14:solidFill>
              <w14:schemeClr w14:val="tx1"/>
            </w14:solidFill>
          </w14:textFill>
        </w:rPr>
      </w:pPr>
    </w:p>
    <w:p w14:paraId="4D8DC3EF">
      <w:pPr>
        <w:pStyle w:val="314"/>
        <w:widowControl w:val="0"/>
        <w:spacing w:afterLines="0" w:line="600" w:lineRule="exact"/>
        <w:ind w:firstLine="0" w:firstLineChars="0"/>
        <w:jc w:val="left"/>
        <w:outlineLvl w:val="0"/>
        <w:rPr>
          <w:rFonts w:ascii="宋体" w:hAnsi="宋体" w:cs="宋体"/>
          <w:b/>
          <w:color w:val="000000" w:themeColor="text1"/>
          <w:sz w:val="36"/>
          <w:szCs w:val="36"/>
          <w14:textFill>
            <w14:solidFill>
              <w14:schemeClr w14:val="tx1"/>
            </w14:solidFill>
          </w14:textFill>
        </w:rPr>
      </w:pPr>
      <w:bookmarkStart w:id="7" w:name="_Toc9838477"/>
    </w:p>
    <w:p w14:paraId="0A70274D">
      <w:pPr>
        <w:pStyle w:val="314"/>
        <w:widowControl w:val="0"/>
        <w:spacing w:afterLines="0" w:line="600" w:lineRule="exact"/>
        <w:ind w:firstLine="0" w:firstLineChars="0"/>
        <w:jc w:val="center"/>
        <w:outlineLvl w:val="0"/>
        <w:rPr>
          <w:rFonts w:ascii="宋体" w:hAnsi="宋体" w:cs="宋体"/>
          <w:b/>
          <w:color w:val="000000" w:themeColor="text1"/>
          <w:sz w:val="36"/>
          <w:szCs w:val="36"/>
          <w14:textFill>
            <w14:solidFill>
              <w14:schemeClr w14:val="tx1"/>
            </w14:solidFill>
          </w14:textFill>
        </w:rPr>
      </w:pPr>
      <w:bookmarkStart w:id="8" w:name="_Toc22175"/>
      <w:r>
        <w:rPr>
          <w:rFonts w:hint="eastAsia" w:ascii="宋体" w:hAnsi="宋体" w:cs="宋体"/>
          <w:b/>
          <w:color w:val="000000" w:themeColor="text1"/>
          <w:sz w:val="36"/>
          <w:szCs w:val="36"/>
          <w14:textFill>
            <w14:solidFill>
              <w14:schemeClr w14:val="tx1"/>
            </w14:solidFill>
          </w14:textFill>
        </w:rPr>
        <w:t>第一章 公开招标公告</w:t>
      </w:r>
      <w:bookmarkEnd w:id="7"/>
      <w:bookmarkEnd w:id="8"/>
    </w:p>
    <w:p w14:paraId="2AA31E34">
      <w:pPr>
        <w:pStyle w:val="29"/>
        <w:snapToGrid w:val="0"/>
        <w:spacing w:before="156" w:beforeLines="50" w:after="156" w:afterLines="50" w:line="600" w:lineRule="exact"/>
        <w:jc w:val="center"/>
        <w:rPr>
          <w:rFonts w:hAnsi="宋体" w:cs="宋体"/>
          <w:b/>
          <w:color w:val="000000" w:themeColor="text1"/>
          <w:sz w:val="32"/>
          <w:szCs w:val="32"/>
          <w14:textFill>
            <w14:solidFill>
              <w14:schemeClr w14:val="tx1"/>
            </w14:solidFill>
          </w14:textFill>
        </w:rPr>
      </w:pPr>
    </w:p>
    <w:p w14:paraId="628CC879">
      <w:pPr>
        <w:pStyle w:val="29"/>
        <w:snapToGrid w:val="0"/>
        <w:spacing w:before="156" w:beforeLines="50" w:after="156" w:afterLines="50" w:line="600" w:lineRule="exact"/>
        <w:jc w:val="center"/>
        <w:rPr>
          <w:rFonts w:hAnsi="宋体" w:cs="宋体"/>
          <w:b/>
          <w:color w:val="000000" w:themeColor="text1"/>
          <w:sz w:val="32"/>
          <w:szCs w:val="32"/>
          <w14:textFill>
            <w14:solidFill>
              <w14:schemeClr w14:val="tx1"/>
            </w14:solidFill>
          </w14:textFill>
        </w:rPr>
      </w:pPr>
    </w:p>
    <w:p w14:paraId="4775B542">
      <w:pPr>
        <w:pStyle w:val="29"/>
        <w:snapToGrid w:val="0"/>
        <w:spacing w:before="156" w:beforeLines="50" w:after="156" w:afterLines="50" w:line="600" w:lineRule="exact"/>
        <w:jc w:val="center"/>
        <w:rPr>
          <w:rFonts w:hAnsi="宋体" w:cs="宋体"/>
          <w:b/>
          <w:color w:val="000000" w:themeColor="text1"/>
          <w:sz w:val="32"/>
          <w:szCs w:val="32"/>
          <w14:textFill>
            <w14:solidFill>
              <w14:schemeClr w14:val="tx1"/>
            </w14:solidFill>
          </w14:textFill>
        </w:rPr>
      </w:pPr>
    </w:p>
    <w:p w14:paraId="7976CA8F">
      <w:pPr>
        <w:pStyle w:val="29"/>
        <w:snapToGrid w:val="0"/>
        <w:spacing w:before="156" w:beforeLines="50" w:after="156" w:afterLines="50" w:line="600" w:lineRule="exact"/>
        <w:jc w:val="center"/>
        <w:rPr>
          <w:rFonts w:hAnsi="宋体" w:cs="宋体"/>
          <w:b/>
          <w:color w:val="000000" w:themeColor="text1"/>
          <w:sz w:val="32"/>
          <w:szCs w:val="32"/>
          <w14:textFill>
            <w14:solidFill>
              <w14:schemeClr w14:val="tx1"/>
            </w14:solidFill>
          </w14:textFill>
        </w:rPr>
      </w:pPr>
    </w:p>
    <w:p w14:paraId="7729150E">
      <w:pPr>
        <w:pStyle w:val="29"/>
        <w:snapToGrid w:val="0"/>
        <w:spacing w:before="156" w:beforeLines="50" w:after="156" w:afterLines="50" w:line="600" w:lineRule="exact"/>
        <w:jc w:val="center"/>
        <w:rPr>
          <w:rFonts w:hAnsi="宋体" w:cs="宋体"/>
          <w:b/>
          <w:color w:val="000000" w:themeColor="text1"/>
          <w:sz w:val="32"/>
          <w:szCs w:val="32"/>
          <w14:textFill>
            <w14:solidFill>
              <w14:schemeClr w14:val="tx1"/>
            </w14:solidFill>
          </w14:textFill>
        </w:rPr>
      </w:pPr>
    </w:p>
    <w:p w14:paraId="5469C6FB">
      <w:pPr>
        <w:pStyle w:val="29"/>
        <w:snapToGrid w:val="0"/>
        <w:spacing w:before="156" w:beforeLines="50" w:after="156" w:afterLines="50" w:line="600" w:lineRule="exact"/>
        <w:jc w:val="center"/>
        <w:rPr>
          <w:rFonts w:hAnsi="宋体" w:cs="宋体"/>
          <w:b/>
          <w:color w:val="000000" w:themeColor="text1"/>
          <w:sz w:val="32"/>
          <w:szCs w:val="32"/>
          <w14:textFill>
            <w14:solidFill>
              <w14:schemeClr w14:val="tx1"/>
            </w14:solidFill>
          </w14:textFill>
        </w:rPr>
      </w:pPr>
    </w:p>
    <w:p w14:paraId="4D3412B8">
      <w:pPr>
        <w:pStyle w:val="29"/>
        <w:snapToGrid w:val="0"/>
        <w:spacing w:before="156" w:beforeLines="50" w:after="156" w:afterLines="50" w:line="600" w:lineRule="exact"/>
        <w:jc w:val="center"/>
        <w:rPr>
          <w:rFonts w:hAnsi="宋体" w:cs="宋体"/>
          <w:b/>
          <w:color w:val="000000" w:themeColor="text1"/>
          <w:sz w:val="32"/>
          <w:szCs w:val="32"/>
          <w14:textFill>
            <w14:solidFill>
              <w14:schemeClr w14:val="tx1"/>
            </w14:solidFill>
          </w14:textFill>
        </w:rPr>
      </w:pPr>
    </w:p>
    <w:p w14:paraId="5387A20D">
      <w:pPr>
        <w:pStyle w:val="29"/>
        <w:snapToGrid w:val="0"/>
        <w:spacing w:before="156" w:beforeLines="50" w:after="156" w:afterLines="50" w:line="600" w:lineRule="exact"/>
        <w:jc w:val="center"/>
        <w:rPr>
          <w:rFonts w:hAnsi="宋体" w:cs="宋体"/>
          <w:b/>
          <w:color w:val="000000" w:themeColor="text1"/>
          <w:sz w:val="32"/>
          <w:szCs w:val="32"/>
          <w14:textFill>
            <w14:solidFill>
              <w14:schemeClr w14:val="tx1"/>
            </w14:solidFill>
          </w14:textFill>
        </w:rPr>
      </w:pPr>
    </w:p>
    <w:p w14:paraId="01BE94BB">
      <w:pPr>
        <w:pStyle w:val="29"/>
        <w:snapToGrid w:val="0"/>
        <w:spacing w:before="156" w:beforeLines="50" w:after="156" w:afterLines="50" w:line="600" w:lineRule="exact"/>
        <w:jc w:val="center"/>
        <w:rPr>
          <w:rFonts w:hAnsi="宋体" w:cs="宋体"/>
          <w:b/>
          <w:color w:val="000000" w:themeColor="text1"/>
          <w:sz w:val="32"/>
          <w:szCs w:val="32"/>
          <w14:textFill>
            <w14:solidFill>
              <w14:schemeClr w14:val="tx1"/>
            </w14:solidFill>
          </w14:textFill>
        </w:rPr>
      </w:pPr>
    </w:p>
    <w:p w14:paraId="32462D52">
      <w:pPr>
        <w:pStyle w:val="29"/>
        <w:spacing w:before="156" w:beforeLines="50" w:after="156" w:afterLines="50" w:line="320" w:lineRule="exact"/>
        <w:rPr>
          <w:rFonts w:hAnsi="宋体" w:cs="宋体"/>
          <w:b/>
          <w:bCs/>
          <w:color w:val="000000" w:themeColor="text1"/>
          <w:kern w:val="44"/>
          <w:sz w:val="28"/>
          <w:szCs w:val="28"/>
          <w14:textFill>
            <w14:solidFill>
              <w14:schemeClr w14:val="tx1"/>
            </w14:solidFill>
          </w14:textFill>
        </w:rPr>
      </w:pPr>
    </w:p>
    <w:p w14:paraId="7DF9BF6E">
      <w:pPr>
        <w:pStyle w:val="29"/>
        <w:spacing w:before="156" w:beforeLines="50" w:after="156" w:afterLines="50" w:line="440" w:lineRule="exact"/>
        <w:jc w:val="center"/>
        <w:rPr>
          <w:rFonts w:hAnsi="宋体" w:cs="宋体"/>
          <w:b/>
          <w:bCs/>
          <w:color w:val="000000" w:themeColor="text1"/>
          <w:kern w:val="44"/>
          <w:sz w:val="24"/>
          <w:szCs w:val="28"/>
          <w14:textFill>
            <w14:solidFill>
              <w14:schemeClr w14:val="tx1"/>
            </w14:solidFill>
          </w14:textFill>
        </w:rPr>
      </w:pPr>
      <w:r>
        <w:rPr>
          <w:rFonts w:hint="eastAsia" w:hAnsi="宋体" w:cs="宋体"/>
          <w:b/>
          <w:bCs/>
          <w:color w:val="000000" w:themeColor="text1"/>
          <w:kern w:val="44"/>
          <w:sz w:val="24"/>
          <w:szCs w:val="28"/>
          <w14:textFill>
            <w14:solidFill>
              <w14:schemeClr w14:val="tx1"/>
            </w14:solidFill>
          </w14:textFill>
        </w:rPr>
        <w:t>北海市政府采购中心关于中国共产党北海市委员会宣传部</w:t>
      </w:r>
      <w:r>
        <w:rPr>
          <w:rFonts w:hint="eastAsia" w:hAnsi="宋体" w:cs="宋体"/>
          <w:b/>
          <w:bCs/>
          <w:color w:val="000000" w:themeColor="text1"/>
          <w:kern w:val="44"/>
          <w:sz w:val="24"/>
          <w:szCs w:val="28"/>
          <w:lang w:eastAsia="zh-CN"/>
          <w14:textFill>
            <w14:solidFill>
              <w14:schemeClr w14:val="tx1"/>
            </w14:solidFill>
          </w14:textFill>
        </w:rPr>
        <w:t>广西壮族自治区第十六届运动会和广西壮族自治区第十一届残疾人运动会暨第六届特殊奥林匹克运动会开闭幕式及火炬传递仪式服务</w:t>
      </w:r>
      <w:r>
        <w:rPr>
          <w:rFonts w:hint="eastAsia" w:hAnsi="宋体" w:cs="宋体"/>
          <w:b/>
          <w:bCs/>
          <w:color w:val="000000" w:themeColor="text1"/>
          <w:kern w:val="44"/>
          <w:sz w:val="24"/>
          <w:szCs w:val="28"/>
          <w14:textFill>
            <w14:solidFill>
              <w14:schemeClr w14:val="tx1"/>
            </w14:solidFill>
          </w14:textFill>
        </w:rPr>
        <w:t>(项目编号：</w:t>
      </w:r>
      <w:r>
        <w:rPr>
          <w:rFonts w:hint="eastAsia" w:hAnsi="宋体" w:cs="宋体"/>
          <w:b/>
          <w:bCs/>
          <w:color w:val="000000" w:themeColor="text1"/>
          <w:kern w:val="44"/>
          <w:sz w:val="24"/>
          <w:szCs w:val="28"/>
          <w:lang w:eastAsia="zh-CN"/>
          <w14:textFill>
            <w14:solidFill>
              <w14:schemeClr w14:val="tx1"/>
            </w14:solidFill>
          </w14:textFill>
        </w:rPr>
        <w:t>BHZC2026-G3-990062-CGZX</w:t>
      </w:r>
      <w:r>
        <w:rPr>
          <w:rFonts w:hint="eastAsia" w:hAnsi="宋体" w:cs="宋体"/>
          <w:b/>
          <w:bCs/>
          <w:color w:val="000000" w:themeColor="text1"/>
          <w:kern w:val="44"/>
          <w:sz w:val="24"/>
          <w:szCs w:val="28"/>
          <w14:textFill>
            <w14:solidFill>
              <w14:schemeClr w14:val="tx1"/>
            </w14:solidFill>
          </w14:textFill>
        </w:rPr>
        <w:t>)招标公告</w:t>
      </w:r>
    </w:p>
    <w:p w14:paraId="35BAABFB">
      <w:pPr>
        <w:pBdr>
          <w:top w:val="single" w:color="auto" w:sz="4" w:space="1"/>
          <w:left w:val="single" w:color="auto" w:sz="4" w:space="4"/>
          <w:bottom w:val="single" w:color="auto" w:sz="4" w:space="9"/>
          <w:right w:val="single" w:color="auto" w:sz="4" w:space="4"/>
        </w:pBdr>
        <w:spacing w:line="32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项目概况：</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广西壮族自治区第十六届运动会和广西壮族自治区第十一届残疾人运动会暨第六届特殊奥林匹克运动会开闭幕式及火炬传递仪式服务招标项目的</w:t>
      </w:r>
      <w:r>
        <w:rPr>
          <w:rFonts w:hint="eastAsia" w:asciiTheme="minorEastAsia" w:hAnsiTheme="minorEastAsia" w:eastAsiaTheme="minorEastAsia" w:cstheme="minorEastAsia"/>
          <w:color w:val="000000" w:themeColor="text1"/>
          <w:szCs w:val="21"/>
          <w14:textFill>
            <w14:solidFill>
              <w14:schemeClr w14:val="tx1"/>
            </w14:solidFill>
          </w14:textFill>
        </w:rPr>
        <w:t>潜在投标人应在广西政府采购云平台（https://www.gcy.zfcg.gxzf.gov.cn/）获取招标文件，并于2026年 月 日9时（北京时间）前递交投标文件。</w:t>
      </w:r>
    </w:p>
    <w:p w14:paraId="21D240D9">
      <w:pPr>
        <w:spacing w:line="320" w:lineRule="exact"/>
        <w:jc w:val="left"/>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一、项目基本情况</w:t>
      </w:r>
    </w:p>
    <w:p w14:paraId="7C347B10">
      <w:pPr>
        <w:spacing w:line="320" w:lineRule="exact"/>
        <w:ind w:firstLine="420" w:firstLineChars="200"/>
        <w:jc w:val="left"/>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项目编号：</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BHZC2026-G3-990062-CGZX</w:t>
      </w:r>
    </w:p>
    <w:p w14:paraId="2F62C4C5">
      <w:pPr>
        <w:spacing w:line="320" w:lineRule="exact"/>
        <w:ind w:firstLine="420" w:firstLineChars="200"/>
        <w:jc w:val="left"/>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项目名称：</w:t>
      </w:r>
    </w:p>
    <w:p w14:paraId="484FFA5C">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广西壮族自治区第十六届运动会和广西壮族自治区第十一届残疾人运动会暨第六届特殊奥林匹克运动会开闭幕式及火炬传递仪式服务</w:t>
      </w:r>
      <w:r>
        <w:rPr>
          <w:rFonts w:hint="eastAsia" w:asciiTheme="minorEastAsia" w:hAnsiTheme="minorEastAsia" w:eastAsiaTheme="minorEastAsia" w:cstheme="minorEastAsia"/>
          <w:color w:val="000000" w:themeColor="text1"/>
          <w:szCs w:val="21"/>
          <w14:textFill>
            <w14:solidFill>
              <w14:schemeClr w14:val="tx1"/>
            </w14:solidFill>
          </w14:textFill>
        </w:rPr>
        <w:t>公开招标</w:t>
      </w:r>
    </w:p>
    <w:p w14:paraId="0245A17F">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预算金额(人民币）：13</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000</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000.00元</w:t>
      </w:r>
    </w:p>
    <w:p w14:paraId="6D9FE5CB">
      <w:pPr>
        <w:spacing w:line="3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最高限价（元）：13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000</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000.00元</w:t>
      </w:r>
    </w:p>
    <w:p w14:paraId="0F62D6B7">
      <w:pPr>
        <w:spacing w:line="320" w:lineRule="exact"/>
        <w:ind w:firstLine="420" w:firstLineChars="200"/>
        <w:jc w:val="left"/>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采购需求：</w:t>
      </w:r>
    </w:p>
    <w:p w14:paraId="3DC7B92E">
      <w:pPr>
        <w:spacing w:line="320" w:lineRule="exact"/>
        <w:ind w:firstLine="422" w:firstLineChars="200"/>
        <w:jc w:val="left"/>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标项一</w:t>
      </w:r>
    </w:p>
    <w:p w14:paraId="605CCFB9">
      <w:pPr>
        <w:spacing w:line="320" w:lineRule="exact"/>
        <w:ind w:firstLine="420" w:firstLineChars="200"/>
        <w:jc w:val="left"/>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标项名称:</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广西壮族自治区第十六届运动会和广西壮族自治区第十一届残疾人运动会暨第六届特殊奥林匹克运动会开闭幕式及火炬传递仪式服务</w:t>
      </w:r>
    </w:p>
    <w:p w14:paraId="6105CB25">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数量:</w:t>
      </w:r>
      <w:r>
        <w:rPr>
          <w:rFonts w:hint="eastAsia" w:asciiTheme="minorEastAsia" w:hAnsiTheme="minorEastAsia" w:eastAsiaTheme="minorEastAsia" w:cstheme="minorEastAsia"/>
          <w:color w:val="000000" w:themeColor="text1"/>
          <w14:textFill>
            <w14:solidFill>
              <w14:schemeClr w14:val="tx1"/>
            </w14:solidFill>
          </w14:textFill>
        </w:rPr>
        <w:t>不限</w:t>
      </w:r>
    </w:p>
    <w:p w14:paraId="0C56EE35">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预算金额（元）:13</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000</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000.00元</w:t>
      </w:r>
    </w:p>
    <w:p w14:paraId="52727D81">
      <w:pPr>
        <w:pStyle w:val="514"/>
        <w:spacing w:line="32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简要规格描述或项目基本概况介绍、用途：</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包括但不限于本项目采用公开招标（服务类）方式，确定一个中标单位负责广西壮族自治区第十六届运动会和广西壮族自治区第十一届残疾人运动会暨第六届特殊奥林匹克运动会开闭幕式及火炬传递仪式服务项目的策划、组织与实施。包括但不限于：开闭幕式文体演出、音乐创作、火炬传递仪式、服装道具制作租赁、全程全景实录、舞美音响灯光舞台搭建、媒体直播录制配合、文稿撰写与培训等，中标人需按要求提交细化方案、安全 / 应急方案、项目人员名单等资料，承担专业演员全部费用，严格遵守分包、保险、知识产权等约定。</w:t>
      </w:r>
      <w:r>
        <w:rPr>
          <w:rFonts w:hint="eastAsia" w:asciiTheme="minorEastAsia" w:hAnsiTheme="minorEastAsia" w:eastAsiaTheme="minorEastAsia" w:cstheme="minorEastAsia"/>
          <w:color w:val="000000" w:themeColor="text1"/>
          <w:szCs w:val="21"/>
          <w14:textFill>
            <w14:solidFill>
              <w14:schemeClr w14:val="tx1"/>
            </w14:solidFill>
          </w14:textFill>
        </w:rPr>
        <w:t>如需进一步了解，详见招标文件。</w:t>
      </w:r>
    </w:p>
    <w:p w14:paraId="5F3F2914">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最高限价（如有）：13</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000</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000.00元</w:t>
      </w:r>
    </w:p>
    <w:p w14:paraId="35492CD2">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合同履约期限：2026年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14:textFill>
            <w14:solidFill>
              <w14:schemeClr w14:val="tx1"/>
            </w14:solidFill>
          </w14:textFill>
        </w:rPr>
        <w:t>月至2026年12月（具体以采购人书面通知为准</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中标人收到通知后 24小时内书面确认，逾期未确认视为认可</w:t>
      </w:r>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478BA330">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本标项（否）接受联合体投标。</w:t>
      </w:r>
    </w:p>
    <w:p w14:paraId="28DDE998">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备注：/</w:t>
      </w:r>
    </w:p>
    <w:p w14:paraId="0D527F10">
      <w:pPr>
        <w:spacing w:line="320" w:lineRule="exact"/>
        <w:jc w:val="left"/>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二、申请人的资格要求</w:t>
      </w:r>
    </w:p>
    <w:p w14:paraId="373C9F98">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1.满足《中华人民共和国政府采购法》第二十二条规定；</w:t>
      </w:r>
    </w:p>
    <w:p w14:paraId="7F370466">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2.落实政府采购政策需满足的资格要求</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无</w:t>
      </w:r>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69C24000">
      <w:pPr>
        <w:spacing w:line="320" w:lineRule="exact"/>
        <w:ind w:firstLine="420" w:firstLineChars="200"/>
        <w:jc w:val="left"/>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3.本项目的特定资格要求：</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无</w:t>
      </w:r>
    </w:p>
    <w:p w14:paraId="447D311E">
      <w:pPr>
        <w:spacing w:line="320" w:lineRule="exact"/>
        <w:ind w:firstLine="420" w:firstLineChars="200"/>
        <w:jc w:val="left"/>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4.其他要求：主创团队必须配备项目负责人、总导演、执行导演、总撰稿、总统筹、音乐设计制作、舞蹈编导、舞美设计、服装、化妆、道具、灯光音响等专业人员负责开幕式的策划与执行</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▲投标人可使用其下属全资子公司的上述专业人员参与本项目策划与执行，需提供全资控股证明材料及人员所属关系证明材料。</w:t>
      </w:r>
    </w:p>
    <w:p w14:paraId="5881BB09">
      <w:pPr>
        <w:spacing w:line="320" w:lineRule="exact"/>
        <w:jc w:val="left"/>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三、获取招标文件</w:t>
      </w:r>
    </w:p>
    <w:p w14:paraId="339906E3">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时间：2026年 月 日至2026年 月 日，每天上午00:00至12:00，下午12:00至23:59（北京时间，法定节假日除外）</w:t>
      </w:r>
    </w:p>
    <w:p w14:paraId="19F29244">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地点（网址）：广西政府采购云平台（https://www.gcy.zfcg.gxzf.gov.cn/）</w:t>
      </w:r>
    </w:p>
    <w:p w14:paraId="46FF4902">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方式：</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登录广西政府采购云平台（https://www.gcy.zfcg.gxzf.gov.cn/）在线自行下载采购文件；未注册的</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可在广西政府采购云平台完成注册后再进行下载。如在操作过程中遇到问题或需技术支持，请致电广西政采云客服热线：95763。提示：</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只有在“广西政府采购云平台”完成获取招标文件申请并下载了招标文件后才视作依法获取招标文件（法律法规所指的</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获取招标文件时间以</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完成获取招标文件申请后下载招标文件的时间为准）。</w:t>
      </w:r>
    </w:p>
    <w:p w14:paraId="49852F52">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售价（元）：0</w:t>
      </w:r>
    </w:p>
    <w:p w14:paraId="7FCA1275">
      <w:pPr>
        <w:spacing w:line="320" w:lineRule="exact"/>
        <w:jc w:val="left"/>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四、提交投标文件截止时间、开标时间和地点</w:t>
      </w:r>
    </w:p>
    <w:p w14:paraId="731760CB">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提交投标文件截止时间：2026年 月 日9时（北京时间）</w:t>
      </w:r>
    </w:p>
    <w:p w14:paraId="06294CF7">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投标地点（网址）：通过广西政府采购云平台（https://www.gcy.zfcg.gxzf.gov.cn/）实行在线投标</w:t>
      </w:r>
    </w:p>
    <w:p w14:paraId="28EEB7EE">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开标时间：：2026年 月 日9时（北京时间）</w:t>
      </w:r>
    </w:p>
    <w:p w14:paraId="7AC5AFE9">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开标地点：通过广西政府采购云平台（https://www.gcy.zfcg.gxzf.gov.cn/）实行在线开标  </w:t>
      </w:r>
    </w:p>
    <w:p w14:paraId="5589C116">
      <w:pPr>
        <w:spacing w:line="320" w:lineRule="exact"/>
        <w:jc w:val="left"/>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五、公告期限</w:t>
      </w:r>
    </w:p>
    <w:p w14:paraId="2A2F0C5F">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自本公告发布之日起5个工作日。</w:t>
      </w:r>
    </w:p>
    <w:p w14:paraId="02D406EC">
      <w:pPr>
        <w:spacing w:line="320" w:lineRule="exact"/>
        <w:jc w:val="left"/>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六、其他补充事宜</w:t>
      </w:r>
    </w:p>
    <w:p w14:paraId="59F86823">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1.本项目不收取投标保证金。</w:t>
      </w:r>
    </w:p>
    <w:p w14:paraId="292E4DF1">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30C6CB6D">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3F57CA39">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4.网上公告媒体查询：中国政府采购网、广西政府采购网、全国公共资源交易平台（广西•北海）、北海市政府采购监管网、北海市人民政府网-北海市政府采购中心网站。</w:t>
      </w:r>
    </w:p>
    <w:p w14:paraId="37069AE9">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72D9C23D">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35682B5">
      <w:pPr>
        <w:spacing w:line="320" w:lineRule="exact"/>
        <w:ind w:firstLine="420" w:firstLineChars="200"/>
        <w:jc w:val="left"/>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7.本项目采用远程异地评标。</w:t>
      </w:r>
    </w:p>
    <w:p w14:paraId="582E037F">
      <w:pPr>
        <w:spacing w:line="320" w:lineRule="exact"/>
        <w:jc w:val="left"/>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七、对本次招标提出询问，请按以下方式联系</w:t>
      </w:r>
    </w:p>
    <w:p w14:paraId="6D74F48E">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1.采购人信息</w:t>
      </w:r>
    </w:p>
    <w:p w14:paraId="0AE54D19">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名称：中国共产党北海市委宣传部</w:t>
      </w:r>
      <w:r>
        <w:rPr>
          <w:rFonts w:hint="eastAsia" w:asciiTheme="minorEastAsia" w:hAnsiTheme="minorEastAsia" w:eastAsiaTheme="minorEastAsia" w:cstheme="minorEastAsia"/>
          <w:color w:val="000000" w:themeColor="text1"/>
          <w:szCs w:val="21"/>
          <w14:textFill>
            <w14:solidFill>
              <w14:schemeClr w14:val="tx1"/>
            </w14:solidFill>
          </w14:textFill>
        </w:rPr>
        <w:tab/>
      </w:r>
    </w:p>
    <w:p w14:paraId="621D40CB">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地址：北海市海城区和平路东二巷 2 号（党政机关大院内）</w:t>
      </w:r>
    </w:p>
    <w:p w14:paraId="479388DD">
      <w:pPr>
        <w:adjustRightInd w:val="0"/>
        <w:snapToGrid w:val="0"/>
        <w:spacing w:line="36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项目联系人：黄雪梅  </w:t>
      </w:r>
    </w:p>
    <w:p w14:paraId="501CF5D9">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项目联系方式：0779-2038313 </w:t>
      </w:r>
    </w:p>
    <w:p w14:paraId="505F4334">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2.采购代理机构信息</w:t>
      </w:r>
    </w:p>
    <w:p w14:paraId="15376E42">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名称：北海市政府采购中心</w:t>
      </w:r>
    </w:p>
    <w:p w14:paraId="5BAC2593">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地址：北海市海城区陈文村北路7号市直机关第三办公区</w:t>
      </w:r>
    </w:p>
    <w:p w14:paraId="299C6B91">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联系方式：0779-3960815</w:t>
      </w:r>
    </w:p>
    <w:p w14:paraId="09433170">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3.项目联系方式</w:t>
      </w:r>
    </w:p>
    <w:p w14:paraId="6446FCD5">
      <w:pPr>
        <w:spacing w:line="320" w:lineRule="exact"/>
        <w:ind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项目联系人：易思行</w:t>
      </w:r>
    </w:p>
    <w:p w14:paraId="17175640">
      <w:pPr>
        <w:spacing w:line="320" w:lineRule="exact"/>
        <w:ind w:firstLine="420" w:firstLineChars="200"/>
        <w:jc w:val="left"/>
        <w:rPr>
          <w:rFonts w:hint="eastAsia" w:asciiTheme="minorEastAsia" w:hAnsiTheme="minorEastAsia" w:eastAsiaTheme="minorEastAsia" w:cstheme="minorEastAsia"/>
          <w:b/>
          <w:color w:val="000000" w:themeColor="text1"/>
          <w:szCs w:val="21"/>
          <w14:textFill>
            <w14:solidFill>
              <w14:schemeClr w14:val="tx1"/>
            </w14:solidFill>
          </w14:textFill>
        </w:rPr>
        <w:sectPr>
          <w:headerReference r:id="rId8" w:type="first"/>
          <w:footerReference r:id="rId10" w:type="first"/>
          <w:footerReference r:id="rId9" w:type="default"/>
          <w:pgSz w:w="11906" w:h="16838"/>
          <w:pgMar w:top="1247" w:right="1417" w:bottom="1247" w:left="1418" w:header="851" w:footer="992" w:gutter="0"/>
          <w:pgNumType w:start="1"/>
          <w:cols w:space="720" w:num="1"/>
          <w:titlePg/>
          <w:docGrid w:type="lines" w:linePitch="312" w:charSpace="0"/>
        </w:sectPr>
      </w:pPr>
      <w:r>
        <w:rPr>
          <w:rFonts w:hint="eastAsia" w:asciiTheme="minorEastAsia" w:hAnsiTheme="minorEastAsia" w:eastAsiaTheme="minorEastAsia" w:cstheme="minorEastAsia"/>
          <w:color w:val="000000" w:themeColor="text1"/>
          <w:szCs w:val="21"/>
          <w14:textFill>
            <w14:solidFill>
              <w14:schemeClr w14:val="tx1"/>
            </w14:solidFill>
          </w14:textFill>
        </w:rPr>
        <w:t>电话：0779-3960815</w:t>
      </w:r>
    </w:p>
    <w:p w14:paraId="63864201">
      <w:pPr>
        <w:snapToGrid w:val="0"/>
        <w:spacing w:line="540" w:lineRule="exact"/>
        <w:jc w:val="center"/>
        <w:outlineLvl w:val="0"/>
        <w:rPr>
          <w:rFonts w:asciiTheme="minorEastAsia" w:hAnsiTheme="minorEastAsia" w:eastAsiaTheme="minorEastAsia" w:cstheme="minorEastAsia"/>
          <w:b/>
          <w:color w:val="000000" w:themeColor="text1"/>
          <w:szCs w:val="21"/>
          <w14:textFill>
            <w14:solidFill>
              <w14:schemeClr w14:val="tx1"/>
            </w14:solidFill>
          </w14:textFill>
        </w:rPr>
      </w:pPr>
      <w:bookmarkStart w:id="9" w:name="_Toc9838478"/>
    </w:p>
    <w:p w14:paraId="0021DD97">
      <w:pPr>
        <w:snapToGrid w:val="0"/>
        <w:spacing w:line="540" w:lineRule="exact"/>
        <w:jc w:val="center"/>
        <w:outlineLvl w:val="0"/>
        <w:rPr>
          <w:rFonts w:asciiTheme="minorEastAsia" w:hAnsiTheme="minorEastAsia" w:eastAsiaTheme="minorEastAsia" w:cstheme="minorEastAsia"/>
          <w:b/>
          <w:color w:val="000000" w:themeColor="text1"/>
          <w:szCs w:val="21"/>
          <w14:textFill>
            <w14:solidFill>
              <w14:schemeClr w14:val="tx1"/>
            </w14:solidFill>
          </w14:textFill>
        </w:rPr>
      </w:pPr>
    </w:p>
    <w:p w14:paraId="7EA3F4BF">
      <w:pPr>
        <w:snapToGrid w:val="0"/>
        <w:spacing w:line="540" w:lineRule="exact"/>
        <w:jc w:val="both"/>
        <w:outlineLvl w:val="0"/>
        <w:rPr>
          <w:rFonts w:asciiTheme="minorEastAsia" w:hAnsiTheme="minorEastAsia" w:eastAsiaTheme="minorEastAsia" w:cstheme="minorEastAsia"/>
          <w:b/>
          <w:color w:val="000000" w:themeColor="text1"/>
          <w:szCs w:val="21"/>
          <w14:textFill>
            <w14:solidFill>
              <w14:schemeClr w14:val="tx1"/>
            </w14:solidFill>
          </w14:textFill>
        </w:rPr>
      </w:pPr>
    </w:p>
    <w:p w14:paraId="583EA7FB">
      <w:pPr>
        <w:snapToGrid w:val="0"/>
        <w:spacing w:line="540" w:lineRule="exact"/>
        <w:jc w:val="center"/>
        <w:outlineLvl w:val="0"/>
        <w:rPr>
          <w:rFonts w:asciiTheme="minorEastAsia" w:hAnsiTheme="minorEastAsia" w:eastAsiaTheme="minorEastAsia" w:cstheme="minorEastAsia"/>
          <w:b/>
          <w:color w:val="000000" w:themeColor="text1"/>
          <w:szCs w:val="21"/>
          <w14:textFill>
            <w14:solidFill>
              <w14:schemeClr w14:val="tx1"/>
            </w14:solidFill>
          </w14:textFill>
        </w:rPr>
      </w:pPr>
    </w:p>
    <w:p w14:paraId="2B431307">
      <w:pPr>
        <w:snapToGrid w:val="0"/>
        <w:spacing w:line="540" w:lineRule="exact"/>
        <w:jc w:val="center"/>
        <w:outlineLvl w:val="0"/>
        <w:rPr>
          <w:rFonts w:asciiTheme="minorEastAsia" w:hAnsiTheme="minorEastAsia" w:eastAsiaTheme="minorEastAsia" w:cstheme="minorEastAsia"/>
          <w:b/>
          <w:color w:val="000000" w:themeColor="text1"/>
          <w:szCs w:val="21"/>
          <w14:textFill>
            <w14:solidFill>
              <w14:schemeClr w14:val="tx1"/>
            </w14:solidFill>
          </w14:textFill>
        </w:rPr>
      </w:pPr>
    </w:p>
    <w:p w14:paraId="6188275C">
      <w:pPr>
        <w:snapToGrid w:val="0"/>
        <w:spacing w:line="540" w:lineRule="exact"/>
        <w:jc w:val="center"/>
        <w:outlineLvl w:val="0"/>
        <w:rPr>
          <w:rFonts w:asciiTheme="minorEastAsia" w:hAnsiTheme="minorEastAsia" w:eastAsiaTheme="minorEastAsia" w:cstheme="minorEastAsia"/>
          <w:b/>
          <w:color w:val="000000" w:themeColor="text1"/>
          <w:szCs w:val="21"/>
          <w14:textFill>
            <w14:solidFill>
              <w14:schemeClr w14:val="tx1"/>
            </w14:solidFill>
          </w14:textFill>
        </w:rPr>
      </w:pPr>
    </w:p>
    <w:p w14:paraId="64DCBEB0">
      <w:pPr>
        <w:snapToGrid w:val="0"/>
        <w:spacing w:line="540" w:lineRule="exact"/>
        <w:jc w:val="center"/>
        <w:outlineLvl w:val="0"/>
        <w:rPr>
          <w:rFonts w:asciiTheme="minorEastAsia" w:hAnsiTheme="minorEastAsia" w:eastAsiaTheme="minorEastAsia" w:cstheme="minorEastAsia"/>
          <w:b/>
          <w:color w:val="000000" w:themeColor="text1"/>
          <w:szCs w:val="21"/>
          <w14:textFill>
            <w14:solidFill>
              <w14:schemeClr w14:val="tx1"/>
            </w14:solidFill>
          </w14:textFill>
        </w:rPr>
      </w:pPr>
    </w:p>
    <w:p w14:paraId="42ED422A">
      <w:pPr>
        <w:snapToGrid w:val="0"/>
        <w:spacing w:line="540" w:lineRule="exact"/>
        <w:jc w:val="center"/>
        <w:outlineLvl w:val="0"/>
        <w:rPr>
          <w:rFonts w:asciiTheme="minorEastAsia" w:hAnsiTheme="minorEastAsia" w:eastAsiaTheme="minorEastAsia" w:cstheme="minorEastAsia"/>
          <w:b/>
          <w:color w:val="000000" w:themeColor="text1"/>
          <w:szCs w:val="21"/>
          <w14:textFill>
            <w14:solidFill>
              <w14:schemeClr w14:val="tx1"/>
            </w14:solidFill>
          </w14:textFill>
        </w:rPr>
      </w:pPr>
    </w:p>
    <w:p w14:paraId="4BFFD9C4">
      <w:pPr>
        <w:snapToGrid w:val="0"/>
        <w:spacing w:line="540" w:lineRule="exact"/>
        <w:jc w:val="center"/>
        <w:outlineLvl w:val="0"/>
        <w:rPr>
          <w:rFonts w:asciiTheme="minorEastAsia" w:hAnsiTheme="minorEastAsia" w:eastAsiaTheme="minorEastAsia" w:cstheme="minorEastAsia"/>
          <w:b/>
          <w:color w:val="000000" w:themeColor="text1"/>
          <w:szCs w:val="21"/>
          <w14:textFill>
            <w14:solidFill>
              <w14:schemeClr w14:val="tx1"/>
            </w14:solidFill>
          </w14:textFill>
        </w:rPr>
      </w:pPr>
    </w:p>
    <w:bookmarkEnd w:id="9"/>
    <w:p w14:paraId="3CF025CB">
      <w:pPr>
        <w:pStyle w:val="314"/>
        <w:widowControl w:val="0"/>
        <w:spacing w:afterLines="0" w:line="600" w:lineRule="exact"/>
        <w:ind w:firstLine="0" w:firstLineChars="0"/>
        <w:jc w:val="center"/>
        <w:outlineLvl w:val="0"/>
        <w:rPr>
          <w:rFonts w:ascii="宋体" w:hAnsi="宋体" w:cs="宋体"/>
          <w:b/>
          <w:color w:val="000000" w:themeColor="text1"/>
          <w:sz w:val="36"/>
          <w:szCs w:val="36"/>
          <w14:textFill>
            <w14:solidFill>
              <w14:schemeClr w14:val="tx1"/>
            </w14:solidFill>
          </w14:textFill>
        </w:rPr>
      </w:pPr>
      <w:bookmarkStart w:id="10" w:name="_Toc8535"/>
      <w:r>
        <w:rPr>
          <w:rFonts w:hint="eastAsia" w:ascii="宋体" w:hAnsi="宋体" w:cs="宋体"/>
          <w:b/>
          <w:color w:val="000000" w:themeColor="text1"/>
          <w:sz w:val="36"/>
          <w:szCs w:val="36"/>
          <w14:textFill>
            <w14:solidFill>
              <w14:schemeClr w14:val="tx1"/>
            </w14:solidFill>
          </w14:textFill>
        </w:rPr>
        <w:t>第二章 招标项目采购需求</w:t>
      </w:r>
      <w:bookmarkEnd w:id="10"/>
    </w:p>
    <w:p w14:paraId="195D83A3">
      <w:pPr>
        <w:pStyle w:val="314"/>
        <w:widowControl w:val="0"/>
        <w:spacing w:afterLines="0" w:line="600" w:lineRule="exact"/>
        <w:ind w:firstLine="0" w:firstLineChars="0"/>
        <w:jc w:val="center"/>
        <w:outlineLvl w:val="0"/>
        <w:rPr>
          <w:rFonts w:asciiTheme="minorEastAsia" w:hAnsiTheme="minorEastAsia" w:eastAsiaTheme="minorEastAsia" w:cstheme="minorEastAsia"/>
          <w:color w:val="000000" w:themeColor="text1"/>
          <w:sz w:val="21"/>
          <w:szCs w:val="21"/>
          <w14:textFill>
            <w14:solidFill>
              <w14:schemeClr w14:val="tx1"/>
            </w14:solidFill>
          </w14:textFill>
        </w:rPr>
      </w:pPr>
    </w:p>
    <w:p w14:paraId="6EC3E1F9">
      <w:pPr>
        <w:snapToGrid w:val="0"/>
        <w:spacing w:line="540" w:lineRule="exact"/>
        <w:jc w:val="center"/>
        <w:rPr>
          <w:rFonts w:asciiTheme="minorEastAsia" w:hAnsiTheme="minorEastAsia" w:eastAsiaTheme="minorEastAsia" w:cstheme="minorEastAsia"/>
          <w:color w:val="000000" w:themeColor="text1"/>
          <w:szCs w:val="21"/>
          <w14:textFill>
            <w14:solidFill>
              <w14:schemeClr w14:val="tx1"/>
            </w14:solidFill>
          </w14:textFill>
        </w:rPr>
      </w:pPr>
    </w:p>
    <w:p w14:paraId="5F128FA2">
      <w:pPr>
        <w:snapToGrid w:val="0"/>
        <w:spacing w:line="540" w:lineRule="exact"/>
        <w:jc w:val="center"/>
        <w:rPr>
          <w:rFonts w:asciiTheme="minorEastAsia" w:hAnsiTheme="minorEastAsia" w:eastAsiaTheme="minorEastAsia" w:cstheme="minorEastAsia"/>
          <w:color w:val="000000" w:themeColor="text1"/>
          <w:szCs w:val="21"/>
          <w14:textFill>
            <w14:solidFill>
              <w14:schemeClr w14:val="tx1"/>
            </w14:solidFill>
          </w14:textFill>
        </w:rPr>
      </w:pPr>
    </w:p>
    <w:p w14:paraId="4FD33B8F">
      <w:pPr>
        <w:snapToGrid w:val="0"/>
        <w:spacing w:line="540" w:lineRule="exact"/>
        <w:jc w:val="center"/>
        <w:rPr>
          <w:rFonts w:asciiTheme="minorEastAsia" w:hAnsiTheme="minorEastAsia" w:eastAsiaTheme="minorEastAsia" w:cstheme="minorEastAsia"/>
          <w:color w:val="000000" w:themeColor="text1"/>
          <w:szCs w:val="21"/>
          <w14:textFill>
            <w14:solidFill>
              <w14:schemeClr w14:val="tx1"/>
            </w14:solidFill>
          </w14:textFill>
        </w:rPr>
      </w:pPr>
    </w:p>
    <w:p w14:paraId="4DC30E01">
      <w:pPr>
        <w:snapToGrid w:val="0"/>
        <w:spacing w:line="540" w:lineRule="exact"/>
        <w:jc w:val="center"/>
        <w:rPr>
          <w:rFonts w:asciiTheme="minorEastAsia" w:hAnsiTheme="minorEastAsia" w:eastAsiaTheme="minorEastAsia" w:cstheme="minorEastAsia"/>
          <w:color w:val="000000" w:themeColor="text1"/>
          <w:szCs w:val="21"/>
          <w14:textFill>
            <w14:solidFill>
              <w14:schemeClr w14:val="tx1"/>
            </w14:solidFill>
          </w14:textFill>
        </w:rPr>
      </w:pPr>
    </w:p>
    <w:p w14:paraId="48435ACD">
      <w:pPr>
        <w:snapToGrid w:val="0"/>
        <w:spacing w:line="540" w:lineRule="exact"/>
        <w:jc w:val="center"/>
        <w:rPr>
          <w:rFonts w:asciiTheme="minorEastAsia" w:hAnsiTheme="minorEastAsia" w:eastAsiaTheme="minorEastAsia" w:cstheme="minorEastAsia"/>
          <w:color w:val="000000" w:themeColor="text1"/>
          <w:szCs w:val="21"/>
          <w14:textFill>
            <w14:solidFill>
              <w14:schemeClr w14:val="tx1"/>
            </w14:solidFill>
          </w14:textFill>
        </w:rPr>
      </w:pPr>
    </w:p>
    <w:p w14:paraId="440B2D2D">
      <w:pPr>
        <w:snapToGrid w:val="0"/>
        <w:spacing w:line="540" w:lineRule="exact"/>
        <w:jc w:val="center"/>
        <w:rPr>
          <w:rFonts w:asciiTheme="minorEastAsia" w:hAnsiTheme="minorEastAsia" w:eastAsiaTheme="minorEastAsia" w:cstheme="minorEastAsia"/>
          <w:color w:val="000000" w:themeColor="text1"/>
          <w:szCs w:val="21"/>
          <w14:textFill>
            <w14:solidFill>
              <w14:schemeClr w14:val="tx1"/>
            </w14:solidFill>
          </w14:textFill>
        </w:rPr>
      </w:pPr>
    </w:p>
    <w:p w14:paraId="7AD576EC">
      <w:pPr>
        <w:snapToGrid w:val="0"/>
        <w:spacing w:line="540" w:lineRule="exact"/>
        <w:jc w:val="center"/>
        <w:rPr>
          <w:rFonts w:asciiTheme="minorEastAsia" w:hAnsiTheme="minorEastAsia" w:eastAsiaTheme="minorEastAsia" w:cstheme="minorEastAsia"/>
          <w:color w:val="000000" w:themeColor="text1"/>
          <w:szCs w:val="21"/>
          <w14:textFill>
            <w14:solidFill>
              <w14:schemeClr w14:val="tx1"/>
            </w14:solidFill>
          </w14:textFill>
        </w:rPr>
      </w:pPr>
    </w:p>
    <w:p w14:paraId="60742FBE">
      <w:pPr>
        <w:snapToGrid w:val="0"/>
        <w:spacing w:line="540" w:lineRule="exact"/>
        <w:jc w:val="center"/>
        <w:rPr>
          <w:rFonts w:asciiTheme="minorEastAsia" w:hAnsiTheme="minorEastAsia" w:eastAsiaTheme="minorEastAsia" w:cstheme="minorEastAsia"/>
          <w:color w:val="000000" w:themeColor="text1"/>
          <w:szCs w:val="21"/>
          <w14:textFill>
            <w14:solidFill>
              <w14:schemeClr w14:val="tx1"/>
            </w14:solidFill>
          </w14:textFill>
        </w:rPr>
      </w:pPr>
    </w:p>
    <w:p w14:paraId="61D5AB02">
      <w:pPr>
        <w:snapToGrid w:val="0"/>
        <w:spacing w:line="540" w:lineRule="exact"/>
        <w:jc w:val="center"/>
        <w:rPr>
          <w:rFonts w:asciiTheme="minorEastAsia" w:hAnsiTheme="minorEastAsia" w:eastAsiaTheme="minorEastAsia" w:cstheme="minorEastAsia"/>
          <w:color w:val="000000" w:themeColor="text1"/>
          <w:szCs w:val="21"/>
          <w14:textFill>
            <w14:solidFill>
              <w14:schemeClr w14:val="tx1"/>
            </w14:solidFill>
          </w14:textFill>
        </w:rPr>
      </w:pPr>
    </w:p>
    <w:p w14:paraId="309382E1">
      <w:pPr>
        <w:snapToGrid w:val="0"/>
        <w:spacing w:line="540" w:lineRule="exact"/>
        <w:jc w:val="center"/>
        <w:rPr>
          <w:rFonts w:asciiTheme="minorEastAsia" w:hAnsiTheme="minorEastAsia" w:eastAsiaTheme="minorEastAsia" w:cstheme="minorEastAsia"/>
          <w:color w:val="000000" w:themeColor="text1"/>
          <w:szCs w:val="21"/>
          <w14:textFill>
            <w14:solidFill>
              <w14:schemeClr w14:val="tx1"/>
            </w14:solidFill>
          </w14:textFill>
        </w:rPr>
      </w:pPr>
    </w:p>
    <w:p w14:paraId="2F2CA848">
      <w:pPr>
        <w:snapToGrid w:val="0"/>
        <w:spacing w:line="540" w:lineRule="exact"/>
        <w:jc w:val="center"/>
        <w:rPr>
          <w:rFonts w:asciiTheme="minorEastAsia" w:hAnsiTheme="minorEastAsia" w:eastAsiaTheme="minorEastAsia" w:cstheme="minorEastAsia"/>
          <w:color w:val="000000" w:themeColor="text1"/>
          <w:szCs w:val="21"/>
          <w14:textFill>
            <w14:solidFill>
              <w14:schemeClr w14:val="tx1"/>
            </w14:solidFill>
          </w14:textFill>
        </w:rPr>
      </w:pPr>
    </w:p>
    <w:p w14:paraId="1180BE8B">
      <w:pPr>
        <w:snapToGrid w:val="0"/>
        <w:spacing w:line="540" w:lineRule="exact"/>
        <w:jc w:val="center"/>
        <w:rPr>
          <w:rFonts w:asciiTheme="minorEastAsia" w:hAnsiTheme="minorEastAsia" w:eastAsiaTheme="minorEastAsia" w:cstheme="minorEastAsia"/>
          <w:color w:val="000000" w:themeColor="text1"/>
          <w:szCs w:val="21"/>
          <w14:textFill>
            <w14:solidFill>
              <w14:schemeClr w14:val="tx1"/>
            </w14:solidFill>
          </w14:textFill>
        </w:rPr>
      </w:pPr>
    </w:p>
    <w:p w14:paraId="61209231">
      <w:pPr>
        <w:snapToGrid w:val="0"/>
        <w:spacing w:line="540" w:lineRule="exact"/>
        <w:jc w:val="center"/>
        <w:rPr>
          <w:rFonts w:asciiTheme="minorEastAsia" w:hAnsiTheme="minorEastAsia" w:eastAsiaTheme="minorEastAsia" w:cstheme="minorEastAsia"/>
          <w:color w:val="000000" w:themeColor="text1"/>
          <w:szCs w:val="21"/>
          <w14:textFill>
            <w14:solidFill>
              <w14:schemeClr w14:val="tx1"/>
            </w14:solidFill>
          </w14:textFill>
        </w:rPr>
      </w:pPr>
    </w:p>
    <w:p w14:paraId="2742DA06">
      <w:pPr>
        <w:snapToGrid w:val="0"/>
        <w:spacing w:line="540" w:lineRule="exact"/>
        <w:jc w:val="center"/>
        <w:rPr>
          <w:rFonts w:asciiTheme="minorEastAsia" w:hAnsiTheme="minorEastAsia" w:eastAsiaTheme="minorEastAsia" w:cstheme="minorEastAsia"/>
          <w:color w:val="000000" w:themeColor="text1"/>
          <w:szCs w:val="21"/>
          <w14:textFill>
            <w14:solidFill>
              <w14:schemeClr w14:val="tx1"/>
            </w14:solidFill>
          </w14:textFill>
        </w:rPr>
      </w:pPr>
    </w:p>
    <w:p w14:paraId="1EA393EB">
      <w:pPr>
        <w:ind w:firstLine="723" w:firstLineChars="200"/>
        <w:jc w:val="center"/>
        <w:rPr>
          <w:rFonts w:ascii="楷体" w:hAnsi="楷体" w:eastAsia="楷体" w:cs="楷体"/>
          <w:b/>
          <w:bCs/>
          <w:color w:val="000000" w:themeColor="text1"/>
          <w:sz w:val="36"/>
          <w:szCs w:val="36"/>
          <w14:textFill>
            <w14:solidFill>
              <w14:schemeClr w14:val="tx1"/>
            </w14:solidFill>
          </w14:textFill>
        </w:rPr>
      </w:pPr>
      <w:bookmarkStart w:id="11" w:name="_Toc9838479"/>
    </w:p>
    <w:p w14:paraId="2B432BAA">
      <w:pPr>
        <w:jc w:val="center"/>
        <w:rPr>
          <w:rFonts w:ascii="楷体" w:hAnsi="楷体" w:eastAsia="楷体" w:cs="楷体"/>
          <w:b/>
          <w:bCs/>
          <w:color w:val="000000" w:themeColor="text1"/>
          <w:kern w:val="0"/>
          <w:sz w:val="36"/>
          <w:szCs w:val="36"/>
          <w14:textFill>
            <w14:solidFill>
              <w14:schemeClr w14:val="tx1"/>
            </w14:solidFill>
          </w14:textFill>
        </w:rPr>
      </w:pPr>
      <w:r>
        <w:rPr>
          <w:rFonts w:hint="eastAsia" w:ascii="楷体" w:hAnsi="楷体" w:eastAsia="楷体" w:cs="楷体"/>
          <w:b/>
          <w:bCs/>
          <w:color w:val="000000" w:themeColor="text1"/>
          <w:sz w:val="36"/>
          <w:szCs w:val="36"/>
          <w:lang w:eastAsia="zh-CN"/>
          <w14:textFill>
            <w14:solidFill>
              <w14:schemeClr w14:val="tx1"/>
            </w14:solidFill>
          </w14:textFill>
        </w:rPr>
        <w:t>广西壮族自治区第十六届运动会和广西壮族自治区第十一届残疾人运动会暨第六届特殊奥林匹克运动会开闭幕式及火炬传递仪式服务</w:t>
      </w:r>
      <w:r>
        <w:rPr>
          <w:rFonts w:hint="eastAsia" w:ascii="楷体" w:hAnsi="楷体" w:eastAsia="楷体" w:cs="楷体"/>
          <w:b/>
          <w:bCs/>
          <w:color w:val="000000" w:themeColor="text1"/>
          <w:sz w:val="36"/>
          <w:szCs w:val="36"/>
          <w14:textFill>
            <w14:solidFill>
              <w14:schemeClr w14:val="tx1"/>
            </w14:solidFill>
          </w14:textFill>
        </w:rPr>
        <w:t>采购需求</w:t>
      </w:r>
    </w:p>
    <w:p w14:paraId="337B1150">
      <w:pPr>
        <w:spacing w:line="400" w:lineRule="exact"/>
        <w:ind w:firstLine="422" w:firstLineChars="200"/>
        <w:jc w:val="left"/>
        <w:rPr>
          <w:rFonts w:asciiTheme="minorEastAsia" w:hAnsiTheme="minorEastAsia" w:eastAsiaTheme="minorEastAsia" w:cstheme="minorEastAsia"/>
          <w:b/>
          <w:color w:val="000000" w:themeColor="text1"/>
          <w:szCs w:val="21"/>
          <w14:textFill>
            <w14:solidFill>
              <w14:schemeClr w14:val="tx1"/>
            </w14:solidFill>
          </w14:textFill>
        </w:rPr>
      </w:pPr>
    </w:p>
    <w:p w14:paraId="508CDBFE">
      <w:pPr>
        <w:pStyle w:val="511"/>
        <w:keepLines w:val="0"/>
        <w:pageBreakBefore w:val="0"/>
        <w:widowControl w:val="0"/>
        <w:numPr>
          <w:ilvl w:val="0"/>
          <w:numId w:val="0"/>
        </w:numPr>
        <w:kinsoku/>
        <w:wordWrap/>
        <w:overflowPunct/>
        <w:topLinePunct w:val="0"/>
        <w:autoSpaceDE/>
        <w:autoSpaceDN/>
        <w:bidi w:val="0"/>
        <w:adjustRightInd w:val="0"/>
        <w:snapToGrid w:val="0"/>
        <w:spacing w:line="540" w:lineRule="atLeast"/>
        <w:ind w:leftChars="200"/>
        <w:textAlignment w:val="auto"/>
        <w:rPr>
          <w:rFonts w:hint="default" w:asciiTheme="minorEastAsia" w:hAnsiTheme="minorEastAsia" w:eastAsiaTheme="minorEastAsia" w:cstheme="minorEastAsia"/>
          <w:b/>
          <w:bCs/>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一、服务内容及时间地点：</w:t>
      </w:r>
    </w:p>
    <w:p w14:paraId="02F54C24">
      <w:pPr>
        <w:pStyle w:val="514"/>
        <w:keepLines w:val="0"/>
        <w:pageBreakBefore w:val="0"/>
        <w:widowControl w:val="0"/>
        <w:kinsoku/>
        <w:wordWrap/>
        <w:overflowPunct/>
        <w:topLinePunct w:val="0"/>
        <w:autoSpaceDE/>
        <w:autoSpaceDN/>
        <w:bidi w:val="0"/>
        <w:adjustRightInd w:val="0"/>
        <w:snapToGrid w:val="0"/>
        <w:spacing w:line="540" w:lineRule="atLeast"/>
        <w:ind w:firstLine="420" w:firstLineChars="200"/>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服务内容：</w:t>
      </w:r>
      <w:r>
        <w:rPr>
          <w:rFonts w:hint="default" w:ascii="宋体" w:hAnsi="宋体" w:eastAsia="宋体" w:cs="宋体"/>
          <w:color w:val="000000" w:themeColor="text1"/>
          <w:kern w:val="2"/>
          <w:sz w:val="21"/>
          <w:szCs w:val="21"/>
          <w:lang w:val="en-US" w:eastAsia="zh-CN" w:bidi="ar-SA"/>
          <w14:textFill>
            <w14:solidFill>
              <w14:schemeClr w14:val="tx1"/>
            </w14:solidFill>
          </w14:textFill>
        </w:rPr>
        <w:t>本项目采用公开招标（服务类）方式，确定一个中标单位负责</w:t>
      </w:r>
      <w:r>
        <w:rPr>
          <w:rFonts w:hint="eastAsia" w:ascii="宋体" w:hAnsi="宋体" w:cs="宋体"/>
          <w:color w:val="000000" w:themeColor="text1"/>
          <w:kern w:val="2"/>
          <w:sz w:val="21"/>
          <w:szCs w:val="21"/>
          <w:lang w:val="en-US" w:eastAsia="zh-CN" w:bidi="ar-SA"/>
          <w14:textFill>
            <w14:solidFill>
              <w14:schemeClr w14:val="tx1"/>
            </w14:solidFill>
          </w14:textFill>
        </w:rPr>
        <w:t>广西壮族自治区第十六届运动会和广西壮族自治区第十一届残疾人运动会暨第六届特殊奥林匹克运动会开闭幕式及火炬传递仪式服务</w:t>
      </w:r>
      <w:r>
        <w:rPr>
          <w:rFonts w:hint="default" w:ascii="宋体" w:hAnsi="宋体" w:eastAsia="宋体" w:cs="宋体"/>
          <w:color w:val="000000" w:themeColor="text1"/>
          <w:kern w:val="2"/>
          <w:sz w:val="21"/>
          <w:szCs w:val="21"/>
          <w:lang w:val="en-US" w:eastAsia="zh-CN" w:bidi="ar-SA"/>
          <w14:textFill>
            <w14:solidFill>
              <w14:schemeClr w14:val="tx1"/>
            </w14:solidFill>
          </w14:textFill>
        </w:rPr>
        <w:t>的策划、组织与实施。包括但不限于：开闭幕式文体</w:t>
      </w:r>
      <w:r>
        <w:rPr>
          <w:rFonts w:hint="eastAsia" w:ascii="宋体" w:hAnsi="宋体" w:cs="宋体"/>
          <w:color w:val="000000" w:themeColor="text1"/>
          <w:kern w:val="2"/>
          <w:sz w:val="21"/>
          <w:szCs w:val="21"/>
          <w:lang w:val="en-US" w:eastAsia="zh-CN" w:bidi="ar-SA"/>
          <w14:textFill>
            <w14:solidFill>
              <w14:schemeClr w14:val="tx1"/>
            </w14:solidFill>
          </w14:textFill>
        </w:rPr>
        <w:t>演出</w:t>
      </w:r>
      <w:r>
        <w:rPr>
          <w:rFonts w:hint="default" w:ascii="宋体" w:hAnsi="宋体" w:eastAsia="宋体" w:cs="宋体"/>
          <w:color w:val="000000" w:themeColor="text1"/>
          <w:kern w:val="2"/>
          <w:sz w:val="21"/>
          <w:szCs w:val="21"/>
          <w:lang w:val="en-US" w:eastAsia="zh-CN" w:bidi="ar-SA"/>
          <w14:textFill>
            <w14:solidFill>
              <w14:schemeClr w14:val="tx1"/>
            </w14:solidFill>
          </w14:textFill>
        </w:rPr>
        <w:t>、音乐创作、火炬传递仪式、服装道具制作租赁、全程全景实录、舞美音响灯光舞台搭建、媒体直播录制配合、文稿撰写与培训等。</w:t>
      </w:r>
    </w:p>
    <w:p w14:paraId="0E405F32">
      <w:pPr>
        <w:keepNext w:val="0"/>
        <w:keepLines w:val="0"/>
        <w:pageBreakBefore w:val="0"/>
        <w:widowControl w:val="0"/>
        <w:kinsoku/>
        <w:wordWrap/>
        <w:overflowPunct/>
        <w:topLinePunct w:val="0"/>
        <w:autoSpaceDE/>
        <w:autoSpaceDN/>
        <w:bidi w:val="0"/>
        <w:adjustRightInd w:val="0"/>
        <w:snapToGrid w:val="0"/>
        <w:spacing w:line="540" w:lineRule="exact"/>
        <w:ind w:firstLine="420" w:firstLineChars="200"/>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服务地点：</w:t>
      </w:r>
      <w:r>
        <w:rPr>
          <w:rFonts w:hint="eastAsia" w:ascii="宋体" w:hAnsi="宋体" w:eastAsia="宋体" w:cs="宋体"/>
          <w:color w:val="000000" w:themeColor="text1"/>
          <w:kern w:val="2"/>
          <w:sz w:val="21"/>
          <w:szCs w:val="21"/>
          <w:lang w:val="en-US" w:eastAsia="zh-CN" w:bidi="ar-SA"/>
          <w14:textFill>
            <w14:solidFill>
              <w14:schemeClr w14:val="tx1"/>
            </w14:solidFill>
          </w14:textFill>
        </w:rPr>
        <w:t>广西壮族自治区第十六届运动会</w:t>
      </w:r>
      <w:r>
        <w:rPr>
          <w:rFonts w:hint="eastAsia" w:ascii="宋体" w:hAnsi="宋体" w:cs="宋体"/>
          <w:color w:val="000000" w:themeColor="text1"/>
          <w:kern w:val="2"/>
          <w:sz w:val="21"/>
          <w:szCs w:val="21"/>
          <w:lang w:val="en-US" w:eastAsia="zh-CN" w:bidi="ar-SA"/>
          <w14:textFill>
            <w14:solidFill>
              <w14:schemeClr w14:val="tx1"/>
            </w14:solidFill>
          </w14:textFill>
        </w:rPr>
        <w:t>和</w:t>
      </w:r>
      <w:r>
        <w:rPr>
          <w:rFonts w:hint="default" w:ascii="宋体" w:hAnsi="宋体" w:eastAsia="宋体" w:cs="宋体"/>
          <w:color w:val="000000" w:themeColor="text1"/>
          <w:kern w:val="2"/>
          <w:sz w:val="21"/>
          <w:szCs w:val="21"/>
          <w:lang w:val="en-US" w:eastAsia="zh-CN" w:bidi="ar-SA"/>
          <w14:textFill>
            <w14:solidFill>
              <w14:schemeClr w14:val="tx1"/>
            </w14:solidFill>
          </w14:textFill>
        </w:rPr>
        <w:t>广西壮族自治区第十一届残疾人运动会暨第六届特殊奥林匹克运动会</w:t>
      </w:r>
      <w:r>
        <w:rPr>
          <w:rFonts w:hint="eastAsia" w:ascii="宋体" w:hAnsi="宋体" w:eastAsia="宋体" w:cs="宋体"/>
          <w:color w:val="000000" w:themeColor="text1"/>
          <w:kern w:val="2"/>
          <w:sz w:val="21"/>
          <w:szCs w:val="21"/>
          <w:lang w:val="en-US" w:eastAsia="zh-CN" w:bidi="ar-SA"/>
          <w14:textFill>
            <w14:solidFill>
              <w14:schemeClr w14:val="tx1"/>
            </w14:solidFill>
          </w14:textFill>
        </w:rPr>
        <w:t>火炬传递仪式的线路在北海市（含一县三区）范围内（最终以经主办单位批准的线路为准），广西壮族自治区第十六届运动会开幕式的地点为中国东盟（北海）体育实训基地，广西壮族自治区第十六届运动会闭幕式、广西壮族自治区第十一届残疾人运动会暨第六届特殊奥林匹克运动会开闭幕式的地点为北海市体育馆。</w:t>
      </w:r>
    </w:p>
    <w:p w14:paraId="1E00C899">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服务时间：2026年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14:textFill>
            <w14:solidFill>
              <w14:schemeClr w14:val="tx1"/>
            </w14:solidFill>
          </w14:textFill>
        </w:rPr>
        <w:t>月至2026年12月</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（具体以采购人书面通知为准，中标人收到通知后 24 小时内书面确认，逾期未确认视为认可）</w:t>
      </w:r>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11F8B88D">
      <w:pPr>
        <w:numPr>
          <w:ilvl w:val="0"/>
          <w:numId w:val="4"/>
        </w:numPr>
        <w:spacing w:line="540" w:lineRule="exact"/>
        <w:ind w:firstLine="422" w:firstLineChars="200"/>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开闭幕式具体要求：</w:t>
      </w:r>
    </w:p>
    <w:p w14:paraId="43113680">
      <w:pPr>
        <w:numPr>
          <w:ilvl w:val="0"/>
          <w:numId w:val="0"/>
        </w:numPr>
        <w:spacing w:line="540" w:lineRule="exact"/>
        <w:ind w:firstLine="210" w:firstLineChars="100"/>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一</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广西壮族自治区第十六届运动会</w:t>
      </w:r>
      <w:r>
        <w:rPr>
          <w:rFonts w:hint="default" w:ascii="宋体" w:hAnsi="宋体" w:eastAsia="宋体" w:cs="宋体"/>
          <w:color w:val="000000" w:themeColor="text1"/>
          <w:sz w:val="21"/>
          <w:szCs w:val="21"/>
          <w:lang w:val="en-US"/>
          <w14:textFill>
            <w14:solidFill>
              <w14:schemeClr w14:val="tx1"/>
            </w14:solidFill>
          </w14:textFill>
        </w:rPr>
        <w:t>、广西壮族自治区第十一届残疾人运动会暨第六届特殊奥林匹克运动会火炬传递</w:t>
      </w:r>
      <w:r>
        <w:rPr>
          <w:rFonts w:hint="eastAsia" w:ascii="宋体" w:hAnsi="宋体" w:cs="宋体"/>
          <w:color w:val="000000" w:themeColor="text1"/>
          <w:sz w:val="21"/>
          <w:szCs w:val="21"/>
          <w:lang w:val="en-US" w:eastAsia="zh-CN"/>
          <w14:textFill>
            <w14:solidFill>
              <w14:schemeClr w14:val="tx1"/>
            </w14:solidFill>
          </w14:textFill>
        </w:rPr>
        <w:t>仪式</w:t>
      </w:r>
      <w: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负责火炬传递活动的整体策划与实施。火炬传递需紧扣“潮涌新时代，向海</w:t>
      </w: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开新篇</w:t>
      </w:r>
      <w: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”的</w:t>
      </w: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广西壮族自治区第十六届运动会</w:t>
      </w:r>
      <w: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主题，同时体现第十一届残疾人运动会暨第六届特殊奥林匹克运动会火炬传递“平等、参与、共享</w:t>
      </w:r>
      <w: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、奋进</w:t>
      </w:r>
      <w:r>
        <w:rPr>
          <w:rFonts w:hint="default"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t>”的核心价值，体现全民健身、全民参与的办赛理念。火炬传递路线需深度融合广西、北海地域文化特色，展现向海图强战略、海上丝路底蕴、滨海旅游风光及城市发展新貌；传递过程需充分彰显拼搏奋进的体育精神，传递团结、友谊、希望的办赛愿景。</w:t>
      </w:r>
    </w:p>
    <w:p w14:paraId="05941490">
      <w:pPr>
        <w:pStyle w:val="512"/>
        <w:numPr>
          <w:ilvl w:val="0"/>
          <w:numId w:val="0"/>
        </w:numPr>
        <w:spacing w:line="540" w:lineRule="exact"/>
        <w:ind w:left="212" w:leftChars="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广西壮族自治区第十六届运动会开幕式</w:t>
      </w:r>
    </w:p>
    <w:p w14:paraId="7A592DC2">
      <w:pPr>
        <w:spacing w:line="540" w:lineRule="exact"/>
        <w:ind w:firstLine="420" w:firstLineChars="200"/>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1.开幕式包含入场式、升国旗会旗、领导致辞、代表宣誓、节目表演等各流程的策划和执行，要求无缝对接，衔接顺畅。时长控制在120分钟</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内</w:t>
      </w:r>
      <w:r>
        <w:rPr>
          <w:rFonts w:hint="eastAsia" w:asciiTheme="minorEastAsia" w:hAnsiTheme="minorEastAsia" w:eastAsiaTheme="minorEastAsia" w:cstheme="minorEastAsia"/>
          <w:color w:val="000000" w:themeColor="text1"/>
          <w:szCs w:val="21"/>
          <w14:textFill>
            <w14:solidFill>
              <w14:schemeClr w14:val="tx1"/>
            </w14:solidFill>
          </w14:textFill>
        </w:rPr>
        <w:t>，其中大型文艺表演时长40分钟。（最终以经主办单位批准的流程和时长为准，仪式主要包括领导入场，国旗、会旗、裁判员、运动员入场；升国旗、唱国歌，领导致辞，宣布开幕，升会旗、奏会歌，运动员、裁判员代表宣誓</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p>
    <w:p w14:paraId="58A2EA95">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2.开幕式文艺演出以“解放思想、创新求变，向海图强、开放发展”为主线，紧扣</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广西壮族</w:t>
      </w:r>
      <w:r>
        <w:rPr>
          <w:rFonts w:hint="eastAsia" w:asciiTheme="minorEastAsia" w:hAnsiTheme="minorEastAsia" w:eastAsiaTheme="minorEastAsia" w:cstheme="minorEastAsia"/>
          <w:color w:val="000000" w:themeColor="text1"/>
          <w:szCs w:val="21"/>
          <w14:textFill>
            <w14:solidFill>
              <w14:schemeClr w14:val="tx1"/>
            </w14:solidFill>
          </w14:textFill>
        </w:rPr>
        <w:t>自治区“十五五”发展方向与新时代区域战略定位，以“潮涌新时代，向海</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开新篇</w:t>
      </w:r>
      <w:r>
        <w:rPr>
          <w:rFonts w:hint="eastAsia" w:asciiTheme="minorEastAsia" w:hAnsiTheme="minorEastAsia" w:eastAsiaTheme="minorEastAsia" w:cstheme="minorEastAsia"/>
          <w:color w:val="000000" w:themeColor="text1"/>
          <w:szCs w:val="21"/>
          <w14:textFill>
            <w14:solidFill>
              <w14:schemeClr w14:val="tx1"/>
            </w14:solidFill>
          </w14:textFill>
        </w:rPr>
        <w:t>”为主题。全面展现广西锚定向海图强战略的磅礴力量；充分彰显体育在健康广西建设中的强劲引擎作用、经济发展中的新赛道价值、民族团结中的连心桥功能、对外交往中的金名片效应；展现广西开放包容的胸襟与务实担当的行动，持续深化面向东盟</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面向世界</w:t>
      </w:r>
      <w:r>
        <w:rPr>
          <w:rFonts w:hint="eastAsia" w:asciiTheme="minorEastAsia" w:hAnsiTheme="minorEastAsia" w:eastAsiaTheme="minorEastAsia" w:cstheme="minorEastAsia"/>
          <w:color w:val="000000" w:themeColor="text1"/>
          <w:szCs w:val="21"/>
          <w14:textFill>
            <w14:solidFill>
              <w14:schemeClr w14:val="tx1"/>
            </w14:solidFill>
          </w14:textFill>
        </w:rPr>
        <w:t>的体育</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等全方位</w:t>
      </w:r>
      <w:r>
        <w:rPr>
          <w:rFonts w:hint="eastAsia" w:asciiTheme="minorEastAsia" w:hAnsiTheme="minorEastAsia" w:eastAsiaTheme="minorEastAsia" w:cstheme="minorEastAsia"/>
          <w:color w:val="000000" w:themeColor="text1"/>
          <w:szCs w:val="21"/>
          <w14:textFill>
            <w14:solidFill>
              <w14:schemeClr w14:val="tx1"/>
            </w14:solidFill>
          </w14:textFill>
        </w:rPr>
        <w:t>交流合作；广西以各族群众凝心聚力、共赴发展的生动实践，深刻诠释铸牢中华民族共同体意识、扎实推进中华民族共同体建设的丰富内涵；始终坚持以向海图强、开放发展为引领，立足面向东盟的区位优势，牢牢锚定服务国家战略、建设壮美广西的总目标，在深化区域合作、扩大对外开放中展现新作为。北海紧扣广西向海图强、开放发展的整体部署，立足北部湾核心城市、滨海旅游名城的独特优势，以赛事赋能发展，加快建成全国向海经济标杆、文旅融合典范、绿色发展样板，为建设壮美广西注入强劲动力。</w:t>
      </w:r>
    </w:p>
    <w:p w14:paraId="7423E5B2">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3.开幕式演员阵容</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14:textFill>
            <w14:solidFill>
              <w14:schemeClr w14:val="tx1"/>
            </w14:solidFill>
          </w14:textFill>
        </w:rPr>
        <w:t>2000人，专业演员不低于</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00人，需</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要</w:t>
      </w:r>
      <w:r>
        <w:rPr>
          <w:rFonts w:hint="eastAsia" w:asciiTheme="minorEastAsia" w:hAnsiTheme="minorEastAsia" w:eastAsiaTheme="minorEastAsia" w:cstheme="minorEastAsia"/>
          <w:color w:val="000000" w:themeColor="text1"/>
          <w:szCs w:val="21"/>
          <w14:textFill>
            <w14:solidFill>
              <w14:schemeClr w14:val="tx1"/>
            </w14:solidFill>
          </w14:textFill>
        </w:rPr>
        <w:t>具备大型运动会开幕式或者大型文体演艺活动项目服务经验。负责专业演员的所需费用。</w:t>
      </w:r>
    </w:p>
    <w:p w14:paraId="470DCDDA">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4.开幕式文艺表演需综合运用高清投影、超清LED数字光影、裸眼3D等多种技术手段，融入艺术表现手法，打造视觉盛宴，营造独特审美体验，形成一台高水准</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高质量</w:t>
      </w:r>
      <w:r>
        <w:rPr>
          <w:rFonts w:hint="eastAsia" w:asciiTheme="minorEastAsia" w:hAnsiTheme="minorEastAsia" w:eastAsiaTheme="minorEastAsia" w:cstheme="minorEastAsia"/>
          <w:color w:val="000000" w:themeColor="text1"/>
          <w:szCs w:val="21"/>
          <w14:textFill>
            <w14:solidFill>
              <w14:schemeClr w14:val="tx1"/>
            </w14:solidFill>
          </w14:textFill>
        </w:rPr>
        <w:t>的全景化演出，使开幕式效果更富有时代感和独特地域特征</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和专业水平</w:t>
      </w:r>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256990B9">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5.服务执行人员需按项目体量配备齐全，</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团队</w:t>
      </w:r>
      <w:r>
        <w:rPr>
          <w:rFonts w:hint="eastAsia" w:asciiTheme="minorEastAsia" w:hAnsiTheme="minorEastAsia" w:eastAsiaTheme="minorEastAsia" w:cstheme="minorEastAsia"/>
          <w:color w:val="000000" w:themeColor="text1"/>
          <w:szCs w:val="21"/>
          <w14:textFill>
            <w14:solidFill>
              <w14:schemeClr w14:val="tx1"/>
            </w14:solidFill>
          </w14:textFill>
        </w:rPr>
        <w:t>专业人员</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需要具有</w:t>
      </w:r>
      <w:r>
        <w:rPr>
          <w:rFonts w:hint="eastAsia" w:asciiTheme="minorEastAsia" w:hAnsiTheme="minorEastAsia" w:eastAsiaTheme="minorEastAsia" w:cstheme="minorEastAsia"/>
          <w:color w:val="000000" w:themeColor="text1"/>
          <w:szCs w:val="21"/>
          <w14:textFill>
            <w14:solidFill>
              <w14:schemeClr w14:val="tx1"/>
            </w14:solidFill>
          </w14:textFill>
        </w:rPr>
        <w:t>大型运动会或大型文体演艺活动项目服务经验。</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▲投标人可使用其下属全资子公司的服务执行人员及专业人员参与本项目，需提供全资控股证明材料及人员所属关系证明材料，子公司人员的服务经验视为投标人的服务经验。</w:t>
      </w:r>
    </w:p>
    <w:p w14:paraId="167E835E">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广西壮族自治区第十六届运动会闭幕式</w:t>
      </w:r>
    </w:p>
    <w:p w14:paraId="2EB09830">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1.闭幕式含仪式和文体</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14:textFill>
            <w14:solidFill>
              <w14:schemeClr w14:val="tx1"/>
            </w14:solidFill>
          </w14:textFill>
        </w:rPr>
        <w:t>两部分。闭幕式总时长控制在60分钟内，其中仪式部分30至40分钟，文体</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14:textFill>
            <w14:solidFill>
              <w14:schemeClr w14:val="tx1"/>
            </w14:solidFill>
          </w14:textFill>
        </w:rPr>
        <w:t>部分20分钟。（最终以经主办单位批准的流程和时长为准，仪式主要包括贵宾入场、运动员代表入场、领导致辞、颁发奖项、交接会旗、宣布闭幕等。）</w:t>
      </w:r>
    </w:p>
    <w:p w14:paraId="05D5D5B9">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2.闭幕式聚焦“情”之温暖、“聚”之力量，整台演出需深度融合艺术表达与时代精神</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和体育精神</w:t>
      </w:r>
      <w:r>
        <w:rPr>
          <w:rFonts w:hint="eastAsia" w:asciiTheme="minorEastAsia" w:hAnsiTheme="minorEastAsia" w:eastAsiaTheme="minorEastAsia" w:cstheme="minorEastAsia"/>
          <w:color w:val="000000" w:themeColor="text1"/>
          <w:szCs w:val="21"/>
          <w14:textFill>
            <w14:solidFill>
              <w14:schemeClr w14:val="tx1"/>
            </w14:solidFill>
          </w14:textFill>
        </w:rPr>
        <w:t>，将民族团结的深厚情谊、海丝根脉的厚重底蕴、体育竞技的澎湃激情、城市活力的蓬勃跃动，悉数汇入向海图强的时代叙事浪潮之中。演出既承载赛事圆满落幕的喜悦与荣光，更寄寓同心筑梦、共赴未来的美好期许；以体育精神为纽带，完成赛事荣光的接力传承，展望下一承办地接续奋进、续写华章的崭新征程。</w:t>
      </w:r>
    </w:p>
    <w:p w14:paraId="61C70EC8">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3.闭幕式演员阵容</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500</w:t>
      </w:r>
      <w:r>
        <w:rPr>
          <w:rFonts w:hint="eastAsia" w:asciiTheme="minorEastAsia" w:hAnsiTheme="minorEastAsia" w:eastAsiaTheme="minorEastAsia" w:cstheme="minorEastAsia"/>
          <w:color w:val="000000" w:themeColor="text1"/>
          <w:szCs w:val="21"/>
          <w14:textFill>
            <w14:solidFill>
              <w14:schemeClr w14:val="tx1"/>
            </w14:solidFill>
          </w14:textFill>
        </w:rPr>
        <w:t>人，专业演员不低于</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14:textFill>
            <w14:solidFill>
              <w14:schemeClr w14:val="tx1"/>
            </w14:solidFill>
          </w14:textFill>
        </w:rPr>
        <w:t>0人，</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需要具有</w:t>
      </w:r>
      <w:r>
        <w:rPr>
          <w:rFonts w:hint="eastAsia" w:asciiTheme="minorEastAsia" w:hAnsiTheme="minorEastAsia" w:eastAsiaTheme="minorEastAsia" w:cstheme="minorEastAsia"/>
          <w:color w:val="000000" w:themeColor="text1"/>
          <w:szCs w:val="21"/>
          <w14:textFill>
            <w14:solidFill>
              <w14:schemeClr w14:val="tx1"/>
            </w14:solidFill>
          </w14:textFill>
        </w:rPr>
        <w:t>大型运动会开幕式或者大型文体演艺活动项目服务经验。负责专业演员的所需费用。</w:t>
      </w:r>
    </w:p>
    <w:p w14:paraId="1450A24F">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4.舞台舞美、设备需匹配闭幕式所需效果。切合演出主题与演出内容需求。</w:t>
      </w:r>
    </w:p>
    <w:p w14:paraId="37323A15">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5.服务执行人员需按项目体量配备齐全，</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团队</w:t>
      </w:r>
      <w:r>
        <w:rPr>
          <w:rFonts w:hint="eastAsia" w:asciiTheme="minorEastAsia" w:hAnsiTheme="minorEastAsia" w:eastAsiaTheme="minorEastAsia" w:cstheme="minorEastAsia"/>
          <w:color w:val="000000" w:themeColor="text1"/>
          <w:szCs w:val="21"/>
          <w14:textFill>
            <w14:solidFill>
              <w14:schemeClr w14:val="tx1"/>
            </w14:solidFill>
          </w14:textFill>
        </w:rPr>
        <w:t>组专业人员</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需要具有</w:t>
      </w:r>
      <w:r>
        <w:rPr>
          <w:rFonts w:hint="eastAsia" w:asciiTheme="minorEastAsia" w:hAnsiTheme="minorEastAsia" w:eastAsiaTheme="minorEastAsia" w:cstheme="minorEastAsia"/>
          <w:color w:val="000000" w:themeColor="text1"/>
          <w:szCs w:val="21"/>
          <w14:textFill>
            <w14:solidFill>
              <w14:schemeClr w14:val="tx1"/>
            </w14:solidFill>
          </w14:textFill>
        </w:rPr>
        <w:t>大型运动会或大型文体演艺活动项目服务经验。</w:t>
      </w:r>
    </w:p>
    <w:p w14:paraId="7BCBA1FD">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广西壮族自治区第十六届运动会点火仪式</w:t>
      </w:r>
    </w:p>
    <w:p w14:paraId="06BBC243">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场内火炬传递路线与点火仪式与策划，需紧扣本届运动会特色，深度融合广西、北海地域文化底蕴及开幕式文艺表演整体需求进行原创设计。整体方案力求</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蓬勃</w:t>
      </w:r>
      <w:r>
        <w:rPr>
          <w:rFonts w:hint="eastAsia" w:asciiTheme="minorEastAsia" w:hAnsiTheme="minorEastAsia" w:eastAsiaTheme="minorEastAsia" w:cstheme="minorEastAsia"/>
          <w:color w:val="000000" w:themeColor="text1"/>
          <w:szCs w:val="21"/>
          <w14:textFill>
            <w14:solidFill>
              <w14:schemeClr w14:val="tx1"/>
            </w14:solidFill>
          </w14:textFill>
        </w:rPr>
        <w:t>大气、</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新颖独特、</w:t>
      </w:r>
      <w:r>
        <w:rPr>
          <w:rFonts w:hint="eastAsia" w:asciiTheme="minorEastAsia" w:hAnsiTheme="minorEastAsia" w:eastAsiaTheme="minorEastAsia" w:cstheme="minorEastAsia"/>
          <w:color w:val="000000" w:themeColor="text1"/>
          <w:szCs w:val="21"/>
          <w14:textFill>
            <w14:solidFill>
              <w14:schemeClr w14:val="tx1"/>
            </w14:solidFill>
          </w14:textFill>
        </w:rPr>
        <w:t>兼具艺术质感，设计理念既要彰显广西独特地域风情，传递拼搏奋进、积极向上的体育精神，更要融入绿色环保理念，践行低碳节能、生态可持续的办赛宗旨，实现地域特色、体育精神与环保理念的有机统一。</w:t>
      </w:r>
    </w:p>
    <w:p w14:paraId="6442D6E6">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广西壮族自治区第十一届残疾人运动会暨第六届特殊奥林匹克运动会开幕式</w:t>
      </w:r>
    </w:p>
    <w:p w14:paraId="208516C8">
      <w:pPr>
        <w:spacing w:line="540" w:lineRule="exact"/>
        <w:ind w:firstLine="420" w:firstLineChars="200"/>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开幕式包含入场式、升国旗会旗、领导致辞、代表宣誓、节目表演等各流程的策划和执行，要求无缝对接，衔接顺畅。时长控制在90分钟，其中大型文艺表演时长30分钟。（最终以经主办单位批准的流程和时长为准，仪式主要包括领导入场，国旗、会旗、裁判员、运动员入场；升国旗、唱国歌，领导致辞，宣布开幕，升会旗、奏会歌，运动员、裁判员代表宣誓</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p>
    <w:p w14:paraId="6838BD7D">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2.开幕式文艺演出以“平等、参与、共享</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奋进</w:t>
      </w:r>
      <w:r>
        <w:rPr>
          <w:rFonts w:hint="eastAsia" w:asciiTheme="minorEastAsia" w:hAnsiTheme="minorEastAsia" w:eastAsiaTheme="minorEastAsia" w:cstheme="minorEastAsia"/>
          <w:color w:val="000000" w:themeColor="text1"/>
          <w:szCs w:val="21"/>
          <w14:textFill>
            <w14:solidFill>
              <w14:schemeClr w14:val="tx1"/>
            </w14:solidFill>
          </w14:textFill>
        </w:rPr>
        <w:t>”为核心价值，紧扣残疾人事业高质量发展主题，展现残疾人自强不息、勇敢追梦的精神风貌。通过艺术化的表达，生动呈现党委、政府对残疾人事业的亲切关怀，全社会扶残助残的良好风尚，以及残疾人在体育康复、社会融合、就业创业等方面的积极作为；展现北海市推进无障碍环境建设、打造友好包容城市的实践成果，营造理解、尊重、关心、帮助残疾人的浓厚社会氛围，凝聚奋进新时代、共筑中国梦的广泛共识。</w:t>
      </w:r>
    </w:p>
    <w:p w14:paraId="53E954C9">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3.开幕式演员阵容</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14:textFill>
            <w14:solidFill>
              <w14:schemeClr w14:val="tx1"/>
            </w14:solidFill>
          </w14:textFill>
        </w:rPr>
        <w:t>400人，专业演员不低于</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Cs w:val="21"/>
          <w14:textFill>
            <w14:solidFill>
              <w14:schemeClr w14:val="tx1"/>
            </w14:solidFill>
          </w14:textFill>
        </w:rPr>
        <w:t>人，需具备大型运动会开幕式或者大型文体演艺活动项目服务经验。负责专业演员的所需费用。</w:t>
      </w:r>
    </w:p>
    <w:p w14:paraId="53CEC15C">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开幕式文艺表演需综合运用高清投影、超清LED数字光影、裸眼3D等多种技术手段，融入艺术表现手法，打造视觉盛宴，营造独特审美体验，形成一台高水准的全景化演出，使开幕式效果更富有时代感和独特地域特征。</w:t>
      </w:r>
    </w:p>
    <w:p w14:paraId="4CB3BCA5">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5.服务执行人员需按项目体量配备齐全，</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团队</w:t>
      </w:r>
      <w:r>
        <w:rPr>
          <w:rFonts w:hint="eastAsia" w:asciiTheme="minorEastAsia" w:hAnsiTheme="minorEastAsia" w:eastAsiaTheme="minorEastAsia" w:cstheme="minorEastAsia"/>
          <w:color w:val="000000" w:themeColor="text1"/>
          <w:szCs w:val="21"/>
          <w14:textFill>
            <w14:solidFill>
              <w14:schemeClr w14:val="tx1"/>
            </w14:solidFill>
          </w14:textFill>
        </w:rPr>
        <w:t>专业人员需具大型运动会或大型文体演艺活动项目服务经验。▲投标人可使用其下属全资子公司的服务执行人员及专业人员参与本项目，需提供全资控股证明材料及人员所属关系证明材料，子公司人员的服务经验视为投标人的服务经验。</w:t>
      </w:r>
    </w:p>
    <w:p w14:paraId="2AF2FFEE">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广西壮族自治区第十一届残疾人运动会暨第六届特殊奥林匹克运动会闭幕式</w:t>
      </w:r>
    </w:p>
    <w:p w14:paraId="479E438A">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1.闭幕式含仪式和文体</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14:textFill>
            <w14:solidFill>
              <w14:schemeClr w14:val="tx1"/>
            </w14:solidFill>
          </w14:textFill>
        </w:rPr>
        <w:t>两部分。闭幕式总时长控制在60分钟内，其中仪式部分30至40分钟，文体</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14:textFill>
            <w14:solidFill>
              <w14:schemeClr w14:val="tx1"/>
            </w14:solidFill>
          </w14:textFill>
        </w:rPr>
        <w:t>部分20分钟。（最终以经主办单位批准的流程和时长为准，仪式主要包括贵宾入场、运动员代表入场、领导致辞、颁发奖项、交接会旗、宣布闭幕等。）</w:t>
      </w:r>
    </w:p>
    <w:p w14:paraId="69C81507">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闭幕式聚焦“爱”之温暖、“融”之力量，整台演出深度融合艺术表达与时代精神，将残疾人自强不息的生命礼赞、社会各界的无私大爱、残健融合的动人篇章、体育精神的澎湃激情，悉数汇入同心筑梦的时代叙事之中。通过温暖人心的艺术呈现，诠释“同一个梦想、同一份精彩”的深刻内涵，展望残健同心、携手共赴未来的崭新征程。</w:t>
      </w:r>
    </w:p>
    <w:p w14:paraId="618C1078">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3.闭幕式演员阵容</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300</w:t>
      </w:r>
      <w:r>
        <w:rPr>
          <w:rFonts w:hint="eastAsia" w:asciiTheme="minorEastAsia" w:hAnsiTheme="minorEastAsia" w:eastAsiaTheme="minorEastAsia" w:cstheme="minorEastAsia"/>
          <w:color w:val="000000" w:themeColor="text1"/>
          <w:szCs w:val="21"/>
          <w14:textFill>
            <w14:solidFill>
              <w14:schemeClr w14:val="tx1"/>
            </w14:solidFill>
          </w14:textFill>
        </w:rPr>
        <w:t>人，专业演员不低于</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Cs w:val="21"/>
          <w14:textFill>
            <w14:solidFill>
              <w14:schemeClr w14:val="tx1"/>
            </w14:solidFill>
          </w14:textFill>
        </w:rPr>
        <w:t>人，需具备大型运动会开幕式或者大型文体演艺活动项目服务经验。负责专业演员的所需费用。</w:t>
      </w:r>
    </w:p>
    <w:p w14:paraId="086730B8">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4.舞台舞美、设备需匹配闭幕式所需效果。切合演出主题与演出内容需求。</w:t>
      </w:r>
    </w:p>
    <w:p w14:paraId="4D53A389">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5.服务执行人员需按项目体量配备齐全，</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团队</w:t>
      </w:r>
      <w:r>
        <w:rPr>
          <w:rFonts w:hint="eastAsia" w:asciiTheme="minorEastAsia" w:hAnsiTheme="minorEastAsia" w:eastAsiaTheme="minorEastAsia" w:cstheme="minorEastAsia"/>
          <w:color w:val="000000" w:themeColor="text1"/>
          <w:szCs w:val="21"/>
          <w14:textFill>
            <w14:solidFill>
              <w14:schemeClr w14:val="tx1"/>
            </w14:solidFill>
          </w14:textFill>
        </w:rPr>
        <w:t>专业人员需具备大型运动会或大型文体演艺活动项目服务经验。▲投标人可使用其下属全资子公司的服务执行人员及专业人员参与本项目，需提供全资控股证明材料及人员所属关系证明材料，子公司人员的服务经验视为投标人的服务经验。</w:t>
      </w:r>
    </w:p>
    <w:p w14:paraId="2A40AA38">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广西壮族自治区第十一届残疾人运动会暨第六届特殊奥林匹克运动会点火仪式</w:t>
      </w:r>
    </w:p>
    <w:p w14:paraId="04B74D33">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场内火炬传递路线与点火仪式策划，需紧扣本届残运会暨</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特殊奥林匹克运动会</w:t>
      </w:r>
      <w:r>
        <w:rPr>
          <w:rFonts w:hint="eastAsia" w:asciiTheme="minorEastAsia" w:hAnsiTheme="minorEastAsia" w:eastAsiaTheme="minorEastAsia" w:cstheme="minorEastAsia"/>
          <w:color w:val="000000" w:themeColor="text1"/>
          <w:szCs w:val="21"/>
          <w14:textFill>
            <w14:solidFill>
              <w14:schemeClr w14:val="tx1"/>
            </w14:solidFill>
          </w14:textFill>
        </w:rPr>
        <w:t>“平等、参与、共享</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奋进</w:t>
      </w:r>
      <w:r>
        <w:rPr>
          <w:rFonts w:hint="eastAsia" w:asciiTheme="minorEastAsia" w:hAnsiTheme="minorEastAsia" w:eastAsiaTheme="minorEastAsia" w:cstheme="minorEastAsia"/>
          <w:color w:val="000000" w:themeColor="text1"/>
          <w:szCs w:val="21"/>
          <w14:textFill>
            <w14:solidFill>
              <w14:schemeClr w14:val="tx1"/>
            </w14:solidFill>
          </w14:textFill>
        </w:rPr>
        <w:t>”的核心价值，深度融合广西、北海地域文化底蕴及残</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特殊奥林匹克运动会</w:t>
      </w:r>
      <w:r>
        <w:rPr>
          <w:rFonts w:hint="eastAsia" w:asciiTheme="minorEastAsia" w:hAnsiTheme="minorEastAsia" w:eastAsiaTheme="minorEastAsia" w:cstheme="minorEastAsia"/>
          <w:color w:val="000000" w:themeColor="text1"/>
          <w:szCs w:val="21"/>
          <w14:textFill>
            <w14:solidFill>
              <w14:schemeClr w14:val="tx1"/>
            </w14:solidFill>
          </w14:textFill>
        </w:rPr>
        <w:t>开幕式文艺表演整体需求进行原创设计。点火仪式需充分彰显残疾人自强不息、勇敢追梦的精神风貌，体现“勇气、决心、激励、平等”的残奥价值观，通过富有感染力的艺术化呈现，传递生命的尊严与力量。整体方案力求简洁大气、兼具艺术质感，火炬传递路线需充分考虑残疾人参与便利性，体现无障碍环境建设理念，实现地域特色、体育精神与人文关怀的有机统一。</w:t>
      </w:r>
    </w:p>
    <w:p w14:paraId="5BA2B95C">
      <w:pPr>
        <w:pStyle w:val="511"/>
        <w:spacing w:line="540" w:lineRule="exact"/>
        <w:ind w:firstLine="42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技术要求</w:t>
      </w:r>
    </w:p>
    <w:p w14:paraId="19DA8E27">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1"/>
          <w:szCs w:val="21"/>
          <w14:textFill>
            <w14:solidFill>
              <w14:schemeClr w14:val="tx1"/>
            </w14:solidFill>
          </w14:textFill>
        </w:rPr>
        <w:t>总要求</w:t>
      </w:r>
    </w:p>
    <w:p w14:paraId="3F0EA5C9">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1.投标人须组建项目团队，并做好各任务版块的分工，做好人员及设备的统筹协调。</w:t>
      </w:r>
    </w:p>
    <w:p w14:paraId="186350A6">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主创团队必须配备项目负责人、总导演、执行导演、总撰稿、总统筹、音乐设计制作、舞蹈编导、舞美设计、服装、化妆、道具、灯光音响等专业人员负责开闭幕式、火炬传递仪式等的策划与执行</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▲投标人可使用其下属全资子公司的上述主创团队专业人员，需提供全资控股证明材料及人员所属关系证明材料，子公司人员的资质、工作经验视为投标人的资质、工作经验。</w:t>
      </w:r>
    </w:p>
    <w:p w14:paraId="4FC3B692">
      <w:pPr>
        <w:spacing w:line="540" w:lineRule="exact"/>
        <w:ind w:firstLine="420" w:firstLineChars="200"/>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活动所有施工搭建均需具备相应资质的施工单位进行实施，投标人须进场施工前需向采购人提供施工单位有效的施工资质材料。投标人须负责包括但不限于施工、排练、彩排、演出等各环节期间的所有安全生产工作。▲投标人下属全资子公司具备相应施工资质的，可由其子公司承担本项目施工搭建工作，投标人需提供全资控股证明材料及子公司资质材料，子公司的施工资质视为投标人的施工资质</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p>
    <w:p w14:paraId="08D38326">
      <w:pPr>
        <w:pStyle w:val="512"/>
        <w:numPr>
          <w:ilvl w:val="0"/>
          <w:numId w:val="0"/>
        </w:numPr>
        <w:spacing w:line="540" w:lineRule="exact"/>
        <w:ind w:firstLine="211" w:firstLineChars="1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广西壮族自治区第十六届运动会</w:t>
      </w:r>
      <w:r>
        <w:rPr>
          <w:rFonts w:hint="default" w:ascii="宋体" w:hAnsi="宋体" w:eastAsia="宋体" w:cs="宋体"/>
          <w:color w:val="000000" w:themeColor="text1"/>
          <w:sz w:val="21"/>
          <w:szCs w:val="21"/>
          <w:lang w:val="en-US"/>
          <w14:textFill>
            <w14:solidFill>
              <w14:schemeClr w14:val="tx1"/>
            </w14:solidFill>
          </w14:textFill>
        </w:rPr>
        <w:t>、广西壮族自治区第十一届残疾人运动会暨第六届特殊奥林匹克运动会火炬传递</w:t>
      </w:r>
      <w:r>
        <w:rPr>
          <w:rFonts w:hint="default" w:ascii="宋体" w:hAnsi="宋体" w:eastAsia="宋体" w:cs="宋体"/>
          <w:color w:val="000000" w:themeColor="text1"/>
          <w:sz w:val="21"/>
          <w:szCs w:val="21"/>
          <w:lang w:val="en-US" w:eastAsia="zh-CN"/>
          <w14:textFill>
            <w14:solidFill>
              <w14:schemeClr w14:val="tx1"/>
            </w14:solidFill>
          </w14:textFill>
        </w:rPr>
        <w:t>技术要求</w:t>
      </w:r>
    </w:p>
    <w:p w14:paraId="4FD395E7">
      <w:pPr>
        <w:spacing w:line="540" w:lineRule="exact"/>
        <w:ind w:firstLine="420" w:firstLineChars="200"/>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1.负责火炬传递全程的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策划、实施</w:t>
      </w:r>
      <w:r>
        <w:rPr>
          <w:rFonts w:hint="default" w:ascii="宋体" w:hAnsi="宋体" w:cs="宋体"/>
          <w:color w:val="000000" w:themeColor="text1"/>
          <w:kern w:val="2"/>
          <w:sz w:val="21"/>
          <w:szCs w:val="21"/>
          <w:highlight w:val="none"/>
          <w:lang w:val="en-US" w:eastAsia="zh-CN" w:bidi="ar-SA"/>
          <w14:textFill>
            <w14:solidFill>
              <w14:schemeClr w14:val="tx1"/>
            </w14:solidFill>
          </w14:textFill>
        </w:rPr>
        <w:t>工作，制定火炬传递总体方案、路线细化方案、起跑仪式方案、收火仪式方案。</w:t>
      </w:r>
    </w:p>
    <w:p w14:paraId="31AFA496">
      <w:pPr>
        <w:spacing w:line="540" w:lineRule="exact"/>
        <w:ind w:firstLine="420" w:firstLineChars="200"/>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2.负责本届运动会及</w:t>
      </w:r>
      <w:r>
        <w:rPr>
          <w:rFonts w:hint="default" w:ascii="宋体" w:hAnsi="宋体" w:eastAsia="宋体" w:cs="宋体"/>
          <w:color w:val="000000" w:themeColor="text1"/>
          <w:sz w:val="21"/>
          <w:szCs w:val="21"/>
          <w:lang w:val="en-US"/>
          <w14:textFill>
            <w14:solidFill>
              <w14:schemeClr w14:val="tx1"/>
            </w14:solidFill>
          </w14:textFill>
        </w:rPr>
        <w:t>第十一届残疾人运动会暨第六届特殊奥林匹克运动会</w:t>
      </w:r>
      <w:r>
        <w:rPr>
          <w:rFonts w:hint="default" w:ascii="宋体" w:hAnsi="宋体" w:cs="宋体"/>
          <w:color w:val="000000" w:themeColor="text1"/>
          <w:kern w:val="2"/>
          <w:sz w:val="21"/>
          <w:szCs w:val="21"/>
          <w:highlight w:val="none"/>
          <w:lang w:val="en-US" w:eastAsia="zh-CN" w:bidi="ar-SA"/>
          <w14:textFill>
            <w14:solidFill>
              <w14:schemeClr w14:val="tx1"/>
            </w14:solidFill>
          </w14:textFill>
        </w:rPr>
        <w:t>火炬、火种灯、圣火盆、火炬手护具（手套、服装等）的原创设计、定制制作。火炬制作材料需符合环保、安全、耐用要求，火焰效果醒目稳定，具备防风、防雨功能。</w:t>
      </w:r>
    </w:p>
    <w:p w14:paraId="39371C04">
      <w:pPr>
        <w:spacing w:line="540" w:lineRule="exact"/>
        <w:ind w:firstLine="420" w:firstLineChars="200"/>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3.负责规划火炬传递路线与规模，需兼顾城市主干道、标志性景观、历史文化街区、滨海景观带及全民健身场所，体现广泛参与性。</w:t>
      </w:r>
    </w:p>
    <w:p w14:paraId="5A04392F">
      <w:pPr>
        <w:spacing w:line="540" w:lineRule="exact"/>
        <w:ind w:firstLine="420" w:firstLineChars="200"/>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4.负责完成火炬手、护跑手、志愿者的遴选、培训，火炬手应涵盖优秀运动员代表、残疾人运动员代表、社会各界先进模范人物等，充分体现全民参与的理念。火炬手培训需包含火炬交接规范、手持姿势、行进节奏、应急处理等内容，确保传递过程规范流畅。</w:t>
      </w:r>
    </w:p>
    <w:p w14:paraId="2B4F0FC6">
      <w:pPr>
        <w:spacing w:line="540" w:lineRule="exact"/>
        <w:ind w:firstLine="420" w:firstLineChars="200"/>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5.负责火炬传递起跑仪式及收火仪式的舞美设计、舞台搭建、音响设备、流程把控、节目组织等，体现地域特色与体育精神。负责火炬传递全程的影像记录，用于开幕式现场播放及宣传存档。</w:t>
      </w:r>
    </w:p>
    <w:p w14:paraId="684C8191">
      <w:pPr>
        <w:spacing w:line="540" w:lineRule="exact"/>
        <w:ind w:firstLine="420" w:firstLineChars="200"/>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6.负责配合采购人及媒体单位完成火炬传递活动的宣传报道及直播录制工作，包括信号对接、现场流程配合、采访组织等，确保火炬传递活动传播效果最大化。</w:t>
      </w:r>
    </w:p>
    <w:p w14:paraId="205961B9">
      <w:pPr>
        <w:spacing w:line="540" w:lineRule="exact"/>
        <w:ind w:firstLine="420" w:firstLineChars="200"/>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kern w:val="2"/>
          <w:sz w:val="21"/>
          <w:szCs w:val="21"/>
          <w:highlight w:val="none"/>
          <w:lang w:val="en-US" w:eastAsia="zh-CN" w:bidi="ar-SA"/>
          <w14:textFill>
            <w14:solidFill>
              <w14:schemeClr w14:val="tx1"/>
            </w14:solidFill>
          </w14:textFill>
        </w:rPr>
        <w:t>7.负责在火炬传递活动结束后</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48</w:t>
      </w:r>
      <w:r>
        <w:rPr>
          <w:rFonts w:hint="default" w:ascii="宋体" w:hAnsi="宋体" w:cs="宋体"/>
          <w:color w:val="000000" w:themeColor="text1"/>
          <w:kern w:val="2"/>
          <w:sz w:val="21"/>
          <w:szCs w:val="21"/>
          <w:highlight w:val="none"/>
          <w:lang w:val="en-US" w:eastAsia="zh-CN" w:bidi="ar-SA"/>
          <w14:textFill>
            <w14:solidFill>
              <w14:schemeClr w14:val="tx1"/>
            </w14:solidFill>
          </w14:textFill>
        </w:rPr>
        <w:t>小时内，火炬传递起跑仪式及收火仪式现场所有设施设备完成安全拆卸、分类清运及场地清场工作，恢复场地原貌。</w:t>
      </w:r>
    </w:p>
    <w:p w14:paraId="2CF9A7D1">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广西壮族自治区第十六届运动会开幕式技术要求</w:t>
      </w:r>
    </w:p>
    <w:p w14:paraId="0FC6CFB9">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1.负责开幕式文艺演出的整体策划，涵盖包括但不限于舞蹈等艺术形式的创作、制作及演出，严格满足时长要求；统筹暖场环节组织；制定并</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14:textFill>
            <w14:solidFill>
              <w14:schemeClr w14:val="tx1"/>
            </w14:solidFill>
          </w14:textFill>
        </w:rPr>
        <w:t>暖场及开幕式分场排练、合练、集中排练、彩排及带机预演计划，集中排练、彩排至正式演出不低于4次</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含暖场表演</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，全程把控演出质量与流程衔接。</w:t>
      </w:r>
    </w:p>
    <w:p w14:paraId="5BF6B612">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2.负责开幕仪式及文艺表演的专业演员、群众演员、表演团体，以及引导员、礼仪人员、现场志愿者的遴选、分层培训、多轮排练、合练、彩排及预演，直至正式演出圆满完成；总演员人数原则上</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14:textFill>
            <w14:solidFill>
              <w14:schemeClr w14:val="tx1"/>
            </w14:solidFill>
          </w14:textFill>
        </w:rPr>
        <w:t>2000人，文艺演出专业演员数量不低于</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00人，并承担专业演员的吃住行、劳务等</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所有</w:t>
      </w:r>
      <w:r>
        <w:rPr>
          <w:rFonts w:hint="eastAsia" w:asciiTheme="minorEastAsia" w:hAnsiTheme="minorEastAsia" w:eastAsiaTheme="minorEastAsia" w:cstheme="minorEastAsia"/>
          <w:color w:val="000000" w:themeColor="text1"/>
          <w:szCs w:val="21"/>
          <w14:textFill>
            <w14:solidFill>
              <w14:schemeClr w14:val="tx1"/>
            </w14:solidFill>
          </w14:textFill>
        </w:rPr>
        <w:t>费用。▲投标人下属全资子公司签约的专业演员可纳入本项目专业演员阵容，需提供全资控股证明材料及演员签约关系证明材料，子公司签约演员的演出经验视为投标人的演员演出经验。</w:t>
      </w:r>
    </w:p>
    <w:p w14:paraId="136AE23A">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3.负责暖场及开幕式舞美的整体设计、定制制作与标准化舞台搭建，全程配合排练、彩排及正式演出的舞美调整需求，确保舞美呈现贴合演出主题与艺术表达。</w:t>
      </w:r>
    </w:p>
    <w:p w14:paraId="15A189E4">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4.负责开幕仪式及文艺表演所需道具的创意设计、修改优化、定制制作与采购统筹，保障道具质量、数量与演出适配。</w:t>
      </w:r>
    </w:p>
    <w:p w14:paraId="522A7BCE">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5.负责服装及造型的主题化设计、修改调整、定制制作与采购，确保</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服装、化妆</w:t>
      </w:r>
      <w:r>
        <w:rPr>
          <w:rFonts w:hint="eastAsia" w:asciiTheme="minorEastAsia" w:hAnsiTheme="minorEastAsia" w:eastAsiaTheme="minorEastAsia" w:cstheme="minorEastAsia"/>
          <w:color w:val="000000" w:themeColor="text1"/>
          <w:szCs w:val="21"/>
          <w14:textFill>
            <w14:solidFill>
              <w14:schemeClr w14:val="tx1"/>
            </w14:solidFill>
          </w14:textFill>
        </w:rPr>
        <w:t>风格契合演出定位，全程服务至正式演出。</w:t>
      </w:r>
    </w:p>
    <w:p w14:paraId="0F42B934">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6.负责开幕式音乐的创作、编配与成品制作；统筹视频内容的创意设计、素材创作、修改完善及最终合成，全程跟进排练与演出，确保音视频与现场呈现无缝衔接。</w:t>
      </w:r>
    </w:p>
    <w:p w14:paraId="3B9E4A08">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7.负责暖场及开幕式灯光、音响、视频设备的全套提供、专业安装与精准调试，全程保障排练、彩排及正式演出期间设备稳定运行，及时处理突发技术问题。</w:t>
      </w:r>
    </w:p>
    <w:p w14:paraId="37B37F99">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8.负责暖场及开幕式画外音（不含致辞、讲话、宣誓等个人讲稿）的主题化撰写，同时开展现场播报人员的专业培训，确保播报语气、节奏与演出氛围高度契合。</w:t>
      </w:r>
    </w:p>
    <w:p w14:paraId="30A23C01">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9.负责开幕式项目团队的日常管理、工作协调与后勤保障。</w:t>
      </w:r>
    </w:p>
    <w:p w14:paraId="3AEBA3C3">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10.负责全程配合开幕式电视直播及网络直播的相关执行工作，包括音视频信号对接、现场流程配合等，确保直播顺利推进。</w:t>
      </w:r>
    </w:p>
    <w:p w14:paraId="2F2F21BC">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11.负责演出结束后</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48</w:t>
      </w:r>
      <w:r>
        <w:rPr>
          <w:rFonts w:hint="eastAsia" w:asciiTheme="minorEastAsia" w:hAnsiTheme="minorEastAsia" w:eastAsiaTheme="minorEastAsia" w:cstheme="minorEastAsia"/>
          <w:color w:val="000000" w:themeColor="text1"/>
          <w:szCs w:val="21"/>
          <w14:textFill>
            <w14:solidFill>
              <w14:schemeClr w14:val="tx1"/>
            </w14:solidFill>
          </w14:textFill>
        </w:rPr>
        <w:t>小时内，完成场内所有设施的安全拆卸、分类清运及场地清场工作，恢复场地原貌</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不能影响体育赛事的正常进行。</w:t>
      </w:r>
    </w:p>
    <w:p w14:paraId="597B0E03">
      <w:pPr>
        <w:pStyle w:val="512"/>
        <w:numPr>
          <w:ilvl w:val="0"/>
          <w:numId w:val="0"/>
        </w:numPr>
        <w:spacing w:line="540" w:lineRule="exact"/>
        <w:ind w:left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（四）广西壮族自治区第十六届运动会点火仪式</w:t>
      </w:r>
      <w:r>
        <w:rPr>
          <w:rFonts w:hint="default" w:ascii="宋体" w:hAnsi="宋体" w:eastAsia="宋体" w:cs="宋体"/>
          <w:color w:val="000000" w:themeColor="text1"/>
          <w:sz w:val="21"/>
          <w:szCs w:val="21"/>
          <w:highlight w:val="none"/>
          <w:lang w:val="en-US" w:eastAsia="zh-CN"/>
          <w14:textFill>
            <w14:solidFill>
              <w14:schemeClr w14:val="tx1"/>
            </w14:solidFill>
          </w14:textFill>
        </w:rPr>
        <w:t>技术要求</w:t>
      </w:r>
    </w:p>
    <w:p w14:paraId="09E1EA0D">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场内火炬传递路线设计：场内火炬传递路线须与开幕式文艺表演整体流程无缝衔接，合理规划传递路径与点位，确保与舞台调度、灯光、视频等环节协调统一。路线设计应充分考虑火炬手构成（含优秀运动员、先进模范等）及传递节奏，体现全民参与与体育精神。</w:t>
      </w:r>
    </w:p>
    <w:p w14:paraId="5F227BDB">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点火方式与装置设计：点火方式应体现原创性与艺术表现力，鼓励结合现代科技手段（如机械装置、数字光影、虚拟现实等）与传统文化元素进行创新设计。点火装置须具备高度的安全性与稳定性，符合国家相关安全标准，并充分考虑防风、防雨、防火等现场环境因素。</w:t>
      </w:r>
    </w:p>
    <w:p w14:paraId="7A2957B0">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绿色环保与可持续理念：点火仪式设计须践行绿色环保理念，优先采用清洁能源、低排放、可循环利用的材料与技术，避免使用对环境造成影响的烟火类特效。整体方案应体现低碳节能、生态可持续的办赛宗旨。</w:t>
      </w:r>
    </w:p>
    <w:p w14:paraId="63B38B23">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安全与应急保障：中标人须制定点火仪式专项安全与应急保障方案，涵盖设备安装、调试、彩排及正式演出全过程。方案须明确安全责任人员、应急疏散流程、消防措施、设备故障应对机制等，并报采购人及相关安全监管部门审核备案。</w:t>
      </w:r>
    </w:p>
    <w:p w14:paraId="6CEF8B4C">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设备与技术支持：点火仪式所需设备（包括但不限于点火装置、传输系统、控制台、备用电源、通讯系统等）须由中标人提供，并确保在排练、彩排及正式演出期间稳定运行。关键设备应设置冗余备份，确保仪式万无一失。</w:t>
      </w:r>
    </w:p>
    <w:p w14:paraId="66EEAE5B">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与开幕式整体流程的衔接：点火仪式须与开幕式文艺表演、仪式环节（如升会旗、致辞、宣誓等）在节奏、情绪、视效等方面高度协同，形成完整叙事闭环。中标人应配合总导演团队进行全流程合成彩排，确保点火环节与整体演出无缝对接。</w:t>
      </w:r>
    </w:p>
    <w:p w14:paraId="6EB40545">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影像记录与直播配合：点火仪式须配合电视及网络直播需求，提前与转播团队对接机位设置、灯光配合、信号传输等技术细节。中标人应确保点火装置及现场效果在镜头前呈现最佳视觉表现，并配合完成相关直播彩排与执行。</w:t>
      </w:r>
    </w:p>
    <w:p w14:paraId="735032C0">
      <w:pPr>
        <w:spacing w:line="540" w:lineRule="exact"/>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人员配置与专业能力：中标人须组建点火仪式专项执行团队，包括创意设计、技术保障、现场执行、安全监督等岗位，核心人员须具备大型运动会或大型文体活动点火仪式的实际操作经验。▲投标人可使用其下属全资子公司的上述专项执行团队核心人员，需提供全资控股证明材料及人员所属关系证明材料，子公司人员的操作经验视为投标人的操作经验。</w:t>
      </w:r>
    </w:p>
    <w:p w14:paraId="6E21D711">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广西壮族自治区第十六届运动会闭幕式技术要求</w:t>
      </w:r>
    </w:p>
    <w:p w14:paraId="7F210D7D">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1.负责闭幕式仪式及文体演出节目的整体策划、节目遴选、编排</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14:textFill>
            <w14:solidFill>
              <w14:schemeClr w14:val="tx1"/>
            </w14:solidFill>
          </w14:textFill>
        </w:rPr>
        <w:t>，全程统筹仪式与演出的流程衔接、艺术呈现及执行</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14:textFill>
            <w14:solidFill>
              <w14:schemeClr w14:val="tx1"/>
            </w14:solidFill>
          </w14:textFill>
        </w:rPr>
        <w:t>，确保契合闭幕式主题与整体氛围。制定并</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14:textFill>
            <w14:solidFill>
              <w14:schemeClr w14:val="tx1"/>
            </w14:solidFill>
          </w14:textFill>
        </w:rPr>
        <w:t>闭幕式分场排练、合练、集中排练、彩排及带机预演计划，集中排练、彩排至正式演出不低于3次</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含暖场表演</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，全程把控演出质量与流程衔接。</w:t>
      </w:r>
    </w:p>
    <w:p w14:paraId="2F06A3B7">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2.负责闭幕式仪式及文体</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14:textFill>
            <w14:solidFill>
              <w14:schemeClr w14:val="tx1"/>
            </w14:solidFill>
          </w14:textFill>
        </w:rPr>
        <w:t>所有演员的统一遴选、系统培训、分段排练与整体合练，全程保障演员表演水准与演出适配度，直至正式演出圆满完成。总演员人数原则上</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14:textFill>
            <w14:solidFill>
              <w14:schemeClr w14:val="tx1"/>
            </w14:solidFill>
          </w14:textFill>
        </w:rPr>
        <w:t>00人，文艺演出专业演员数量不低于</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Cs w:val="21"/>
          <w14:textFill>
            <w14:solidFill>
              <w14:schemeClr w14:val="tx1"/>
            </w14:solidFill>
          </w14:textFill>
        </w:rPr>
        <w:t>人，并承担专业演员的吃住行、劳务等相关费用。▲投标人下属全资子公司签约的专业演员可纳入本项目专业演员阵容，需提供全资控股证明材料及演员签约关系证明材料，子公司签约演员的演出经验视为投标人的演员演出经验。</w:t>
      </w:r>
    </w:p>
    <w:p w14:paraId="02C8F561">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3.负责闭幕式舞美的创意设计、定制制作与专业舞台舞美搭建，配合排练、集中彩排及正式演出完成舞美调试与呈现优化，全程保障舞美效果贴合演出需求。</w:t>
      </w:r>
    </w:p>
    <w:p w14:paraId="1E6311D2">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4.负责闭幕式专属音乐的创作、编配、修改完善；负责演出视频的设计创作、素材修改、后期合成与调试，确保音视频内容与仪式、演出无缝衔接，直至正式演出结束。</w:t>
      </w:r>
    </w:p>
    <w:p w14:paraId="48CB0229">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5.负责闭幕式仪式及文体</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14:textFill>
            <w14:solidFill>
              <w14:schemeClr w14:val="tx1"/>
            </w14:solidFill>
          </w14:textFill>
        </w:rPr>
        <w:t>所需灯光、音响、视频等全套设备设施的提供、运输、现场布局、安装调试与全程现场技术保障，确保排练及正式演出期间设备稳定运行。</w:t>
      </w:r>
    </w:p>
    <w:p w14:paraId="6ECEAFFE">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6.负责闭幕式主持词的专业撰写，并完成主持人员的专项培训、节奏把控与现场播报指导，保障主持环节流畅规范、贴合仪式氛围。</w:t>
      </w:r>
    </w:p>
    <w:p w14:paraId="06F39357">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7.负责闭幕式运行团队的人员管理、工作协调及自身后勤保障工作；演出结束后按要求完成所有设备设施的安全拆卸、场地清理与复原工作，保障现场有序撤场。</w:t>
      </w:r>
    </w:p>
    <w:p w14:paraId="1BD44D1F">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广西壮族自治区第十一届残疾人运动会暨第六届特殊奥林匹克运动会开幕式技术要求</w:t>
      </w:r>
    </w:p>
    <w:p w14:paraId="418A8838">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1.负责开幕式文艺演出的整体策划，涵盖包括但不限于舞蹈等艺术形式的创作、制作及演出，严格满足时长要求；统筹暖场环节组织；制定并</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14:textFill>
            <w14:solidFill>
              <w14:schemeClr w14:val="tx1"/>
            </w14:solidFill>
          </w14:textFill>
        </w:rPr>
        <w:t>暖场及开幕式分场排练、合练、集中排练、彩排及带机预演计划，集中排练、彩排至正式演出不低于3次</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含暖场表演</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，全程把控演出质量与流程衔接。</w:t>
      </w:r>
    </w:p>
    <w:p w14:paraId="162DED3A">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2.负责开幕仪式及文艺表演的专业演员、群众演员、表演团体，以及引导员、礼仪人员、现场志愿者的遴选、分层培训、多轮排练、合练、彩排及预演，直至正式演出圆满完成；总演员人数原则上</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14:textFill>
            <w14:solidFill>
              <w14:schemeClr w14:val="tx1"/>
            </w14:solidFill>
          </w14:textFill>
        </w:rPr>
        <w:t>400人，文艺演出专业演员数量不低于</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Cs w:val="21"/>
          <w14:textFill>
            <w14:solidFill>
              <w14:schemeClr w14:val="tx1"/>
            </w14:solidFill>
          </w14:textFill>
        </w:rPr>
        <w:t>人，并承担专业演员的吃住行、劳务等相关费用。▲投标人下属全资子公司签约的专业演员可纳入本项目专业演员阵容，需提供全资控股证明材料及演员签约关系证明材料，子公司签约演员的演出经验视为投标人的演员演出经验。</w:t>
      </w:r>
    </w:p>
    <w:p w14:paraId="315A5305">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3.负责暖场及开幕式舞美的整体设计、定制制作与标准化舞台搭建，全程配合排练、彩排及正式演出的舞美调整需求，确保舞美呈现贴合演出主题与艺术表达。</w:t>
      </w:r>
    </w:p>
    <w:p w14:paraId="1BF3197F">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4.负责开幕仪式及文艺表演所需道具的创意设计、修改优化、定制制作与采购统筹，保障道具质量、数量与演出适配度。</w:t>
      </w:r>
    </w:p>
    <w:p w14:paraId="57FB7B29">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5.负责服装及造型的主题化设计、修改调整、定制制作与采购，确保服化风格契合演出定位，全程服务至正式演出。</w:t>
      </w:r>
    </w:p>
    <w:p w14:paraId="28F26881">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6.负责开幕式音乐的创作、编配与成品制作；统筹视频内容的创意设计、素材创作、修改完善及最终合成，全程跟进排练与演出，确保音视频与现场呈现无缝衔接。</w:t>
      </w:r>
    </w:p>
    <w:p w14:paraId="3CB3C3C4">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7.负责暖场及开幕式灯光、音响、视频设备的全套提供、专业安装与精准调试，全程保障排练、彩排及正式演出期间设备稳定运行，及时处理突发技术问题。</w:t>
      </w:r>
    </w:p>
    <w:p w14:paraId="00C6F7C9">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8.负责暖场及开幕式画外音（不含致辞、讲话、宣誓等个人讲稿）的主题化撰写，同时开展现场播报人员的专业培训，确保播报语气、节奏与演出氛围高度契合。</w:t>
      </w:r>
    </w:p>
    <w:p w14:paraId="4EC3C78A">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9.负责开幕式项目团队的日常管理、工作协调与自身后勤保障。</w:t>
      </w:r>
    </w:p>
    <w:p w14:paraId="28E7719C">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10.负责全程配合开幕式电视直播及网络直播的相关执行工作，包括音视频信号对接、现场流程配合等，确保直播顺利推进。</w:t>
      </w:r>
    </w:p>
    <w:p w14:paraId="7E5177BA">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11.负责演出结束后</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48</w:t>
      </w:r>
      <w:r>
        <w:rPr>
          <w:rFonts w:hint="eastAsia" w:asciiTheme="minorEastAsia" w:hAnsiTheme="minorEastAsia" w:eastAsiaTheme="minorEastAsia" w:cstheme="minorEastAsia"/>
          <w:color w:val="000000" w:themeColor="text1"/>
          <w:szCs w:val="21"/>
          <w14:textFill>
            <w14:solidFill>
              <w14:schemeClr w14:val="tx1"/>
            </w14:solidFill>
          </w14:textFill>
        </w:rPr>
        <w:t>小时内，完成场内所有设施的安全拆卸、分类清运及场地清场工作，恢复场地原貌。</w:t>
      </w:r>
    </w:p>
    <w:p w14:paraId="1FE554E8">
      <w:pPr>
        <w:pStyle w:val="512"/>
        <w:numPr>
          <w:ilvl w:val="0"/>
          <w:numId w:val="0"/>
        </w:numPr>
        <w:spacing w:line="540" w:lineRule="exact"/>
        <w:ind w:firstLine="211" w:firstLineChars="100"/>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广西壮族自治区第十一届残疾人运动会暨第六届特殊奥林匹克运动会点火仪式</w:t>
      </w:r>
      <w:r>
        <w:rPr>
          <w:rFonts w:hint="default" w:ascii="宋体" w:hAnsi="宋体" w:eastAsia="宋体" w:cs="宋体"/>
          <w:color w:val="000000" w:themeColor="text1"/>
          <w:sz w:val="21"/>
          <w:szCs w:val="21"/>
          <w:highlight w:val="none"/>
          <w:lang w:val="en-US"/>
          <w14:textFill>
            <w14:solidFill>
              <w14:schemeClr w14:val="tx1"/>
            </w14:solidFill>
          </w14:textFill>
        </w:rPr>
        <w:t>技术要求</w:t>
      </w:r>
    </w:p>
    <w:p w14:paraId="3A27D90C">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场内火炬传递路线设计：场内火炬传递路线须与开幕式文艺表演整体流程无缝衔接，合理规划传递路径与点位，确保与舞台调度、灯光、视频等环节协调统一。路线设计应充分考虑火炬手构成（含优秀残疾人运动员、残疾人代表、先进模范等）及传递节奏，体现全民参与与体育精神。</w:t>
      </w:r>
    </w:p>
    <w:p w14:paraId="04787514">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点火方式与装置设计：点火方式应体现原创性与艺术表现力，鼓励结合现代科技手段（如机械装置、数字光影、虚拟现实等）与传统文化元素进行创新设计。点火装置须具备高度的安全性与稳定性，符合国家相关安全标准，并充分考虑防风、防雨、防火等现场环境因素。</w:t>
      </w:r>
    </w:p>
    <w:p w14:paraId="78CC908C">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绿色环保与可持续理念：点火仪式设计须践行绿色环保理念，优先采用清洁能源、低排放、可循环利用的材料与技术，避免使用对环境造成影响的烟火类特效。整体方案应体现低碳节能、生态可持续的办赛宗旨。</w:t>
      </w:r>
    </w:p>
    <w:p w14:paraId="210CC408">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安全与应急保障：中标人须制定点火仪式专项安全与应急保障方案，涵盖设备安装、调试、彩排及正式演出全过程。方案须明确安全责任人员、应急疏散流程、消防措施、设备故障应对机制等，并报采购人及相关安全监管部门审核备案。</w:t>
      </w:r>
    </w:p>
    <w:p w14:paraId="6A728C97">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设备与技术支持：点火仪式所需设备（包括但不限于点火装置、传输系统、控制台、备用电源、通讯系统等）须由中标人提供，并确保在排练、彩排及正式演出期间稳定运行。关键设备应设置冗余备份，确保仪式万无一失。</w:t>
      </w:r>
    </w:p>
    <w:p w14:paraId="1059B6E9">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与开幕式整体流程的衔接：点火仪式须与开幕式文艺表演、仪式环节（如升会旗、致辞、宣誓等）在节奏、情绪、视效等方面高度协同，形成完整叙事闭环。中标人应配合总导演团队进行全流程合成彩排，确保点火环节与整体演出无缝对接。</w:t>
      </w:r>
    </w:p>
    <w:p w14:paraId="1F5DEE96">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影像记录与直播配合：点火仪式须配合电视及网络直播需求，提前与转播团队对接机位设置、灯光配合、信号传输等技术细节。中标人应确保点火装置及现场效果在镜头前呈现最佳视觉表现，并配合完成相关直播彩排与执行。</w:t>
      </w:r>
    </w:p>
    <w:p w14:paraId="6FA8A25B">
      <w:pPr>
        <w:spacing w:line="5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人员配置与专业能力：中标人须组建点火仪式专项执行团队，包括创意设计、技术保障、现场执行、安全监督等岗位，核心人员须具备大型运动会或大型文体活动点火仪式的实际操作经验。▲投标人可使用其下属全资子公司的上述专项执行团队核心人员，需提供全资控股证明材料及人员所属关系证明材料，子公司人员的操作经验视为投标人的操作经验。</w:t>
      </w:r>
    </w:p>
    <w:p w14:paraId="37799A7F">
      <w:pPr>
        <w:pStyle w:val="512"/>
        <w:numPr>
          <w:ilvl w:val="0"/>
          <w:numId w:val="0"/>
        </w:numPr>
        <w:spacing w:line="540" w:lineRule="exact"/>
        <w:ind w:left="212" w:leftChars="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广西壮族自治区第十一届残疾人运动会暨第六届特殊奥林匹克运动会闭幕式技术要求</w:t>
      </w:r>
    </w:p>
    <w:p w14:paraId="7976E960">
      <w:pPr>
        <w:spacing w:line="540" w:lineRule="exact"/>
        <w:ind w:firstLine="420" w:firstLineChars="20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1.负责闭幕式仪式及文体演出节目的整体策划、节目遴选、编排</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14:textFill>
            <w14:solidFill>
              <w14:schemeClr w14:val="tx1"/>
            </w14:solidFill>
          </w14:textFill>
        </w:rPr>
        <w:t>，全程统筹仪式与演出的流程衔接、艺术呈现及执行</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14:textFill>
            <w14:solidFill>
              <w14:schemeClr w14:val="tx1"/>
            </w14:solidFill>
          </w14:textFill>
        </w:rPr>
        <w:t>，确保契合闭幕式主题与整体氛围。制定并</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落实</w:t>
      </w:r>
      <w:r>
        <w:rPr>
          <w:rFonts w:hint="eastAsia" w:asciiTheme="minorEastAsia" w:hAnsiTheme="minorEastAsia" w:eastAsiaTheme="minorEastAsia" w:cstheme="minorEastAsia"/>
          <w:color w:val="000000" w:themeColor="text1"/>
          <w:szCs w:val="21"/>
          <w14:textFill>
            <w14:solidFill>
              <w14:schemeClr w14:val="tx1"/>
            </w14:solidFill>
          </w14:textFill>
        </w:rPr>
        <w:t>闭幕式分场排练、合练、集中排练、彩排及带机预演计划</w:t>
      </w: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集中排练、彩排至正式演出不低于2次</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含暖场表演</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，全程把控演出质量与流程衔接。</w:t>
      </w:r>
    </w:p>
    <w:p w14:paraId="3264FE36">
      <w:pPr>
        <w:spacing w:line="5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2.负责闭幕式仪式及文体</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14:textFill>
            <w14:solidFill>
              <w14:schemeClr w14:val="tx1"/>
            </w14:solidFill>
          </w14:textFill>
        </w:rPr>
        <w:t>所有演员的统一遴选、系统培训、分段排练与整体合练，全程保障演员表演水准与演出适配度，直至正式演出圆满完成。总演员人数原则上</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不超过</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300</w:t>
      </w:r>
      <w:r>
        <w:rPr>
          <w:rFonts w:hint="eastAsia" w:asciiTheme="minorEastAsia" w:hAnsiTheme="minorEastAsia" w:eastAsiaTheme="minorEastAsia" w:cstheme="minorEastAsia"/>
          <w:color w:val="000000" w:themeColor="text1"/>
          <w:szCs w:val="21"/>
          <w14:textFill>
            <w14:solidFill>
              <w14:schemeClr w14:val="tx1"/>
            </w14:solidFill>
          </w14:textFill>
        </w:rPr>
        <w:t>人，文艺演出专业演员数量不低于</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Cs w:val="21"/>
          <w14:textFill>
            <w14:solidFill>
              <w14:schemeClr w14:val="tx1"/>
            </w14:solidFill>
          </w14:textFill>
        </w:rPr>
        <w:t>人，并承担专业演员的吃住行、劳务等相关费用。</w:t>
      </w:r>
      <w:r>
        <w:rPr>
          <w:rFonts w:ascii="Segoe UI Emoji" w:hAnsi="Segoe UI Emoji" w:eastAsia="Segoe UI Emoji" w:cs="Segoe UI Emoji"/>
          <w:i w:val="0"/>
          <w:iCs w:val="0"/>
          <w:caps w:val="0"/>
          <w:color w:val="000000" w:themeColor="text1"/>
          <w:spacing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投标人下属全资子公司签约的专业演员可纳入本项目专业演员阵容，需提供全资控股证明材料及演员签约关系证明材料，子公司签约演员的演出经验视为投标人的演员演出经验。</w:t>
      </w:r>
    </w:p>
    <w:p w14:paraId="7E0CA3D8">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3.负责闭幕式舞美的创意设计、定制制作与专业舞台舞美搭建，配合排练、集中彩排及正式演出完成舞美调试与呈现优化，全程保障舞美效果贴合演出需求。</w:t>
      </w:r>
    </w:p>
    <w:p w14:paraId="7CD5D03D">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4.负责闭幕式专属音乐的创作、编配、修改完善；负责演出视频的设计创作、素材修改、后期合成与调试，确保音视频内容与仪式、演出无缝衔接，直至正式演出结束。</w:t>
      </w:r>
    </w:p>
    <w:p w14:paraId="7B91EB6E">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5.负责闭幕式仪式及文体</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演出</w:t>
      </w:r>
      <w:r>
        <w:rPr>
          <w:rFonts w:hint="eastAsia" w:asciiTheme="minorEastAsia" w:hAnsiTheme="minorEastAsia" w:eastAsiaTheme="minorEastAsia" w:cstheme="minorEastAsia"/>
          <w:color w:val="000000" w:themeColor="text1"/>
          <w:szCs w:val="21"/>
          <w14:textFill>
            <w14:solidFill>
              <w14:schemeClr w14:val="tx1"/>
            </w14:solidFill>
          </w14:textFill>
        </w:rPr>
        <w:t>所需灯光、音响、视频等全套设备设施的提供、运输、现场布局、安装调试与全程现场技术保障，确保排练及正式演出期间设备稳定运行。</w:t>
      </w:r>
    </w:p>
    <w:p w14:paraId="63786E64">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6.负责闭幕式主持词的专业撰写，并完成主持人员的专项培训、节奏把控与现场播报指导，保障主持环节流畅规范、贴合仪式氛围。</w:t>
      </w:r>
    </w:p>
    <w:p w14:paraId="50DF318F">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7.负责闭幕式运行团队的人员管理、工作协调及后勤保障工作；演出结束后按要求完成所有设备设施的安全拆卸、场地清理与复原工作，保障现场有序撤场。</w:t>
      </w:r>
    </w:p>
    <w:p w14:paraId="247522F8">
      <w:pPr>
        <w:spacing w:line="540" w:lineRule="exact"/>
        <w:ind w:firstLine="422" w:firstLineChars="200"/>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四、服务标准：</w:t>
      </w:r>
    </w:p>
    <w:p w14:paraId="34820DDA">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 本项目从策划到实施，必须遵守国家相关法律、法规及本地政策，符合民族、民俗、环保、安全、消防等相关部门的要求。</w:t>
      </w:r>
    </w:p>
    <w:p w14:paraId="39851B32">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 自广西壮族自治区第十六届运动会和第十一届残运会暨第六届特殊奥林匹克运动会火炬传递仪式、开闭幕式演出前，采购人对火炬传递仪式、开闭幕式环节提出修改要求（包括但不限于为了优化舞台效果而增加相应设备和服务），双方友好协商，并形成书面文件（会议纪要或确认书）。中标方需严格按照合同约定条款执行，不得以任何理由拖延或拒绝演出，必须保证开闭幕式按采购人最终审定批准的创意方案和执行方案实现招标文件的质量要求。</w:t>
      </w:r>
    </w:p>
    <w:p w14:paraId="5C1FDCE8">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3.合同签订生效后 30 日内，中标人须向采购人提交本项目全套细化实施方案（含火炬传递、开闭幕式各环节的策划方案、执行流程表、人员配置表、排练计划、应急预案等）；方案需调整的，中标人应提前 10 个工作日书面报备采购人并经书面同意后方可调整，调整后的方案需重新履行审核程序。</w:t>
      </w:r>
    </w:p>
    <w:p w14:paraId="3DBC0BA0">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4.人员保险购买：中标人需在项目启动前（最晚不迟于首次排练开始前），为专业演员、现场搭建人员、高空作业人员购买意外险，保额不低于20万元 / 人，投保期限覆盖从场地搭建至全部项目撤场完毕的全周期；保险单复印件需提交采购人备案，未按要求投保的视为违约。▲若上述人员为投标人下属全资子公司人员，由投标人统一购买保险或提供子公司已购买的符合要求的保险凭证，均视为投标人履行投保义务。</w:t>
      </w:r>
    </w:p>
    <w:p w14:paraId="329A3679">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5.安全与应急方案：安全与应急方案：合同签订生效后 15 日内，中标人须向采购人提交全套《开闭幕式安全实施方案》《火炬传递安全实施方案》《应急处置方案》，涵盖施工安全、消防安全、演出安全、人员安全、设备安全、交通疏导、医疗救护、极端天气应对、突发事件处置等方面。方案需明确安全责任分工、风险防控措施、应急响应流程、应急物资储备、应急队伍配置等内容，经采购人及相关安全监管部门审核通过后实施；中标人对项目施工、排练、彩排、演出、撤场等所有环节的安全生产负全部责任。▲若应急队伍包含投标人下属全资子公司人员，需在方案中注明并附全资控股证明材料及人员所属关系证明材料，子公司人员的安全责任由投标人统一承担。</w:t>
      </w:r>
    </w:p>
    <w:p w14:paraId="7B04441C">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6.项目人员管理：合同签订生效后 10 日内，中标人须向采购人提交《项目主创团队及全部工作人员名单》（含姓名、职务、职称、工作经验、社保证明、资质证书等），经采购人审核确认后方可上岗；未经采购人书面同意，不得擅自更换主创人员（项目负责人、总导演、执行导演、总撰稿、总统筹等）、核心技术人员及主要演职人员，确需更换的，新人员资质、工作经验不得低于原人员标准，且需提前 7 个工作日书面报备采购人，经审核同意后办理更换手续，更换过程不得影响项目进度及质量。▲1. 名单中的人员可为投标人下属全资子公司人员，需提供子公司为其缴纳的社保证明（2025年8月1日至首次投标文件提交截止时间期间任意连续六个月）、全资控股证明材料及人员所属关系证明材料，子公司人员的职称、工作经验、资质证书视为投标人人员的相关资质。2. 若更换的人员为投标人下属全资子公司人员，新人员资质、工作经验参照上述要求执行，且不得低于原人员标准。</w:t>
      </w:r>
    </w:p>
    <w:p w14:paraId="722F2531">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7.服务质量要求：中标人需建立完善的质量管理体系，对策划、创作、排练、制作、搭建、演出等各环节进行全程质量管控，确保各场次活动流程衔接顺畅、演出效果达标、设备运行稳定、服务响应及时；主动接受采购人及相关部门的监督检查，对提出的问题在规定时间内完成整改。▲若由投标人下属全资子公司承担部分环节的工作，投标人需将子公司纳入质量管理体系，对其工作质量进行统一管控，子公司的工作质量问题视为投标人的工作质量问题。</w:t>
      </w:r>
    </w:p>
    <w:p w14:paraId="0BE690FA">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8.知识产权与保密要求：中标人在履约过程中创作的所有作品、创意、设计成果的知识产权归采购人独家所有，中标人仅享有合理署名权；不得泄露项目相关的未公开信息（包括策划方案、技术参数、人员信息、活动流程等），保密期限为合同履行完毕后 3 年。▲投标人下属全资子公司参与项目创作、策划的，视为投标人履行本条款义务，子公司同样受知识产权与保密要求约束，由投标人承担连带责任。</w:t>
      </w:r>
    </w:p>
    <w:p w14:paraId="3BE97983">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9.分包管理要求：本项目严禁转包，允许将非主体、非关键性工作分包（如道具制作、设备租赁、后勤保障等），分包方需具备相应资质且不得再次分包；投标人拟分包的，需在投标文件中载明分包承担主体、分包内容及分包商资质，并在分包前提前 15 个工作日向采购人提交书面申请，经采购人书面同意后方可分包；中标人对分包商的工作成果承担连带责任，对分包环节的质量、安全、进度进行全程管控。▲投标人下属全资子公司承担本项目非主体、非关键性工作的，不视为分包，无需履行分包申请程序，投标人需提供全资控股证明材料，对子公司的工作成果承担全部责任。</w:t>
      </w:r>
    </w:p>
    <w:p w14:paraId="6AC0D602">
      <w:pPr>
        <w:spacing w:line="540" w:lineRule="exact"/>
        <w:ind w:firstLine="422"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五、知识产权归属和处理方式：</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中标人在本合同履约过程中，为采购人专门创作或根据采购人提供的有关资料产生的任何作品、创意、设计等（包括但不限于图案、图像、文案、音乐、视频、舞美设计、火炬仪式创意、服装道具设计等），以及为本项目新创作的原创作品的全部知识产权（含著作权、商标权、专利权等），自创作完成之日起归采购人独家所有；中标人仅享有合理署名权，未经采购人书面同意，不得自行使用、授权第三方使用、发表或转让上述成果；采购人可无偿使用、修改、复制上述成果，无需另行支付费用。若因中标人创作成果侵犯第三方知识产权引发纠纷，由中标人全权处理并承担全部责任（含赔偿、诉讼费、律师费等），同时赔偿采购人因此遭受的一切损失。▲若上述创作成果由投标人下属全资子公司完成，视为投标人的创作成果，相关知识产权归属及侵权责任均由投标人承担。</w:t>
      </w:r>
    </w:p>
    <w:p w14:paraId="0BFBD346">
      <w:pPr>
        <w:spacing w:line="540" w:lineRule="exact"/>
        <w:ind w:firstLine="422" w:firstLineChars="200"/>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六、履约验收：</w:t>
      </w:r>
    </w:p>
    <w:p w14:paraId="19EAAC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211" w:firstLineChars="100"/>
        <w:jc w:val="left"/>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（一）验收依据</w:t>
      </w:r>
    </w:p>
    <w:p w14:paraId="34AF90A0">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1.本招标文件（含补充文件、澄清说明）及中标人的投标文件、中标通知书；</w:t>
      </w:r>
    </w:p>
    <w:p w14:paraId="5F81842B">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2.双方签订的政府采购合同及补充协议、会议纪要、确认书等书面文件；</w:t>
      </w:r>
    </w:p>
    <w:p w14:paraId="2802C7B7">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3.采购人审定通过的《开闭幕式执行方案》《火炬传递执行方案》及相关技术文件；</w:t>
      </w:r>
    </w:p>
    <w:p w14:paraId="27072B88">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4.国家及行业相关标准、规范（包括但不限于《大型群众性活动安全管理条例》《演出场所安全技术要求》《舞台机械安全标准》等）；</w:t>
      </w:r>
    </w:p>
    <w:p w14:paraId="1A9EE10A">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5.中标人提交的全套验收材料（含书面报告、影像资料、经费使用明细、人员资质证明、保险单、设备检测报告等）。▲若验收材料中的人员资质、保险单等涉及投标人下属全资子公司，需附全资控股证明材料，相关材料视为投标人的验收材料。</w:t>
      </w:r>
    </w:p>
    <w:p w14:paraId="6FEE6D69">
      <w:pPr>
        <w:spacing w:line="540" w:lineRule="exact"/>
        <w:ind w:firstLine="422" w:firstLineChars="200"/>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（二）验收要点：</w:t>
      </w:r>
    </w:p>
    <w:p w14:paraId="736411BC">
      <w:pPr>
        <w:spacing w:line="540" w:lineRule="exact"/>
        <w:ind w:firstLine="422"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1.策划方案与执行一致性：</w:t>
      </w:r>
    </w:p>
    <w:p w14:paraId="754D5002">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default" w:ascii="Calibri" w:hAnsi="Calibri" w:cs="Calibri" w:eastAsiaTheme="minorEastAsia"/>
          <w:color w:val="000000" w:themeColor="text1"/>
          <w:szCs w:val="21"/>
          <w:lang w:val="en-US" w:eastAsia="zh-CN"/>
          <w14:textFill>
            <w14:solidFill>
              <w14:schemeClr w14:val="tx1"/>
            </w14:solidFill>
          </w14:textFill>
        </w:rPr>
        <w:t>①</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.火炬传递：传递路线、总里程、传递天数、火炬手遴选、仪式流程等是否与审定方案一致；</w:t>
      </w:r>
    </w:p>
    <w:p w14:paraId="43DB433D">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default" w:ascii="Calibri" w:hAnsi="Calibri" w:cs="Calibri" w:eastAsiaTheme="minorEastAsia"/>
          <w:color w:val="000000" w:themeColor="text1"/>
          <w:szCs w:val="21"/>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开闭幕式：各环节流程、演出时长、演员阵容（专业演员数量、总人数）、节目内容、舞美设计等是否符合约定要求；▲专业演员包含投标人下属全资子公司签约的专业演员，其数量计入投标人专业演员总数，子公司演员的演出执行情况视为投标人的执行情况。</w:t>
      </w:r>
    </w:p>
    <w:p w14:paraId="5EB6B201">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default" w:ascii="Calibri" w:hAnsi="Calibri" w:cs="Calibri" w:eastAsiaTheme="minorEastAsia"/>
          <w:color w:val="000000" w:themeColor="text1"/>
          <w:szCs w:val="21"/>
          <w:lang w:val="en-US" w:eastAsia="zh-CN"/>
          <w14:textFill>
            <w14:solidFill>
              <w14:schemeClr w14:val="tx1"/>
            </w14:solidFill>
          </w14:textFill>
        </w:rPr>
        <w:t>③</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创意成果：音乐、视频、文案、舞美设计、火炬及护具设计等是否达到审定标准，是否融入地域文化特色及赛事主题。▲创意成果由投标人下属全资子公司完成的，视为投标人的创意成果，按审定标准验收。</w:t>
      </w:r>
    </w:p>
    <w:p w14:paraId="5B09B340">
      <w:pPr>
        <w:spacing w:line="540" w:lineRule="exact"/>
        <w:ind w:firstLine="422" w:firstLineChars="200"/>
        <w:rPr>
          <w:rFonts w:hint="default" w:asciiTheme="minorEastAsia" w:hAnsiTheme="minorEastAsia" w:eastAsiaTheme="minorEastAsia" w:cstheme="minorEastAsia"/>
          <w:b/>
          <w:bCs/>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2.</w:t>
      </w:r>
      <w:r>
        <w:rPr>
          <w:rFonts w:hint="default" w:asciiTheme="minorEastAsia" w:hAnsiTheme="minorEastAsia" w:eastAsiaTheme="minorEastAsia" w:cstheme="minorEastAsia"/>
          <w:b/>
          <w:bCs/>
          <w:color w:val="000000" w:themeColor="text1"/>
          <w:szCs w:val="21"/>
          <w:lang w:val="en-US" w:eastAsia="zh-CN"/>
          <w14:textFill>
            <w14:solidFill>
              <w14:schemeClr w14:val="tx1"/>
            </w14:solidFill>
          </w14:textFill>
        </w:rPr>
        <w:t>服务质量与效果：</w:t>
      </w:r>
    </w:p>
    <w:p w14:paraId="4C33A571">
      <w:pPr>
        <w:spacing w:line="540" w:lineRule="exact"/>
        <w:ind w:firstLine="420" w:firstLineChars="200"/>
        <w:rPr>
          <w:rFonts w:hint="default" w:ascii="Calibri" w:hAnsi="Calibri" w:cs="Calibri" w:eastAsiaTheme="minorEastAsia"/>
          <w:color w:val="000000" w:themeColor="text1"/>
          <w:szCs w:val="21"/>
          <w:lang w:val="en-US" w:eastAsia="zh-CN"/>
          <w14:textFill>
            <w14:solidFill>
              <w14:schemeClr w14:val="tx1"/>
            </w14:solidFill>
          </w14:textFill>
        </w:rPr>
      </w:pPr>
      <w:r>
        <w:rPr>
          <w:rFonts w:hint="default" w:ascii="Calibri" w:hAnsi="Calibri" w:cs="Calibri" w:eastAsiaTheme="minorEastAsia"/>
          <w:color w:val="000000" w:themeColor="text1"/>
          <w:szCs w:val="21"/>
          <w:lang w:val="en-US" w:eastAsia="zh-CN"/>
          <w14:textFill>
            <w14:solidFill>
              <w14:schemeClr w14:val="tx1"/>
            </w14:solidFill>
          </w14:textFill>
        </w:rPr>
        <w:t>①演出效果：文艺表演的艺术水准、流程衔接、现场氛围营造是否达标；</w:t>
      </w:r>
    </w:p>
    <w:p w14:paraId="113352A0">
      <w:pPr>
        <w:spacing w:line="540" w:lineRule="exact"/>
        <w:ind w:firstLine="420" w:firstLineChars="200"/>
        <w:rPr>
          <w:rFonts w:hint="default" w:ascii="Calibri" w:hAnsi="Calibri" w:cs="Calibri" w:eastAsiaTheme="minorEastAsia"/>
          <w:color w:val="000000" w:themeColor="text1"/>
          <w:szCs w:val="21"/>
          <w:lang w:val="en-US" w:eastAsia="zh-CN"/>
          <w14:textFill>
            <w14:solidFill>
              <w14:schemeClr w14:val="tx1"/>
            </w14:solidFill>
          </w14:textFill>
        </w:rPr>
      </w:pPr>
      <w:r>
        <w:rPr>
          <w:rFonts w:hint="default" w:ascii="Calibri" w:hAnsi="Calibri" w:cs="Calibri" w:eastAsiaTheme="minorEastAsia"/>
          <w:color w:val="000000" w:themeColor="text1"/>
          <w:szCs w:val="21"/>
          <w:lang w:val="en-US" w:eastAsia="zh-CN"/>
          <w14:textFill>
            <w14:solidFill>
              <w14:schemeClr w14:val="tx1"/>
            </w14:solidFill>
          </w14:textFill>
        </w:rPr>
        <w:t>②设备运行：灯光、音响、视频、舞台机械、火炬、圣火盆等设备是否运行稳定，无故障、无安全隐患；▲设备由投标人下属全资子公司提供或安装的，视为投标人提供或安装，设备运行情况按要求验收。</w:t>
      </w:r>
    </w:p>
    <w:p w14:paraId="56562A41">
      <w:pPr>
        <w:spacing w:line="540" w:lineRule="exact"/>
        <w:ind w:firstLine="420" w:firstLineChars="200"/>
        <w:rPr>
          <w:rFonts w:hint="default" w:ascii="Calibri" w:hAnsi="Calibri" w:cs="Calibri" w:eastAsiaTheme="minorEastAsia"/>
          <w:color w:val="000000" w:themeColor="text1"/>
          <w:szCs w:val="21"/>
          <w:lang w:val="en-US" w:eastAsia="zh-CN"/>
          <w14:textFill>
            <w14:solidFill>
              <w14:schemeClr w14:val="tx1"/>
            </w14:solidFill>
          </w14:textFill>
        </w:rPr>
      </w:pPr>
      <w:r>
        <w:rPr>
          <w:rFonts w:hint="default" w:ascii="Calibri" w:hAnsi="Calibri" w:cs="Calibri" w:eastAsiaTheme="minorEastAsia"/>
          <w:color w:val="000000" w:themeColor="text1"/>
          <w:szCs w:val="21"/>
          <w:lang w:val="en-US" w:eastAsia="zh-CN"/>
          <w14:textFill>
            <w14:solidFill>
              <w14:schemeClr w14:val="tx1"/>
            </w14:solidFill>
          </w14:textFill>
        </w:rPr>
        <w:t>③安全保障：安全方案落实情况，是否发生安全事故、重大安全隐患或突发事件处置不当的情形；</w:t>
      </w:r>
    </w:p>
    <w:p w14:paraId="075B42A4">
      <w:pPr>
        <w:spacing w:line="540" w:lineRule="exact"/>
        <w:ind w:firstLine="420" w:firstLineChars="200"/>
        <w:rPr>
          <w:rFonts w:hint="default" w:ascii="Calibri" w:hAnsi="Calibri" w:cs="Calibri" w:eastAsiaTheme="minorEastAsia"/>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④</w:t>
      </w:r>
      <w:r>
        <w:rPr>
          <w:rFonts w:hint="default" w:ascii="Calibri" w:hAnsi="Calibri" w:cs="Calibri" w:eastAsiaTheme="minorEastAsia"/>
          <w:color w:val="000000" w:themeColor="text1"/>
          <w:szCs w:val="21"/>
          <w:lang w:val="en-US" w:eastAsia="zh-CN"/>
          <w14:textFill>
            <w14:solidFill>
              <w14:schemeClr w14:val="tx1"/>
            </w14:solidFill>
          </w14:textFill>
        </w:rPr>
        <w:t>人员表现：演职人员、工作人员、志愿者的专业素养、服务态度、执行能力是否符合要求。▲上述人员为投标人下属全资子公司人员的，其表现视为投标人人员的表现，按要求验收。</w:t>
      </w:r>
    </w:p>
    <w:p w14:paraId="7F9EB42B">
      <w:pPr>
        <w:spacing w:line="540" w:lineRule="exact"/>
        <w:ind w:firstLine="422" w:firstLineChars="200"/>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3.物资与成果交付：</w:t>
      </w:r>
    </w:p>
    <w:p w14:paraId="2B98FCA3">
      <w:pPr>
        <w:spacing w:line="540" w:lineRule="exact"/>
        <w:ind w:firstLine="420"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default" w:ascii="Calibri" w:hAnsi="Calibri" w:cs="Calibri" w:eastAsiaTheme="minorEastAsia"/>
          <w:color w:val="000000" w:themeColor="text1"/>
          <w:szCs w:val="21"/>
          <w:lang w:val="en-US" w:eastAsia="zh-CN"/>
          <w14:textFill>
            <w14:solidFill>
              <w14:schemeClr w14:val="tx1"/>
            </w14:solidFill>
          </w14:textFill>
        </w:rPr>
        <w:t>①</w:t>
      </w:r>
      <w:r>
        <w:rPr>
          <w:rFonts w:hint="eastAsia" w:ascii="Calibri" w:hAnsi="Calibri" w:cs="Calibri" w:eastAsiaTheme="minorEastAsia"/>
          <w:color w:val="000000" w:themeColor="text1"/>
          <w:szCs w:val="21"/>
          <w:lang w:val="en-US" w:eastAsia="zh-CN"/>
          <w14:textFill>
            <w14:solidFill>
              <w14:schemeClr w14:val="tx1"/>
            </w14:solidFill>
          </w14:textFill>
        </w:rPr>
        <w:t>实体物资：火炬、火种灯、圣火盆、护具、服装、道具等是否按约定制作、交付，数量齐全、质量合格；</w:t>
      </w:r>
      <w:r>
        <w:rPr>
          <w:rFonts w:hint="default" w:ascii="Calibri" w:hAnsi="Calibri" w:cs="Calibri" w:eastAsiaTheme="minorEastAsia"/>
          <w:color w:val="000000" w:themeColor="text1"/>
          <w:szCs w:val="21"/>
          <w:lang w:val="en-US" w:eastAsia="zh-CN"/>
          <w14:textFill>
            <w14:solidFill>
              <w14:schemeClr w14:val="tx1"/>
            </w14:solidFill>
          </w14:textFill>
        </w:rPr>
        <w:t>▲实体物资由投标人下属全资子公司制作或采购的，视为投标人制作或采购，按约定验收。</w:t>
      </w:r>
    </w:p>
    <w:p w14:paraId="6B2F81D5">
      <w:pPr>
        <w:spacing w:line="540" w:lineRule="exact"/>
        <w:ind w:firstLine="420"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default" w:ascii="Calibri" w:hAnsi="Calibri" w:cs="Calibri" w:eastAsiaTheme="minorEastAsia"/>
          <w:color w:val="000000" w:themeColor="text1"/>
          <w:szCs w:val="21"/>
          <w:lang w:val="en-US" w:eastAsia="zh-CN"/>
          <w14:textFill>
            <w14:solidFill>
              <w14:schemeClr w14:val="tx1"/>
            </w14:solidFill>
          </w14:textFill>
        </w:rPr>
        <w:t>②</w:t>
      </w:r>
      <w:r>
        <w:rPr>
          <w:rFonts w:hint="eastAsia" w:ascii="Calibri" w:hAnsi="Calibri" w:cs="Calibri" w:eastAsiaTheme="minorEastAsia"/>
          <w:color w:val="000000" w:themeColor="text1"/>
          <w:szCs w:val="21"/>
          <w:lang w:val="en-US" w:eastAsia="zh-CN"/>
          <w14:textFill>
            <w14:solidFill>
              <w14:schemeClr w14:val="tx1"/>
            </w14:solidFill>
          </w14:textFill>
        </w:rPr>
        <w:t>成果文件：全程影像资料（直播录像、全景实录、花絮视频）、书面报告（策划报告、执行总结、经费决算报告）、设计文件（舞美设计图、服装道具设计图等）是否完整、规范，符合归档要求。</w:t>
      </w:r>
      <w:r>
        <w:rPr>
          <w:rFonts w:hint="default" w:ascii="Calibri" w:hAnsi="Calibri" w:cs="Calibri" w:eastAsiaTheme="minorEastAsia"/>
          <w:color w:val="000000" w:themeColor="text1"/>
          <w:szCs w:val="21"/>
          <w:lang w:val="en-US" w:eastAsia="zh-CN"/>
          <w14:textFill>
            <w14:solidFill>
              <w14:schemeClr w14:val="tx1"/>
            </w14:solidFill>
          </w14:textFill>
        </w:rPr>
        <w:t>▲成果文件由投标人下属全资子公司编制或制作的，视为投标人编制或制作，按要求验收。</w:t>
      </w:r>
    </w:p>
    <w:p w14:paraId="38C614B6">
      <w:pPr>
        <w:spacing w:line="540" w:lineRule="exact"/>
        <w:ind w:firstLine="422" w:firstLineChars="200"/>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4.场地与撤场情况：</w:t>
      </w:r>
    </w:p>
    <w:p w14:paraId="7AA472FB">
      <w:pPr>
        <w:spacing w:line="540" w:lineRule="exact"/>
        <w:ind w:firstLine="420"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eastAsia" w:ascii="Calibri" w:hAnsi="Calibri" w:cs="Calibri" w:eastAsiaTheme="minorEastAsia"/>
          <w:color w:val="000000" w:themeColor="text1"/>
          <w:szCs w:val="21"/>
          <w:lang w:val="en-US" w:eastAsia="zh-CN"/>
          <w14:textFill>
            <w14:solidFill>
              <w14:schemeClr w14:val="tx1"/>
            </w14:solidFill>
          </w14:textFill>
        </w:rPr>
        <w:t>各场次活动结束后，场地清场、设施拆卸、物资清运是否及时（火炬传递 48 小时内，开闭幕式 48 小时内），场地是否恢复原貌，无遗留杂物、无环境破坏，不影响后续赛事或场地正常使用。</w:t>
      </w:r>
      <w:r>
        <w:rPr>
          <w:rFonts w:hint="default" w:ascii="Calibri" w:hAnsi="Calibri" w:cs="Calibri" w:eastAsiaTheme="minorEastAsia"/>
          <w:color w:val="000000" w:themeColor="text1"/>
          <w:szCs w:val="21"/>
          <w:lang w:val="en-US" w:eastAsia="zh-CN"/>
          <w14:textFill>
            <w14:solidFill>
              <w14:schemeClr w14:val="tx1"/>
            </w14:solidFill>
          </w14:textFill>
        </w:rPr>
        <w:t>▲场地清场、设施拆卸等工作由投标人下属全资子公司完成的，视为投标人完成，按要求验收。</w:t>
      </w:r>
    </w:p>
    <w:p w14:paraId="23517CDC">
      <w:pPr>
        <w:spacing w:line="540" w:lineRule="exact"/>
        <w:ind w:firstLine="422" w:firstLineChars="200"/>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5.合规性要求：</w:t>
      </w:r>
    </w:p>
    <w:p w14:paraId="3497D01A">
      <w:pPr>
        <w:spacing w:line="540" w:lineRule="exact"/>
        <w:ind w:firstLine="420"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eastAsia" w:ascii="Calibri" w:hAnsi="Calibri" w:cs="Calibri" w:eastAsiaTheme="minorEastAsia"/>
          <w:color w:val="000000" w:themeColor="text1"/>
          <w:szCs w:val="21"/>
          <w:lang w:val="en-US" w:eastAsia="zh-CN"/>
          <w14:textFill>
            <w14:solidFill>
              <w14:schemeClr w14:val="tx1"/>
            </w14:solidFill>
          </w14:textFill>
        </w:rPr>
        <w:t>1.资质合规：施工单位、分包商等相关合作方的资质是否齐全有效；</w:t>
      </w:r>
      <w:r>
        <w:rPr>
          <w:rFonts w:hint="default" w:ascii="Calibri" w:hAnsi="Calibri" w:cs="Calibri" w:eastAsiaTheme="minorEastAsia"/>
          <w:color w:val="000000" w:themeColor="text1"/>
          <w:szCs w:val="21"/>
          <w:lang w:val="en-US" w:eastAsia="zh-CN"/>
          <w14:textFill>
            <w14:solidFill>
              <w14:schemeClr w14:val="tx1"/>
            </w14:solidFill>
          </w14:textFill>
        </w:rPr>
        <w:t>▲施工单位为投标人下属全资子公司的，其子公司资质视为投标人的资质，按要求审核。</w:t>
      </w:r>
    </w:p>
    <w:p w14:paraId="37A76D92">
      <w:pPr>
        <w:spacing w:line="540" w:lineRule="exact"/>
        <w:ind w:firstLine="420"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eastAsia" w:ascii="Calibri" w:hAnsi="Calibri" w:cs="Calibri" w:eastAsiaTheme="minorEastAsia"/>
          <w:color w:val="000000" w:themeColor="text1"/>
          <w:szCs w:val="21"/>
          <w:lang w:val="en-US" w:eastAsia="zh-CN"/>
          <w14:textFill>
            <w14:solidFill>
              <w14:schemeClr w14:val="tx1"/>
            </w14:solidFill>
          </w14:textFill>
        </w:rPr>
        <w:t>2.财务合规：经费使用是否符合预算要求，报价清单与实际支出是否一致，无违规收费或虚报费用情形；</w:t>
      </w:r>
    </w:p>
    <w:p w14:paraId="17412B02">
      <w:pPr>
        <w:spacing w:line="540" w:lineRule="exact"/>
        <w:ind w:firstLine="420"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eastAsia" w:ascii="Calibri" w:hAnsi="Calibri" w:cs="Calibri" w:eastAsiaTheme="minorEastAsia"/>
          <w:color w:val="000000" w:themeColor="text1"/>
          <w:szCs w:val="21"/>
          <w:lang w:val="en-US" w:eastAsia="zh-CN"/>
          <w14:textFill>
            <w14:solidFill>
              <w14:schemeClr w14:val="tx1"/>
            </w14:solidFill>
          </w14:textFill>
        </w:rPr>
        <w:t>3.保险合规：保险购买是否覆盖全部相关人员及物资，保额、投保期限符合约定。</w:t>
      </w:r>
      <w:r>
        <w:rPr>
          <w:rFonts w:hint="default" w:ascii="Calibri" w:hAnsi="Calibri" w:cs="Calibri" w:eastAsiaTheme="minorEastAsia"/>
          <w:color w:val="000000" w:themeColor="text1"/>
          <w:szCs w:val="21"/>
          <w:lang w:val="en-US" w:eastAsia="zh-CN"/>
          <w14:textFill>
            <w14:solidFill>
              <w14:schemeClr w14:val="tx1"/>
            </w14:solidFill>
          </w14:textFill>
        </w:rPr>
        <w:t>▲相关人员为投标人下属全资子公司人员的，其保险覆盖情况视为投标人的保险覆盖情况，按要求审核。</w:t>
      </w:r>
    </w:p>
    <w:p w14:paraId="28A36A39">
      <w:pPr>
        <w:spacing w:line="540" w:lineRule="exact"/>
        <w:ind w:firstLine="422" w:firstLineChars="200"/>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（三）验收程序：</w:t>
      </w:r>
    </w:p>
    <w:p w14:paraId="356818C7">
      <w:pPr>
        <w:spacing w:line="540" w:lineRule="exact"/>
        <w:ind w:firstLine="422"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eastAsia" w:ascii="Calibri" w:hAnsi="Calibri" w:cs="Calibri" w:eastAsiaTheme="minorEastAsia"/>
          <w:b/>
          <w:bCs/>
          <w:color w:val="000000" w:themeColor="text1"/>
          <w:szCs w:val="21"/>
          <w:lang w:val="en-US" w:eastAsia="zh-CN"/>
          <w14:textFill>
            <w14:solidFill>
              <w14:schemeClr w14:val="tx1"/>
            </w14:solidFill>
          </w14:textFill>
        </w:rPr>
        <w:t>1.验收申请：</w:t>
      </w:r>
      <w:r>
        <w:rPr>
          <w:rFonts w:hint="eastAsia" w:ascii="Calibri" w:hAnsi="Calibri" w:cs="Calibri" w:eastAsiaTheme="minorEastAsia"/>
          <w:color w:val="000000" w:themeColor="text1"/>
          <w:szCs w:val="21"/>
          <w:lang w:val="en-US" w:eastAsia="zh-CN"/>
          <w14:textFill>
            <w14:solidFill>
              <w14:schemeClr w14:val="tx1"/>
            </w14:solidFill>
          </w14:textFill>
        </w:rPr>
        <w:t>广西壮族自治区第十一届残疾人运动会暨第六届特殊奥林匹克运动会闭幕式撤场完毕且场地恢复原貌后10 个工作日内，中标人向采购人提交书面验收申请，并附上全套验收材料（纸质版一式肆份、电子版一式贰份），验收材料需加盖中标人公章并由法定代表人或委托代理人签字确认。</w:t>
      </w:r>
    </w:p>
    <w:p w14:paraId="43239FAE">
      <w:pPr>
        <w:spacing w:line="540" w:lineRule="exact"/>
        <w:ind w:firstLine="422"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eastAsia" w:ascii="Calibri" w:hAnsi="Calibri" w:cs="Calibri" w:eastAsiaTheme="minorEastAsia"/>
          <w:b/>
          <w:bCs/>
          <w:color w:val="000000" w:themeColor="text1"/>
          <w:szCs w:val="21"/>
          <w:lang w:val="en-US" w:eastAsia="zh-CN"/>
          <w14:textFill>
            <w14:solidFill>
              <w14:schemeClr w14:val="tx1"/>
            </w14:solidFill>
          </w14:textFill>
        </w:rPr>
        <w:t>2.验收组织：</w:t>
      </w:r>
      <w:r>
        <w:rPr>
          <w:rFonts w:hint="eastAsia" w:ascii="Calibri" w:hAnsi="Calibri" w:cs="Calibri" w:eastAsiaTheme="minorEastAsia"/>
          <w:color w:val="000000" w:themeColor="text1"/>
          <w:szCs w:val="21"/>
          <w:lang w:val="en-US" w:eastAsia="zh-CN"/>
          <w14:textFill>
            <w14:solidFill>
              <w14:schemeClr w14:val="tx1"/>
            </w14:solidFill>
          </w14:textFill>
        </w:rPr>
        <w:t>采购人在收到验收申请及全套材料后 15 个工作日内，组织验收小组（由采购人代表、相关专业技术人员、纪检监察人员组成，必要时邀请第三方机构参与）开展验收工作。</w:t>
      </w:r>
    </w:p>
    <w:p w14:paraId="1A318C7C">
      <w:pPr>
        <w:spacing w:line="540" w:lineRule="exact"/>
        <w:ind w:firstLine="422" w:firstLineChars="200"/>
        <w:rPr>
          <w:rFonts w:hint="eastAsia" w:ascii="Calibri" w:hAnsi="Calibri" w:cs="Calibri" w:eastAsiaTheme="minorEastAsia"/>
          <w:b/>
          <w:bCs/>
          <w:color w:val="000000" w:themeColor="text1"/>
          <w:szCs w:val="21"/>
          <w:lang w:val="en-US" w:eastAsia="zh-CN"/>
          <w14:textFill>
            <w14:solidFill>
              <w14:schemeClr w14:val="tx1"/>
            </w14:solidFill>
          </w14:textFill>
        </w:rPr>
      </w:pPr>
      <w:r>
        <w:rPr>
          <w:rFonts w:hint="eastAsia" w:ascii="Calibri" w:hAnsi="Calibri" w:cs="Calibri" w:eastAsiaTheme="minorEastAsia"/>
          <w:b/>
          <w:bCs/>
          <w:color w:val="000000" w:themeColor="text1"/>
          <w:szCs w:val="21"/>
          <w:lang w:val="en-US" w:eastAsia="zh-CN"/>
          <w14:textFill>
            <w14:solidFill>
              <w14:schemeClr w14:val="tx1"/>
            </w14:solidFill>
          </w14:textFill>
        </w:rPr>
        <w:t>3.验收实施：</w:t>
      </w:r>
    </w:p>
    <w:p w14:paraId="6DEBD41B">
      <w:pPr>
        <w:spacing w:line="540" w:lineRule="exact"/>
        <w:ind w:firstLine="420"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default" w:ascii="Calibri" w:hAnsi="Calibri" w:cs="Calibri" w:eastAsiaTheme="minorEastAsia"/>
          <w:color w:val="000000" w:themeColor="text1"/>
          <w:szCs w:val="21"/>
          <w:lang w:val="en-US" w:eastAsia="zh-CN"/>
          <w14:textFill>
            <w14:solidFill>
              <w14:schemeClr w14:val="tx1"/>
            </w14:solidFill>
          </w14:textFill>
        </w:rPr>
        <w:t>①</w:t>
      </w:r>
      <w:r>
        <w:rPr>
          <w:rFonts w:hint="eastAsia" w:ascii="Calibri" w:hAnsi="Calibri" w:cs="Calibri" w:eastAsiaTheme="minorEastAsia"/>
          <w:color w:val="000000" w:themeColor="text1"/>
          <w:szCs w:val="21"/>
          <w:lang w:val="en-US" w:eastAsia="zh-CN"/>
          <w14:textFill>
            <w14:solidFill>
              <w14:schemeClr w14:val="tx1"/>
            </w14:solidFill>
          </w14:textFill>
        </w:rPr>
        <w:t>资料审核：验收小组对中标人提交的验收材料进行完整性、真实性、合规性审核；</w:t>
      </w:r>
    </w:p>
    <w:p w14:paraId="4B0BAA4D">
      <w:pPr>
        <w:spacing w:line="540" w:lineRule="exact"/>
        <w:ind w:firstLine="420"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default" w:ascii="Calibri" w:hAnsi="Calibri" w:cs="Calibri" w:eastAsiaTheme="minorEastAsia"/>
          <w:color w:val="000000" w:themeColor="text1"/>
          <w:szCs w:val="21"/>
          <w:lang w:val="en-US" w:eastAsia="zh-CN"/>
          <w14:textFill>
            <w14:solidFill>
              <w14:schemeClr w14:val="tx1"/>
            </w14:solidFill>
          </w14:textFill>
        </w:rPr>
        <w:t>②</w:t>
      </w:r>
      <w:r>
        <w:rPr>
          <w:rFonts w:hint="eastAsia" w:ascii="Calibri" w:hAnsi="Calibri" w:cs="Calibri" w:eastAsiaTheme="minorEastAsia"/>
          <w:color w:val="000000" w:themeColor="text1"/>
          <w:szCs w:val="21"/>
          <w:lang w:val="en-US" w:eastAsia="zh-CN"/>
          <w14:textFill>
            <w14:solidFill>
              <w14:schemeClr w14:val="tx1"/>
            </w14:solidFill>
          </w14:textFill>
        </w:rPr>
        <w:t>现场核查：实地核查场地恢复情况、剩余物资情况，查阅活动影像资料，核实各环节执行情况；</w:t>
      </w:r>
    </w:p>
    <w:p w14:paraId="6F39D11B">
      <w:pPr>
        <w:spacing w:line="540" w:lineRule="exact"/>
        <w:ind w:firstLine="420"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default" w:ascii="Calibri" w:hAnsi="Calibri" w:cs="Calibri" w:eastAsiaTheme="minorEastAsia"/>
          <w:color w:val="000000" w:themeColor="text1"/>
          <w:szCs w:val="21"/>
          <w:lang w:val="en-US" w:eastAsia="zh-CN"/>
          <w14:textFill>
            <w14:solidFill>
              <w14:schemeClr w14:val="tx1"/>
            </w14:solidFill>
          </w14:textFill>
        </w:rPr>
        <w:t>③</w:t>
      </w:r>
      <w:r>
        <w:rPr>
          <w:rFonts w:hint="eastAsia" w:ascii="Calibri" w:hAnsi="Calibri" w:cs="Calibri" w:eastAsiaTheme="minorEastAsia"/>
          <w:color w:val="000000" w:themeColor="text1"/>
          <w:szCs w:val="21"/>
          <w:lang w:val="en-US" w:eastAsia="zh-CN"/>
          <w14:textFill>
            <w14:solidFill>
              <w14:schemeClr w14:val="tx1"/>
            </w14:solidFill>
          </w14:textFill>
        </w:rPr>
        <w:t>沟通质询：就验收过程中发现的问题向中标人进行质询，中标人需现场作出解释或提供补充证明材料。</w:t>
      </w:r>
    </w:p>
    <w:p w14:paraId="5387F87E">
      <w:pPr>
        <w:spacing w:line="540" w:lineRule="exact"/>
        <w:ind w:firstLine="422" w:firstLineChars="200"/>
        <w:rPr>
          <w:rFonts w:hint="eastAsia" w:ascii="Calibri" w:hAnsi="Calibri" w:cs="Calibri" w:eastAsiaTheme="minorEastAsia"/>
          <w:b/>
          <w:bCs/>
          <w:color w:val="000000" w:themeColor="text1"/>
          <w:szCs w:val="21"/>
          <w:lang w:val="en-US" w:eastAsia="zh-CN"/>
          <w14:textFill>
            <w14:solidFill>
              <w14:schemeClr w14:val="tx1"/>
            </w14:solidFill>
          </w14:textFill>
        </w:rPr>
      </w:pPr>
      <w:r>
        <w:rPr>
          <w:rFonts w:hint="eastAsia" w:ascii="Calibri" w:hAnsi="Calibri" w:cs="Calibri" w:eastAsiaTheme="minorEastAsia"/>
          <w:b/>
          <w:bCs/>
          <w:color w:val="000000" w:themeColor="text1"/>
          <w:szCs w:val="21"/>
          <w:lang w:val="en-US" w:eastAsia="zh-CN"/>
          <w14:textFill>
            <w14:solidFill>
              <w14:schemeClr w14:val="tx1"/>
            </w14:solidFill>
          </w14:textFill>
        </w:rPr>
        <w:t>4.验收结果：</w:t>
      </w:r>
    </w:p>
    <w:p w14:paraId="2798D400">
      <w:pPr>
        <w:numPr>
          <w:ilvl w:val="0"/>
          <w:numId w:val="0"/>
        </w:numPr>
        <w:spacing w:line="540" w:lineRule="exact"/>
        <w:ind w:firstLine="420"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default" w:ascii="Calibri" w:hAnsi="Calibri" w:cs="Calibri" w:eastAsiaTheme="minorEastAsia"/>
          <w:color w:val="000000" w:themeColor="text1"/>
          <w:szCs w:val="21"/>
          <w:lang w:val="en-US" w:eastAsia="zh-CN"/>
          <w14:textFill>
            <w14:solidFill>
              <w14:schemeClr w14:val="tx1"/>
            </w14:solidFill>
          </w14:textFill>
        </w:rPr>
        <w:t>①</w:t>
      </w:r>
      <w:r>
        <w:rPr>
          <w:rFonts w:hint="eastAsia" w:ascii="Calibri" w:hAnsi="Calibri" w:cs="Calibri" w:eastAsiaTheme="minorEastAsia"/>
          <w:color w:val="000000" w:themeColor="text1"/>
          <w:szCs w:val="21"/>
          <w:lang w:val="en-US" w:eastAsia="zh-CN"/>
          <w14:textFill>
            <w14:solidFill>
              <w14:schemeClr w14:val="tx1"/>
            </w14:solidFill>
          </w14:textFill>
        </w:rPr>
        <w:t>验收合格：验收小组一致认为项目符合验收依据及要求，出具《项目履约验收报告》，由验收小组成员签字、采购人盖章确认，验收报告作为付款及履约保证金退还的依据；</w:t>
      </w:r>
    </w:p>
    <w:p w14:paraId="62AD9B35">
      <w:pPr>
        <w:numPr>
          <w:ilvl w:val="0"/>
          <w:numId w:val="0"/>
        </w:numPr>
        <w:spacing w:line="540" w:lineRule="exact"/>
        <w:ind w:firstLine="420"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default" w:ascii="Calibri" w:hAnsi="Calibri" w:cs="Calibri" w:eastAsiaTheme="minorEastAsia"/>
          <w:color w:val="000000" w:themeColor="text1"/>
          <w:szCs w:val="21"/>
          <w:lang w:val="en-US" w:eastAsia="zh-CN"/>
          <w14:textFill>
            <w14:solidFill>
              <w14:schemeClr w14:val="tx1"/>
            </w14:solidFill>
          </w14:textFill>
        </w:rPr>
        <w:t>②</w:t>
      </w:r>
      <w:r>
        <w:rPr>
          <w:rFonts w:hint="eastAsia" w:ascii="Calibri" w:hAnsi="Calibri" w:cs="Calibri" w:eastAsiaTheme="minorEastAsia"/>
          <w:color w:val="000000" w:themeColor="text1"/>
          <w:szCs w:val="21"/>
          <w:lang w:val="en-US" w:eastAsia="zh-CN"/>
          <w14:textFill>
            <w14:solidFill>
              <w14:schemeClr w14:val="tx1"/>
            </w14:solidFill>
          </w14:textFill>
        </w:rPr>
        <w:t>验收不合格：验收小组出具书面整改意见，明确不合格事项、整改要求及整改期限（最长不超过 15 个工作日）；中标人需在整改期限内完成整改并重新提交验收申请，整改费用由中标人自行承担；若整改后仍不合格，或逾期未完成整改，采购人有权解除合同，扣除全部履约保证金，要求中标人退还已支付的服务费用，并赔偿因此造成的损失。▲若不合格事项由投标人下属全资子公司造成，由投标人负责整改并承担全部整改费用及损失。</w:t>
      </w:r>
    </w:p>
    <w:p w14:paraId="0A4B9C19">
      <w:pPr>
        <w:numPr>
          <w:ilvl w:val="0"/>
          <w:numId w:val="5"/>
        </w:numPr>
        <w:spacing w:line="540" w:lineRule="exact"/>
        <w:ind w:firstLine="422" w:firstLineChars="200"/>
        <w:rPr>
          <w:rFonts w:hint="default" w:ascii="Calibri" w:hAnsi="Calibri" w:cs="Calibri" w:eastAsiaTheme="minorEastAsia"/>
          <w:color w:val="000000" w:themeColor="text1"/>
          <w:szCs w:val="21"/>
          <w:lang w:val="en-US" w:eastAsia="zh-CN"/>
          <w14:textFill>
            <w14:solidFill>
              <w14:schemeClr w14:val="tx1"/>
            </w14:solidFill>
          </w14:textFill>
        </w:rPr>
      </w:pPr>
      <w:r>
        <w:rPr>
          <w:rFonts w:hint="default" w:ascii="Calibri" w:hAnsi="Calibri" w:cs="Calibri" w:eastAsiaTheme="minorEastAsia"/>
          <w:b/>
          <w:bCs/>
          <w:color w:val="000000" w:themeColor="text1"/>
          <w:szCs w:val="21"/>
          <w:lang w:val="en-US" w:eastAsia="zh-CN"/>
          <w14:textFill>
            <w14:solidFill>
              <w14:schemeClr w14:val="tx1"/>
            </w14:solidFill>
          </w14:textFill>
        </w:rPr>
        <w:t>验收费用：</w:t>
      </w:r>
      <w:r>
        <w:rPr>
          <w:rFonts w:hint="default" w:ascii="Calibri" w:hAnsi="Calibri" w:cs="Calibri" w:eastAsiaTheme="minorEastAsia"/>
          <w:color w:val="000000" w:themeColor="text1"/>
          <w:szCs w:val="21"/>
          <w:lang w:val="en-US" w:eastAsia="zh-CN"/>
          <w14:textFill>
            <w14:solidFill>
              <w14:schemeClr w14:val="tx1"/>
            </w14:solidFill>
          </w14:textFill>
        </w:rPr>
        <w:t>首次验收费用（包括专家咨询费、资料审核费等）由采购人承担；因中标人原因导致验收不合格需重新验收的，后续整改及验收的全部费用由中标人承担。</w:t>
      </w:r>
    </w:p>
    <w:p w14:paraId="3F15A41E">
      <w:pPr>
        <w:spacing w:line="540" w:lineRule="exact"/>
        <w:ind w:firstLine="422" w:firstLineChars="200"/>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（四）验收异议处理</w:t>
      </w:r>
    </w:p>
    <w:p w14:paraId="5FBA52D5">
      <w:pPr>
        <w:numPr>
          <w:ilvl w:val="0"/>
          <w:numId w:val="0"/>
        </w:numPr>
        <w:spacing w:line="540" w:lineRule="exact"/>
        <w:ind w:firstLine="420"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eastAsia" w:ascii="Calibri" w:hAnsi="Calibri" w:cs="Calibri" w:eastAsiaTheme="minorEastAsia"/>
          <w:color w:val="000000" w:themeColor="text1"/>
          <w:szCs w:val="21"/>
          <w:lang w:val="en-US" w:eastAsia="zh-CN"/>
          <w14:textFill>
            <w14:solidFill>
              <w14:schemeClr w14:val="tx1"/>
            </w14:solidFill>
          </w14:textFill>
        </w:rPr>
        <w:t>1.中标人对验收结果有异议的，可在收到验收结果通知后 7 个工作日内向采购人提出书面异议，说明异议理由并提供相关证明材料；</w:t>
      </w:r>
    </w:p>
    <w:p w14:paraId="3E7DD463">
      <w:pPr>
        <w:numPr>
          <w:ilvl w:val="0"/>
          <w:numId w:val="0"/>
        </w:numPr>
        <w:spacing w:line="540" w:lineRule="exact"/>
        <w:ind w:firstLine="420"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eastAsia" w:ascii="Calibri" w:hAnsi="Calibri" w:cs="Calibri" w:eastAsiaTheme="minorEastAsia"/>
          <w:color w:val="000000" w:themeColor="text1"/>
          <w:szCs w:val="21"/>
          <w:lang w:val="en-US" w:eastAsia="zh-CN"/>
          <w14:textFill>
            <w14:solidFill>
              <w14:schemeClr w14:val="tx1"/>
            </w14:solidFill>
          </w14:textFill>
        </w:rPr>
        <w:t>2.采购人收到异议后 5 个工作日内组织复核，复核结果为最终验收结论；若复核后确认原验收结果有误，需重新出具验收报告；若异议不成立，需书面告知中标人异议理由。</w:t>
      </w:r>
    </w:p>
    <w:p w14:paraId="044109F2">
      <w:pPr>
        <w:spacing w:line="540" w:lineRule="exact"/>
        <w:ind w:firstLine="422" w:firstLineChars="200"/>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（五）验收档案管理</w:t>
      </w:r>
    </w:p>
    <w:p w14:paraId="008D4207">
      <w:pPr>
        <w:numPr>
          <w:ilvl w:val="0"/>
          <w:numId w:val="0"/>
        </w:numPr>
        <w:spacing w:line="540" w:lineRule="exact"/>
        <w:ind w:firstLine="420" w:firstLineChars="200"/>
        <w:rPr>
          <w:rFonts w:hint="eastAsia" w:ascii="Calibri" w:hAnsi="Calibri" w:cs="Calibri" w:eastAsiaTheme="minorEastAsia"/>
          <w:color w:val="000000" w:themeColor="text1"/>
          <w:szCs w:val="21"/>
          <w:lang w:val="en-US" w:eastAsia="zh-CN"/>
          <w14:textFill>
            <w14:solidFill>
              <w14:schemeClr w14:val="tx1"/>
            </w14:solidFill>
          </w14:textFill>
        </w:rPr>
      </w:pPr>
      <w:r>
        <w:rPr>
          <w:rFonts w:hint="eastAsia" w:ascii="Calibri" w:hAnsi="Calibri" w:cs="Calibri" w:eastAsiaTheme="minorEastAsia"/>
          <w:color w:val="000000" w:themeColor="text1"/>
          <w:szCs w:val="21"/>
          <w:lang w:val="en-US" w:eastAsia="zh-CN"/>
          <w14:textFill>
            <w14:solidFill>
              <w14:schemeClr w14:val="tx1"/>
            </w14:solidFill>
          </w14:textFill>
        </w:rPr>
        <w:t>验收工作完成后，采购人将验收报告、验收材料、整改记录（如有）等相关文件整理归档，作为项目履约的完整档案留存。</w:t>
      </w:r>
    </w:p>
    <w:p w14:paraId="7373A185">
      <w:pPr>
        <w:spacing w:line="540" w:lineRule="exact"/>
        <w:ind w:firstLine="422" w:firstLineChars="200"/>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七、本项目的政府采购预算为人民币13,000,000.00元，高于政府采购预算的报价将视为无效投标，中标人每次收款前，需向采购人开具等额合法有效的增值税专用发票，开票信息以采购人书面通知为准，未按要求开具发票的，采购人有权顺延付款且不承担违约责任。</w:t>
      </w:r>
    </w:p>
    <w:p w14:paraId="0339E03F">
      <w:pPr>
        <w:spacing w:line="540" w:lineRule="exact"/>
        <w:ind w:firstLine="422"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八</w:t>
      </w:r>
      <w:r>
        <w:rPr>
          <w:rFonts w:hint="eastAsia" w:asciiTheme="minorEastAsia" w:hAnsiTheme="minorEastAsia" w:eastAsiaTheme="minorEastAsia" w:cstheme="minorEastAsia"/>
          <w:b/>
          <w:bCs/>
          <w:color w:val="000000" w:themeColor="text1"/>
          <w:szCs w:val="21"/>
          <w14:textFill>
            <w14:solidFill>
              <w14:schemeClr w14:val="tx1"/>
            </w14:solidFill>
          </w14:textFill>
        </w:rPr>
        <w:t>、付款方式：</w:t>
      </w:r>
      <w:r>
        <w:rPr>
          <w:rFonts w:hint="eastAsia" w:asciiTheme="minorEastAsia" w:hAnsiTheme="minorEastAsia" w:eastAsiaTheme="minorEastAsia" w:cstheme="minorEastAsia"/>
          <w:color w:val="000000" w:themeColor="text1"/>
          <w:szCs w:val="21"/>
          <w14:textFill>
            <w14:solidFill>
              <w14:schemeClr w14:val="tx1"/>
            </w14:solidFill>
          </w14:textFill>
        </w:rPr>
        <w:t>1.合同签订生效后，且采购人收到中标人开具的等额合法有效增值税发票之日起10日内，向中标人支付合同总金额的</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Cs w:val="21"/>
          <w14:textFill>
            <w14:solidFill>
              <w14:schemeClr w14:val="tx1"/>
            </w14:solidFill>
          </w14:textFill>
        </w:rPr>
        <w:t>%作为首期款项。</w:t>
      </w:r>
    </w:p>
    <w:p w14:paraId="3F5FF750">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2.演出执行方案经组委会审定通过后，且采购人收到中标人开具的等额合法有效增值税发票之日起10日内，向中标人支付合同总金额的</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0%作为第二期款项。</w:t>
      </w:r>
    </w:p>
    <w:p w14:paraId="26C7A52A">
      <w:pPr>
        <w:spacing w:line="5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3.广西壮族自治区第十六届运动会开幕式全流程合成彩排完成后，且采购人收到中标人开具的等额合法有效增值税发票之日起10日内，向中标人支付合同总金额的</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0%作为第三期款项。</w:t>
      </w:r>
    </w:p>
    <w:p w14:paraId="09884597">
      <w:pPr>
        <w:pStyle w:val="3"/>
        <w:ind w:firstLine="420" w:firstLineChars="200"/>
        <w:rPr>
          <w:rFonts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4.广西壮族自治区第十一届残疾人运动会暨第六届特殊奥林匹克运动会闭幕式结束后，中标人完成场内设施拆卸及清场工作，且经履约验收，采购人收到中标人开具的等额合法有效增值税发票之日起10日内，向中标人支付合同总金额的</w:t>
      </w: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0%。</w:t>
      </w:r>
    </w:p>
    <w:p w14:paraId="48B300C5">
      <w:pPr>
        <w:spacing w:line="540" w:lineRule="exact"/>
        <w:ind w:firstLine="422"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九、履约保证金：</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本项目收取履约保证金，金额为合同金额的5%。</w:t>
      </w:r>
    </w:p>
    <w:p w14:paraId="31ADC1AD">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中标人应当以支票、汇票、本票、银行保函、保险公司保函等非现金形式在签订合同时向采购人提交，采购人不得拒收合法有效的保函。</w:t>
      </w:r>
    </w:p>
    <w:p w14:paraId="6B242C82">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履约保证金自合同生效之日起至合同约定的中标人主要义务履行完毕止，采购人按约定退还履约保证金。中标人若出现项目进展未按进度及项目需求或演出过程中发生演出事故等情况，按违约处理，采购人将按照合同约定执行履约赔偿。如中标人违约给采购人造成的损失超过履约保证金的，应当依法赔偿超过部分的损失。▲若因投标人下属全资子公司的原因导致中标人违约，视为投标人违约，采购人按约定执行履约赔偿，投标人需赔偿超过履约保证金部分的损失。</w:t>
      </w:r>
    </w:p>
    <w:p w14:paraId="58381BC7">
      <w:pPr>
        <w:spacing w:line="540" w:lineRule="exact"/>
        <w:ind w:firstLine="422" w:firstLineChars="200"/>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十、报价要求：</w:t>
      </w:r>
    </w:p>
    <w:p w14:paraId="63638D94">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投标人投标报价应为所投项目的最终报价，包括一切税费、投标人应自行增加合法运行及使用所必须但招标文件没有包含的所有有关服务、硬件设备、材料、使用授权、版权、专利等一切费用，如果投标人在中标并签署合同后，发生任何遗漏，均由中标人免费提供，甲方不再支付任何费用。</w:t>
      </w:r>
    </w:p>
    <w:p w14:paraId="56DEC73B">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投标人文件中至少包含火炬传递仪式、暖场表演、开幕仪式、场内点火仪式、文体演出、闭幕式等相关环节的费用，如舞美、音乐、服装、道具、特种设备、主创人员劳务费、专业演员排练演出交通食宿和补助、工作人员后勤保障等详细经费报价清单，清单应包括数量、品牌、单价等。暖场表演、开幕仪式、文体演出、闭幕仪式经费分开列明。▲若主创人员、专业演员、工作人员等为投标人下属全资子公司人员，其相关费用纳入投标人报价清单，统一由投标人核算报价。</w:t>
      </w:r>
    </w:p>
    <w:p w14:paraId="21847BCF">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在实施方案确定后，如采购人提出为了优化舞台效果而增加相应设备和服务（包括但不限于：实施团队、参演演员及团队、视频制作、服装、化妆、道具、音乐制作、舞台搭建、现场置景、LED租赁、灯光租赁、音响租赁、激光投影、烟花、无人机、雾森、摄影、节目单制作、后勤保障、保险、所有演职员补助及交通食宿、主席台搭建、草皮盖板铺设、场地输配电保障（双路供电由场地运营方和供电公司负责）、旗杆吹飘器、闭幕式舞台搭建、闭幕仪式流程等）要求，其所需经费均由中标方承担，采购人不额外支付任何费用。（投标人应自行考虑上述风险因素作出投标及报价）。▲增加的设备和服务由投标人下属全资子公司提供或实施的，其所需经费仍由投标人承担。</w:t>
      </w:r>
    </w:p>
    <w:p w14:paraId="4E9F67CD">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4.本项目报价不得超过预算价（最高限价）。</w:t>
      </w:r>
    </w:p>
    <w:p w14:paraId="5827C35C">
      <w:pPr>
        <w:spacing w:line="540" w:lineRule="exact"/>
        <w:ind w:firstLine="422"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特别提醒：投标人应根据国家收费标准并结合市场实际进行报价，总价包干。</w:t>
      </w:r>
    </w:p>
    <w:p w14:paraId="18325B86">
      <w:pPr>
        <w:spacing w:line="540" w:lineRule="exact"/>
        <w:ind w:firstLine="422"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十一、根据《关于印发中小企业划型标准规定的通知》（工信部联企业〔2011〕300号）规定的划分标准，本项目采购所有标的对应的中小企业划分标准所属行业：其他未列明行业。</w:t>
      </w:r>
    </w:p>
    <w:p w14:paraId="5FEA9E00">
      <w:pPr>
        <w:spacing w:line="540" w:lineRule="exact"/>
        <w:ind w:firstLine="422"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十二、合同转包与分包</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w:t>
      </w:r>
    </w:p>
    <w:p w14:paraId="46B1A246">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（一）本采购项目严禁转包；</w:t>
      </w:r>
    </w:p>
    <w:p w14:paraId="3A726AD3">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（二）允许将非主体、非关键性工作分包，分包方需具备相应资质且不得再次分包；投标人拟在中标后分包的，需在投标文件中载明分包承担主体，并在分包前提前 15 个工作日向采购人提交书面申请，说明分包内容及分包商资质，经采购人书面同意后方可分包；中标人对分包商的工作成果承担连带责任。▲投标人下属全资子公司承担本项目非主体、非关键性工作的，不视为分包，无需履行分包申请程序，投标人需提供全资控股证明材料，对子公司的工作成果承担全部责任。</w:t>
      </w:r>
    </w:p>
    <w:p w14:paraId="40DDAB8B">
      <w:pPr>
        <w:spacing w:line="540" w:lineRule="exact"/>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（三）中小企业中标后，小型 / 微型企业不得分包给大型 / 中型企业，中型企业不得分包给大型企业。▲中小企业投标人的下属全资子公司若为小型/微型企业，其承担本项目工作的，不视为分包；若子公司为大型/中型企业，中小企业投标人不得将项目交由其子公司承担。</w:t>
      </w:r>
    </w:p>
    <w:p w14:paraId="31226D81">
      <w:pPr>
        <w:snapToGrid w:val="0"/>
        <w:spacing w:before="156" w:beforeLines="50" w:after="156" w:afterLines="50" w:line="600" w:lineRule="exact"/>
        <w:ind w:left="238"/>
        <w:jc w:val="center"/>
        <w:rPr>
          <w:rFonts w:ascii="宋体" w:hAnsi="宋体" w:cs="宋体"/>
          <w:b/>
          <w:color w:val="000000" w:themeColor="text1"/>
          <w:sz w:val="36"/>
          <w:szCs w:val="36"/>
          <w14:textFill>
            <w14:solidFill>
              <w14:schemeClr w14:val="tx1"/>
            </w14:solidFill>
          </w14:textFill>
        </w:rPr>
      </w:pPr>
    </w:p>
    <w:bookmarkEnd w:id="11"/>
    <w:p w14:paraId="3BB3C626">
      <w:pPr>
        <w:spacing w:line="400" w:lineRule="exact"/>
        <w:jc w:val="left"/>
        <w:rPr>
          <w:rFonts w:ascii="宋体" w:hAnsi="宋体" w:cs="宋体"/>
          <w:b/>
          <w:color w:val="000000" w:themeColor="text1"/>
          <w:sz w:val="36"/>
          <w:szCs w:val="36"/>
          <w14:textFill>
            <w14:solidFill>
              <w14:schemeClr w14:val="tx1"/>
            </w14:solidFill>
          </w14:textFill>
        </w:rPr>
      </w:pPr>
    </w:p>
    <w:p w14:paraId="236959E2">
      <w:pPr>
        <w:pStyle w:val="54"/>
        <w:rPr>
          <w:rFonts w:ascii="宋体" w:hAnsi="宋体" w:cs="宋体"/>
          <w:color w:val="000000" w:themeColor="text1"/>
          <w:sz w:val="36"/>
          <w:szCs w:val="36"/>
          <w14:textFill>
            <w14:solidFill>
              <w14:schemeClr w14:val="tx1"/>
            </w14:solidFill>
          </w14:textFill>
        </w:rPr>
      </w:pPr>
    </w:p>
    <w:p w14:paraId="4CA40860">
      <w:pPr>
        <w:rPr>
          <w:rFonts w:ascii="宋体" w:hAnsi="宋体" w:cs="宋体"/>
          <w:b/>
          <w:color w:val="000000" w:themeColor="text1"/>
          <w:sz w:val="36"/>
          <w:szCs w:val="36"/>
          <w14:textFill>
            <w14:solidFill>
              <w14:schemeClr w14:val="tx1"/>
            </w14:solidFill>
          </w14:textFill>
        </w:rPr>
      </w:pPr>
    </w:p>
    <w:p w14:paraId="217B9B9E">
      <w:pPr>
        <w:rPr>
          <w:rFonts w:ascii="宋体" w:hAnsi="宋体" w:cs="宋体"/>
          <w:b/>
          <w:color w:val="000000" w:themeColor="text1"/>
          <w:sz w:val="36"/>
          <w:szCs w:val="36"/>
          <w14:textFill>
            <w14:solidFill>
              <w14:schemeClr w14:val="tx1"/>
            </w14:solidFill>
          </w14:textFill>
        </w:rPr>
      </w:pPr>
    </w:p>
    <w:p w14:paraId="384814D9">
      <w:pPr>
        <w:rPr>
          <w:rFonts w:ascii="宋体" w:hAnsi="宋体" w:cs="宋体"/>
          <w:b/>
          <w:color w:val="000000" w:themeColor="text1"/>
          <w:sz w:val="36"/>
          <w:szCs w:val="36"/>
          <w14:textFill>
            <w14:solidFill>
              <w14:schemeClr w14:val="tx1"/>
            </w14:solidFill>
          </w14:textFill>
        </w:rPr>
      </w:pPr>
    </w:p>
    <w:p w14:paraId="705F58A1">
      <w:pPr>
        <w:rPr>
          <w:rFonts w:ascii="宋体" w:hAnsi="宋体" w:cs="宋体"/>
          <w:b/>
          <w:color w:val="000000" w:themeColor="text1"/>
          <w:sz w:val="36"/>
          <w:szCs w:val="36"/>
          <w14:textFill>
            <w14:solidFill>
              <w14:schemeClr w14:val="tx1"/>
            </w14:solidFill>
          </w14:textFill>
        </w:rPr>
      </w:pPr>
    </w:p>
    <w:p w14:paraId="3D8FF673">
      <w:pPr>
        <w:rPr>
          <w:rFonts w:ascii="宋体" w:hAnsi="宋体" w:cs="宋体"/>
          <w:b/>
          <w:color w:val="000000" w:themeColor="text1"/>
          <w:sz w:val="36"/>
          <w:szCs w:val="36"/>
          <w14:textFill>
            <w14:solidFill>
              <w14:schemeClr w14:val="tx1"/>
            </w14:solidFill>
          </w14:textFill>
        </w:rPr>
      </w:pPr>
    </w:p>
    <w:p w14:paraId="0762310C">
      <w:pPr>
        <w:rPr>
          <w:rFonts w:ascii="宋体" w:hAnsi="宋体" w:cs="宋体"/>
          <w:b/>
          <w:color w:val="000000" w:themeColor="text1"/>
          <w:sz w:val="36"/>
          <w:szCs w:val="36"/>
          <w14:textFill>
            <w14:solidFill>
              <w14:schemeClr w14:val="tx1"/>
            </w14:solidFill>
          </w14:textFill>
        </w:rPr>
      </w:pPr>
    </w:p>
    <w:p w14:paraId="70FF1FF0">
      <w:pPr>
        <w:snapToGrid w:val="0"/>
        <w:spacing w:before="156" w:beforeLines="50" w:after="156" w:afterLines="50" w:line="600" w:lineRule="exact"/>
        <w:ind w:left="238"/>
        <w:jc w:val="center"/>
        <w:outlineLvl w:val="0"/>
        <w:rPr>
          <w:rFonts w:ascii="宋体" w:hAnsi="宋体" w:cs="宋体"/>
          <w:b/>
          <w:color w:val="000000" w:themeColor="text1"/>
          <w:sz w:val="36"/>
          <w:szCs w:val="36"/>
          <w14:textFill>
            <w14:solidFill>
              <w14:schemeClr w14:val="tx1"/>
            </w14:solidFill>
          </w14:textFill>
        </w:rPr>
      </w:pPr>
    </w:p>
    <w:p w14:paraId="0EDB0620">
      <w:pPr>
        <w:snapToGrid w:val="0"/>
        <w:spacing w:before="156" w:beforeLines="50" w:after="156" w:afterLines="50" w:line="600" w:lineRule="exact"/>
        <w:ind w:left="238"/>
        <w:jc w:val="center"/>
        <w:outlineLvl w:val="0"/>
        <w:rPr>
          <w:rFonts w:ascii="宋体" w:hAnsi="宋体" w:cs="宋体"/>
          <w:b/>
          <w:color w:val="000000" w:themeColor="text1"/>
          <w:sz w:val="36"/>
          <w:szCs w:val="36"/>
          <w14:textFill>
            <w14:solidFill>
              <w14:schemeClr w14:val="tx1"/>
            </w14:solidFill>
          </w14:textFill>
        </w:rPr>
      </w:pPr>
    </w:p>
    <w:p w14:paraId="75F3A9A4">
      <w:pPr>
        <w:snapToGrid w:val="0"/>
        <w:spacing w:before="156" w:beforeLines="50" w:after="156" w:afterLines="50" w:line="600" w:lineRule="exact"/>
        <w:ind w:left="238"/>
        <w:jc w:val="center"/>
        <w:outlineLvl w:val="0"/>
        <w:rPr>
          <w:rFonts w:ascii="宋体" w:hAnsi="宋体" w:cs="宋体"/>
          <w:b/>
          <w:color w:val="000000" w:themeColor="text1"/>
          <w:sz w:val="36"/>
          <w:szCs w:val="36"/>
          <w14:textFill>
            <w14:solidFill>
              <w14:schemeClr w14:val="tx1"/>
            </w14:solidFill>
          </w14:textFill>
        </w:rPr>
      </w:pPr>
    </w:p>
    <w:p w14:paraId="5F20EF4B">
      <w:pPr>
        <w:snapToGrid w:val="0"/>
        <w:spacing w:before="156" w:beforeLines="50" w:after="156" w:afterLines="50" w:line="600" w:lineRule="exact"/>
        <w:ind w:left="238"/>
        <w:jc w:val="center"/>
        <w:outlineLvl w:val="0"/>
        <w:rPr>
          <w:rFonts w:ascii="宋体" w:hAnsi="宋体" w:cs="宋体"/>
          <w:b/>
          <w:color w:val="000000" w:themeColor="text1"/>
          <w:sz w:val="36"/>
          <w:szCs w:val="36"/>
          <w14:textFill>
            <w14:solidFill>
              <w14:schemeClr w14:val="tx1"/>
            </w14:solidFill>
          </w14:textFill>
        </w:rPr>
      </w:pPr>
    </w:p>
    <w:p w14:paraId="2F0EF8DF">
      <w:pPr>
        <w:snapToGrid w:val="0"/>
        <w:spacing w:before="156" w:beforeLines="50" w:after="156" w:afterLines="50" w:line="600" w:lineRule="exact"/>
        <w:ind w:left="238"/>
        <w:jc w:val="center"/>
        <w:outlineLvl w:val="0"/>
        <w:rPr>
          <w:rFonts w:ascii="宋体" w:hAnsi="宋体" w:cs="宋体"/>
          <w:b/>
          <w:color w:val="000000" w:themeColor="text1"/>
          <w:sz w:val="36"/>
          <w:szCs w:val="36"/>
          <w14:textFill>
            <w14:solidFill>
              <w14:schemeClr w14:val="tx1"/>
            </w14:solidFill>
          </w14:textFill>
        </w:rPr>
      </w:pPr>
    </w:p>
    <w:p w14:paraId="2F5D1F9C">
      <w:pPr>
        <w:snapToGrid w:val="0"/>
        <w:spacing w:before="156" w:beforeLines="50" w:after="156" w:afterLines="50" w:line="600" w:lineRule="exact"/>
        <w:ind w:left="238"/>
        <w:jc w:val="center"/>
        <w:outlineLvl w:val="0"/>
        <w:rPr>
          <w:rFonts w:ascii="宋体" w:hAnsi="宋体" w:cs="宋体"/>
          <w:b/>
          <w:color w:val="000000" w:themeColor="text1"/>
          <w:sz w:val="36"/>
          <w:szCs w:val="36"/>
          <w14:textFill>
            <w14:solidFill>
              <w14:schemeClr w14:val="tx1"/>
            </w14:solidFill>
          </w14:textFill>
        </w:rPr>
      </w:pPr>
      <w:bookmarkStart w:id="12" w:name="_Toc19636"/>
      <w:r>
        <w:rPr>
          <w:rFonts w:hint="eastAsia" w:ascii="宋体" w:hAnsi="宋体" w:cs="宋体"/>
          <w:b/>
          <w:color w:val="000000" w:themeColor="text1"/>
          <w:sz w:val="36"/>
          <w:szCs w:val="36"/>
          <w14:textFill>
            <w14:solidFill>
              <w14:schemeClr w14:val="tx1"/>
            </w14:solidFill>
          </w14:textFill>
        </w:rPr>
        <w:t>第三章 投标人须知</w:t>
      </w:r>
      <w:bookmarkEnd w:id="12"/>
    </w:p>
    <w:p w14:paraId="4388303D">
      <w:pPr>
        <w:widowControl/>
        <w:spacing w:line="320" w:lineRule="exact"/>
        <w:jc w:val="center"/>
        <w:rPr>
          <w:rFonts w:ascii="宋体" w:hAnsi="宋体" w:cs="宋体"/>
          <w:b/>
          <w:bCs/>
          <w:color w:val="000000" w:themeColor="text1"/>
          <w:kern w:val="0"/>
          <w:sz w:val="32"/>
          <w:szCs w:val="32"/>
          <w14:textFill>
            <w14:solidFill>
              <w14:schemeClr w14:val="tx1"/>
            </w14:solidFill>
          </w14:textFill>
        </w:rPr>
      </w:pPr>
    </w:p>
    <w:p w14:paraId="7C66D51A">
      <w:pPr>
        <w:spacing w:line="360" w:lineRule="auto"/>
        <w:rPr>
          <w:rFonts w:ascii="宋体" w:hAnsi="宋体" w:cs="宋体"/>
          <w:b/>
          <w:color w:val="000000" w:themeColor="text1"/>
          <w:szCs w:val="21"/>
          <w14:textFill>
            <w14:solidFill>
              <w14:schemeClr w14:val="tx1"/>
            </w14:solidFill>
          </w14:textFill>
        </w:rPr>
      </w:pPr>
    </w:p>
    <w:p w14:paraId="421650EE">
      <w:pPr>
        <w:spacing w:line="360" w:lineRule="auto"/>
        <w:rPr>
          <w:rFonts w:ascii="宋体" w:hAnsi="宋体" w:cs="宋体"/>
          <w:b/>
          <w:color w:val="000000" w:themeColor="text1"/>
          <w:szCs w:val="21"/>
          <w14:textFill>
            <w14:solidFill>
              <w14:schemeClr w14:val="tx1"/>
            </w14:solidFill>
          </w14:textFill>
        </w:rPr>
      </w:pPr>
    </w:p>
    <w:p w14:paraId="301D3932">
      <w:pPr>
        <w:spacing w:line="360" w:lineRule="auto"/>
        <w:rPr>
          <w:rFonts w:ascii="宋体" w:hAnsi="宋体" w:cs="宋体"/>
          <w:b/>
          <w:color w:val="000000" w:themeColor="text1"/>
          <w:szCs w:val="21"/>
          <w14:textFill>
            <w14:solidFill>
              <w14:schemeClr w14:val="tx1"/>
            </w14:solidFill>
          </w14:textFill>
        </w:rPr>
      </w:pPr>
    </w:p>
    <w:p w14:paraId="159B29C4">
      <w:pPr>
        <w:spacing w:line="360" w:lineRule="auto"/>
        <w:rPr>
          <w:rFonts w:ascii="宋体" w:hAnsi="宋体" w:cs="宋体"/>
          <w:b/>
          <w:color w:val="000000" w:themeColor="text1"/>
          <w:szCs w:val="21"/>
          <w14:textFill>
            <w14:solidFill>
              <w14:schemeClr w14:val="tx1"/>
            </w14:solidFill>
          </w14:textFill>
        </w:rPr>
      </w:pPr>
    </w:p>
    <w:p w14:paraId="4EB90955">
      <w:pPr>
        <w:spacing w:line="360" w:lineRule="auto"/>
        <w:rPr>
          <w:rFonts w:ascii="宋体" w:hAnsi="宋体" w:cs="宋体"/>
          <w:b/>
          <w:color w:val="000000" w:themeColor="text1"/>
          <w:szCs w:val="21"/>
          <w14:textFill>
            <w14:solidFill>
              <w14:schemeClr w14:val="tx1"/>
            </w14:solidFill>
          </w14:textFill>
        </w:rPr>
      </w:pPr>
    </w:p>
    <w:p w14:paraId="12E22681">
      <w:pPr>
        <w:spacing w:line="360" w:lineRule="auto"/>
        <w:rPr>
          <w:rFonts w:ascii="宋体" w:hAnsi="宋体" w:cs="宋体"/>
          <w:b/>
          <w:color w:val="000000" w:themeColor="text1"/>
          <w:szCs w:val="21"/>
          <w14:textFill>
            <w14:solidFill>
              <w14:schemeClr w14:val="tx1"/>
            </w14:solidFill>
          </w14:textFill>
        </w:rPr>
      </w:pPr>
    </w:p>
    <w:p w14:paraId="0DAD5B26">
      <w:pPr>
        <w:spacing w:line="360" w:lineRule="auto"/>
        <w:rPr>
          <w:rFonts w:ascii="宋体" w:hAnsi="宋体" w:cs="宋体"/>
          <w:b/>
          <w:color w:val="000000" w:themeColor="text1"/>
          <w:szCs w:val="21"/>
          <w14:textFill>
            <w14:solidFill>
              <w14:schemeClr w14:val="tx1"/>
            </w14:solidFill>
          </w14:textFill>
        </w:rPr>
      </w:pPr>
    </w:p>
    <w:p w14:paraId="5E6520F2">
      <w:pPr>
        <w:spacing w:line="360" w:lineRule="auto"/>
        <w:rPr>
          <w:rFonts w:ascii="宋体" w:hAnsi="宋体" w:cs="宋体"/>
          <w:b/>
          <w:color w:val="000000" w:themeColor="text1"/>
          <w:szCs w:val="21"/>
          <w14:textFill>
            <w14:solidFill>
              <w14:schemeClr w14:val="tx1"/>
            </w14:solidFill>
          </w14:textFill>
        </w:rPr>
      </w:pPr>
    </w:p>
    <w:p w14:paraId="3E8BF339">
      <w:pPr>
        <w:spacing w:line="360" w:lineRule="auto"/>
        <w:rPr>
          <w:rFonts w:ascii="宋体" w:hAnsi="宋体" w:cs="宋体"/>
          <w:b/>
          <w:color w:val="000000" w:themeColor="text1"/>
          <w:szCs w:val="21"/>
          <w14:textFill>
            <w14:solidFill>
              <w14:schemeClr w14:val="tx1"/>
            </w14:solidFill>
          </w14:textFill>
        </w:rPr>
      </w:pPr>
    </w:p>
    <w:p w14:paraId="6264691E">
      <w:pPr>
        <w:spacing w:line="360" w:lineRule="auto"/>
        <w:rPr>
          <w:rFonts w:ascii="宋体" w:hAnsi="宋体" w:cs="宋体"/>
          <w:b/>
          <w:color w:val="000000" w:themeColor="text1"/>
          <w:szCs w:val="21"/>
          <w14:textFill>
            <w14:solidFill>
              <w14:schemeClr w14:val="tx1"/>
            </w14:solidFill>
          </w14:textFill>
        </w:rPr>
      </w:pPr>
    </w:p>
    <w:p w14:paraId="06F2C240">
      <w:pPr>
        <w:spacing w:line="360" w:lineRule="auto"/>
        <w:rPr>
          <w:rFonts w:ascii="宋体" w:hAnsi="宋体" w:cs="宋体"/>
          <w:b/>
          <w:color w:val="000000" w:themeColor="text1"/>
          <w:szCs w:val="21"/>
          <w14:textFill>
            <w14:solidFill>
              <w14:schemeClr w14:val="tx1"/>
            </w14:solidFill>
          </w14:textFill>
        </w:rPr>
      </w:pPr>
    </w:p>
    <w:p w14:paraId="6A2B8E8D">
      <w:pPr>
        <w:tabs>
          <w:tab w:val="center" w:pos="4153"/>
          <w:tab w:val="left" w:pos="6795"/>
        </w:tabs>
        <w:snapToGrid w:val="0"/>
        <w:spacing w:line="600" w:lineRule="exact"/>
        <w:rPr>
          <w:rFonts w:ascii="宋体" w:hAnsi="宋体" w:cs="宋体"/>
          <w:b/>
          <w:color w:val="000000" w:themeColor="text1"/>
          <w:sz w:val="32"/>
          <w:szCs w:val="32"/>
          <w14:textFill>
            <w14:solidFill>
              <w14:schemeClr w14:val="tx1"/>
            </w14:solidFill>
          </w14:textFill>
        </w:rPr>
        <w:sectPr>
          <w:footerReference r:id="rId11" w:type="first"/>
          <w:pgSz w:w="11906" w:h="16838"/>
          <w:pgMar w:top="1247" w:right="849" w:bottom="1247" w:left="1418" w:header="851" w:footer="992" w:gutter="0"/>
          <w:cols w:space="720" w:num="1"/>
          <w:titlePg/>
          <w:docGrid w:type="lines" w:linePitch="312" w:charSpace="0"/>
        </w:sectPr>
      </w:pPr>
    </w:p>
    <w:p w14:paraId="195C878C">
      <w:pPr>
        <w:tabs>
          <w:tab w:val="center" w:pos="4153"/>
          <w:tab w:val="left" w:pos="6795"/>
        </w:tabs>
        <w:snapToGrid w:val="0"/>
        <w:spacing w:line="600" w:lineRule="exact"/>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投标人须知及前附表</w:t>
      </w:r>
    </w:p>
    <w:tbl>
      <w:tblPr>
        <w:tblStyle w:val="58"/>
        <w:tblW w:w="9799" w:type="dxa"/>
        <w:tblInd w:w="-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6"/>
        <w:gridCol w:w="9073"/>
      </w:tblGrid>
      <w:tr w14:paraId="2E04F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auto" w:sz="4" w:space="0"/>
              <w:left w:val="single" w:color="auto" w:sz="4" w:space="0"/>
              <w:bottom w:val="single" w:color="auto" w:sz="4" w:space="0"/>
              <w:right w:val="single" w:color="auto" w:sz="4" w:space="0"/>
            </w:tcBorders>
            <w:vAlign w:val="center"/>
          </w:tcPr>
          <w:p w14:paraId="6033B5EB">
            <w:pPr>
              <w:snapToGrid w:val="0"/>
              <w:spacing w:line="2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9073" w:type="dxa"/>
            <w:tcBorders>
              <w:top w:val="single" w:color="auto" w:sz="4" w:space="0"/>
              <w:left w:val="single" w:color="auto" w:sz="4" w:space="0"/>
              <w:bottom w:val="single" w:color="auto" w:sz="4" w:space="0"/>
              <w:right w:val="single" w:color="auto" w:sz="4" w:space="0"/>
            </w:tcBorders>
            <w:vAlign w:val="center"/>
          </w:tcPr>
          <w:p w14:paraId="70667D3E">
            <w:pPr>
              <w:snapToGrid w:val="0"/>
              <w:spacing w:line="2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内容、要求</w:t>
            </w:r>
          </w:p>
        </w:tc>
      </w:tr>
      <w:tr w14:paraId="61B1F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726" w:type="dxa"/>
            <w:tcBorders>
              <w:top w:val="single" w:color="auto" w:sz="4" w:space="0"/>
              <w:left w:val="single" w:color="auto" w:sz="4" w:space="0"/>
              <w:bottom w:val="single" w:color="auto" w:sz="4" w:space="0"/>
              <w:right w:val="single" w:color="auto" w:sz="4" w:space="0"/>
            </w:tcBorders>
            <w:vAlign w:val="center"/>
          </w:tcPr>
          <w:p w14:paraId="5BA5D073">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9073" w:type="dxa"/>
            <w:tcBorders>
              <w:top w:val="single" w:color="auto" w:sz="4" w:space="0"/>
              <w:left w:val="single" w:color="auto" w:sz="4" w:space="0"/>
              <w:bottom w:val="single" w:color="auto" w:sz="4" w:space="0"/>
              <w:right w:val="single" w:color="auto" w:sz="4" w:space="0"/>
            </w:tcBorders>
            <w:vAlign w:val="center"/>
          </w:tcPr>
          <w:p w14:paraId="24717877">
            <w:pPr>
              <w:snapToGrid w:val="0"/>
              <w:spacing w:line="240" w:lineRule="exac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项目名称：</w:t>
            </w:r>
            <w:r>
              <w:rPr>
                <w:rFonts w:hint="eastAsia" w:ascii="宋体" w:hAnsi="宋体" w:cs="宋体"/>
                <w:color w:val="000000" w:themeColor="text1"/>
                <w:szCs w:val="21"/>
                <w:lang w:val="en-US" w:eastAsia="zh-CN"/>
                <w14:textFill>
                  <w14:solidFill>
                    <w14:schemeClr w14:val="tx1"/>
                  </w14:solidFill>
                </w14:textFill>
              </w:rPr>
              <w:t>广西壮族自治区第十六届运动会和广西壮族自治区第十一届残疾人运动会暨第六届特殊奥林匹克运动会开闭幕式及火炬传递仪式服务公开招标</w:t>
            </w:r>
            <w:r>
              <w:rPr>
                <w:rFonts w:hint="eastAsia" w:ascii="宋体" w:hAnsi="宋体" w:cs="宋体"/>
                <w:color w:val="000000" w:themeColor="text1"/>
                <w:szCs w:val="21"/>
                <w14:textFill>
                  <w14:solidFill>
                    <w14:schemeClr w14:val="tx1"/>
                  </w14:solidFill>
                </w14:textFill>
              </w:rPr>
              <w:t>。</w:t>
            </w:r>
          </w:p>
          <w:p w14:paraId="15596121">
            <w:pPr>
              <w:snapToGrid w:val="0"/>
              <w:spacing w:line="240" w:lineRule="exac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项目编号：</w:t>
            </w:r>
            <w:r>
              <w:rPr>
                <w:rFonts w:hint="eastAsia" w:ascii="宋体" w:hAnsi="宋体" w:cs="宋体"/>
                <w:color w:val="000000" w:themeColor="text1"/>
                <w:szCs w:val="21"/>
                <w:lang w:eastAsia="zh-CN"/>
                <w14:textFill>
                  <w14:solidFill>
                    <w14:schemeClr w14:val="tx1"/>
                  </w14:solidFill>
                </w14:textFill>
              </w:rPr>
              <w:t>BHZC2026-G3-990062-CGZX</w:t>
            </w:r>
            <w:r>
              <w:rPr>
                <w:rFonts w:hint="eastAsia" w:ascii="宋体" w:hAnsi="宋体" w:cs="宋体"/>
                <w:bCs/>
                <w:color w:val="000000" w:themeColor="text1"/>
                <w:szCs w:val="21"/>
                <w14:textFill>
                  <w14:solidFill>
                    <w14:schemeClr w14:val="tx1"/>
                  </w14:solidFill>
                </w14:textFill>
              </w:rPr>
              <w:t>。</w:t>
            </w:r>
          </w:p>
        </w:tc>
      </w:tr>
      <w:tr w14:paraId="48E16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26" w:type="dxa"/>
            <w:tcBorders>
              <w:top w:val="single" w:color="auto" w:sz="4" w:space="0"/>
              <w:left w:val="single" w:color="auto" w:sz="4" w:space="0"/>
              <w:bottom w:val="single" w:color="auto" w:sz="4" w:space="0"/>
              <w:right w:val="single" w:color="auto" w:sz="4" w:space="0"/>
            </w:tcBorders>
            <w:vAlign w:val="center"/>
          </w:tcPr>
          <w:p w14:paraId="54BE236C">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9073" w:type="dxa"/>
            <w:tcBorders>
              <w:top w:val="single" w:color="auto" w:sz="4" w:space="0"/>
              <w:left w:val="single" w:color="auto" w:sz="4" w:space="0"/>
              <w:bottom w:val="single" w:color="auto" w:sz="4" w:space="0"/>
              <w:right w:val="single" w:color="auto" w:sz="4" w:space="0"/>
            </w:tcBorders>
            <w:vAlign w:val="center"/>
          </w:tcPr>
          <w:p w14:paraId="7C630780">
            <w:pPr>
              <w:snapToGrid w:val="0"/>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投标人的法定代表人（负责人）为同一人或者存在直接控股、管理关系的不同</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，不得参加同一合同项下的政府采购活动。</w:t>
            </w:r>
          </w:p>
        </w:tc>
      </w:tr>
      <w:tr w14:paraId="5D5A1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26" w:type="dxa"/>
            <w:tcBorders>
              <w:top w:val="single" w:color="auto" w:sz="4" w:space="0"/>
              <w:left w:val="single" w:color="auto" w:sz="4" w:space="0"/>
              <w:bottom w:val="single" w:color="auto" w:sz="4" w:space="0"/>
              <w:right w:val="single" w:color="auto" w:sz="4" w:space="0"/>
            </w:tcBorders>
            <w:vAlign w:val="center"/>
          </w:tcPr>
          <w:p w14:paraId="27FA97D9">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9073" w:type="dxa"/>
            <w:tcBorders>
              <w:top w:val="single" w:color="auto" w:sz="4" w:space="0"/>
              <w:left w:val="single" w:color="auto" w:sz="4" w:space="0"/>
              <w:bottom w:val="single" w:color="auto" w:sz="4" w:space="0"/>
              <w:right w:val="single" w:color="auto" w:sz="4" w:space="0"/>
            </w:tcBorders>
            <w:vAlign w:val="center"/>
          </w:tcPr>
          <w:p w14:paraId="46BABE4C">
            <w:pPr>
              <w:snapToGrid w:val="0"/>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投标报价及费用：</w:t>
            </w:r>
            <w:r>
              <w:rPr>
                <w:rFonts w:hint="eastAsia" w:ascii="宋体" w:hAnsi="宋体" w:cs="宋体"/>
                <w:color w:val="000000" w:themeColor="text1"/>
                <w:szCs w:val="21"/>
                <w14:textFill>
                  <w14:solidFill>
                    <w14:schemeClr w14:val="tx1"/>
                  </w14:solidFill>
                </w14:textFill>
              </w:rPr>
              <w:t>1.本项目投标应以人民币报价；2.不论投标结果如何，投标人均应自行承担所有与投标有关的全部费用。</w:t>
            </w:r>
          </w:p>
        </w:tc>
      </w:tr>
      <w:tr w14:paraId="03166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26" w:type="dxa"/>
            <w:tcBorders>
              <w:top w:val="single" w:color="auto" w:sz="4" w:space="0"/>
              <w:left w:val="single" w:color="auto" w:sz="4" w:space="0"/>
              <w:bottom w:val="single" w:color="auto" w:sz="4" w:space="0"/>
              <w:right w:val="single" w:color="auto" w:sz="4" w:space="0"/>
            </w:tcBorders>
            <w:vAlign w:val="center"/>
          </w:tcPr>
          <w:p w14:paraId="46C0EF69">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9073" w:type="dxa"/>
            <w:tcBorders>
              <w:top w:val="single" w:color="auto" w:sz="4" w:space="0"/>
              <w:left w:val="single" w:color="auto" w:sz="4" w:space="0"/>
              <w:bottom w:val="single" w:color="auto" w:sz="4" w:space="0"/>
              <w:right w:val="single" w:color="auto" w:sz="4" w:space="0"/>
            </w:tcBorders>
            <w:vAlign w:val="center"/>
          </w:tcPr>
          <w:p w14:paraId="2523286F">
            <w:pPr>
              <w:snapToGrid w:val="0"/>
              <w:spacing w:line="240" w:lineRule="exac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投标保证金</w:t>
            </w:r>
            <w:r>
              <w:rPr>
                <w:rFonts w:hint="eastAsia" w:ascii="宋体" w:hAnsi="宋体" w:cs="宋体"/>
                <w:color w:val="000000" w:themeColor="text1"/>
                <w:szCs w:val="21"/>
                <w14:textFill>
                  <w14:solidFill>
                    <w14:schemeClr w14:val="tx1"/>
                  </w14:solidFill>
                </w14:textFill>
              </w:rPr>
              <w:t>：本项目不收取投标保证金。</w:t>
            </w:r>
          </w:p>
        </w:tc>
      </w:tr>
      <w:tr w14:paraId="6AB4B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auto" w:sz="4" w:space="0"/>
              <w:left w:val="single" w:color="auto" w:sz="4" w:space="0"/>
              <w:bottom w:val="single" w:color="auto" w:sz="4" w:space="0"/>
              <w:right w:val="single" w:color="auto" w:sz="4" w:space="0"/>
            </w:tcBorders>
            <w:vAlign w:val="center"/>
          </w:tcPr>
          <w:p w14:paraId="12754271">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9073" w:type="dxa"/>
            <w:tcBorders>
              <w:top w:val="single" w:color="auto" w:sz="4" w:space="0"/>
              <w:left w:val="single" w:color="auto" w:sz="4" w:space="0"/>
              <w:bottom w:val="single" w:color="auto" w:sz="4" w:space="0"/>
              <w:right w:val="single" w:color="auto" w:sz="4" w:space="0"/>
            </w:tcBorders>
            <w:vAlign w:val="center"/>
          </w:tcPr>
          <w:p w14:paraId="7D200B70">
            <w:pPr>
              <w:snapToGrid w:val="0"/>
              <w:spacing w:line="240" w:lineRule="exact"/>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分包：</w:t>
            </w:r>
          </w:p>
          <w:p w14:paraId="0E75328A">
            <w:pPr>
              <w:snapToGrid w:val="0"/>
              <w:spacing w:line="24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w:char="00FE"/>
            </w:r>
            <w:r>
              <w:rPr>
                <w:rFonts w:hint="eastAsia" w:ascii="宋体" w:hAnsi="宋体" w:cs="宋体"/>
                <w:color w:val="000000" w:themeColor="text1"/>
                <w:szCs w:val="21"/>
                <w14:textFill>
                  <w14:solidFill>
                    <w14:schemeClr w14:val="tx1"/>
                  </w14:solidFill>
                </w14:textFill>
              </w:rPr>
              <w:t>A同意将非主体、非关键性的工作分包</w:t>
            </w:r>
            <w:r>
              <w:rPr>
                <w:rFonts w:hint="eastAsia" w:ascii="宋体" w:hAnsi="宋体" w:cs="宋体"/>
                <w:b/>
                <w:bCs/>
                <w:color w:val="000000" w:themeColor="text1"/>
                <w:szCs w:val="21"/>
                <w:lang w:val="en-US" w:eastAsia="zh-CN"/>
                <w14:textFill>
                  <w14:solidFill>
                    <w14:schemeClr w14:val="tx1"/>
                  </w14:solidFill>
                </w14:textFill>
              </w:rPr>
              <w:t>（投标人下属全资子公司承担非主体、非关键性工作的，不视为分包）。</w:t>
            </w:r>
          </w:p>
          <w:p w14:paraId="443B0D69">
            <w:pPr>
              <w:snapToGrid w:val="0"/>
              <w:spacing w:line="2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w:char="00A8"/>
            </w:r>
            <w:r>
              <w:rPr>
                <w:rFonts w:hint="eastAsia" w:ascii="宋体" w:hAnsi="宋体" w:cs="宋体"/>
                <w:color w:val="000000" w:themeColor="text1"/>
                <w:szCs w:val="21"/>
                <w14:textFill>
                  <w14:solidFill>
                    <w14:schemeClr w14:val="tx1"/>
                  </w14:solidFill>
                </w14:textFill>
              </w:rPr>
              <w:t>B不同意分包。</w:t>
            </w:r>
          </w:p>
        </w:tc>
      </w:tr>
      <w:tr w14:paraId="5383E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6" w:hRule="atLeast"/>
        </w:trPr>
        <w:tc>
          <w:tcPr>
            <w:tcW w:w="726" w:type="dxa"/>
            <w:tcBorders>
              <w:top w:val="single" w:color="auto" w:sz="4" w:space="0"/>
              <w:left w:val="single" w:color="auto" w:sz="4" w:space="0"/>
              <w:bottom w:val="single" w:color="auto" w:sz="4" w:space="0"/>
              <w:right w:val="single" w:color="auto" w:sz="4" w:space="0"/>
            </w:tcBorders>
            <w:vAlign w:val="center"/>
          </w:tcPr>
          <w:p w14:paraId="708AB9B1">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9073" w:type="dxa"/>
            <w:tcBorders>
              <w:top w:val="single" w:color="auto" w:sz="4" w:space="0"/>
              <w:left w:val="single" w:color="auto" w:sz="4" w:space="0"/>
              <w:bottom w:val="single" w:color="auto" w:sz="4" w:space="0"/>
              <w:right w:val="single" w:color="auto" w:sz="4" w:space="0"/>
            </w:tcBorders>
            <w:vAlign w:val="center"/>
          </w:tcPr>
          <w:p w14:paraId="6A5C6B1F">
            <w:pPr>
              <w:snapToGrid w:val="0"/>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答疑、澄清：</w:t>
            </w:r>
            <w:r>
              <w:rPr>
                <w:rFonts w:hint="eastAsia" w:ascii="宋体" w:hAnsi="宋体" w:cs="宋体"/>
                <w:color w:val="000000" w:themeColor="text1"/>
                <w14:textFill>
                  <w14:solidFill>
                    <w14:schemeClr w14:val="tx1"/>
                  </w14:solidFill>
                </w14:textFill>
              </w:rPr>
              <w:t>投标人要认真</w:t>
            </w:r>
            <w:r>
              <w:rPr>
                <w:rFonts w:hint="eastAsia" w:ascii="宋体" w:hAnsi="宋体" w:cs="宋体"/>
                <w:color w:val="000000" w:themeColor="text1"/>
                <w:szCs w:val="21"/>
                <w14:textFill>
                  <w14:solidFill>
                    <w14:schemeClr w14:val="tx1"/>
                  </w14:solidFill>
                </w14:textFill>
              </w:rPr>
              <w:t>阅读招标文件，仔细审核《项目需求和说明》中的要求，如发现有误或要求不合理的，投标人必须在收到招标文件之日起七个工作日书面向北海市政府采购中心要求答疑或澄清，在此后时间提出的答疑或澄清，视为无效。</w:t>
            </w:r>
          </w:p>
          <w:p w14:paraId="6A4E4D80">
            <w:pPr>
              <w:snapToGrid w:val="0"/>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询问、质疑</w:t>
            </w:r>
            <w:r>
              <w:rPr>
                <w:rFonts w:hint="eastAsia" w:ascii="宋体" w:hAnsi="宋体" w:cs="宋体"/>
                <w:color w:val="000000" w:themeColor="text1"/>
                <w:szCs w:val="21"/>
                <w14:textFill>
                  <w14:solidFill>
                    <w14:schemeClr w14:val="tx1"/>
                  </w14:solidFill>
                </w14:textFill>
              </w:rPr>
              <w:t>：投标人如认为招标文件存在歧视性、排他性或者其他违法内容的，按投标人须知“一、总则（八）询问、质疑和投诉”中的要求向北海市政府采购中心或采购人提出书面询问、质疑。</w:t>
            </w:r>
          </w:p>
          <w:p w14:paraId="33DEDD96">
            <w:pPr>
              <w:snapToGrid w:val="0"/>
              <w:spacing w:line="3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可通过北海“政采云”平台进入“项目采购-询问质疑投诉”栏目在线提起询问、质疑。</w:t>
            </w:r>
          </w:p>
          <w:p w14:paraId="3AF54BCD">
            <w:pPr>
              <w:snapToGrid w:val="0"/>
              <w:spacing w:line="3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人或者采购代理机构可以对已发出的招标文件进行必要的澄清或者修改。澄清或者修改的内容可能影响投标文件编制的，采购人或者采购代理机构应当在投标截止时间至少十五日前，以书面形式通知所有获取招标文件的潜在投标人；不足十五日的，采购人或者采购代理机构应当顺延提交投标文件的截止时间。澄清或者修改的内容为招标文件的组成部分。北海市政府采购中心将变更内容书面通知所有招标文件收受人，并在财政部门指定的政府采购信息发布媒体上发布变更公告（详细见公告中公布的网站）。</w:t>
            </w:r>
          </w:p>
        </w:tc>
      </w:tr>
      <w:tr w14:paraId="13BBE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1" w:hRule="atLeast"/>
        </w:trPr>
        <w:tc>
          <w:tcPr>
            <w:tcW w:w="726" w:type="dxa"/>
            <w:tcBorders>
              <w:top w:val="single" w:color="auto" w:sz="4" w:space="0"/>
              <w:left w:val="single" w:color="auto" w:sz="4" w:space="0"/>
              <w:bottom w:val="single" w:color="auto" w:sz="4" w:space="0"/>
              <w:right w:val="single" w:color="auto" w:sz="4" w:space="0"/>
            </w:tcBorders>
            <w:vAlign w:val="center"/>
          </w:tcPr>
          <w:p w14:paraId="6AD51FD6">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9073" w:type="dxa"/>
            <w:tcBorders>
              <w:top w:val="single" w:color="auto" w:sz="4" w:space="0"/>
              <w:left w:val="single" w:color="auto" w:sz="4" w:space="0"/>
              <w:bottom w:val="single" w:color="auto" w:sz="4" w:space="0"/>
              <w:right w:val="single" w:color="auto" w:sz="4" w:space="0"/>
            </w:tcBorders>
            <w:vAlign w:val="center"/>
          </w:tcPr>
          <w:p w14:paraId="3066C324">
            <w:pPr>
              <w:snapToGrid w:val="0"/>
              <w:spacing w:line="32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投标前准备：</w:t>
            </w:r>
          </w:p>
          <w:p w14:paraId="5789F742">
            <w:pPr>
              <w:snapToGrid w:val="0"/>
              <w:spacing w:line="3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1.本项目实行网上投标，采用电子投标文件。若</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参与投标，自行承担投标一切费用。</w:t>
            </w:r>
          </w:p>
          <w:p w14:paraId="318081FC">
            <w:pPr>
              <w:snapToGrid w:val="0"/>
              <w:spacing w:line="3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2.各</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应在截标前应确保成为广西政府采购云平台正式注册</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，并完成CA数字证书申领。因未注册入库、未办理CA数字证书等原因造成无法投标或投标失败等后果由</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自行承担。</w:t>
            </w:r>
          </w:p>
          <w:p w14:paraId="5D7CD229">
            <w:pPr>
              <w:autoSpaceDE w:val="0"/>
              <w:autoSpaceDN w:val="0"/>
              <w:snapToGrid w:val="0"/>
              <w:spacing w:line="26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将政采云电子交易客户端下载、安装完成后，可通过账号密码或CA登录客户端进行投标文件制作。客户端请至北海市政府采购中心网站下载专区查看，如有问题可拨打政采云客户服务热线95763进行咨询。</w:t>
            </w:r>
          </w:p>
        </w:tc>
      </w:tr>
      <w:tr w14:paraId="10EDD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726" w:type="dxa"/>
            <w:tcBorders>
              <w:top w:val="single" w:color="auto" w:sz="4" w:space="0"/>
              <w:left w:val="single" w:color="auto" w:sz="4" w:space="0"/>
              <w:bottom w:val="single" w:color="auto" w:sz="4" w:space="0"/>
              <w:right w:val="single" w:color="auto" w:sz="4" w:space="0"/>
            </w:tcBorders>
            <w:vAlign w:val="center"/>
          </w:tcPr>
          <w:p w14:paraId="4A957649">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9073" w:type="dxa"/>
            <w:tcBorders>
              <w:top w:val="single" w:color="auto" w:sz="4" w:space="0"/>
              <w:left w:val="single" w:color="auto" w:sz="4" w:space="0"/>
              <w:bottom w:val="single" w:color="auto" w:sz="4" w:space="0"/>
              <w:right w:val="single" w:color="auto" w:sz="4" w:space="0"/>
            </w:tcBorders>
            <w:vAlign w:val="center"/>
          </w:tcPr>
          <w:p w14:paraId="5E68C5CE">
            <w:pPr>
              <w:autoSpaceDE w:val="0"/>
              <w:autoSpaceDN w:val="0"/>
              <w:snapToGrid w:val="0"/>
              <w:spacing w:line="260" w:lineRule="exact"/>
              <w:ind w:firstLine="422" w:firstLineChars="200"/>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应准备电子投标文件，</w:t>
            </w:r>
            <w:r>
              <w:rPr>
                <w:rFonts w:hint="eastAsia" w:ascii="宋体" w:hAnsi="宋体" w:cs="宋体"/>
                <w:color w:val="000000" w:themeColor="text1"/>
                <w:szCs w:val="21"/>
                <w14:textFill>
                  <w14:solidFill>
                    <w14:schemeClr w14:val="tx1"/>
                  </w14:solidFill>
                </w14:textFill>
              </w:rPr>
              <w:t>电子投标文件按广西政府采购云平台要求及本招标文件要求制作、加密并递交。</w:t>
            </w:r>
          </w:p>
          <w:p w14:paraId="28F71799">
            <w:pPr>
              <w:autoSpaceDE w:val="0"/>
              <w:autoSpaceDN w:val="0"/>
              <w:snapToGrid w:val="0"/>
              <w:spacing w:line="26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电子投标文件解密时间：截标时间后30分钟内，投标</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必须在此时间段内登录广西政府采购云平台，用“项目采购-开标评标”功能完成电子投标文件的解密。若投标</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在规定时间内未按时解密的，视为投标文件无效。</w:t>
            </w:r>
          </w:p>
        </w:tc>
      </w:tr>
      <w:tr w14:paraId="44403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726" w:type="dxa"/>
            <w:tcBorders>
              <w:top w:val="single" w:color="auto" w:sz="4" w:space="0"/>
              <w:left w:val="single" w:color="auto" w:sz="4" w:space="0"/>
              <w:bottom w:val="single" w:color="auto" w:sz="4" w:space="0"/>
              <w:right w:val="single" w:color="auto" w:sz="4" w:space="0"/>
            </w:tcBorders>
            <w:vAlign w:val="center"/>
          </w:tcPr>
          <w:p w14:paraId="2EE58D2C">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9073" w:type="dxa"/>
            <w:tcBorders>
              <w:top w:val="single" w:color="auto" w:sz="4" w:space="0"/>
              <w:left w:val="single" w:color="auto" w:sz="4" w:space="0"/>
              <w:bottom w:val="single" w:color="auto" w:sz="4" w:space="0"/>
              <w:right w:val="single" w:color="auto" w:sz="4" w:space="0"/>
            </w:tcBorders>
            <w:vAlign w:val="center"/>
          </w:tcPr>
          <w:p w14:paraId="43A6BDE5">
            <w:pPr>
              <w:autoSpaceDE w:val="0"/>
              <w:autoSpaceDN w:val="0"/>
              <w:snapToGrid w:val="0"/>
              <w:spacing w:line="260" w:lineRule="exact"/>
              <w:textAlignment w:val="bottom"/>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本文件所涉及的法定代表人（负责人）或其委托代理人签名的内容，可以是</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的法定代表人（负责人）或其委托代理人的电子签名；如果</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没有法定代表人（负责人）或其委托代理人的电子签名，</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也可以线下签名或盖姓名章后扫描上传。</w:t>
            </w:r>
          </w:p>
        </w:tc>
      </w:tr>
      <w:tr w14:paraId="44055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auto" w:sz="4" w:space="0"/>
              <w:left w:val="single" w:color="auto" w:sz="4" w:space="0"/>
              <w:bottom w:val="single" w:color="auto" w:sz="4" w:space="0"/>
              <w:right w:val="single" w:color="auto" w:sz="4" w:space="0"/>
            </w:tcBorders>
            <w:vAlign w:val="center"/>
          </w:tcPr>
          <w:p w14:paraId="18DAE6C0">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9073" w:type="dxa"/>
            <w:tcBorders>
              <w:top w:val="single" w:color="auto" w:sz="4" w:space="0"/>
              <w:left w:val="single" w:color="auto" w:sz="4" w:space="0"/>
              <w:bottom w:val="single" w:color="auto" w:sz="4" w:space="0"/>
              <w:right w:val="single" w:color="auto" w:sz="4" w:space="0"/>
            </w:tcBorders>
            <w:vAlign w:val="center"/>
          </w:tcPr>
          <w:p w14:paraId="6137404A">
            <w:pPr>
              <w:snapToGrid w:val="0"/>
              <w:spacing w:line="2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投标截止时间及地点：2026年 月 日9时（北京时间），通过广西政府采购云平台实行在线截标。</w:t>
            </w:r>
          </w:p>
        </w:tc>
      </w:tr>
      <w:tr w14:paraId="776AE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726" w:type="dxa"/>
            <w:tcBorders>
              <w:top w:val="single" w:color="auto" w:sz="4" w:space="0"/>
              <w:left w:val="single" w:color="auto" w:sz="4" w:space="0"/>
              <w:bottom w:val="single" w:color="auto" w:sz="4" w:space="0"/>
              <w:right w:val="single" w:color="auto" w:sz="4" w:space="0"/>
            </w:tcBorders>
            <w:vAlign w:val="center"/>
          </w:tcPr>
          <w:p w14:paraId="63994928">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9073" w:type="dxa"/>
            <w:tcBorders>
              <w:top w:val="single" w:color="auto" w:sz="4" w:space="0"/>
              <w:left w:val="single" w:color="auto" w:sz="4" w:space="0"/>
              <w:bottom w:val="single" w:color="auto" w:sz="4" w:space="0"/>
              <w:right w:val="single" w:color="auto" w:sz="4" w:space="0"/>
            </w:tcBorders>
            <w:vAlign w:val="center"/>
          </w:tcPr>
          <w:p w14:paraId="1310F8F9">
            <w:pPr>
              <w:snapToGrid w:val="0"/>
              <w:spacing w:line="2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开标时间及地点：2026年 月 日9时（北京时间），通过广西政府采购云平台实行在线开标。</w:t>
            </w:r>
          </w:p>
        </w:tc>
      </w:tr>
      <w:tr w14:paraId="35530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726" w:type="dxa"/>
            <w:tcBorders>
              <w:top w:val="single" w:color="auto" w:sz="4" w:space="0"/>
              <w:left w:val="single" w:color="auto" w:sz="4" w:space="0"/>
              <w:bottom w:val="single" w:color="auto" w:sz="4" w:space="0"/>
              <w:right w:val="single" w:color="auto" w:sz="4" w:space="0"/>
            </w:tcBorders>
            <w:vAlign w:val="center"/>
          </w:tcPr>
          <w:p w14:paraId="46D02B69">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9073" w:type="dxa"/>
            <w:tcBorders>
              <w:top w:val="single" w:color="auto" w:sz="4" w:space="0"/>
              <w:left w:val="single" w:color="auto" w:sz="4" w:space="0"/>
              <w:bottom w:val="single" w:color="auto" w:sz="4" w:space="0"/>
              <w:right w:val="single" w:color="auto" w:sz="4" w:space="0"/>
            </w:tcBorders>
            <w:vAlign w:val="center"/>
          </w:tcPr>
          <w:p w14:paraId="6A52311C">
            <w:pPr>
              <w:autoSpaceDE w:val="0"/>
              <w:autoSpaceDN w:val="0"/>
              <w:snapToGrid w:val="0"/>
              <w:spacing w:line="260" w:lineRule="exact"/>
              <w:textAlignment w:val="bottom"/>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评标方法及评分标准：</w:t>
            </w:r>
            <w:r>
              <w:rPr>
                <w:rFonts w:hint="eastAsia" w:ascii="宋体" w:hAnsi="宋体" w:cs="宋体"/>
                <w:color w:val="000000" w:themeColor="text1"/>
                <w:szCs w:val="21"/>
                <w14:textFill>
                  <w14:solidFill>
                    <w14:schemeClr w14:val="tx1"/>
                  </w14:solidFill>
                </w14:textFill>
              </w:rPr>
              <w:t>综合评分法。</w:t>
            </w:r>
          </w:p>
        </w:tc>
      </w:tr>
      <w:tr w14:paraId="47302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6" w:hRule="atLeast"/>
        </w:trPr>
        <w:tc>
          <w:tcPr>
            <w:tcW w:w="726" w:type="dxa"/>
            <w:tcBorders>
              <w:top w:val="single" w:color="auto" w:sz="4" w:space="0"/>
              <w:left w:val="single" w:color="auto" w:sz="4" w:space="0"/>
              <w:bottom w:val="single" w:color="auto" w:sz="4" w:space="0"/>
              <w:right w:val="single" w:color="auto" w:sz="4" w:space="0"/>
            </w:tcBorders>
            <w:vAlign w:val="center"/>
          </w:tcPr>
          <w:p w14:paraId="5569A4BB">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9073" w:type="dxa"/>
            <w:tcBorders>
              <w:top w:val="single" w:color="auto" w:sz="4" w:space="0"/>
              <w:left w:val="single" w:color="auto" w:sz="4" w:space="0"/>
              <w:bottom w:val="single" w:color="auto" w:sz="4" w:space="0"/>
              <w:right w:val="single" w:color="auto" w:sz="4" w:space="0"/>
            </w:tcBorders>
            <w:vAlign w:val="center"/>
          </w:tcPr>
          <w:p w14:paraId="5EBA5279">
            <w:pPr>
              <w:autoSpaceDE w:val="0"/>
              <w:autoSpaceDN w:val="0"/>
              <w:snapToGrid w:val="0"/>
              <w:textAlignment w:val="bottom"/>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中标通知书及中标公告：</w:t>
            </w:r>
            <w:r>
              <w:rPr>
                <w:rFonts w:hint="eastAsia" w:ascii="宋体" w:hAnsi="宋体" w:cs="宋体"/>
                <w:color w:val="000000" w:themeColor="text1"/>
                <w14:textFill>
                  <w14:solidFill>
                    <w14:schemeClr w14:val="tx1"/>
                  </w14:solidFill>
                </w14:textFill>
              </w:rPr>
              <w:t>采购代理机构在采购人依法确定中标人之日起2个工作日内发出中标通知书，并在</w:t>
            </w:r>
            <w:r>
              <w:rPr>
                <w:rFonts w:hint="eastAsia" w:ascii="宋体" w:hAnsi="宋体" w:cs="宋体"/>
                <w:color w:val="000000" w:themeColor="text1"/>
                <w:szCs w:val="21"/>
                <w14:textFill>
                  <w14:solidFill>
                    <w14:schemeClr w14:val="tx1"/>
                  </w14:solidFill>
                </w14:textFill>
              </w:rPr>
              <w:t>中国政府采购网、</w:t>
            </w:r>
            <w:r>
              <w:rPr>
                <w:rFonts w:hint="eastAsia" w:ascii="宋体" w:hAnsi="宋体" w:cs="宋体"/>
                <w:color w:val="000000" w:themeColor="text1"/>
                <w14:textFill>
                  <w14:solidFill>
                    <w14:schemeClr w14:val="tx1"/>
                  </w14:solidFill>
                </w14:textFill>
              </w:rPr>
              <w:t>广西壮族自治区政府采购网、北海市政府采购监管网、北海市政府采购中心网站、全国公共资源交易平台（广西•北海）发布中标公告。</w:t>
            </w:r>
          </w:p>
          <w:p w14:paraId="018E774B">
            <w:pPr>
              <w:autoSpaceDE w:val="0"/>
              <w:autoSpaceDN w:val="0"/>
              <w:snapToGrid w:val="0"/>
              <w:textAlignment w:val="bottom"/>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中小企业信用融资：</w:t>
            </w:r>
            <w:r>
              <w:rPr>
                <w:rFonts w:hint="eastAsia" w:ascii="宋体" w:hAnsi="宋体" w:cs="宋体"/>
                <w:color w:val="000000" w:themeColor="text1"/>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cs="宋体"/>
                <w:color w:val="000000" w:themeColor="text1"/>
                <w:lang w:eastAsia="zh-CN"/>
                <w14:textFill>
                  <w14:solidFill>
                    <w14:schemeClr w14:val="tx1"/>
                  </w14:solidFill>
                </w14:textFill>
              </w:rPr>
              <w:t>投标人</w:t>
            </w:r>
            <w:r>
              <w:rPr>
                <w:rFonts w:hint="eastAsia" w:ascii="宋体" w:hAnsi="宋体" w:cs="宋体"/>
                <w:color w:val="000000" w:themeColor="text1"/>
                <w14:textFill>
                  <w14:solidFill>
                    <w14:schemeClr w14:val="tx1"/>
                  </w14:solidFill>
                </w14:textFill>
              </w:rPr>
              <w:t>若有融资意向，详见《关于贯彻落实政府采购领域促进中小企业发展措施的通知》，或登录北海市政府采购中心网站自助查询。</w:t>
            </w:r>
          </w:p>
          <w:p w14:paraId="3C826FFE">
            <w:pPr>
              <w:autoSpaceDE w:val="0"/>
              <w:autoSpaceDN w:val="0"/>
              <w:snapToGrid w:val="0"/>
              <w:ind w:firstLine="420" w:firstLineChars="200"/>
              <w:textAlignment w:val="bottom"/>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投标人</w:t>
            </w:r>
            <w:r>
              <w:rPr>
                <w:rFonts w:hint="eastAsia" w:ascii="宋体" w:hAnsi="宋体" w:cs="宋体"/>
                <w:color w:val="000000" w:themeColor="text1"/>
                <w14:textFill>
                  <w14:solidFill>
                    <w14:schemeClr w14:val="tx1"/>
                  </w14:solidFill>
                </w14:textFill>
              </w:rPr>
              <w:t>中标后也可在广西政府采购云平台申请政采贷：操作路径：登录政采云平台-金融服务中心-【融资服务】，可在热门申请中选择产品直接申请。</w:t>
            </w:r>
          </w:p>
        </w:tc>
      </w:tr>
      <w:tr w14:paraId="5D4AF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exact"/>
        </w:trPr>
        <w:tc>
          <w:tcPr>
            <w:tcW w:w="726" w:type="dxa"/>
            <w:tcBorders>
              <w:top w:val="single" w:color="auto" w:sz="4" w:space="0"/>
              <w:left w:val="single" w:color="auto" w:sz="4" w:space="0"/>
              <w:bottom w:val="single" w:color="auto" w:sz="4" w:space="0"/>
              <w:right w:val="single" w:color="auto" w:sz="4" w:space="0"/>
            </w:tcBorders>
            <w:vAlign w:val="center"/>
          </w:tcPr>
          <w:p w14:paraId="45E44CFF">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9073" w:type="dxa"/>
            <w:tcBorders>
              <w:top w:val="single" w:color="auto" w:sz="4" w:space="0"/>
              <w:left w:val="single" w:color="auto" w:sz="4" w:space="0"/>
              <w:bottom w:val="single" w:color="auto" w:sz="4" w:space="0"/>
              <w:right w:val="single" w:color="auto" w:sz="4" w:space="0"/>
            </w:tcBorders>
            <w:vAlign w:val="center"/>
          </w:tcPr>
          <w:p w14:paraId="309448E2">
            <w:pPr>
              <w:autoSpaceDE w:val="0"/>
              <w:autoSpaceDN w:val="0"/>
              <w:snapToGrid w:val="0"/>
              <w:textAlignment w:val="bottom"/>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签订合同时间：</w:t>
            </w:r>
            <w:r>
              <w:rPr>
                <w:rFonts w:hint="eastAsia" w:ascii="宋体" w:hAnsi="宋体" w:cs="宋体"/>
                <w:color w:val="000000" w:themeColor="text1"/>
                <w14:textFill>
                  <w14:solidFill>
                    <w14:schemeClr w14:val="tx1"/>
                  </w14:solidFill>
                </w14:textFill>
              </w:rPr>
              <w:t>自中标通知书发出之日起，原则上要求25日内签订（项目实施过程中出现质疑或投诉的情形除外）。</w:t>
            </w:r>
          </w:p>
          <w:p w14:paraId="0907051A">
            <w:pPr>
              <w:pStyle w:val="3"/>
              <w:rPr>
                <w:rFonts w:ascii="宋体" w:hAnsi="宋体" w:eastAsia="宋体" w:cs="宋体"/>
                <w:color w:val="000000" w:themeColor="text1"/>
                <w14:textFill>
                  <w14:solidFill>
                    <w14:schemeClr w14:val="tx1"/>
                  </w14:solidFill>
                </w14:textFill>
              </w:rPr>
            </w:pPr>
          </w:p>
        </w:tc>
      </w:tr>
      <w:tr w14:paraId="3ED84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exact"/>
        </w:trPr>
        <w:tc>
          <w:tcPr>
            <w:tcW w:w="726" w:type="dxa"/>
            <w:tcBorders>
              <w:top w:val="single" w:color="auto" w:sz="4" w:space="0"/>
              <w:left w:val="single" w:color="auto" w:sz="4" w:space="0"/>
              <w:bottom w:val="single" w:color="auto" w:sz="4" w:space="0"/>
              <w:right w:val="single" w:color="auto" w:sz="4" w:space="0"/>
            </w:tcBorders>
            <w:vAlign w:val="center"/>
          </w:tcPr>
          <w:p w14:paraId="18A4D419">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9073" w:type="dxa"/>
            <w:tcBorders>
              <w:top w:val="single" w:color="auto" w:sz="4" w:space="0"/>
              <w:left w:val="single" w:color="auto" w:sz="4" w:space="0"/>
              <w:bottom w:val="single" w:color="auto" w:sz="4" w:space="0"/>
              <w:right w:val="single" w:color="auto" w:sz="4" w:space="0"/>
            </w:tcBorders>
            <w:vAlign w:val="center"/>
          </w:tcPr>
          <w:p w14:paraId="10E1707F">
            <w:pPr>
              <w:autoSpaceDE w:val="0"/>
              <w:autoSpaceDN w:val="0"/>
              <w:snapToGrid w:val="0"/>
              <w:spacing w:line="260" w:lineRule="exact"/>
              <w:textAlignment w:val="bottom"/>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采购资金来源：</w:t>
            </w:r>
            <w:r>
              <w:rPr>
                <w:rFonts w:hint="eastAsia" w:ascii="宋体" w:hAnsi="宋体" w:cs="宋体"/>
                <w:color w:val="000000" w:themeColor="text1"/>
                <w:szCs w:val="21"/>
                <w14:textFill>
                  <w14:solidFill>
                    <w14:schemeClr w14:val="tx1"/>
                  </w14:solidFill>
                </w14:textFill>
              </w:rPr>
              <w:t>财政性资金。</w:t>
            </w:r>
          </w:p>
        </w:tc>
      </w:tr>
      <w:tr w14:paraId="19DEA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6" w:hRule="exact"/>
        </w:trPr>
        <w:tc>
          <w:tcPr>
            <w:tcW w:w="726" w:type="dxa"/>
            <w:tcBorders>
              <w:top w:val="single" w:color="auto" w:sz="4" w:space="0"/>
              <w:left w:val="single" w:color="auto" w:sz="4" w:space="0"/>
              <w:bottom w:val="single" w:color="auto" w:sz="4" w:space="0"/>
              <w:right w:val="single" w:color="auto" w:sz="4" w:space="0"/>
            </w:tcBorders>
            <w:vAlign w:val="center"/>
          </w:tcPr>
          <w:p w14:paraId="23D6CC57">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9073" w:type="dxa"/>
            <w:tcBorders>
              <w:top w:val="single" w:color="auto" w:sz="4" w:space="0"/>
              <w:left w:val="single" w:color="auto" w:sz="4" w:space="0"/>
              <w:bottom w:val="single" w:color="auto" w:sz="4" w:space="0"/>
              <w:right w:val="single" w:color="auto" w:sz="4" w:space="0"/>
            </w:tcBorders>
            <w:vAlign w:val="center"/>
          </w:tcPr>
          <w:p w14:paraId="36A29AB0">
            <w:pPr>
              <w:snapToGrid w:val="0"/>
              <w:spacing w:line="24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付款方式：</w:t>
            </w:r>
          </w:p>
          <w:p w14:paraId="1ED99508">
            <w:pPr>
              <w:autoSpaceDE w:val="0"/>
              <w:autoSpaceDN w:val="0"/>
              <w:snapToGrid w:val="0"/>
              <w:ind w:firstLine="420" w:firstLineChars="200"/>
              <w:textAlignment w:val="bottom"/>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1.合同签订生效后，且采购人收到中标人开具的等额合法有效增值税发票之日起10日内，向中标人支付合同总金额的</w:t>
            </w:r>
            <w:r>
              <w:rPr>
                <w:rFonts w:hint="eastAsia" w:ascii="宋体" w:hAnsi="宋体" w:cs="宋体"/>
                <w:color w:val="000000" w:themeColor="text1"/>
                <w:lang w:val="en-US" w:eastAsia="zh-CN"/>
                <w14:textFill>
                  <w14:solidFill>
                    <w14:schemeClr w14:val="tx1"/>
                  </w14:solidFill>
                </w14:textFill>
              </w:rPr>
              <w:t>30</w:t>
            </w:r>
            <w:r>
              <w:rPr>
                <w:rFonts w:hint="eastAsia" w:ascii="宋体" w:hAnsi="宋体" w:cs="宋体"/>
                <w:color w:val="000000" w:themeColor="text1"/>
                <w14:textFill>
                  <w14:solidFill>
                    <w14:schemeClr w14:val="tx1"/>
                  </w14:solidFill>
                </w14:textFill>
              </w:rPr>
              <w:t>%作为首期款项。</w:t>
            </w:r>
          </w:p>
          <w:p w14:paraId="5DC2C7D8">
            <w:pPr>
              <w:autoSpaceDE w:val="0"/>
              <w:autoSpaceDN w:val="0"/>
              <w:snapToGrid w:val="0"/>
              <w:ind w:firstLine="420" w:firstLineChars="200"/>
              <w:textAlignment w:val="bottom"/>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2.演出执行方案经组委会审定通过后，且采购人收到中标人开具的等额合法有效增值税发票之日起10日内，向中标人支付合同总金额的</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0%作为第二期款项。</w:t>
            </w:r>
          </w:p>
          <w:p w14:paraId="04B61704">
            <w:pPr>
              <w:autoSpaceDE w:val="0"/>
              <w:autoSpaceDN w:val="0"/>
              <w:snapToGrid w:val="0"/>
              <w:ind w:firstLine="420" w:firstLineChars="200"/>
              <w:textAlignment w:val="bottom"/>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3.广西壮族自治区第十六届运动会开幕式全流程合成彩排完成后，且采购人收到中标人开具的等额合法有效增值税发票之日起10日内，向中标人支付合同总金额的</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0%作为第三期款项。</w:t>
            </w:r>
          </w:p>
          <w:p w14:paraId="0D643EB2">
            <w:pPr>
              <w:autoSpaceDE w:val="0"/>
              <w:autoSpaceDN w:val="0"/>
              <w:snapToGrid w:val="0"/>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4.广西壮族自治区第十一届残疾人运动会暨第六届特殊奥林匹克运动会闭幕式结束后，中标人完成场内设施拆卸及清场工作，且经履约验收，采购人收到中标人开具的等额合法有效增值税发票之日起10日内，向中标人支付合同总金额的</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0%。</w:t>
            </w:r>
          </w:p>
        </w:tc>
      </w:tr>
      <w:tr w14:paraId="71FDA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26" w:type="dxa"/>
            <w:tcBorders>
              <w:top w:val="single" w:color="auto" w:sz="4" w:space="0"/>
              <w:left w:val="single" w:color="auto" w:sz="4" w:space="0"/>
              <w:bottom w:val="single" w:color="auto" w:sz="4" w:space="0"/>
              <w:right w:val="single" w:color="auto" w:sz="4" w:space="0"/>
            </w:tcBorders>
            <w:vAlign w:val="center"/>
          </w:tcPr>
          <w:p w14:paraId="3BA6B215">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9073" w:type="dxa"/>
            <w:tcBorders>
              <w:top w:val="single" w:color="auto" w:sz="4" w:space="0"/>
              <w:left w:val="single" w:color="auto" w:sz="4" w:space="0"/>
              <w:bottom w:val="single" w:color="auto" w:sz="4" w:space="0"/>
              <w:right w:val="single" w:color="auto" w:sz="4" w:space="0"/>
            </w:tcBorders>
            <w:vAlign w:val="center"/>
          </w:tcPr>
          <w:p w14:paraId="7B2FDFBB">
            <w:pPr>
              <w:snapToGrid w:val="0"/>
              <w:spacing w:line="240" w:lineRule="exac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投标文件有效期：</w:t>
            </w:r>
            <w:r>
              <w:rPr>
                <w:rFonts w:hint="eastAsia" w:ascii="宋体" w:hAnsi="宋体" w:cs="宋体"/>
                <w:color w:val="000000" w:themeColor="text1"/>
                <w:szCs w:val="21"/>
                <w14:textFill>
                  <w14:solidFill>
                    <w14:schemeClr w14:val="tx1"/>
                  </w14:solidFill>
                </w14:textFill>
              </w:rPr>
              <w:t>六十日。</w:t>
            </w:r>
          </w:p>
        </w:tc>
      </w:tr>
      <w:tr w14:paraId="73B41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exact"/>
        </w:trPr>
        <w:tc>
          <w:tcPr>
            <w:tcW w:w="726" w:type="dxa"/>
            <w:tcBorders>
              <w:top w:val="single" w:color="auto" w:sz="4" w:space="0"/>
              <w:left w:val="single" w:color="auto" w:sz="4" w:space="0"/>
              <w:bottom w:val="single" w:color="auto" w:sz="4" w:space="0"/>
              <w:right w:val="single" w:color="auto" w:sz="4" w:space="0"/>
            </w:tcBorders>
            <w:vAlign w:val="center"/>
          </w:tcPr>
          <w:p w14:paraId="1EDF486D">
            <w:pPr>
              <w:snapToGrid w:val="0"/>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9073" w:type="dxa"/>
            <w:tcBorders>
              <w:top w:val="single" w:color="auto" w:sz="4" w:space="0"/>
              <w:left w:val="single" w:color="auto" w:sz="4" w:space="0"/>
              <w:bottom w:val="single" w:color="auto" w:sz="4" w:space="0"/>
              <w:right w:val="single" w:color="auto" w:sz="4" w:space="0"/>
            </w:tcBorders>
            <w:vAlign w:val="center"/>
          </w:tcPr>
          <w:p w14:paraId="6DE26213">
            <w:pPr>
              <w:snapToGrid w:val="0"/>
              <w:spacing w:line="2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本招标文件的解释权属于</w:t>
            </w:r>
            <w:r>
              <w:rPr>
                <w:rFonts w:hint="eastAsia" w:ascii="宋体" w:hAnsi="宋体" w:cs="宋体"/>
                <w:color w:val="000000" w:themeColor="text1"/>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及北海市政府采购中心。</w:t>
            </w:r>
          </w:p>
        </w:tc>
      </w:tr>
    </w:tbl>
    <w:p w14:paraId="33CE20B2">
      <w:pPr>
        <w:pStyle w:val="29"/>
        <w:snapToGrid w:val="0"/>
        <w:spacing w:line="600" w:lineRule="exact"/>
        <w:jc w:val="center"/>
        <w:rPr>
          <w:rFonts w:hAnsi="宋体" w:cs="宋体"/>
          <w:b/>
          <w:color w:val="000000" w:themeColor="text1"/>
          <w:sz w:val="32"/>
          <w:szCs w:val="32"/>
          <w14:textFill>
            <w14:solidFill>
              <w14:schemeClr w14:val="tx1"/>
            </w14:solidFill>
          </w14:textFill>
        </w:rPr>
        <w:sectPr>
          <w:footerReference r:id="rId12" w:type="first"/>
          <w:pgSz w:w="11906" w:h="16838"/>
          <w:pgMar w:top="1247" w:right="849" w:bottom="1247" w:left="1418" w:header="851" w:footer="992" w:gutter="0"/>
          <w:cols w:space="720" w:num="1"/>
          <w:titlePg/>
          <w:docGrid w:type="lines" w:linePitch="312" w:charSpace="0"/>
        </w:sectPr>
      </w:pPr>
    </w:p>
    <w:p w14:paraId="08B469A9">
      <w:pPr>
        <w:pStyle w:val="29"/>
        <w:snapToGrid w:val="0"/>
        <w:spacing w:line="600" w:lineRule="exact"/>
        <w:jc w:val="center"/>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投标人须知</w:t>
      </w:r>
    </w:p>
    <w:p w14:paraId="4D42FC75">
      <w:pPr>
        <w:pStyle w:val="29"/>
        <w:adjustRightInd w:val="0"/>
        <w:snapToGrid w:val="0"/>
        <w:spacing w:line="360" w:lineRule="exact"/>
        <w:ind w:firstLine="562" w:firstLineChars="200"/>
        <w:rPr>
          <w:rFonts w:hAnsi="宋体" w:cs="宋体"/>
          <w:b/>
          <w:color w:val="000000" w:themeColor="text1"/>
          <w14:textFill>
            <w14:solidFill>
              <w14:schemeClr w14:val="tx1"/>
            </w14:solidFill>
          </w14:textFill>
        </w:rPr>
      </w:pPr>
      <w:r>
        <w:rPr>
          <w:rFonts w:hint="eastAsia" w:hAnsi="宋体" w:cs="宋体"/>
          <w:b/>
          <w:color w:val="000000" w:themeColor="text1"/>
          <w:sz w:val="28"/>
          <w:szCs w:val="28"/>
          <w14:textFill>
            <w14:solidFill>
              <w14:schemeClr w14:val="tx1"/>
            </w14:solidFill>
          </w14:textFill>
        </w:rPr>
        <w:t>一、总则</w:t>
      </w:r>
    </w:p>
    <w:p w14:paraId="7F71BFF7">
      <w:pPr>
        <w:snapToGrid w:val="0"/>
        <w:spacing w:before="156" w:beforeLines="50" w:line="360" w:lineRule="exact"/>
        <w:ind w:firstLine="310" w:firstLineChars="147"/>
        <w:jc w:val="left"/>
        <w:rPr>
          <w:rFonts w:ascii="宋体" w:hAnsi="宋体" w:cs="宋体"/>
          <w:b/>
          <w:color w:val="000000" w:themeColor="text1"/>
          <w14:textFill>
            <w14:solidFill>
              <w14:schemeClr w14:val="tx1"/>
            </w14:solidFill>
          </w14:textFill>
        </w:rPr>
      </w:pPr>
      <w:bookmarkStart w:id="13" w:name="_Toc254970527"/>
      <w:bookmarkStart w:id="14" w:name="_Toc254970668"/>
      <w:r>
        <w:rPr>
          <w:rFonts w:hint="eastAsia" w:ascii="宋体" w:hAnsi="宋体" w:cs="宋体"/>
          <w:b/>
          <w:color w:val="000000" w:themeColor="text1"/>
          <w14:textFill>
            <w14:solidFill>
              <w14:schemeClr w14:val="tx1"/>
            </w14:solidFill>
          </w14:textFill>
        </w:rPr>
        <w:t>（一）适用范围</w:t>
      </w:r>
      <w:bookmarkEnd w:id="13"/>
      <w:bookmarkEnd w:id="14"/>
    </w:p>
    <w:p w14:paraId="29937303">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本招标文件适用于本项目的招标、投标、评标、定标、验收、合同履约、付款等行为（法律、法规另有规定的，从其规定）。</w:t>
      </w:r>
    </w:p>
    <w:p w14:paraId="65656C25">
      <w:pPr>
        <w:snapToGrid w:val="0"/>
        <w:spacing w:before="156" w:beforeLines="50" w:line="360" w:lineRule="exact"/>
        <w:ind w:firstLine="310" w:firstLineChars="147"/>
        <w:jc w:val="left"/>
        <w:rPr>
          <w:rFonts w:ascii="宋体" w:hAnsi="宋体" w:cs="宋体"/>
          <w:b/>
          <w:color w:val="000000" w:themeColor="text1"/>
          <w14:textFill>
            <w14:solidFill>
              <w14:schemeClr w14:val="tx1"/>
            </w14:solidFill>
          </w14:textFill>
        </w:rPr>
      </w:pPr>
      <w:bookmarkStart w:id="15" w:name="_Toc254970669"/>
      <w:bookmarkStart w:id="16" w:name="_Toc254970528"/>
      <w:r>
        <w:rPr>
          <w:rFonts w:hint="eastAsia" w:ascii="宋体" w:hAnsi="宋体" w:cs="宋体"/>
          <w:b/>
          <w:color w:val="000000" w:themeColor="text1"/>
          <w14:textFill>
            <w14:solidFill>
              <w14:schemeClr w14:val="tx1"/>
            </w14:solidFill>
          </w14:textFill>
        </w:rPr>
        <w:t>（二）定义</w:t>
      </w:r>
      <w:bookmarkEnd w:id="15"/>
      <w:bookmarkEnd w:id="16"/>
    </w:p>
    <w:p w14:paraId="336EE8D7">
      <w:pPr>
        <w:snapToGrid w:val="0"/>
        <w:spacing w:line="360" w:lineRule="exac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14:textFill>
            <w14:solidFill>
              <w14:schemeClr w14:val="tx1"/>
            </w14:solidFill>
          </w14:textFill>
        </w:rPr>
        <w:t>“采购人”系指组织本次招标的采购单位。</w:t>
      </w:r>
    </w:p>
    <w:p w14:paraId="282F7DA8">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14:textFill>
            <w14:solidFill>
              <w14:schemeClr w14:val="tx1"/>
            </w14:solidFill>
          </w14:textFill>
        </w:rPr>
        <w:t>“采购代理机构”系指组织本次招标的北海市政府采购中心（以下简称“本中心”）。</w:t>
      </w:r>
    </w:p>
    <w:p w14:paraId="2AAFC6FE">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14:textFill>
            <w14:solidFill>
              <w14:schemeClr w14:val="tx1"/>
            </w14:solidFill>
          </w14:textFill>
        </w:rPr>
        <w:t>“投标人”系指响应招标、参加投标竞争的法人、其他组织或者自然人。</w:t>
      </w:r>
    </w:p>
    <w:p w14:paraId="2CC7FFD6">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4.“产品”系指供方按招标文件规定，须向采购人提供的一切设备、保险、税金、备品备件、工具、手册及其它有关技术资料和材料。</w:t>
      </w:r>
    </w:p>
    <w:p w14:paraId="14B765A2">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5.“服务”系指招标文件规定投标人须承担的安装、调试、技术协助、校准、培训、技术指导以及其他类似的义务。</w:t>
      </w:r>
    </w:p>
    <w:p w14:paraId="1C2DAEC9">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6.“项目”系指投标人按招标文件规定向采购人提供的产品和服务。</w:t>
      </w:r>
    </w:p>
    <w:p w14:paraId="63F0D0A8">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7.“书面形式”包括信函、传真、电报等。</w:t>
      </w:r>
    </w:p>
    <w:p w14:paraId="08F38D5B">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8.“▲”系指实质性要求条款。</w:t>
      </w:r>
    </w:p>
    <w:p w14:paraId="5A7A92E0">
      <w:pPr>
        <w:snapToGrid w:val="0"/>
        <w:spacing w:before="156" w:beforeLines="50" w:line="360" w:lineRule="exact"/>
        <w:ind w:firstLine="413" w:firstLineChars="196"/>
        <w:jc w:val="left"/>
        <w:rPr>
          <w:rFonts w:ascii="宋体" w:hAnsi="宋体" w:cs="宋体"/>
          <w:b/>
          <w:color w:val="000000" w:themeColor="text1"/>
          <w:szCs w:val="21"/>
          <w14:textFill>
            <w14:solidFill>
              <w14:schemeClr w14:val="tx1"/>
            </w14:solidFill>
          </w14:textFill>
        </w:rPr>
      </w:pPr>
      <w:bookmarkStart w:id="17" w:name="_Toc254970529"/>
      <w:bookmarkStart w:id="18" w:name="_Toc254970670"/>
      <w:r>
        <w:rPr>
          <w:rFonts w:hint="eastAsia" w:ascii="宋体" w:hAnsi="宋体" w:cs="宋体"/>
          <w:b/>
          <w:color w:val="000000" w:themeColor="text1"/>
          <w:szCs w:val="21"/>
          <w14:textFill>
            <w14:solidFill>
              <w14:schemeClr w14:val="tx1"/>
            </w14:solidFill>
          </w14:textFill>
        </w:rPr>
        <w:t>（三）招标方式</w:t>
      </w:r>
      <w:bookmarkEnd w:id="17"/>
      <w:bookmarkEnd w:id="18"/>
    </w:p>
    <w:p w14:paraId="7C61F41B">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公开招标方式。</w:t>
      </w:r>
    </w:p>
    <w:p w14:paraId="1F359926">
      <w:pPr>
        <w:snapToGrid w:val="0"/>
        <w:spacing w:before="156" w:beforeLines="50" w:line="360" w:lineRule="exact"/>
        <w:ind w:firstLine="413" w:firstLineChars="196"/>
        <w:jc w:val="left"/>
        <w:rPr>
          <w:rFonts w:ascii="宋体" w:hAnsi="宋体" w:cs="宋体"/>
          <w:b/>
          <w:color w:val="000000" w:themeColor="text1"/>
          <w:szCs w:val="21"/>
          <w14:textFill>
            <w14:solidFill>
              <w14:schemeClr w14:val="tx1"/>
            </w14:solidFill>
          </w14:textFill>
        </w:rPr>
      </w:pPr>
      <w:bookmarkStart w:id="19" w:name="_Toc254970671"/>
      <w:bookmarkStart w:id="20" w:name="_Toc254970530"/>
      <w:r>
        <w:rPr>
          <w:rFonts w:hint="eastAsia" w:ascii="宋体" w:hAnsi="宋体" w:cs="宋体"/>
          <w:b/>
          <w:color w:val="000000" w:themeColor="text1"/>
          <w:szCs w:val="21"/>
          <w14:textFill>
            <w14:solidFill>
              <w14:schemeClr w14:val="tx1"/>
            </w14:solidFill>
          </w14:textFill>
        </w:rPr>
        <w:t>（四）投标委托</w:t>
      </w:r>
      <w:bookmarkEnd w:id="19"/>
      <w:bookmarkEnd w:id="20"/>
    </w:p>
    <w:p w14:paraId="3E67CB8D">
      <w:pPr>
        <w:pStyle w:val="22"/>
        <w:snapToGrid w:val="0"/>
        <w:spacing w:line="360" w:lineRule="exact"/>
        <w:ind w:firstLine="420" w:firstLineChars="20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投标人代表须携带有效身份证件。如投标人代表不是法定代表人（负责人），须有法定代表人（负责人）出具的授权委托书（格式见第六章《投标文件格式》）。</w:t>
      </w:r>
    </w:p>
    <w:p w14:paraId="0097932F">
      <w:pPr>
        <w:snapToGrid w:val="0"/>
        <w:spacing w:before="156" w:beforeLines="50" w:line="360" w:lineRule="exact"/>
        <w:ind w:firstLine="413" w:firstLineChars="196"/>
        <w:jc w:val="left"/>
        <w:rPr>
          <w:rFonts w:ascii="宋体" w:hAnsi="宋体" w:cs="宋体"/>
          <w:b/>
          <w:color w:val="000000" w:themeColor="text1"/>
          <w:szCs w:val="21"/>
          <w14:textFill>
            <w14:solidFill>
              <w14:schemeClr w14:val="tx1"/>
            </w14:solidFill>
          </w14:textFill>
        </w:rPr>
      </w:pPr>
      <w:bookmarkStart w:id="21" w:name="_Toc254970531"/>
      <w:bookmarkStart w:id="22" w:name="_Toc254970672"/>
      <w:r>
        <w:rPr>
          <w:rFonts w:hint="eastAsia" w:ascii="宋体" w:hAnsi="宋体" w:cs="宋体"/>
          <w:b/>
          <w:color w:val="000000" w:themeColor="text1"/>
          <w:szCs w:val="21"/>
          <w14:textFill>
            <w14:solidFill>
              <w14:schemeClr w14:val="tx1"/>
            </w14:solidFill>
          </w14:textFill>
        </w:rPr>
        <w:t>（五）投标费用</w:t>
      </w:r>
      <w:bookmarkEnd w:id="21"/>
      <w:bookmarkEnd w:id="22"/>
    </w:p>
    <w:p w14:paraId="473F0C42">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投标人均应自行承担所有与投标有关的全部费用（招标文件有相关的规定除外）。</w:t>
      </w:r>
    </w:p>
    <w:p w14:paraId="061B7806">
      <w:pPr>
        <w:snapToGrid w:val="0"/>
        <w:spacing w:before="156" w:beforeLines="50" w:line="360" w:lineRule="exact"/>
        <w:ind w:firstLine="413" w:firstLineChars="196"/>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（六）联合体投标</w:t>
      </w:r>
    </w:p>
    <w:p w14:paraId="0589FF7C">
      <w:pPr>
        <w:tabs>
          <w:tab w:val="left" w:pos="3960"/>
        </w:tabs>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不接受联合体投标。</w:t>
      </w:r>
    </w:p>
    <w:p w14:paraId="0DCC39F5">
      <w:pPr>
        <w:widowControl/>
        <w:adjustRightInd w:val="0"/>
        <w:snapToGrid w:val="0"/>
        <w:spacing w:line="360" w:lineRule="exact"/>
        <w:ind w:firstLine="422" w:firstLineChars="200"/>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w:t>
      </w:r>
      <w:r>
        <w:rPr>
          <w:rFonts w:hint="eastAsia" w:ascii="宋体" w:hAnsi="宋体" w:cs="宋体"/>
          <w:b/>
          <w:color w:val="000000" w:themeColor="text1"/>
          <w:kern w:val="0"/>
          <w:szCs w:val="21"/>
          <w14:textFill>
            <w14:solidFill>
              <w14:schemeClr w14:val="tx1"/>
            </w14:solidFill>
          </w14:textFill>
        </w:rPr>
        <w:t>转包与分包</w:t>
      </w:r>
    </w:p>
    <w:p w14:paraId="3A8E0926">
      <w:pPr>
        <w:ind w:firstLine="525" w:firstLineChars="250"/>
        <w:rPr>
          <w:rFonts w:ascii="宋体" w:hAnsi="宋体" w:cs="宋体"/>
          <w:color w:val="000000" w:themeColor="text1"/>
          <w:szCs w:val="21"/>
          <w14:textFill>
            <w14:solidFill>
              <w14:schemeClr w14:val="tx1"/>
            </w14:solidFill>
          </w14:textFill>
        </w:rPr>
      </w:pPr>
      <w:bookmarkStart w:id="23" w:name="_Toc254970673"/>
      <w:bookmarkStart w:id="24" w:name="_Toc254970532"/>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1.合同转包：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中标人转包的，视同拒绝履行政府采购合同义务，将依法追究法律责任。</w:t>
      </w:r>
    </w:p>
    <w:p w14:paraId="62AE99EA">
      <w:pPr>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2.合同分包：</w:t>
      </w:r>
    </w:p>
    <w:p w14:paraId="1FC5B9FE">
      <w:pPr>
        <w:ind w:firstLine="525" w:firstLineChars="250"/>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2.1采购人允许投标人将项目非主体、非关键性工作交由他人完成投标人拟在中标后将中标项目的非主体、非关键性工作分包的，应当在投标文件中载明分包承担主体，分包承担主体应当具备相应资质条件且不得再次分包。并且分包</w:t>
      </w: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履行的分包项目的品牌、规格型号及技术要求等，必须与中标的一致。分包履行合同的部分应当为采购项目的非主体、非关键性工作，不属于中标人的主要合同义务。</w:t>
      </w:r>
      <w:r>
        <w:rPr>
          <w:rFonts w:hint="eastAsia" w:ascii="宋体" w:hAnsi="宋体" w:cs="宋体"/>
          <w:b/>
          <w:bCs/>
          <w:color w:val="000000" w:themeColor="text1"/>
          <w:kern w:val="0"/>
          <w:szCs w:val="21"/>
          <w14:textFill>
            <w14:solidFill>
              <w14:schemeClr w14:val="tx1"/>
            </w14:solidFill>
          </w14:textFill>
        </w:rPr>
        <w:t>投标人下属全资子公司承担本项目非主体、非关键性工作的，不视为分包，无需履行分包申请程序，投标人需提供全资控股证明材料，对子公司的工作成果承担全部责任。</w:t>
      </w:r>
    </w:p>
    <w:p w14:paraId="1C3E670C">
      <w:pPr>
        <w:ind w:firstLine="525" w:firstLineChars="250"/>
        <w:rPr>
          <w:rFonts w:ascii="宋体" w:hAnsi="宋体" w:cs="宋体"/>
          <w:color w:val="000000" w:themeColor="text1"/>
          <w:szCs w:val="21"/>
          <w14:textFill>
            <w14:solidFill>
              <w14:schemeClr w14:val="tx1"/>
            </w14:solidFill>
          </w14:textFill>
        </w:rPr>
      </w:pPr>
    </w:p>
    <w:p w14:paraId="35FB31FE">
      <w:pPr>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2.2采购合同实行分包履行的，中标人就采购项目和分包项目向采购人负责，分包</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就分包项目承担责任。</w:t>
      </w:r>
    </w:p>
    <w:p w14:paraId="44CCA927">
      <w:pPr>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2.3中小企业依据《政府采购促进中小企业发展管理办法》（财库〔2020〕46号）规定的政策获取政府采购合同后，小型、微型企业不得分包或转包给大型、中型企业，中型企业不得分包或转包给大型企业。</w:t>
      </w:r>
      <w:r>
        <w:rPr>
          <w:rFonts w:hint="eastAsia" w:ascii="宋体" w:hAnsi="宋体" w:cs="宋体"/>
          <w:b/>
          <w:bCs/>
          <w:color w:val="000000" w:themeColor="text1"/>
          <w:szCs w:val="21"/>
          <w14:textFill>
            <w14:solidFill>
              <w14:schemeClr w14:val="tx1"/>
            </w14:solidFill>
          </w14:textFill>
        </w:rPr>
        <w:t>中小企业投标人的下属全资子公司若为小型 / 微型企业，其承担本项目工作的，不视为分包；若子公司为大型 / 中型企业，中小企业投标人不得将项目交由其子公司承担</w:t>
      </w:r>
      <w:r>
        <w:rPr>
          <w:rStyle w:val="61"/>
          <w:b/>
          <w:bCs/>
          <w:color w:val="000000" w:themeColor="text1"/>
          <w:sz w:val="24"/>
          <w:szCs w:val="24"/>
          <w14:textFill>
            <w14:solidFill>
              <w14:schemeClr w14:val="tx1"/>
            </w14:solidFill>
          </w14:textFill>
        </w:rPr>
        <w:t>。</w:t>
      </w:r>
    </w:p>
    <w:p w14:paraId="77164DB3">
      <w:pPr>
        <w:snapToGrid w:val="0"/>
        <w:spacing w:before="156" w:beforeLines="50" w:line="360" w:lineRule="exact"/>
        <w:ind w:firstLine="413" w:firstLineChars="196"/>
        <w:jc w:val="left"/>
        <w:rPr>
          <w:rFonts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14:textFill>
            <w14:solidFill>
              <w14:schemeClr w14:val="tx1"/>
            </w14:solidFill>
          </w14:textFill>
        </w:rPr>
        <w:t>（八）</w:t>
      </w:r>
      <w:r>
        <w:rPr>
          <w:rFonts w:hint="eastAsia" w:ascii="宋体" w:hAnsi="宋体" w:cs="宋体"/>
          <w:b/>
          <w:color w:val="000000" w:themeColor="text1"/>
          <w:szCs w:val="21"/>
          <w14:textFill>
            <w14:solidFill>
              <w14:schemeClr w14:val="tx1"/>
            </w14:solidFill>
          </w14:textFill>
        </w:rPr>
        <w:t>特别说明：</w:t>
      </w:r>
      <w:bookmarkEnd w:id="23"/>
      <w:bookmarkEnd w:id="24"/>
    </w:p>
    <w:p w14:paraId="6EB5F538">
      <w:pPr>
        <w:snapToGrid w:val="0"/>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▲1.单位负责人为同一人或者存在直接控股、管理关系的不同</w:t>
      </w: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，不得参加同一合同项下的政府采购活动。</w:t>
      </w:r>
    </w:p>
    <w:p w14:paraId="48BE3DEA">
      <w:pPr>
        <w:snapToGrid w:val="0"/>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.对在“信用中国”网站、“中国政府采购网”等被列入失信被执行人、重大税收违法案件当事人名单、政府采购严重违法失信行为记录名单及其他不符合《中华人民共和国政府采购法》第二十二条规定条件的</w:t>
      </w: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，不得参与政府采购活动。</w:t>
      </w:r>
    </w:p>
    <w:p w14:paraId="7C3E7351">
      <w:pPr>
        <w:snapToGrid w:val="0"/>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.投标人应仔细阅读招标文件的所有内容，按照招标文件的要求提交投标文件，并对所提供的全部资料的真实性承担法律责任。</w:t>
      </w:r>
    </w:p>
    <w:p w14:paraId="6CF42CDD">
      <w:pPr>
        <w:snapToGrid w:val="0"/>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.投标人在投标活动中提供任何虚假材料、互相串通投标，其投标无效，并报监管部门查处。</w:t>
      </w:r>
    </w:p>
    <w:p w14:paraId="3C4ED61F">
      <w:pPr>
        <w:snapToGrid w:val="0"/>
        <w:spacing w:line="360" w:lineRule="exact"/>
        <w:ind w:firstLine="420" w:firstLineChars="200"/>
        <w:rPr>
          <w:rFonts w:ascii="宋体" w:hAnsi="宋体" w:cs="宋体"/>
          <w:color w:val="000000" w:themeColor="text1"/>
          <w:kern w:val="0"/>
          <w14:textFill>
            <w14:solidFill>
              <w14:schemeClr w14:val="tx1"/>
            </w14:solidFill>
          </w14:textFill>
        </w:rPr>
      </w:pPr>
      <w:bookmarkStart w:id="25" w:name="_Toc254970533"/>
      <w:bookmarkStart w:id="26" w:name="_Toc254970674"/>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.招标文件提供期限届满后，获取招标文件的潜在投标人不足3家的，本中心将顺延提供期限，</w:t>
      </w:r>
      <w:r>
        <w:rPr>
          <w:rFonts w:hint="eastAsia" w:ascii="宋体" w:hAnsi="宋体" w:cs="宋体"/>
          <w:color w:val="000000" w:themeColor="text1"/>
          <w:kern w:val="0"/>
          <w14:textFill>
            <w14:solidFill>
              <w14:schemeClr w14:val="tx1"/>
            </w14:solidFill>
          </w14:textFill>
        </w:rPr>
        <w:t>并在省级以上财政部门指定的政府采购信息发布媒体及本中心网站上发布变更公告。</w:t>
      </w:r>
    </w:p>
    <w:bookmarkEnd w:id="25"/>
    <w:bookmarkEnd w:id="26"/>
    <w:p w14:paraId="043E3C1D">
      <w:pPr>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未按招标文件要求提供国家确定的认证机构出具的、处于有效期之内的节能产品认证证书的，投标无效。</w:t>
      </w:r>
    </w:p>
    <w:p w14:paraId="01DF1CA9">
      <w:pPr>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否则按无效投标处理。如本项目包含的货物属于品目清单内非标注“★”的产品时，应优先采购，具体详见“评标方法及评标标准”。</w:t>
      </w:r>
    </w:p>
    <w:p w14:paraId="692378C7">
      <w:pPr>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修缮、装修类项目采购建材的，采购人应将绿色建筑和绿色建材性能、指标等作为实质性条件纳入招标文件和合同。</w:t>
      </w:r>
    </w:p>
    <w:p w14:paraId="0A2486B5">
      <w:pPr>
        <w:spacing w:line="40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为助力打好污染防治攻坚战，推广使用绿色包装，政府采购货物项目中涉及商品包装和快递包装的，</w:t>
      </w: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提供产品及相关快递服务的具体包装要求要参考《商品包装政府采购需求标准（试行）》、《快递包装政府采购需求标准（试行）》。</w:t>
      </w:r>
    </w:p>
    <w:p w14:paraId="499EF4B8">
      <w:pPr>
        <w:spacing w:line="400" w:lineRule="exact"/>
        <w:ind w:firstLine="420" w:firstLineChars="200"/>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▲7.本文件中所指一级 / 二级导演、编导、演员、服装设计师、舞台技术等职称，均指由国家文化和旅游部、人力资源和社会保障部等官方主管部门或省级以上专业文艺行业协会颁发的相应等级职称证书；拟投入团队人员的社保证明以2025年8月1日至首次投标文件提交截止时间期间</w:t>
      </w:r>
      <w:r>
        <w:rPr>
          <w:rFonts w:hint="eastAsia" w:ascii="宋体" w:hAnsi="宋体" w:cs="宋体"/>
          <w:color w:val="000000" w:themeColor="text1"/>
          <w:kern w:val="0"/>
          <w:szCs w:val="21"/>
          <w:highlight w:val="yellow"/>
          <w:lang w:val="en-US" w:eastAsia="zh-CN"/>
          <w14:textFill>
            <w14:solidFill>
              <w14:schemeClr w14:val="tx1"/>
            </w14:solidFill>
          </w14:textFill>
        </w:rPr>
        <w:t>任意连续六个月缴纳记录为准。</w:t>
      </w:r>
    </w:p>
    <w:p w14:paraId="01ABF5E3">
      <w:pPr>
        <w:spacing w:line="400" w:lineRule="exact"/>
        <w:ind w:firstLine="420" w:firstLineChars="200"/>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▲8.小型、微型企业、监狱企业、残疾人福利性单位享受同等投标报价 20% 扣除政策，政策性扣除后的评标报价纳入政府采购异常低价审查范围，不重复享受政策优惠。</w:t>
      </w:r>
    </w:p>
    <w:p w14:paraId="4C388656">
      <w:pPr>
        <w:spacing w:line="400" w:lineRule="exact"/>
        <w:ind w:firstLine="422" w:firstLineChars="200"/>
        <w:rPr>
          <w:rFonts w:hint="default" w:ascii="宋体" w:hAnsi="宋体" w:cs="宋体"/>
          <w:b/>
          <w:bCs/>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▲9. 投标人下属全资子公司的同类项目业绩、施工资质、营业性演出许可证、人员职称及社保证明等视为投标人的履约能力证明，需提供全资控股证明及子公司相关材料。</w:t>
      </w:r>
    </w:p>
    <w:p w14:paraId="6D02A910">
      <w:pPr>
        <w:pStyle w:val="29"/>
        <w:snapToGrid w:val="0"/>
        <w:spacing w:line="360" w:lineRule="exact"/>
        <w:ind w:firstLine="413" w:firstLineChars="196"/>
        <w:rPr>
          <w:rFonts w:hAnsi="宋体" w:cs="宋体"/>
          <w:b/>
          <w:bCs/>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（九）询问、质疑和投诉</w:t>
      </w:r>
    </w:p>
    <w:p w14:paraId="4A2A14D3">
      <w:pPr>
        <w:snapToGrid w:val="0"/>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1.投标人对政府采购活动事项有疑问的，可以向采购人、采购代理机构提出询问。</w:t>
      </w:r>
    </w:p>
    <w:p w14:paraId="5DE3C375">
      <w:pPr>
        <w:snapToGrid w:val="0"/>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投标人认为招标文件、招标过程或中标结果使自己的合法权益受到损害的，应当在知道或者应知其权益受到损害之日起七个工作日内，以书面形式向采购人、采购代理机构提出质疑。对同一采购程序环节的质疑，供应商须在法定质疑期内一次性提出</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具体计算时间如下：</w:t>
      </w:r>
    </w:p>
    <w:p w14:paraId="4B8324A3">
      <w:pPr>
        <w:snapToGrid w:val="0"/>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（1）对可以质疑的招标采购文件提出质疑的，为收到采购文件之日；</w:t>
      </w:r>
    </w:p>
    <w:p w14:paraId="302AE7B1">
      <w:pPr>
        <w:snapToGrid w:val="0"/>
        <w:spacing w:line="360" w:lineRule="exact"/>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（2）对招标采购过程提出质疑的，为各采购程序环节结束之日；</w:t>
      </w:r>
    </w:p>
    <w:p w14:paraId="397C68FB">
      <w:pPr>
        <w:snapToGrid w:val="0"/>
        <w:spacing w:line="360" w:lineRule="exact"/>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（3）对中标结果提出质疑的，为中标结果公告期限届满之日。投标人对招标采购单位的质疑答复不满意或者招标采购单位未在规定时间内作出答复的，可以在答复期满</w:t>
      </w:r>
      <w:bookmarkStart w:id="53" w:name="_GoBack"/>
      <w:bookmarkEnd w:id="53"/>
      <w:r>
        <w:rPr>
          <w:rFonts w:hint="eastAsia" w:ascii="宋体" w:hAnsi="宋体" w:cs="宋体"/>
          <w:color w:val="000000" w:themeColor="text1"/>
          <w:kern w:val="0"/>
          <w:szCs w:val="21"/>
          <w14:textFill>
            <w14:solidFill>
              <w14:schemeClr w14:val="tx1"/>
            </w14:solidFill>
          </w14:textFill>
        </w:rPr>
        <w:t>后十五个工作日内向同级采购监管部门投诉。</w:t>
      </w:r>
    </w:p>
    <w:p w14:paraId="4FD81074">
      <w:pPr>
        <w:pStyle w:val="29"/>
        <w:snapToGrid w:val="0"/>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14:paraId="0582431E">
      <w:pPr>
        <w:pStyle w:val="29"/>
        <w:snapToGrid w:val="0"/>
        <w:spacing w:line="360" w:lineRule="exact"/>
        <w:ind w:firstLine="420" w:firstLineChars="200"/>
        <w:rPr>
          <w:rFonts w:hint="eastAsia" w:hAnsi="宋体" w:cs="宋体"/>
          <w:color w:val="000000" w:themeColor="text1"/>
          <w:sz w:val="21"/>
          <w14:textFill>
            <w14:solidFill>
              <w14:schemeClr w14:val="tx1"/>
            </w14:solidFill>
          </w14:textFill>
        </w:rPr>
      </w:pPr>
      <w:bookmarkStart w:id="27" w:name="_Toc254970534"/>
      <w:bookmarkStart w:id="28" w:name="_Toc254970675"/>
      <w:r>
        <w:rPr>
          <w:rFonts w:hint="eastAsia" w:hAnsi="宋体" w:cs="宋体"/>
          <w:color w:val="000000" w:themeColor="text1"/>
          <w:sz w:val="21"/>
          <w14:textFill>
            <w14:solidFill>
              <w14:schemeClr w14:val="tx1"/>
            </w14:solidFill>
          </w14:textFill>
        </w:rPr>
        <w:t>①质疑联系部门及电话：北海市政府采购中心监督科0779-3960826；</w:t>
      </w:r>
    </w:p>
    <w:p w14:paraId="7A605A01">
      <w:pPr>
        <w:pStyle w:val="29"/>
        <w:snapToGrid w:val="0"/>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②投诉联系部门及电话：采购人同级财政监督部门0779-3063975。</w:t>
      </w:r>
    </w:p>
    <w:p w14:paraId="5DDB2F23">
      <w:pPr>
        <w:pStyle w:val="29"/>
        <w:snapToGrid w:val="0"/>
        <w:spacing w:line="360" w:lineRule="exact"/>
        <w:ind w:firstLine="422" w:firstLineChars="200"/>
        <w:rPr>
          <w:rFonts w:hint="eastAsia" w:hAnsi="宋体" w:cs="宋体"/>
          <w:color w:val="000000" w:themeColor="text1"/>
          <w:sz w:val="21"/>
          <w14:textFill>
            <w14:solidFill>
              <w14:schemeClr w14:val="tx1"/>
            </w14:solidFill>
          </w14:textFill>
        </w:rPr>
      </w:pPr>
      <w:r>
        <w:rPr>
          <w:rFonts w:hint="eastAsia" w:hAnsi="宋体" w:cs="宋体"/>
          <w:b/>
          <w:bCs/>
          <w:color w:val="000000" w:themeColor="text1"/>
          <w:sz w:val="21"/>
          <w14:textFill>
            <w14:solidFill>
              <w14:schemeClr w14:val="tx1"/>
            </w14:solidFill>
          </w14:textFill>
        </w:rPr>
        <w:t>注：</w:t>
      </w:r>
      <w:r>
        <w:rPr>
          <w:rFonts w:hint="eastAsia" w:hAnsi="宋体" w:cs="宋体"/>
          <w:b/>
          <w:bCs/>
          <w:color w:val="000000" w:themeColor="text1"/>
          <w:sz w:val="21"/>
          <w:lang w:eastAsia="zh-CN"/>
          <w14:textFill>
            <w14:solidFill>
              <w14:schemeClr w14:val="tx1"/>
            </w14:solidFill>
          </w14:textFill>
        </w:rPr>
        <w:t>投标人</w:t>
      </w:r>
      <w:r>
        <w:rPr>
          <w:rFonts w:hint="eastAsia" w:hAnsi="宋体" w:cs="宋体"/>
          <w:b/>
          <w:bCs/>
          <w:color w:val="000000" w:themeColor="text1"/>
          <w:sz w:val="21"/>
          <w14:textFill>
            <w14:solidFill>
              <w14:schemeClr w14:val="tx1"/>
            </w14:solidFill>
          </w14:textFill>
        </w:rPr>
        <w:t>可通过北海“政采云”平台进入“项目采购-询问质疑投诉”栏目在线提起询问、质疑，对质疑答复不满意或者未收到答复的可以向监督部门在线提起投诉。</w:t>
      </w:r>
    </w:p>
    <w:p w14:paraId="49368B73">
      <w:pPr>
        <w:pStyle w:val="29"/>
        <w:adjustRightInd w:val="0"/>
        <w:snapToGrid w:val="0"/>
        <w:spacing w:line="360" w:lineRule="exact"/>
        <w:ind w:firstLine="562" w:firstLineChars="200"/>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二、招标文件</w:t>
      </w:r>
      <w:bookmarkEnd w:id="27"/>
      <w:bookmarkEnd w:id="28"/>
    </w:p>
    <w:p w14:paraId="0F54ADD3">
      <w:pPr>
        <w:snapToGrid w:val="0"/>
        <w:spacing w:line="360" w:lineRule="exact"/>
        <w:ind w:firstLine="413" w:firstLineChars="196"/>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（一）招标文件的构成。</w:t>
      </w:r>
    </w:p>
    <w:p w14:paraId="373A8978">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1.公开招标公告；</w:t>
      </w:r>
    </w:p>
    <w:p w14:paraId="196632FC">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2.招标项目采购需求</w:t>
      </w:r>
    </w:p>
    <w:p w14:paraId="0922ADD4">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3.投标人须知；</w:t>
      </w:r>
    </w:p>
    <w:p w14:paraId="19A0C87C">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4.评标方法及评定标准；</w:t>
      </w:r>
    </w:p>
    <w:p w14:paraId="2E7D6927">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5.政府采购合同主要条款；</w:t>
      </w:r>
    </w:p>
    <w:p w14:paraId="3FEAD69A">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6.投标文件格式。</w:t>
      </w:r>
    </w:p>
    <w:p w14:paraId="71AE7C3D">
      <w:pPr>
        <w:snapToGrid w:val="0"/>
        <w:spacing w:before="156" w:beforeLines="50" w:line="360" w:lineRule="exact"/>
        <w:ind w:firstLine="413" w:firstLineChars="196"/>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（二）投标人的风险</w:t>
      </w:r>
    </w:p>
    <w:p w14:paraId="6253F1AD">
      <w:pPr>
        <w:tabs>
          <w:tab w:val="left" w:pos="180"/>
          <w:tab w:val="left" w:pos="162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宋体"/>
          <w:color w:val="000000" w:themeColor="text1"/>
          <w:szCs w:val="21"/>
          <w14:textFill>
            <w14:solidFill>
              <w14:schemeClr w14:val="tx1"/>
            </w14:solidFill>
          </w14:textFill>
        </w:rPr>
        <w:cr/>
      </w:r>
      <w:r>
        <w:rPr>
          <w:rFonts w:hint="eastAsia" w:ascii="宋体" w:hAnsi="宋体" w:cs="宋体"/>
          <w:color w:val="000000" w:themeColor="text1"/>
          <w:szCs w:val="21"/>
          <w14:textFill>
            <w14:solidFill>
              <w14:schemeClr w14:val="tx1"/>
            </w14:solidFill>
          </w14:textFill>
        </w:rPr>
        <w:t>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p>
    <w:p w14:paraId="63835D9D">
      <w:pPr>
        <w:pStyle w:val="14"/>
        <w:widowControl w:val="0"/>
        <w:tabs>
          <w:tab w:val="clear" w:pos="454"/>
        </w:tabs>
        <w:snapToGrid w:val="0"/>
        <w:spacing w:before="156" w:beforeLines="50" w:afterLines="0" w:line="360" w:lineRule="exact"/>
        <w:ind w:left="0" w:firstLine="413" w:firstLineChars="196"/>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（三）招标文件的澄清与修改</w:t>
      </w:r>
    </w:p>
    <w:p w14:paraId="444649E7">
      <w:pPr>
        <w:pStyle w:val="29"/>
        <w:snapToGrid w:val="0"/>
        <w:spacing w:line="360" w:lineRule="exact"/>
        <w:ind w:firstLine="420" w:firstLineChars="200"/>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1.采购人或者本中心可以对已发出的招标文件进行必要的澄清或者修改。澄清或者修改的内容可能影响投标文件编制的，采购人或者本中心应当在投标截止时间至少15日前，以书面形式通知所有获取招标文件的潜在投标人；不足15日的，顺延至15日。澄清或者修改的内容为招标文件的组成部分。</w:t>
      </w:r>
    </w:p>
    <w:p w14:paraId="3B33D4E1">
      <w:pPr>
        <w:pStyle w:val="29"/>
        <w:snapToGrid w:val="0"/>
        <w:spacing w:line="360" w:lineRule="exact"/>
        <w:ind w:firstLine="420" w:firstLineChars="200"/>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2.本中心必须以书面形式答复投标人要求澄清的问题，并将不包含问题来源的答复书面通知所有报名登记的投标人；除书面答复以外的其他澄清方式及澄清内容均无效。</w:t>
      </w:r>
    </w:p>
    <w:p w14:paraId="77B2934F">
      <w:pPr>
        <w:pStyle w:val="29"/>
        <w:snapToGrid w:val="0"/>
        <w:spacing w:line="360" w:lineRule="exact"/>
        <w:ind w:firstLine="420" w:firstLineChars="200"/>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3.招标文件的答疑、澄清、修改、补充的内容为招标文件的组成部分。当招标文件与招标文件的答疑、澄清、修改、补充通知就同一内容的表述不一致时，以最后发出的书面文件为准。</w:t>
      </w:r>
    </w:p>
    <w:p w14:paraId="226C8DAA">
      <w:pPr>
        <w:pStyle w:val="29"/>
        <w:snapToGrid w:val="0"/>
        <w:spacing w:line="360" w:lineRule="exact"/>
        <w:ind w:firstLine="420" w:firstLineChars="200"/>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4.招标文件的答疑、澄清、修改、补充都应该通过本中心以法定形式发布，采购人非通过本中心，不得擅自答疑、澄清、修改、补充招标文件。</w:t>
      </w:r>
    </w:p>
    <w:p w14:paraId="645E8EB3">
      <w:pPr>
        <w:pStyle w:val="29"/>
        <w:snapToGrid w:val="0"/>
        <w:spacing w:line="360" w:lineRule="exact"/>
        <w:ind w:firstLine="420" w:firstLineChars="200"/>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5.本中心可以视采购具体情况，延长招标文件或者资格预审文件提供期限，并在省级以上财政部门指定的政府采购信息发布媒体及本中心网站上发布公告。</w:t>
      </w:r>
    </w:p>
    <w:p w14:paraId="6AF1EAE7">
      <w:pPr>
        <w:pStyle w:val="22"/>
        <w:adjustRightInd w:val="0"/>
        <w:snapToGrid w:val="0"/>
        <w:spacing w:line="360" w:lineRule="exact"/>
        <w:ind w:firstLine="562" w:firstLineChars="200"/>
        <w:outlineLvl w:val="1"/>
        <w:rPr>
          <w:rFonts w:ascii="宋体" w:hAnsi="宋体" w:eastAsia="宋体" w:cs="宋体"/>
          <w:b/>
          <w:bCs/>
          <w:color w:val="000000" w:themeColor="text1"/>
          <w:kern w:val="2"/>
          <w:sz w:val="28"/>
          <w:szCs w:val="28"/>
          <w14:textFill>
            <w14:solidFill>
              <w14:schemeClr w14:val="tx1"/>
            </w14:solidFill>
          </w14:textFill>
        </w:rPr>
      </w:pPr>
      <w:bookmarkStart w:id="29" w:name="_Toc254970676"/>
      <w:bookmarkStart w:id="30" w:name="_Toc254970535"/>
      <w:r>
        <w:rPr>
          <w:rFonts w:hint="eastAsia" w:ascii="宋体" w:hAnsi="宋体" w:eastAsia="宋体" w:cs="宋体"/>
          <w:b/>
          <w:bCs/>
          <w:color w:val="000000" w:themeColor="text1"/>
          <w:kern w:val="2"/>
          <w:sz w:val="28"/>
          <w:szCs w:val="28"/>
          <w14:textFill>
            <w14:solidFill>
              <w14:schemeClr w14:val="tx1"/>
            </w14:solidFill>
          </w14:textFill>
        </w:rPr>
        <w:t>三、投标文件的编制</w:t>
      </w:r>
      <w:bookmarkEnd w:id="29"/>
      <w:bookmarkEnd w:id="30"/>
    </w:p>
    <w:p w14:paraId="50828B86">
      <w:pPr>
        <w:snapToGrid w:val="0"/>
        <w:spacing w:line="360" w:lineRule="exact"/>
        <w:ind w:firstLine="413" w:firstLineChars="196"/>
        <w:jc w:val="left"/>
        <w:rPr>
          <w:rFonts w:ascii="宋体" w:hAnsi="宋体" w:cs="宋体"/>
          <w:b/>
          <w:color w:val="000000" w:themeColor="text1"/>
          <w:szCs w:val="21"/>
          <w14:textFill>
            <w14:solidFill>
              <w14:schemeClr w14:val="tx1"/>
            </w14:solidFill>
          </w14:textFill>
        </w:rPr>
      </w:pPr>
      <w:bookmarkStart w:id="31" w:name="_Toc254970677"/>
      <w:bookmarkStart w:id="32" w:name="_Toc254970536"/>
      <w:r>
        <w:rPr>
          <w:rFonts w:hint="eastAsia" w:ascii="宋体" w:hAnsi="宋体" w:cs="宋体"/>
          <w:b/>
          <w:color w:val="000000" w:themeColor="text1"/>
          <w:szCs w:val="21"/>
          <w14:textFill>
            <w14:solidFill>
              <w14:schemeClr w14:val="tx1"/>
            </w14:solidFill>
          </w14:textFill>
        </w:rPr>
        <w:t>（一）投标文件的组成</w:t>
      </w:r>
      <w:bookmarkEnd w:id="31"/>
      <w:bookmarkEnd w:id="32"/>
    </w:p>
    <w:p w14:paraId="0375FD9A">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1.投标文件编制基本要求</w:t>
      </w:r>
    </w:p>
    <w:p w14:paraId="33B0D647">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1.1本项目实行电子投标，</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应准备电子投标文件</w:t>
      </w:r>
      <w:r>
        <w:rPr>
          <w:rFonts w:hint="eastAsia" w:ascii="宋体" w:hAnsi="宋体" w:cs="宋体"/>
          <w:color w:val="000000" w:themeColor="text1"/>
          <w:szCs w:val="21"/>
          <w14:textFill>
            <w14:solidFill>
              <w14:schemeClr w14:val="tx1"/>
            </w14:solidFill>
          </w14:textFill>
        </w:rPr>
        <w:t>：</w:t>
      </w:r>
    </w:p>
    <w:p w14:paraId="39D4E60D">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电子投标文件按广西政府采购云平台要求及本招标文件要求制作、加密并递交。具体操作流程可参考《政府采购项目电子交易管理操作指南-</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》，指南可在“北海市政府采购中心网站-办事指南-政府采购项目电子交易管理操作指南”下载。</w:t>
      </w:r>
    </w:p>
    <w:p w14:paraId="1AE2B854">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提交的投标文件以及</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与本中心和采购人就有关投标的所有来往函电均应使用中文。</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提交的支持文件和印刷的文献可以使用别的语言，但其相应内容必须附有中文翻译文本，在解释投标文件时以翻译文本为主。</w:t>
      </w:r>
    </w:p>
    <w:p w14:paraId="1A49C9CB">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应认真阅读、并充分理解本文件的全部内容（包括所有的澄清、更改、补充、答疑等内容），承诺并履行本文件中各项条款规定及要求。</w:t>
      </w:r>
    </w:p>
    <w:p w14:paraId="371D9ACF">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1.4投标文件必须按本文件的全部内容，包括所有的澄清、更改、补充、答疑等内容及附件进行编制。</w:t>
      </w:r>
    </w:p>
    <w:p w14:paraId="3A75C4D9">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1.5如因</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只填写和提供了本文件要求的部分内容和附件，而给评标委员会评审造成困难，其可能导致的结果和责任由</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自行承担。</w:t>
      </w:r>
    </w:p>
    <w:p w14:paraId="27AD5374">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1.6投标文件的组成：投标文件应分为资格文件、资信及商务文件商务、技术文件、报价文件四个部分组成。</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应仔细阅读采购文件的所有内容，按招标文件的要求，详细编制投标文件。</w:t>
      </w:r>
    </w:p>
    <w:p w14:paraId="517D76C6">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1.7全面实行全流程电子化采购后进一步精简评标事项和环节，梳理采购流程，取消原件审查、核对等环节。资格条件证明材料、业绩证明、授权书等材料均以电子采购文件为评审依据，</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须对所提供材料的真实性和一致性负责。</w:t>
      </w:r>
    </w:p>
    <w:p w14:paraId="3B838A95">
      <w:pPr>
        <w:snapToGrid w:val="0"/>
        <w:spacing w:line="360" w:lineRule="exact"/>
        <w:ind w:firstLine="422"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2.资格文件：</w:t>
      </w:r>
    </w:p>
    <w:p w14:paraId="0A663348">
      <w:pPr>
        <w:snapToGrid w:val="0"/>
        <w:spacing w:line="360" w:lineRule="exact"/>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北海市政府采购</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信用承诺函</w:t>
      </w:r>
      <w:r>
        <w:rPr>
          <w:rFonts w:hint="eastAsia" w:ascii="宋体" w:hAnsi="宋体" w:cs="宋体"/>
          <w:b/>
          <w:color w:val="000000" w:themeColor="text1"/>
          <w:szCs w:val="21"/>
          <w14:textFill>
            <w14:solidFill>
              <w14:schemeClr w14:val="tx1"/>
            </w14:solidFill>
          </w14:textFill>
        </w:rPr>
        <w:t>（格式见</w:t>
      </w:r>
      <w:r>
        <w:rPr>
          <w:rFonts w:hint="eastAsia" w:ascii="宋体" w:hAnsi="宋体" w:cs="宋体"/>
          <w:b/>
          <w:bCs/>
          <w:color w:val="000000" w:themeColor="text1"/>
          <w:szCs w:val="21"/>
          <w14:textFill>
            <w14:solidFill>
              <w14:schemeClr w14:val="tx1"/>
            </w14:solidFill>
          </w14:textFill>
        </w:rPr>
        <w:t>第六章</w:t>
      </w:r>
      <w:r>
        <w:rPr>
          <w:rFonts w:hint="eastAsia" w:ascii="宋体" w:hAnsi="宋体" w:cs="宋体"/>
          <w:b/>
          <w:color w:val="000000" w:themeColor="text1"/>
          <w:szCs w:val="21"/>
          <w14:textFill>
            <w14:solidFill>
              <w14:schemeClr w14:val="tx1"/>
            </w14:solidFill>
          </w14:textFill>
        </w:rPr>
        <w:t>，必须提供）。</w:t>
      </w:r>
    </w:p>
    <w:p w14:paraId="0C9A75D9">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（2）中小企业声明函（格式见第六章）</w:t>
      </w:r>
    </w:p>
    <w:p w14:paraId="3589BC75">
      <w:pPr>
        <w:snapToGrid w:val="0"/>
        <w:spacing w:line="360" w:lineRule="exact"/>
        <w:ind w:firstLine="415" w:firstLineChars="198"/>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（3）具备法律、行政法规规定的其他条件的证明材料(如有规定,则必须提供)。</w:t>
      </w:r>
    </w:p>
    <w:p w14:paraId="5705C273">
      <w:pPr>
        <w:snapToGrid w:val="0"/>
        <w:spacing w:before="156" w:beforeLines="50" w:line="360" w:lineRule="exact"/>
        <w:ind w:firstLine="413" w:firstLineChars="196"/>
        <w:jc w:val="left"/>
        <w:outlineLvl w:val="1"/>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3.资信及商务文件：</w:t>
      </w:r>
    </w:p>
    <w:p w14:paraId="77A5451D">
      <w:pPr>
        <w:snapToGrid w:val="0"/>
        <w:spacing w:line="360" w:lineRule="exact"/>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▲（1）承诺函 </w:t>
      </w:r>
      <w:r>
        <w:rPr>
          <w:rFonts w:hint="eastAsia" w:ascii="宋体" w:hAnsi="宋体" w:cs="宋体"/>
          <w:b/>
          <w:bCs/>
          <w:color w:val="000000" w:themeColor="text1"/>
          <w:szCs w:val="21"/>
          <w14:textFill>
            <w14:solidFill>
              <w14:schemeClr w14:val="tx1"/>
            </w14:solidFill>
          </w14:textFill>
        </w:rPr>
        <w:t>（格式见第六章，必须提供）</w:t>
      </w:r>
    </w:p>
    <w:p w14:paraId="19B2F3BE">
      <w:pPr>
        <w:snapToGrid w:val="0"/>
        <w:spacing w:line="360" w:lineRule="exact"/>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▲（2）法定代表人（负责人）授权委托书和委托代理人身份证复印件</w:t>
      </w:r>
      <w:r>
        <w:rPr>
          <w:rFonts w:hint="eastAsia" w:ascii="宋体" w:hAnsi="宋体" w:cs="宋体"/>
          <w:b/>
          <w:bCs/>
          <w:color w:val="000000" w:themeColor="text1"/>
          <w:szCs w:val="21"/>
          <w14:textFill>
            <w14:solidFill>
              <w14:schemeClr w14:val="tx1"/>
            </w14:solidFill>
          </w14:textFill>
        </w:rPr>
        <w:t>（委托代理时必须提供，格式见第六章）</w:t>
      </w:r>
      <w:r>
        <w:rPr>
          <w:rFonts w:hint="eastAsia" w:ascii="宋体" w:hAnsi="宋体" w:cs="宋体"/>
          <w:color w:val="000000" w:themeColor="text1"/>
          <w:szCs w:val="21"/>
          <w14:textFill>
            <w14:solidFill>
              <w14:schemeClr w14:val="tx1"/>
            </w14:solidFill>
          </w14:textFill>
        </w:rPr>
        <w:t>；法定代表人（负责人）参加投标时，提供法定代表人（负责人）身份证明书和身份证复印件</w:t>
      </w:r>
      <w:r>
        <w:rPr>
          <w:rFonts w:hint="eastAsia" w:ascii="宋体" w:hAnsi="宋体" w:cs="宋体"/>
          <w:b/>
          <w:bCs/>
          <w:color w:val="000000" w:themeColor="text1"/>
          <w:szCs w:val="21"/>
          <w14:textFill>
            <w14:solidFill>
              <w14:schemeClr w14:val="tx1"/>
            </w14:solidFill>
          </w14:textFill>
        </w:rPr>
        <w:t>（必须提供，格式见第六章）；</w:t>
      </w:r>
    </w:p>
    <w:p w14:paraId="053D8682">
      <w:pPr>
        <w:adjustRightInd w:val="0"/>
        <w:snapToGrid w:val="0"/>
        <w:spacing w:line="360" w:lineRule="exact"/>
        <w:ind w:firstLine="422"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可作为投标人资信评分的资质证明材料（可选） </w:t>
      </w:r>
    </w:p>
    <w:p w14:paraId="06F5936C">
      <w:pPr>
        <w:adjustRightInd w:val="0"/>
        <w:snapToGrid w:val="0"/>
        <w:spacing w:line="360" w:lineRule="exact"/>
        <w:ind w:firstLine="422"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（3）投标人的营业性演出许可证 </w:t>
      </w:r>
    </w:p>
    <w:p w14:paraId="0F32DACA">
      <w:pPr>
        <w:snapToGrid w:val="0"/>
        <w:spacing w:line="360" w:lineRule="exact"/>
        <w:ind w:left="41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（4）具备履行合同所必需的人员、设备和专业技术能力的证明材料</w:t>
      </w:r>
    </w:p>
    <w:p w14:paraId="5085B01D">
      <w:pPr>
        <w:snapToGrid w:val="0"/>
        <w:spacing w:line="360" w:lineRule="exact"/>
        <w:ind w:left="41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（5）劳务派遣服务许可证；</w:t>
      </w:r>
    </w:p>
    <w:p w14:paraId="0FEE8828">
      <w:pPr>
        <w:snapToGrid w:val="0"/>
        <w:spacing w:line="360" w:lineRule="exact"/>
        <w:ind w:left="41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（6）质量管理体系认证证书；</w:t>
      </w:r>
    </w:p>
    <w:p w14:paraId="7C3FC2BD">
      <w:pPr>
        <w:snapToGrid w:val="0"/>
        <w:spacing w:line="360" w:lineRule="exact"/>
        <w:ind w:left="41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（7）环境管理体系认证证书；</w:t>
      </w:r>
    </w:p>
    <w:p w14:paraId="7E8812A3">
      <w:pPr>
        <w:snapToGrid w:val="0"/>
        <w:spacing w:line="360" w:lineRule="exact"/>
        <w:ind w:left="41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（8）职业健康安全管理体系认证证书；</w:t>
      </w:r>
    </w:p>
    <w:p w14:paraId="0C7AC2E1">
      <w:pPr>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（9）投标人20</w:t>
      </w:r>
      <w:r>
        <w:rPr>
          <w:rFonts w:hint="eastAsia" w:ascii="宋体" w:hAnsi="宋体" w:cs="宋体"/>
          <w:color w:val="000000" w:themeColor="text1"/>
          <w:lang w:val="en-US" w:eastAsia="zh-CN"/>
          <w14:textFill>
            <w14:solidFill>
              <w14:schemeClr w14:val="tx1"/>
            </w14:solidFill>
          </w14:textFill>
        </w:rPr>
        <w:t>18</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szCs w:val="21"/>
          <w14:textFill>
            <w14:solidFill>
              <w14:schemeClr w14:val="tx1"/>
            </w14:solidFill>
          </w14:textFill>
        </w:rPr>
        <w:t>以</w:t>
      </w:r>
      <w:r>
        <w:rPr>
          <w:rFonts w:hint="eastAsia" w:ascii="宋体" w:hAnsi="宋体" w:cs="宋体"/>
          <w:color w:val="000000" w:themeColor="text1"/>
          <w14:textFill>
            <w14:solidFill>
              <w14:schemeClr w14:val="tx1"/>
            </w14:solidFill>
          </w14:textFill>
        </w:rPr>
        <w:t>来同类项目业绩【以中标通知或合同为准】复印件</w:t>
      </w:r>
      <w:r>
        <w:rPr>
          <w:rFonts w:hint="eastAsia" w:ascii="宋体" w:hAnsi="宋体" w:cs="宋体"/>
          <w:color w:val="000000" w:themeColor="text1"/>
          <w:szCs w:val="21"/>
          <w14:textFill>
            <w14:solidFill>
              <w14:schemeClr w14:val="tx1"/>
            </w14:solidFill>
          </w14:textFill>
        </w:rPr>
        <w:t>；</w:t>
      </w:r>
    </w:p>
    <w:p w14:paraId="6ACED809">
      <w:pPr>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（10）投标人情况介绍，投标人关于本单位债务纠纷、违法违规记录等方面的情况。</w:t>
      </w:r>
    </w:p>
    <w:p w14:paraId="55C41A11">
      <w:pPr>
        <w:snapToGrid w:val="0"/>
        <w:spacing w:before="156" w:beforeLines="50" w:line="360" w:lineRule="exact"/>
        <w:ind w:firstLine="413" w:firstLineChars="196"/>
        <w:jc w:val="left"/>
        <w:outlineLvl w:val="1"/>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4.技术文件：</w:t>
      </w:r>
    </w:p>
    <w:p w14:paraId="100698B2">
      <w:pPr>
        <w:adjustRightInd w:val="0"/>
        <w:snapToGrid w:val="0"/>
        <w:spacing w:line="360" w:lineRule="exact"/>
        <w:ind w:firstLine="420" w:firstLineChars="200"/>
        <w:jc w:val="left"/>
        <w:outlineLvl w:val="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（1）服务响应表</w:t>
      </w:r>
      <w:r>
        <w:rPr>
          <w:rFonts w:hint="eastAsia" w:ascii="宋体" w:hAnsi="宋体" w:cs="宋体"/>
          <w:b/>
          <w:color w:val="000000" w:themeColor="text1"/>
          <w:szCs w:val="21"/>
          <w14:textFill>
            <w14:solidFill>
              <w14:schemeClr w14:val="tx1"/>
            </w14:solidFill>
          </w14:textFill>
        </w:rPr>
        <w:t>（必须提供）</w:t>
      </w:r>
      <w:r>
        <w:rPr>
          <w:rFonts w:hint="eastAsia" w:ascii="宋体" w:hAnsi="宋体" w:cs="宋体"/>
          <w:color w:val="000000" w:themeColor="text1"/>
          <w:szCs w:val="21"/>
          <w14:textFill>
            <w14:solidFill>
              <w14:schemeClr w14:val="tx1"/>
            </w14:solidFill>
          </w14:textFill>
        </w:rPr>
        <w:t>；</w:t>
      </w:r>
    </w:p>
    <w:p w14:paraId="1872E3B2">
      <w:pPr>
        <w:adjustRightInd w:val="0"/>
        <w:snapToGrid w:val="0"/>
        <w:spacing w:line="360" w:lineRule="exact"/>
        <w:ind w:firstLine="420" w:firstLineChars="200"/>
        <w:jc w:val="left"/>
        <w:outlineLvl w:val="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14:textFill>
            <w14:solidFill>
              <w14:schemeClr w14:val="tx1"/>
            </w14:solidFill>
          </w14:textFill>
        </w:rPr>
        <w:t>服务方案</w:t>
      </w:r>
      <w:r>
        <w:rPr>
          <w:rFonts w:hint="eastAsia" w:ascii="宋体" w:hAnsi="宋体" w:cs="宋体"/>
          <w:b/>
          <w:color w:val="000000" w:themeColor="text1"/>
          <w:szCs w:val="21"/>
          <w14:textFill>
            <w14:solidFill>
              <w14:schemeClr w14:val="tx1"/>
            </w14:solidFill>
          </w14:textFill>
        </w:rPr>
        <w:t>（格式自拟，必须提供）</w:t>
      </w:r>
      <w:r>
        <w:rPr>
          <w:rFonts w:hint="eastAsia" w:ascii="宋体" w:hAnsi="宋体" w:cs="宋体"/>
          <w:color w:val="000000" w:themeColor="text1"/>
          <w:szCs w:val="21"/>
          <w14:textFill>
            <w14:solidFill>
              <w14:schemeClr w14:val="tx1"/>
            </w14:solidFill>
          </w14:textFill>
        </w:rPr>
        <w:t>；</w:t>
      </w:r>
    </w:p>
    <w:p w14:paraId="2810AD81">
      <w:pPr>
        <w:adjustRightInd w:val="0"/>
        <w:snapToGrid w:val="0"/>
        <w:spacing w:line="360" w:lineRule="exact"/>
        <w:ind w:firstLine="525" w:firstLineChars="2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（3）投标人拥有主要服务设施的情况和现状（格式自拟）及项目实施人员一览表； </w:t>
      </w:r>
    </w:p>
    <w:p w14:paraId="3A0F57FC">
      <w:pPr>
        <w:adjustRightInd w:val="0"/>
        <w:snapToGrid w:val="0"/>
        <w:spacing w:line="360" w:lineRule="exact"/>
        <w:ind w:firstLine="525" w:firstLineChars="2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（4）优惠条件：投标人承诺给予招标人的各种优惠条件；</w:t>
      </w:r>
    </w:p>
    <w:p w14:paraId="0237A28A">
      <w:pPr>
        <w:adjustRightInd w:val="0"/>
        <w:snapToGrid w:val="0"/>
        <w:spacing w:line="360" w:lineRule="exact"/>
        <w:ind w:firstLine="525" w:firstLineChars="2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（5）投标人对本项目的合理化建议和改进措施；</w:t>
      </w:r>
    </w:p>
    <w:p w14:paraId="3CFB0324">
      <w:pPr>
        <w:adjustRightInd w:val="0"/>
        <w:snapToGrid w:val="0"/>
        <w:spacing w:line="360" w:lineRule="exact"/>
        <w:ind w:firstLine="525" w:firstLineChars="2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（6）投标人需要说明的其他文件和说明（格式略）；</w:t>
      </w:r>
    </w:p>
    <w:p w14:paraId="630FCA46">
      <w:pPr>
        <w:snapToGrid w:val="0"/>
        <w:spacing w:before="156" w:beforeLines="50" w:line="360" w:lineRule="exact"/>
        <w:ind w:firstLine="413" w:firstLineChars="196"/>
        <w:jc w:val="left"/>
        <w:outlineLvl w:val="1"/>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5.报价文件：</w:t>
      </w:r>
    </w:p>
    <w:p w14:paraId="06796DC5">
      <w:pPr>
        <w:tabs>
          <w:tab w:val="left" w:pos="3870"/>
          <w:tab w:val="left" w:pos="4085"/>
        </w:tabs>
        <w:adjustRightInd w:val="0"/>
        <w:snapToGrid w:val="0"/>
        <w:spacing w:line="360" w:lineRule="exact"/>
        <w:ind w:firstLine="420" w:firstLineChars="200"/>
        <w:jc w:val="left"/>
        <w:outlineLvl w:val="3"/>
        <w:rPr>
          <w:rFonts w:ascii="宋体" w:hAnsi="宋体" w:cs="宋体"/>
          <w:color w:val="000000" w:themeColor="text1"/>
          <w:szCs w:val="21"/>
          <w14:textFill>
            <w14:solidFill>
              <w14:schemeClr w14:val="tx1"/>
            </w14:solidFill>
          </w14:textFill>
        </w:rPr>
      </w:pPr>
      <w:bookmarkStart w:id="33" w:name="_Toc254970537"/>
      <w:bookmarkStart w:id="34" w:name="_Toc254970678"/>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（1）投标函</w:t>
      </w:r>
      <w:r>
        <w:rPr>
          <w:rFonts w:hint="eastAsia" w:ascii="宋体" w:hAnsi="宋体" w:cs="宋体"/>
          <w:b/>
          <w:color w:val="000000" w:themeColor="text1"/>
          <w:szCs w:val="21"/>
          <w14:textFill>
            <w14:solidFill>
              <w14:schemeClr w14:val="tx1"/>
            </w14:solidFill>
          </w14:textFill>
        </w:rPr>
        <w:t>（格式见第六章，必须提供</w:t>
      </w:r>
      <w:r>
        <w:rPr>
          <w:rFonts w:hint="eastAsia" w:ascii="宋体" w:hAnsi="宋体" w:cs="宋体"/>
          <w:color w:val="000000" w:themeColor="text1"/>
          <w:szCs w:val="21"/>
          <w14:textFill>
            <w14:solidFill>
              <w14:schemeClr w14:val="tx1"/>
            </w14:solidFill>
          </w14:textFill>
        </w:rPr>
        <w:t xml:space="preserve">）； </w:t>
      </w:r>
    </w:p>
    <w:p w14:paraId="773694CE">
      <w:pPr>
        <w:tabs>
          <w:tab w:val="left" w:pos="3870"/>
          <w:tab w:val="left" w:pos="4085"/>
        </w:tabs>
        <w:adjustRightInd w:val="0"/>
        <w:snapToGrid w:val="0"/>
        <w:spacing w:line="360" w:lineRule="exact"/>
        <w:ind w:firstLine="420" w:firstLineChars="200"/>
        <w:jc w:val="left"/>
        <w:outlineLvl w:val="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（2）投标报价明细表</w:t>
      </w:r>
      <w:r>
        <w:rPr>
          <w:rFonts w:hint="eastAsia" w:ascii="宋体" w:hAnsi="宋体" w:cs="宋体"/>
          <w:b/>
          <w:color w:val="000000" w:themeColor="text1"/>
          <w:szCs w:val="21"/>
          <w14:textFill>
            <w14:solidFill>
              <w14:schemeClr w14:val="tx1"/>
            </w14:solidFill>
          </w14:textFill>
        </w:rPr>
        <w:t>（格式见第六章，必须提供</w:t>
      </w:r>
      <w:r>
        <w:rPr>
          <w:rFonts w:hint="eastAsia" w:ascii="宋体" w:hAnsi="宋体" w:cs="宋体"/>
          <w:color w:val="000000" w:themeColor="text1"/>
          <w:szCs w:val="21"/>
          <w14:textFill>
            <w14:solidFill>
              <w14:schemeClr w14:val="tx1"/>
            </w14:solidFill>
          </w14:textFill>
        </w:rPr>
        <w:t>）；</w:t>
      </w:r>
    </w:p>
    <w:p w14:paraId="127099D7">
      <w:pPr>
        <w:tabs>
          <w:tab w:val="left" w:pos="3870"/>
          <w:tab w:val="left" w:pos="4085"/>
        </w:tabs>
        <w:adjustRightInd w:val="0"/>
        <w:snapToGrid w:val="0"/>
        <w:spacing w:line="360" w:lineRule="exact"/>
        <w:ind w:firstLine="630" w:firstLineChars="3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（3）投标人针对报价需要说明的其他文件和说明；（格式自拟）</w:t>
      </w:r>
    </w:p>
    <w:p w14:paraId="62812785">
      <w:pPr>
        <w:tabs>
          <w:tab w:val="left" w:pos="3870"/>
          <w:tab w:val="left" w:pos="4085"/>
        </w:tabs>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▲（4）开标一览表（</w:t>
      </w:r>
      <w:r>
        <w:rPr>
          <w:rFonts w:hint="eastAsia" w:ascii="宋体" w:hAnsi="宋体" w:cs="宋体"/>
          <w:b/>
          <w:color w:val="000000" w:themeColor="text1"/>
          <w:szCs w:val="21"/>
          <w14:textFill>
            <w14:solidFill>
              <w14:schemeClr w14:val="tx1"/>
            </w14:solidFill>
          </w14:textFill>
        </w:rPr>
        <w:t>格式见第六章,必须提供）</w:t>
      </w:r>
      <w:r>
        <w:rPr>
          <w:rFonts w:hint="eastAsia" w:ascii="宋体" w:hAnsi="宋体" w:cs="宋体"/>
          <w:color w:val="000000" w:themeColor="text1"/>
          <w:szCs w:val="21"/>
          <w14:textFill>
            <w14:solidFill>
              <w14:schemeClr w14:val="tx1"/>
            </w14:solidFill>
          </w14:textFill>
        </w:rPr>
        <w:t>。</w:t>
      </w:r>
    </w:p>
    <w:bookmarkEnd w:id="33"/>
    <w:bookmarkEnd w:id="34"/>
    <w:p w14:paraId="77EAFF7D">
      <w:pPr>
        <w:pStyle w:val="48"/>
        <w:spacing w:line="360" w:lineRule="exact"/>
        <w:ind w:firstLine="422" w:firstLineChars="200"/>
        <w:rPr>
          <w:rFonts w:ascii="宋体" w:hAnsi="宋体" w:cs="宋体"/>
          <w:b/>
          <w:bCs/>
          <w:color w:val="000000" w:themeColor="text1"/>
          <w:sz w:val="21"/>
          <w:szCs w:val="21"/>
          <w14:textFill>
            <w14:solidFill>
              <w14:schemeClr w14:val="tx1"/>
            </w14:solidFill>
          </w14:textFill>
        </w:rPr>
      </w:pPr>
      <w:bookmarkStart w:id="35" w:name="_Toc254970685"/>
      <w:bookmarkStart w:id="36" w:name="_Toc254970544"/>
      <w:r>
        <w:rPr>
          <w:rFonts w:hint="eastAsia" w:ascii="宋体" w:hAnsi="宋体" w:cs="宋体"/>
          <w:b/>
          <w:bCs/>
          <w:color w:val="000000" w:themeColor="text1"/>
          <w:sz w:val="21"/>
          <w:szCs w:val="21"/>
          <w14:textFill>
            <w14:solidFill>
              <w14:schemeClr w14:val="tx1"/>
            </w14:solidFill>
          </w14:textFill>
        </w:rPr>
        <w:t>特别说明：</w:t>
      </w:r>
    </w:p>
    <w:p w14:paraId="5FC6EC6C">
      <w:pPr>
        <w:pStyle w:val="48"/>
        <w:spacing w:line="360" w:lineRule="exact"/>
        <w:ind w:firstLine="422" w:firstLineChars="20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（1）法定代表人（负责人）授权委托书必须由法定代表人（负责人）签名并加盖 单位公章；承诺函、投标函、开标一览表必须由法定代表人（负责人）或委托代理人签名并加盖单位公章。电子投标文件须加盖公章部分均采用CA签章。</w:t>
      </w:r>
    </w:p>
    <w:p w14:paraId="4D2D45C1">
      <w:pPr>
        <w:pStyle w:val="48"/>
        <w:spacing w:line="360" w:lineRule="exact"/>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（2）投标文件，其中电子投标文件中所须加盖公章部分均采用CA签章。若招标文件中有专门标注的某关联点，并要求</w:t>
      </w:r>
      <w:r>
        <w:rPr>
          <w:rFonts w:hint="eastAsia" w:ascii="宋体" w:hAnsi="宋体" w:cs="宋体"/>
          <w:b/>
          <w:color w:val="000000" w:themeColor="text1"/>
          <w:sz w:val="21"/>
          <w:szCs w:val="21"/>
          <w:lang w:eastAsia="zh-CN"/>
          <w14:textFill>
            <w14:solidFill>
              <w14:schemeClr w14:val="tx1"/>
            </w14:solidFill>
          </w14:textFill>
        </w:rPr>
        <w:t>投标人</w:t>
      </w:r>
      <w:r>
        <w:rPr>
          <w:rFonts w:hint="eastAsia" w:ascii="宋体" w:hAnsi="宋体" w:cs="宋体"/>
          <w:b/>
          <w:color w:val="000000" w:themeColor="text1"/>
          <w:sz w:val="21"/>
          <w:szCs w:val="21"/>
          <w14:textFill>
            <w14:solidFill>
              <w14:schemeClr w14:val="tx1"/>
            </w14:solidFill>
          </w14:textFill>
        </w:rPr>
        <w:t>在电子投标系统中作出投标响应的，如</w:t>
      </w:r>
      <w:r>
        <w:rPr>
          <w:rFonts w:hint="eastAsia" w:ascii="宋体" w:hAnsi="宋体" w:cs="宋体"/>
          <w:b/>
          <w:color w:val="000000" w:themeColor="text1"/>
          <w:sz w:val="21"/>
          <w:szCs w:val="21"/>
          <w:lang w:eastAsia="zh-CN"/>
          <w14:textFill>
            <w14:solidFill>
              <w14:schemeClr w14:val="tx1"/>
            </w14:solidFill>
          </w14:textFill>
        </w:rPr>
        <w:t>投标人</w:t>
      </w:r>
      <w:r>
        <w:rPr>
          <w:rFonts w:hint="eastAsia" w:ascii="宋体" w:hAnsi="宋体" w:cs="宋体"/>
          <w:b/>
          <w:color w:val="000000" w:themeColor="text1"/>
          <w:sz w:val="21"/>
          <w:szCs w:val="21"/>
          <w14:textFill>
            <w14:solidFill>
              <w14:schemeClr w14:val="tx1"/>
            </w14:solidFill>
          </w14:textFill>
        </w:rPr>
        <w:t>未对关联点进行响应或者在投标文件其它内容进行描述，造成电子评审不能查询的责任由</w:t>
      </w:r>
      <w:r>
        <w:rPr>
          <w:rFonts w:hint="eastAsia" w:ascii="宋体" w:hAnsi="宋体" w:cs="宋体"/>
          <w:b/>
          <w:color w:val="000000" w:themeColor="text1"/>
          <w:sz w:val="21"/>
          <w:szCs w:val="21"/>
          <w:lang w:eastAsia="zh-CN"/>
          <w14:textFill>
            <w14:solidFill>
              <w14:schemeClr w14:val="tx1"/>
            </w14:solidFill>
          </w14:textFill>
        </w:rPr>
        <w:t>投标人</w:t>
      </w:r>
      <w:r>
        <w:rPr>
          <w:rFonts w:hint="eastAsia" w:ascii="宋体" w:hAnsi="宋体" w:cs="宋体"/>
          <w:b/>
          <w:color w:val="000000" w:themeColor="text1"/>
          <w:sz w:val="21"/>
          <w:szCs w:val="21"/>
          <w14:textFill>
            <w14:solidFill>
              <w14:schemeClr w14:val="tx1"/>
            </w14:solidFill>
          </w14:textFill>
        </w:rPr>
        <w:t>自行承担。</w:t>
      </w:r>
    </w:p>
    <w:p w14:paraId="288E96B1">
      <w:pPr>
        <w:adjustRightInd w:val="0"/>
        <w:snapToGrid w:val="0"/>
        <w:spacing w:line="360" w:lineRule="exact"/>
        <w:ind w:firstLine="422"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（二）投标文件的语言及计量</w:t>
      </w:r>
    </w:p>
    <w:p w14:paraId="3A53B4B8">
      <w:pPr>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▲1投标文件以及投标方与招标方就有关投标事宜的所有来往函电，均应以中文汉语书写。除签字、盖章、专用名称等特殊情形外，以中文汉语以外的文字表述的投标文件视同未提供。</w:t>
      </w:r>
    </w:p>
    <w:p w14:paraId="320EBCDC">
      <w:pPr>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▲2投标计量单位，招标文件已有明确规定的，使用招标文件规定的计量单位；招标文件没有规定的，应采用中华人民共和国法定计量单位（货币单位：人民币元），否则视同未响应。</w:t>
      </w:r>
    </w:p>
    <w:p w14:paraId="13F6AB43">
      <w:pPr>
        <w:adjustRightInd w:val="0"/>
        <w:snapToGrid w:val="0"/>
        <w:spacing w:line="360" w:lineRule="exact"/>
        <w:ind w:firstLine="422"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（三）投标报价</w:t>
      </w:r>
    </w:p>
    <w:p w14:paraId="3C7C0FD5">
      <w:pPr>
        <w:pStyle w:val="29"/>
        <w:adjustRightInd w:val="0"/>
        <w:snapToGrid w:val="0"/>
        <w:spacing w:line="360" w:lineRule="exact"/>
        <w:ind w:firstLine="420" w:firstLineChars="200"/>
        <w:jc w:val="left"/>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1.投标报价应按招标文件中相关附表格式填写。投标人必须就《项目采购需求》中的服务内容作完整唯一报价。</w:t>
      </w:r>
    </w:p>
    <w:p w14:paraId="1FA8183B">
      <w:pPr>
        <w:pStyle w:val="29"/>
        <w:adjustRightInd w:val="0"/>
        <w:snapToGrid w:val="0"/>
        <w:spacing w:line="360" w:lineRule="exact"/>
        <w:ind w:firstLine="420" w:firstLineChars="200"/>
        <w:jc w:val="left"/>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2.投标报价是履行合同的最终价格。</w:t>
      </w:r>
    </w:p>
    <w:p w14:paraId="3C564D7B">
      <w:pPr>
        <w:tabs>
          <w:tab w:val="left" w:pos="525"/>
        </w:tabs>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▲3.投标文件只允许有一个报价，有选择的或有条件的报价将不予接受。</w:t>
      </w:r>
    </w:p>
    <w:p w14:paraId="362FA08B">
      <w:pPr>
        <w:pStyle w:val="14"/>
        <w:widowControl w:val="0"/>
        <w:tabs>
          <w:tab w:val="clear" w:pos="454"/>
        </w:tabs>
        <w:adjustRightInd w:val="0"/>
        <w:snapToGrid w:val="0"/>
        <w:spacing w:afterLines="0" w:line="360" w:lineRule="exact"/>
        <w:ind w:left="0"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（四）投标文件的有效期</w:t>
      </w:r>
    </w:p>
    <w:p w14:paraId="6EBD7843">
      <w:pPr>
        <w:pStyle w:val="29"/>
        <w:adjustRightInd w:val="0"/>
        <w:snapToGrid w:val="0"/>
        <w:spacing w:line="360" w:lineRule="exact"/>
        <w:ind w:firstLine="420" w:firstLineChars="200"/>
        <w:jc w:val="left"/>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1.自投标截止日起60天投标文件应保持有效。有效期不足的投标文件将被拒绝。</w:t>
      </w:r>
    </w:p>
    <w:p w14:paraId="69AEC632">
      <w:pPr>
        <w:pStyle w:val="29"/>
        <w:adjustRightInd w:val="0"/>
        <w:snapToGrid w:val="0"/>
        <w:spacing w:line="360" w:lineRule="exact"/>
        <w:ind w:firstLine="420" w:firstLineChars="200"/>
        <w:jc w:val="left"/>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2.在特殊情况下，招标人可与投标人协商延长投标书的有效期，这种要求和答复均以书面形式进行。</w:t>
      </w:r>
    </w:p>
    <w:p w14:paraId="4DCF2CB4">
      <w:pPr>
        <w:pStyle w:val="29"/>
        <w:adjustRightInd w:val="0"/>
        <w:snapToGrid w:val="0"/>
        <w:spacing w:line="360" w:lineRule="exact"/>
        <w:ind w:firstLine="420" w:firstLineChars="200"/>
        <w:jc w:val="left"/>
        <w:rPr>
          <w:rFonts w:hAnsi="宋体" w:cs="宋体"/>
          <w:color w:val="000000" w:themeColor="text1"/>
          <w:kern w:val="2"/>
          <w:sz w:val="21"/>
          <w14:textFill>
            <w14:solidFill>
              <w14:schemeClr w14:val="tx1"/>
            </w14:solidFill>
          </w14:textFill>
        </w:rPr>
      </w:pPr>
      <w:bookmarkStart w:id="37" w:name="_Toc254970681"/>
      <w:bookmarkStart w:id="38" w:name="_Toc254970540"/>
      <w:r>
        <w:rPr>
          <w:rFonts w:hint="eastAsia" w:hAnsi="宋体" w:cs="宋体"/>
          <w:color w:val="000000" w:themeColor="text1"/>
          <w:kern w:val="2"/>
          <w:sz w:val="21"/>
          <w14:textFill>
            <w14:solidFill>
              <w14:schemeClr w14:val="tx1"/>
            </w14:solidFill>
          </w14:textFill>
        </w:rPr>
        <w:t>3.中标人的投标文件自开标之日起至合同履行完毕止均应保持有效。</w:t>
      </w:r>
      <w:bookmarkEnd w:id="37"/>
      <w:bookmarkEnd w:id="38"/>
    </w:p>
    <w:p w14:paraId="7DD360F9">
      <w:pPr>
        <w:adjustRightInd w:val="0"/>
        <w:snapToGrid w:val="0"/>
        <w:spacing w:line="360" w:lineRule="exact"/>
        <w:ind w:firstLine="422"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（五）投标保证金</w:t>
      </w:r>
    </w:p>
    <w:p w14:paraId="408384A1">
      <w:pPr>
        <w:autoSpaceDE w:val="0"/>
        <w:autoSpaceDN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本项目不收取投标保证金。</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在采购活动中违反相关法律法规规章规定的，本中心将报告政府采购监督管理部门，由政府采购监督管理部门依照相关规定作出处理。</w:t>
      </w:r>
    </w:p>
    <w:p w14:paraId="527CF128">
      <w:pPr>
        <w:adjustRightInd w:val="0"/>
        <w:snapToGrid w:val="0"/>
        <w:spacing w:line="360" w:lineRule="exact"/>
        <w:ind w:firstLine="422" w:firstLineChars="200"/>
        <w:rPr>
          <w:rFonts w:ascii="宋体" w:hAnsi="宋体" w:cs="宋体"/>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（六）投标文件的签署和份数</w:t>
      </w:r>
    </w:p>
    <w:p w14:paraId="3A9726B8">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投标人应按照招标文件的要求编制完整的投标文件，投标文件须对招标文件中的内容做出实质性和完整的响应，混乱的编排导致投标文件被误读、漏读或查找不到相关内容的，投标文件留有空项的地方，其投标将会被拒绝。</w:t>
      </w:r>
    </w:p>
    <w:p w14:paraId="3873B5E9">
      <w:pPr>
        <w:snapToGrid w:val="0"/>
        <w:spacing w:line="360" w:lineRule="exact"/>
        <w:ind w:firstLine="422"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2.电子投标文件中须加盖</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公章部分均采用 CA 签章，并根据“政府采购项目电子交易管理操作指南-</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 及本招标文件规定的格式和顺序编制电子投标文件并进行关联定位，以便评标委员会在评审时，点击评分项可直接定位到该评分项内容。如对招标文件的某项要求，</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的电子投标文件未能关联定位提供相应的内容与其对应，则评标委员会在评审时如做出对</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不利的评审由</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自行承担。电子投标文件如内容不完整、编排混乱导致投标文件被误读、 漏读，或者在按采购文件规定的部位查找不到相关内容的，由</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自行承担。</w:t>
      </w:r>
    </w:p>
    <w:p w14:paraId="79E9667D">
      <w:pPr>
        <w:snapToGrid w:val="0"/>
        <w:spacing w:line="360" w:lineRule="exact"/>
        <w:ind w:firstLine="422"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3.投标文件中涉及到签名的位置未按要求进行签名的，提供的材料视为无效。</w:t>
      </w:r>
    </w:p>
    <w:p w14:paraId="7C018355">
      <w:pPr>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4.投标文件不得涂改，若有修改错漏处，须加盖单位公章或者法定代表人（负责人）或授权委托人签字或盖章。投标文件因字迹潦草或表达不清所引起的后果由</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负责。</w:t>
      </w:r>
    </w:p>
    <w:p w14:paraId="5C8D5B60">
      <w:pPr>
        <w:snapToGrid w:val="0"/>
        <w:spacing w:before="156" w:beforeLines="50" w:line="360" w:lineRule="exact"/>
        <w:ind w:firstLine="310" w:firstLineChars="147"/>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（七）投标文件的递交、修改和撤回</w:t>
      </w:r>
    </w:p>
    <w:p w14:paraId="2C9DE77F">
      <w:pPr>
        <w:snapToGrid w:val="0"/>
        <w:spacing w:line="360" w:lineRule="exact"/>
        <w:ind w:firstLine="420"/>
        <w:jc w:val="left"/>
        <w:rPr>
          <w:rFonts w:ascii="宋体" w:hAnsi="宋体" w:cs="宋体"/>
          <w:b/>
          <w:color w:val="000000" w:themeColor="text1"/>
          <w:spacing w:val="-4"/>
          <w:szCs w:val="21"/>
          <w14:textFill>
            <w14:solidFill>
              <w14:schemeClr w14:val="tx1"/>
            </w14:solidFill>
          </w14:textFill>
        </w:rPr>
      </w:pPr>
      <w:r>
        <w:rPr>
          <w:rFonts w:hint="eastAsia" w:ascii="宋体" w:hAnsi="宋体" w:cs="宋体"/>
          <w:b/>
          <w:color w:val="000000" w:themeColor="text1"/>
          <w:spacing w:val="-4"/>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投标文件的</w:t>
      </w:r>
      <w:r>
        <w:rPr>
          <w:rFonts w:hint="eastAsia" w:ascii="宋体" w:hAnsi="宋体" w:cs="宋体"/>
          <w:b/>
          <w:color w:val="000000" w:themeColor="text1"/>
          <w:spacing w:val="-4"/>
          <w:szCs w:val="21"/>
          <w14:textFill>
            <w14:solidFill>
              <w14:schemeClr w14:val="tx1"/>
            </w14:solidFill>
          </w14:textFill>
        </w:rPr>
        <w:t>递交</w:t>
      </w:r>
    </w:p>
    <w:p w14:paraId="7DAD4DD3">
      <w:pPr>
        <w:snapToGrid w:val="0"/>
        <w:spacing w:line="360" w:lineRule="exact"/>
        <w:ind w:firstLine="420"/>
        <w:jc w:val="left"/>
        <w:rPr>
          <w:rFonts w:ascii="宋体" w:hAnsi="宋体" w:cs="宋体"/>
          <w:b/>
          <w:color w:val="000000" w:themeColor="text1"/>
          <w:spacing w:val="-4"/>
          <w:szCs w:val="21"/>
          <w14:textFill>
            <w14:solidFill>
              <w14:schemeClr w14:val="tx1"/>
            </w14:solidFill>
          </w14:textFill>
        </w:rPr>
      </w:pPr>
      <w:r>
        <w:rPr>
          <w:rFonts w:hint="eastAsia" w:ascii="宋体" w:hAnsi="宋体" w:cs="宋体"/>
          <w:b/>
          <w:color w:val="000000" w:themeColor="text1"/>
          <w:spacing w:val="-4"/>
          <w:szCs w:val="21"/>
          <w14:textFill>
            <w14:solidFill>
              <w14:schemeClr w14:val="tx1"/>
            </w14:solidFill>
          </w14:textFill>
        </w:rPr>
        <w:t>所有投标文件应于招标文件中规定的时间上传递交至广西政府采购云平台。</w:t>
      </w:r>
    </w:p>
    <w:p w14:paraId="02174F91">
      <w:pPr>
        <w:snapToGrid w:val="0"/>
        <w:spacing w:line="360" w:lineRule="exact"/>
        <w:ind w:firstLine="420"/>
        <w:jc w:val="left"/>
        <w:rPr>
          <w:rFonts w:ascii="宋体" w:hAnsi="宋体" w:cs="宋体"/>
          <w:b/>
          <w:color w:val="000000" w:themeColor="text1"/>
          <w:spacing w:val="-4"/>
          <w:szCs w:val="21"/>
          <w14:textFill>
            <w14:solidFill>
              <w14:schemeClr w14:val="tx1"/>
            </w14:solidFill>
          </w14:textFill>
        </w:rPr>
      </w:pPr>
      <w:r>
        <w:rPr>
          <w:rFonts w:hint="eastAsia" w:ascii="宋体" w:hAnsi="宋体" w:cs="宋体"/>
          <w:b/>
          <w:color w:val="000000" w:themeColor="text1"/>
          <w:spacing w:val="-4"/>
          <w:szCs w:val="21"/>
          <w14:textFill>
            <w14:solidFill>
              <w14:schemeClr w14:val="tx1"/>
            </w14:solidFill>
          </w14:textFill>
        </w:rPr>
        <w:t>2.电子投标文件的相关说明</w:t>
      </w:r>
    </w:p>
    <w:p w14:paraId="28AE2046">
      <w:pPr>
        <w:snapToGrid w:val="0"/>
        <w:spacing w:line="360" w:lineRule="exact"/>
        <w:ind w:firstLine="420"/>
        <w:jc w:val="left"/>
        <w:rPr>
          <w:rFonts w:ascii="宋体" w:hAnsi="宋体" w:cs="宋体"/>
          <w:b/>
          <w:color w:val="000000" w:themeColor="text1"/>
          <w:spacing w:val="-4"/>
          <w:szCs w:val="21"/>
          <w14:textFill>
            <w14:solidFill>
              <w14:schemeClr w14:val="tx1"/>
            </w14:solidFill>
          </w14:textFill>
        </w:rPr>
      </w:pPr>
      <w:r>
        <w:rPr>
          <w:rFonts w:hint="eastAsia" w:ascii="宋体" w:hAnsi="宋体" w:cs="宋体"/>
          <w:b/>
          <w:color w:val="000000" w:themeColor="text1"/>
          <w:spacing w:val="-4"/>
          <w:szCs w:val="21"/>
          <w14:textFill>
            <w14:solidFill>
              <w14:schemeClr w14:val="tx1"/>
            </w14:solidFill>
          </w14:textFill>
        </w:rPr>
        <w:t>（1）</w:t>
      </w:r>
      <w:r>
        <w:rPr>
          <w:rFonts w:hint="eastAsia" w:ascii="宋体" w:hAnsi="宋体" w:cs="宋体"/>
          <w:b/>
          <w:color w:val="000000" w:themeColor="text1"/>
          <w:spacing w:val="-4"/>
          <w:szCs w:val="21"/>
          <w:lang w:eastAsia="zh-CN"/>
          <w14:textFill>
            <w14:solidFill>
              <w14:schemeClr w14:val="tx1"/>
            </w14:solidFill>
          </w14:textFill>
        </w:rPr>
        <w:t>投标人</w:t>
      </w:r>
      <w:r>
        <w:rPr>
          <w:rFonts w:hint="eastAsia" w:ascii="宋体" w:hAnsi="宋体" w:cs="宋体"/>
          <w:b/>
          <w:color w:val="000000" w:themeColor="text1"/>
          <w:spacing w:val="-4"/>
          <w:szCs w:val="21"/>
          <w14:textFill>
            <w14:solidFill>
              <w14:schemeClr w14:val="tx1"/>
            </w14:solidFill>
          </w14:textFill>
        </w:rPr>
        <w:t>进行电子投标应安装客户端软件，并按照采购文件和电子交易平台的要求编制并加密投标文件。</w:t>
      </w:r>
      <w:r>
        <w:rPr>
          <w:rFonts w:hint="eastAsia" w:ascii="宋体" w:hAnsi="宋体" w:cs="宋体"/>
          <w:b/>
          <w:color w:val="000000" w:themeColor="text1"/>
          <w:spacing w:val="-4"/>
          <w:szCs w:val="21"/>
          <w:lang w:eastAsia="zh-CN"/>
          <w14:textFill>
            <w14:solidFill>
              <w14:schemeClr w14:val="tx1"/>
            </w14:solidFill>
          </w14:textFill>
        </w:rPr>
        <w:t>投标人</w:t>
      </w:r>
      <w:r>
        <w:rPr>
          <w:rFonts w:hint="eastAsia" w:ascii="宋体" w:hAnsi="宋体" w:cs="宋体"/>
          <w:b/>
          <w:color w:val="000000" w:themeColor="text1"/>
          <w:spacing w:val="-4"/>
          <w:szCs w:val="21"/>
          <w14:textFill>
            <w14:solidFill>
              <w14:schemeClr w14:val="tx1"/>
            </w14:solidFill>
          </w14:textFill>
        </w:rPr>
        <w:t>未按规定加密的投标文件，电子交易平台将拒收。</w:t>
      </w:r>
      <w:r>
        <w:rPr>
          <w:rFonts w:hint="eastAsia" w:ascii="宋体" w:hAnsi="宋体" w:cs="宋体"/>
          <w:b/>
          <w:color w:val="000000" w:themeColor="text1"/>
          <w:spacing w:val="-4"/>
          <w:szCs w:val="21"/>
          <w:lang w:eastAsia="zh-CN"/>
          <w14:textFill>
            <w14:solidFill>
              <w14:schemeClr w14:val="tx1"/>
            </w14:solidFill>
          </w14:textFill>
        </w:rPr>
        <w:t>投标人</w:t>
      </w:r>
      <w:r>
        <w:rPr>
          <w:rFonts w:hint="eastAsia" w:ascii="宋体" w:hAnsi="宋体" w:cs="宋体"/>
          <w:b/>
          <w:color w:val="000000" w:themeColor="text1"/>
          <w:spacing w:val="-4"/>
          <w:szCs w:val="21"/>
          <w14:textFill>
            <w14:solidFill>
              <w14:schemeClr w14:val="tx1"/>
            </w14:solidFill>
          </w14:textFill>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0E1C12E">
      <w:pPr>
        <w:snapToGrid w:val="0"/>
        <w:spacing w:line="360" w:lineRule="exact"/>
        <w:ind w:firstLine="420"/>
        <w:jc w:val="left"/>
        <w:rPr>
          <w:rFonts w:ascii="宋体" w:hAnsi="宋体" w:cs="宋体"/>
          <w:color w:val="000000" w:themeColor="text1"/>
          <w:spacing w:val="-4"/>
          <w:szCs w:val="21"/>
          <w14:textFill>
            <w14:solidFill>
              <w14:schemeClr w14:val="tx1"/>
            </w14:solidFill>
          </w14:textFill>
        </w:rPr>
      </w:pPr>
      <w:r>
        <w:rPr>
          <w:rFonts w:hint="eastAsia" w:ascii="宋体" w:hAnsi="宋体" w:cs="宋体"/>
          <w:b/>
          <w:color w:val="000000" w:themeColor="text1"/>
          <w:spacing w:val="-4"/>
          <w:szCs w:val="21"/>
          <w14:textFill>
            <w14:solidFill>
              <w14:schemeClr w14:val="tx1"/>
            </w14:solidFill>
          </w14:textFill>
        </w:rPr>
        <w:t>（2）如有特殊情况，本中心延长截止时间和开标时间，本中心和</w:t>
      </w:r>
      <w:r>
        <w:rPr>
          <w:rFonts w:hint="eastAsia" w:ascii="宋体" w:hAnsi="宋体" w:cs="宋体"/>
          <w:b/>
          <w:color w:val="000000" w:themeColor="text1"/>
          <w:spacing w:val="-4"/>
          <w:szCs w:val="21"/>
          <w:lang w:eastAsia="zh-CN"/>
          <w14:textFill>
            <w14:solidFill>
              <w14:schemeClr w14:val="tx1"/>
            </w14:solidFill>
          </w14:textFill>
        </w:rPr>
        <w:t>投标人</w:t>
      </w:r>
      <w:r>
        <w:rPr>
          <w:rFonts w:hint="eastAsia" w:ascii="宋体" w:hAnsi="宋体" w:cs="宋体"/>
          <w:b/>
          <w:color w:val="000000" w:themeColor="text1"/>
          <w:spacing w:val="-4"/>
          <w:szCs w:val="21"/>
          <w14:textFill>
            <w14:solidFill>
              <w14:schemeClr w14:val="tx1"/>
            </w14:solidFill>
          </w14:textFill>
        </w:rPr>
        <w:t>的权利和义务将受到新的截止时间和开标时间的约束。</w:t>
      </w:r>
    </w:p>
    <w:p w14:paraId="50325146">
      <w:pPr>
        <w:snapToGrid w:val="0"/>
        <w:spacing w:line="360" w:lineRule="exact"/>
        <w:ind w:firstLine="420"/>
        <w:jc w:val="left"/>
        <w:rPr>
          <w:rFonts w:ascii="宋体" w:hAnsi="宋体" w:cs="宋体"/>
          <w:b/>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3.投标人已经被推荐为第一中标候选</w:t>
      </w:r>
      <w:r>
        <w:rPr>
          <w:rFonts w:hint="eastAsia" w:ascii="宋体" w:hAnsi="宋体" w:cs="宋体"/>
          <w:color w:val="000000" w:themeColor="text1"/>
          <w:spacing w:val="-4"/>
          <w:szCs w:val="21"/>
          <w:lang w:eastAsia="zh-CN"/>
          <w14:textFill>
            <w14:solidFill>
              <w14:schemeClr w14:val="tx1"/>
            </w14:solidFill>
          </w14:textFill>
        </w:rPr>
        <w:t>投标人</w:t>
      </w:r>
      <w:r>
        <w:rPr>
          <w:rFonts w:hint="eastAsia" w:ascii="宋体" w:hAnsi="宋体" w:cs="宋体"/>
          <w:color w:val="000000" w:themeColor="text1"/>
          <w:spacing w:val="-4"/>
          <w:szCs w:val="21"/>
          <w14:textFill>
            <w14:solidFill>
              <w14:schemeClr w14:val="tx1"/>
            </w14:solidFill>
          </w14:textFill>
        </w:rPr>
        <w:t>后撤回投标或放弃中标的，给采购人造成损失的，应当赔偿损失，并作为不良行为记录在案。</w:t>
      </w:r>
    </w:p>
    <w:p w14:paraId="4BFA8738">
      <w:pPr>
        <w:snapToGrid w:val="0"/>
        <w:spacing w:line="360" w:lineRule="exact"/>
        <w:ind w:firstLine="42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（八）投标无效的情形</w:t>
      </w:r>
    </w:p>
    <w:p w14:paraId="74964545">
      <w:pPr>
        <w:pStyle w:val="22"/>
        <w:snapToGrid w:val="0"/>
        <w:spacing w:line="360" w:lineRule="exact"/>
        <w:ind w:firstLine="395" w:firstLineChars="196"/>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3B1FED60">
      <w:pPr>
        <w:pStyle w:val="22"/>
        <w:snapToGrid w:val="0"/>
        <w:spacing w:line="360" w:lineRule="exact"/>
        <w:ind w:firstLine="395" w:firstLineChars="196"/>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1.在符合性审查和资格性审查时，如发现下列情形之一的，投标文件将被视为无效：</w:t>
      </w:r>
    </w:p>
    <w:p w14:paraId="72953B7B">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（1）超越了按照法律法规规定必须获得行政许可或者行政审批的经营范围的；</w:t>
      </w:r>
    </w:p>
    <w:p w14:paraId="1691E4F4">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（2）资格证明文件不全的，或者不符合招标文件标明的资格要求的；</w:t>
      </w:r>
    </w:p>
    <w:p w14:paraId="494DA1E6">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（3）投标文件无法定代表人（负责人）或其授权委托代理人签字或盖章，或未提供法定代表人（负责人）授权委托书、投标声明书或者填写项目不齐全的；</w:t>
      </w:r>
    </w:p>
    <w:p w14:paraId="16B24865">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（4）投标代表人未能出具身份证明或与法定代表人（负责人）授权委托人身份不符的；</w:t>
      </w:r>
    </w:p>
    <w:p w14:paraId="53453186">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（5）项目不齐全或者内容虚假的；</w:t>
      </w:r>
    </w:p>
    <w:p w14:paraId="28E437DB">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（6）投标文件的实质性内容未使用中文表述、意思表述不明确、前后矛盾或者使用计量单位不符合投标文件要求的（经评标委员会认定并允许其当场更正的笔误除外）；</w:t>
      </w:r>
    </w:p>
    <w:p w14:paraId="5809FE3C">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（7）投标有效期、交付使用时间、质保期等商务条款不能满足招标文件要求的；</w:t>
      </w:r>
    </w:p>
    <w:p w14:paraId="50A4E1C1">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（8）未实质性响应招标文件要求或者投标文件有招标方不能接受的附加条件的；</w:t>
      </w:r>
    </w:p>
    <w:p w14:paraId="66C6DE0A">
      <w:pPr>
        <w:pStyle w:val="22"/>
        <w:snapToGrid w:val="0"/>
        <w:spacing w:line="360" w:lineRule="exact"/>
        <w:ind w:firstLine="395" w:firstLineChars="196"/>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2.在技术评审时，如发现下列情形之一的，投标文件将被视为无效：</w:t>
      </w:r>
    </w:p>
    <w:p w14:paraId="2E6F2AAE">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（1）未提供或未如实提供投标货物的技术参数，或者投标文件标明的响应或偏离与事实不符或虚假投标的；</w:t>
      </w:r>
    </w:p>
    <w:p w14:paraId="1A27CE43">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（2）明显不符合招标文件要求的规格型号、质量标准，或者与招标文件中的技术指标、主要功能项目发生实质性偏离的；</w:t>
      </w:r>
    </w:p>
    <w:p w14:paraId="36B181EC">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（3）标明星号“★”的技术、性能指标发生负偏离达1项（含）以上的（如有）；</w:t>
      </w:r>
    </w:p>
    <w:p w14:paraId="107203C4">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（4）投标技术方案不明确，存在一个或一个以上备选（替换）投标方案的；</w:t>
      </w:r>
    </w:p>
    <w:p w14:paraId="13AD550A">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（5）与其他参加本次投标</w:t>
      </w:r>
      <w:r>
        <w:rPr>
          <w:rFonts w:hint="eastAsia" w:ascii="宋体" w:hAnsi="宋体" w:eastAsia="宋体" w:cs="宋体"/>
          <w:color w:val="000000" w:themeColor="text1"/>
          <w:spacing w:val="-4"/>
          <w:sz w:val="21"/>
          <w:szCs w:val="21"/>
          <w:lang w:eastAsia="zh-CN"/>
          <w14:textFill>
            <w14:solidFill>
              <w14:schemeClr w14:val="tx1"/>
            </w14:solidFill>
          </w14:textFill>
        </w:rPr>
        <w:t>投标人</w:t>
      </w:r>
      <w:r>
        <w:rPr>
          <w:rFonts w:hint="eastAsia" w:ascii="宋体" w:hAnsi="宋体" w:eastAsia="宋体" w:cs="宋体"/>
          <w:color w:val="000000" w:themeColor="text1"/>
          <w:spacing w:val="-4"/>
          <w:sz w:val="21"/>
          <w:szCs w:val="21"/>
          <w14:textFill>
            <w14:solidFill>
              <w14:schemeClr w14:val="tx1"/>
            </w14:solidFill>
          </w14:textFill>
        </w:rPr>
        <w:t>的投标文件（技术文件）的文字表述内容差错相同二处以上的。</w:t>
      </w:r>
    </w:p>
    <w:p w14:paraId="2E48E6A6">
      <w:pPr>
        <w:pStyle w:val="22"/>
        <w:snapToGrid w:val="0"/>
        <w:spacing w:line="360" w:lineRule="exact"/>
        <w:ind w:firstLine="395" w:firstLineChars="196"/>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3.在报价评审时，如发现下列情形之一的，投标文件将被视为无效：</w:t>
      </w:r>
    </w:p>
    <w:p w14:paraId="2C8A347B">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（1）未采用人民币报价或者未按照招标文件标明的币种报价的；</w:t>
      </w:r>
    </w:p>
    <w:p w14:paraId="09E63AF5">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（2）报价超出最高限价，或者超出采购预算金额，采购人不能支付的；</w:t>
      </w:r>
    </w:p>
    <w:p w14:paraId="2F85DAFF">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（3）投标报价具有选择性，或者开标价格与投标文件承诺的优惠（折扣）价格不一致的。</w:t>
      </w:r>
    </w:p>
    <w:p w14:paraId="1723ECE2">
      <w:pPr>
        <w:pStyle w:val="22"/>
        <w:snapToGrid w:val="0"/>
        <w:spacing w:line="360" w:lineRule="exact"/>
        <w:ind w:firstLine="0" w:firstLineChars="0"/>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 xml:space="preserve">   （4）投标报价属于招标文件规定的政府采购异常低价情形之一，且投标人不能提供书面说明、证明材料，或者提供的书面说明、证明材料不能证明其报价合理性的。</w:t>
      </w:r>
    </w:p>
    <w:p w14:paraId="4E49B906">
      <w:pPr>
        <w:pStyle w:val="22"/>
        <w:snapToGrid w:val="0"/>
        <w:spacing w:line="360" w:lineRule="exact"/>
        <w:ind w:firstLine="395" w:firstLineChars="196"/>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4.有下列情形之一的视为投标人相互串通投标，投标文件将被视为无效:</w:t>
      </w:r>
    </w:p>
    <w:p w14:paraId="40AED01D">
      <w:pPr>
        <w:pStyle w:val="22"/>
        <w:snapToGrid w:val="0"/>
        <w:spacing w:line="360" w:lineRule="exact"/>
        <w:ind w:firstLine="395" w:firstLineChars="196"/>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（1）不同投标人的投标文件由同一单位或者个人编制；或不同投标人报名的IP地址一致的；</w:t>
      </w:r>
    </w:p>
    <w:p w14:paraId="3AB0B8D9">
      <w:pPr>
        <w:pStyle w:val="22"/>
        <w:snapToGrid w:val="0"/>
        <w:spacing w:line="360" w:lineRule="exact"/>
        <w:ind w:firstLine="395" w:firstLineChars="196"/>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（2）不同投标人委托同一单位或者个人办理投标事宜；</w:t>
      </w:r>
    </w:p>
    <w:p w14:paraId="121ACFA5">
      <w:pPr>
        <w:pStyle w:val="22"/>
        <w:snapToGrid w:val="0"/>
        <w:spacing w:line="360" w:lineRule="exact"/>
        <w:ind w:firstLine="395" w:firstLineChars="196"/>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（3）不同投标人的投标文件载明的项目管理成员或者联系人员为同一人；</w:t>
      </w:r>
    </w:p>
    <w:p w14:paraId="2C8EA149">
      <w:pPr>
        <w:pStyle w:val="22"/>
        <w:snapToGrid w:val="0"/>
        <w:spacing w:line="360" w:lineRule="exact"/>
        <w:ind w:firstLine="395" w:firstLineChars="196"/>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（4）不同投标人的投标文件异常一致或投标报价呈规律性差异；</w:t>
      </w:r>
    </w:p>
    <w:p w14:paraId="62830D6F">
      <w:pPr>
        <w:pStyle w:val="22"/>
        <w:snapToGrid w:val="0"/>
        <w:spacing w:line="360" w:lineRule="exact"/>
        <w:ind w:firstLine="395" w:firstLineChars="196"/>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（5）不同投标人的投标文件相互混装；</w:t>
      </w:r>
    </w:p>
    <w:p w14:paraId="59C2CB69">
      <w:pPr>
        <w:pStyle w:val="22"/>
        <w:snapToGrid w:val="0"/>
        <w:spacing w:line="360" w:lineRule="exact"/>
        <w:ind w:firstLine="395" w:firstLineChars="196"/>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（6）不同投标人的投标保证金从同一个单位或者个人账户转出。</w:t>
      </w:r>
    </w:p>
    <w:p w14:paraId="10C014CF">
      <w:pPr>
        <w:pStyle w:val="22"/>
        <w:snapToGrid w:val="0"/>
        <w:spacing w:line="360" w:lineRule="exact"/>
        <w:ind w:firstLine="395" w:firstLineChars="196"/>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5.有下列情形之一的视为关联</w:t>
      </w:r>
      <w:r>
        <w:rPr>
          <w:rFonts w:hint="eastAsia" w:ascii="宋体" w:hAnsi="宋体" w:eastAsia="宋体" w:cs="宋体"/>
          <w:color w:val="000000" w:themeColor="text1"/>
          <w:spacing w:val="-4"/>
          <w:sz w:val="21"/>
          <w:szCs w:val="21"/>
          <w:lang w:eastAsia="zh-CN"/>
          <w14:textFill>
            <w14:solidFill>
              <w14:schemeClr w14:val="tx1"/>
            </w14:solidFill>
          </w14:textFill>
        </w:rPr>
        <w:t>投标人</w:t>
      </w:r>
      <w:r>
        <w:rPr>
          <w:rFonts w:hint="eastAsia" w:ascii="宋体" w:hAnsi="宋体" w:eastAsia="宋体" w:cs="宋体"/>
          <w:color w:val="000000" w:themeColor="text1"/>
          <w:spacing w:val="-4"/>
          <w:sz w:val="21"/>
          <w:szCs w:val="21"/>
          <w14:textFill>
            <w14:solidFill>
              <w14:schemeClr w14:val="tx1"/>
            </w14:solidFill>
          </w14:textFill>
        </w:rPr>
        <w:t>参加同一合同项下政府采购活动，投标文件将被视为无效:</w:t>
      </w:r>
    </w:p>
    <w:p w14:paraId="02F8CB1F">
      <w:pPr>
        <w:pStyle w:val="22"/>
        <w:snapToGrid w:val="0"/>
        <w:spacing w:line="360" w:lineRule="exact"/>
        <w:ind w:firstLine="395" w:firstLineChars="196"/>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（1）单位负责人为同一人或者存在直接控股、管理关系的不同</w:t>
      </w:r>
      <w:r>
        <w:rPr>
          <w:rFonts w:hint="eastAsia" w:ascii="宋体" w:hAnsi="宋体" w:eastAsia="宋体" w:cs="宋体"/>
          <w:color w:val="000000" w:themeColor="text1"/>
          <w:spacing w:val="-4"/>
          <w:sz w:val="21"/>
          <w:szCs w:val="21"/>
          <w:lang w:eastAsia="zh-CN"/>
          <w14:textFill>
            <w14:solidFill>
              <w14:schemeClr w14:val="tx1"/>
            </w14:solidFill>
          </w14:textFill>
        </w:rPr>
        <w:t>投标人</w:t>
      </w:r>
      <w:r>
        <w:rPr>
          <w:rFonts w:hint="eastAsia" w:ascii="宋体" w:hAnsi="宋体" w:eastAsia="宋体" w:cs="宋体"/>
          <w:color w:val="000000" w:themeColor="text1"/>
          <w:spacing w:val="-4"/>
          <w:sz w:val="21"/>
          <w:szCs w:val="21"/>
          <w14:textFill>
            <w14:solidFill>
              <w14:schemeClr w14:val="tx1"/>
            </w14:solidFill>
          </w14:textFill>
        </w:rPr>
        <w:t>，参加同一合同项下的政府采购活动；</w:t>
      </w:r>
    </w:p>
    <w:p w14:paraId="3F2A951C">
      <w:pPr>
        <w:pStyle w:val="22"/>
        <w:snapToGrid w:val="0"/>
        <w:spacing w:line="360" w:lineRule="exact"/>
        <w:ind w:firstLine="395" w:firstLineChars="196"/>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（2）生产厂商授权给</w:t>
      </w:r>
      <w:r>
        <w:rPr>
          <w:rFonts w:hint="eastAsia" w:ascii="宋体" w:hAnsi="宋体" w:eastAsia="宋体" w:cs="宋体"/>
          <w:color w:val="000000" w:themeColor="text1"/>
          <w:spacing w:val="-4"/>
          <w:sz w:val="21"/>
          <w:szCs w:val="21"/>
          <w:lang w:eastAsia="zh-CN"/>
          <w14:textFill>
            <w14:solidFill>
              <w14:schemeClr w14:val="tx1"/>
            </w14:solidFill>
          </w14:textFill>
        </w:rPr>
        <w:t>投标人</w:t>
      </w:r>
      <w:r>
        <w:rPr>
          <w:rFonts w:hint="eastAsia" w:ascii="宋体" w:hAnsi="宋体" w:eastAsia="宋体" w:cs="宋体"/>
          <w:color w:val="000000" w:themeColor="text1"/>
          <w:spacing w:val="-4"/>
          <w:sz w:val="21"/>
          <w:szCs w:val="21"/>
          <w14:textFill>
            <w14:solidFill>
              <w14:schemeClr w14:val="tx1"/>
            </w14:solidFill>
          </w14:textFill>
        </w:rPr>
        <w:t>后又参加同一合同项下的政府采购活动。</w:t>
      </w:r>
    </w:p>
    <w:p w14:paraId="2BB42295">
      <w:pPr>
        <w:pStyle w:val="22"/>
        <w:snapToGrid w:val="0"/>
        <w:spacing w:line="360" w:lineRule="exact"/>
        <w:ind w:firstLine="395" w:firstLineChars="196"/>
        <w:rPr>
          <w:rFonts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6.被拒绝的投标文件为无效。</w:t>
      </w:r>
    </w:p>
    <w:p w14:paraId="18C3BE30">
      <w:pPr>
        <w:adjustRightInd w:val="0"/>
        <w:snapToGrid w:val="0"/>
        <w:spacing w:line="36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（九）</w:t>
      </w:r>
      <w:r>
        <w:rPr>
          <w:rFonts w:hint="eastAsia" w:ascii="宋体" w:hAnsi="宋体" w:cs="宋体"/>
          <w:b/>
          <w:color w:val="000000" w:themeColor="text1"/>
          <w:szCs w:val="21"/>
          <w:lang w:eastAsia="zh-CN"/>
          <w14:textFill>
            <w14:solidFill>
              <w14:schemeClr w14:val="tx1"/>
            </w14:solidFill>
          </w14:textFill>
        </w:rPr>
        <w:t>投标人</w:t>
      </w:r>
      <w:r>
        <w:rPr>
          <w:rFonts w:hint="eastAsia" w:ascii="宋体" w:hAnsi="宋体" w:cs="宋体"/>
          <w:b/>
          <w:color w:val="000000" w:themeColor="text1"/>
          <w:szCs w:val="21"/>
          <w14:textFill>
            <w14:solidFill>
              <w14:schemeClr w14:val="tx1"/>
            </w14:solidFill>
          </w14:textFill>
        </w:rPr>
        <w:t>有下列情形之一的，属于恶意串通行为：</w:t>
      </w:r>
    </w:p>
    <w:p w14:paraId="60E00508">
      <w:pPr>
        <w:adjustRightInd w:val="0"/>
        <w:snapToGrid w:val="0"/>
        <w:spacing w:line="36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直接或者间接从采购人或者采购代理机构处获得其他</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的相关信息并修改其投标文件或者</w:t>
      </w:r>
      <w:r>
        <w:rPr>
          <w:rFonts w:hint="eastAsia" w:ascii="宋体" w:hAnsi="宋体" w:cs="宋体"/>
          <w:color w:val="000000" w:themeColor="text1"/>
          <w:szCs w:val="21"/>
          <w:lang w:eastAsia="zh-CN"/>
          <w14:textFill>
            <w14:solidFill>
              <w14:schemeClr w14:val="tx1"/>
            </w14:solidFill>
          </w14:textFill>
        </w:rPr>
        <w:t>投标文件</w:t>
      </w:r>
      <w:r>
        <w:rPr>
          <w:rFonts w:hint="eastAsia" w:ascii="宋体" w:hAnsi="宋体" w:cs="宋体"/>
          <w:color w:val="000000" w:themeColor="text1"/>
          <w:szCs w:val="21"/>
          <w14:textFill>
            <w14:solidFill>
              <w14:schemeClr w14:val="tx1"/>
            </w14:solidFill>
          </w14:textFill>
        </w:rPr>
        <w:t>;</w:t>
      </w:r>
    </w:p>
    <w:p w14:paraId="5AD5CED0">
      <w:pPr>
        <w:adjustRightInd w:val="0"/>
        <w:snapToGrid w:val="0"/>
        <w:spacing w:line="36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按照采购人或者采购代理机构的授意撤换、修改投标文件或者</w:t>
      </w:r>
      <w:r>
        <w:rPr>
          <w:rFonts w:hint="eastAsia" w:ascii="宋体" w:hAnsi="宋体" w:cs="宋体"/>
          <w:color w:val="000000" w:themeColor="text1"/>
          <w:szCs w:val="21"/>
          <w:lang w:eastAsia="zh-CN"/>
          <w14:textFill>
            <w14:solidFill>
              <w14:schemeClr w14:val="tx1"/>
            </w14:solidFill>
          </w14:textFill>
        </w:rPr>
        <w:t>投标文件</w:t>
      </w:r>
      <w:r>
        <w:rPr>
          <w:rFonts w:hint="eastAsia" w:ascii="宋体" w:hAnsi="宋体" w:cs="宋体"/>
          <w:color w:val="000000" w:themeColor="text1"/>
          <w:szCs w:val="21"/>
          <w14:textFill>
            <w14:solidFill>
              <w14:schemeClr w14:val="tx1"/>
            </w14:solidFill>
          </w14:textFill>
        </w:rPr>
        <w:t>;</w:t>
      </w:r>
    </w:p>
    <w:p w14:paraId="7CED384D">
      <w:pPr>
        <w:adjustRightInd w:val="0"/>
        <w:snapToGrid w:val="0"/>
        <w:spacing w:line="36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之间协商报价、技术方案等投标文件或者</w:t>
      </w:r>
      <w:r>
        <w:rPr>
          <w:rFonts w:hint="eastAsia" w:ascii="宋体" w:hAnsi="宋体" w:cs="宋体"/>
          <w:color w:val="000000" w:themeColor="text1"/>
          <w:szCs w:val="21"/>
          <w:lang w:eastAsia="zh-CN"/>
          <w14:textFill>
            <w14:solidFill>
              <w14:schemeClr w14:val="tx1"/>
            </w14:solidFill>
          </w14:textFill>
        </w:rPr>
        <w:t>投标文件</w:t>
      </w:r>
      <w:r>
        <w:rPr>
          <w:rFonts w:hint="eastAsia" w:ascii="宋体" w:hAnsi="宋体" w:cs="宋体"/>
          <w:color w:val="000000" w:themeColor="text1"/>
          <w:szCs w:val="21"/>
          <w14:textFill>
            <w14:solidFill>
              <w14:schemeClr w14:val="tx1"/>
            </w14:solidFill>
          </w14:textFill>
        </w:rPr>
        <w:t>的实质性内容;</w:t>
      </w:r>
    </w:p>
    <w:p w14:paraId="4CCA6199">
      <w:pPr>
        <w:adjustRightInd w:val="0"/>
        <w:snapToGrid w:val="0"/>
        <w:spacing w:line="36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4.属于同一集团、协会、商会等组织成员的</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按照该组织要求协同参加政府采购活动;</w:t>
      </w:r>
    </w:p>
    <w:p w14:paraId="6C624591">
      <w:pPr>
        <w:adjustRightInd w:val="0"/>
        <w:snapToGrid w:val="0"/>
        <w:spacing w:line="36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之间事先约定一致抬高或者压低投标报价,或者在招标项目中事先约定轮流以高价位或者低价位中标,或者事先约定由某一特定</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中标,然后再参加投标;</w:t>
      </w:r>
    </w:p>
    <w:p w14:paraId="13842259">
      <w:pPr>
        <w:adjustRightInd w:val="0"/>
        <w:snapToGrid w:val="0"/>
        <w:spacing w:line="36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之间商定部分</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放弃参加政府采购活动或者放弃中标;</w:t>
      </w:r>
    </w:p>
    <w:p w14:paraId="3F3B9445">
      <w:pPr>
        <w:adjustRightInd w:val="0"/>
        <w:snapToGrid w:val="0"/>
        <w:spacing w:line="36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与采购人或者采购代理机构之间、</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相互之间，为谋求特定</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中标或者排斥其他</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的其他串通行为。</w:t>
      </w:r>
    </w:p>
    <w:p w14:paraId="330EE8B1">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存在以上恶意串通情形的，根据《中华人民共和国政府采购法》第七十二条及《中华人民共和国政府采购法实施条例》第七十四条规定进行处理。</w:t>
      </w:r>
    </w:p>
    <w:p w14:paraId="28BD1E04">
      <w:pPr>
        <w:pStyle w:val="29"/>
        <w:adjustRightInd w:val="0"/>
        <w:snapToGrid w:val="0"/>
        <w:spacing w:line="360" w:lineRule="exact"/>
        <w:ind w:firstLine="422" w:firstLineChars="20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（十）废标</w:t>
      </w:r>
    </w:p>
    <w:p w14:paraId="125D6B38">
      <w:pPr>
        <w:pStyle w:val="29"/>
        <w:adjustRightInd w:val="0"/>
        <w:snapToGrid w:val="0"/>
        <w:spacing w:line="360" w:lineRule="exact"/>
        <w:ind w:firstLine="422" w:firstLineChars="20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1.招标采购项目出现下列情形之一的，将予废标：</w:t>
      </w:r>
    </w:p>
    <w:p w14:paraId="4F73C84B">
      <w:pPr>
        <w:widowControl/>
        <w:adjustRightInd w:val="0"/>
        <w:snapToGrid w:val="0"/>
        <w:spacing w:line="360" w:lineRule="exact"/>
        <w:ind w:firstLine="514" w:firstLineChars="24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（1）截标后整个招标项目的投标人不足三家的或实质性响应不足法定三家的；</w:t>
      </w:r>
    </w:p>
    <w:p w14:paraId="78EF3B4C">
      <w:pPr>
        <w:widowControl/>
        <w:adjustRightInd w:val="0"/>
        <w:snapToGrid w:val="0"/>
        <w:spacing w:line="360" w:lineRule="exact"/>
        <w:ind w:firstLine="514" w:firstLineChars="245"/>
        <w:jc w:val="left"/>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（2）出现影响采购公正的违法、违规行为的；</w:t>
      </w:r>
    </w:p>
    <w:p w14:paraId="035AE7A5">
      <w:pPr>
        <w:widowControl/>
        <w:adjustRightInd w:val="0"/>
        <w:snapToGrid w:val="0"/>
        <w:spacing w:line="360" w:lineRule="exact"/>
        <w:ind w:firstLine="514" w:firstLineChars="24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（3）投标人的报价均超过了采购预算，采购人不能支付的；</w:t>
      </w:r>
    </w:p>
    <w:p w14:paraId="7576FD7A">
      <w:pPr>
        <w:widowControl/>
        <w:adjustRightInd w:val="0"/>
        <w:snapToGrid w:val="0"/>
        <w:spacing w:line="360" w:lineRule="exact"/>
        <w:ind w:firstLine="514" w:firstLineChars="245"/>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（4）因重大变故，采购任务取消的。</w:t>
      </w:r>
    </w:p>
    <w:p w14:paraId="65DD4FAC">
      <w:pPr>
        <w:pStyle w:val="22"/>
        <w:adjustRightInd w:val="0"/>
        <w:snapToGrid w:val="0"/>
        <w:spacing w:line="360" w:lineRule="exact"/>
        <w:ind w:firstLine="422" w:firstLineChars="200"/>
        <w:rPr>
          <w:rFonts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2.废标后，本中心将把废标理由通知所有投标人。</w:t>
      </w:r>
    </w:p>
    <w:p w14:paraId="58095311">
      <w:pPr>
        <w:pStyle w:val="22"/>
        <w:adjustRightInd w:val="0"/>
        <w:snapToGrid w:val="0"/>
        <w:spacing w:line="360" w:lineRule="exact"/>
        <w:ind w:firstLine="562" w:firstLineChars="200"/>
        <w:rPr>
          <w:rFonts w:ascii="宋体" w:hAnsi="宋体" w:eastAsia="宋体" w:cs="宋体"/>
          <w:b/>
          <w:bCs/>
          <w:color w:val="000000" w:themeColor="text1"/>
          <w:kern w:val="2"/>
          <w:sz w:val="28"/>
          <w:szCs w:val="28"/>
          <w14:textFill>
            <w14:solidFill>
              <w14:schemeClr w14:val="tx1"/>
            </w14:solidFill>
          </w14:textFill>
        </w:rPr>
      </w:pPr>
      <w:r>
        <w:rPr>
          <w:rFonts w:hint="eastAsia" w:ascii="宋体" w:hAnsi="宋体" w:eastAsia="宋体" w:cs="宋体"/>
          <w:b/>
          <w:bCs/>
          <w:color w:val="000000" w:themeColor="text1"/>
          <w:kern w:val="2"/>
          <w:sz w:val="28"/>
          <w:szCs w:val="28"/>
          <w14:textFill>
            <w14:solidFill>
              <w14:schemeClr w14:val="tx1"/>
            </w14:solidFill>
          </w14:textFill>
        </w:rPr>
        <w:t>四、开标</w:t>
      </w:r>
      <w:bookmarkEnd w:id="35"/>
      <w:bookmarkEnd w:id="36"/>
    </w:p>
    <w:p w14:paraId="12C92F69">
      <w:pPr>
        <w:pStyle w:val="29"/>
        <w:snapToGrid w:val="0"/>
        <w:spacing w:line="360" w:lineRule="exact"/>
        <w:ind w:firstLine="413" w:firstLineChars="196"/>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（一）开标准备</w:t>
      </w:r>
    </w:p>
    <w:p w14:paraId="478974EE">
      <w:pPr>
        <w:pStyle w:val="29"/>
        <w:snapToGrid w:val="0"/>
        <w:spacing w:line="360" w:lineRule="exact"/>
        <w:ind w:firstLine="420" w:firstLineChars="200"/>
        <w:rPr>
          <w:rFonts w:hAnsi="宋体" w:cs="宋体"/>
          <w:color w:val="000000" w:themeColor="text1"/>
          <w:sz w:val="21"/>
          <w14:textFill>
            <w14:solidFill>
              <w14:schemeClr w14:val="tx1"/>
            </w14:solidFill>
          </w14:textFill>
        </w:rPr>
      </w:pPr>
      <w:bookmarkStart w:id="39" w:name="_Toc254970686"/>
      <w:bookmarkStart w:id="40" w:name="_Toc254970545"/>
      <w:r>
        <w:rPr>
          <w:rFonts w:hint="eastAsia" w:hAnsi="宋体" w:cs="宋体"/>
          <w:color w:val="000000" w:themeColor="text1"/>
          <w:sz w:val="21"/>
          <w14:textFill>
            <w14:solidFill>
              <w14:schemeClr w14:val="tx1"/>
            </w14:solidFill>
          </w14:textFill>
        </w:rPr>
        <w:t>1.开标的准备工作由本中心负责落实；</w:t>
      </w:r>
    </w:p>
    <w:p w14:paraId="54E08AF1">
      <w:pPr>
        <w:pStyle w:val="29"/>
        <w:snapToGrid w:val="0"/>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2.本中心将按照招标文件规定的时间通过“政府采购云平台”组织开标、开启投标文件，所有</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均应当准时在线参加。投标</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如不参加开标会的，视同认可开标结果，事后不得对采购相关人员、开标过程和开标结果提出异议，同时投标</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因未在线参加开标而导致投标文件无法按时解密等一切后果由</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自己承担。</w:t>
      </w:r>
    </w:p>
    <w:p w14:paraId="2B826A08">
      <w:pPr>
        <w:pStyle w:val="29"/>
        <w:tabs>
          <w:tab w:val="left" w:pos="567"/>
        </w:tabs>
        <w:snapToGrid w:val="0"/>
        <w:spacing w:line="360" w:lineRule="exact"/>
        <w:ind w:firstLine="422" w:firstLineChars="20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（二）开标程序</w:t>
      </w:r>
    </w:p>
    <w:p w14:paraId="4F056020">
      <w:pPr>
        <w:pStyle w:val="29"/>
        <w:snapToGrid w:val="0"/>
        <w:spacing w:line="360" w:lineRule="exact"/>
        <w:ind w:firstLine="422" w:firstLineChars="20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1.向各投标</w:t>
      </w:r>
      <w:r>
        <w:rPr>
          <w:rFonts w:hint="eastAsia" w:hAnsi="宋体" w:cs="宋体"/>
          <w:b/>
          <w:color w:val="000000" w:themeColor="text1"/>
          <w:sz w:val="21"/>
          <w:lang w:eastAsia="zh-CN"/>
          <w14:textFill>
            <w14:solidFill>
              <w14:schemeClr w14:val="tx1"/>
            </w14:solidFill>
          </w14:textFill>
        </w:rPr>
        <w:t>投标人</w:t>
      </w:r>
      <w:r>
        <w:rPr>
          <w:rFonts w:hint="eastAsia" w:hAnsi="宋体" w:cs="宋体"/>
          <w:b/>
          <w:color w:val="000000" w:themeColor="text1"/>
          <w:sz w:val="21"/>
          <w14:textFill>
            <w14:solidFill>
              <w14:schemeClr w14:val="tx1"/>
            </w14:solidFill>
          </w14:textFill>
        </w:rPr>
        <w:t>发出电子加密投标文件【开始解密】通知，由</w:t>
      </w:r>
      <w:r>
        <w:rPr>
          <w:rFonts w:hint="eastAsia" w:hAnsi="宋体" w:cs="宋体"/>
          <w:b/>
          <w:color w:val="000000" w:themeColor="text1"/>
          <w:sz w:val="21"/>
          <w:lang w:eastAsia="zh-CN"/>
          <w14:textFill>
            <w14:solidFill>
              <w14:schemeClr w14:val="tx1"/>
            </w14:solidFill>
          </w14:textFill>
        </w:rPr>
        <w:t>投标人</w:t>
      </w:r>
      <w:r>
        <w:rPr>
          <w:rFonts w:hint="eastAsia" w:hAnsi="宋体" w:cs="宋体"/>
          <w:b/>
          <w:color w:val="000000" w:themeColor="text1"/>
          <w:sz w:val="21"/>
          <w14:textFill>
            <w14:solidFill>
              <w14:schemeClr w14:val="tx1"/>
            </w14:solidFill>
          </w14:textFill>
        </w:rPr>
        <w:t>按招标文件规定的时间内自行进行投标文件解密。投标</w:t>
      </w:r>
      <w:r>
        <w:rPr>
          <w:rFonts w:hint="eastAsia" w:hAnsi="宋体" w:cs="宋体"/>
          <w:b/>
          <w:color w:val="000000" w:themeColor="text1"/>
          <w:sz w:val="21"/>
          <w:lang w:eastAsia="zh-CN"/>
          <w14:textFill>
            <w14:solidFill>
              <w14:schemeClr w14:val="tx1"/>
            </w14:solidFill>
          </w14:textFill>
        </w:rPr>
        <w:t>投标人</w:t>
      </w:r>
      <w:r>
        <w:rPr>
          <w:rFonts w:hint="eastAsia" w:hAnsi="宋体" w:cs="宋体"/>
          <w:b/>
          <w:color w:val="000000" w:themeColor="text1"/>
          <w:sz w:val="21"/>
          <w14:textFill>
            <w14:solidFill>
              <w14:schemeClr w14:val="tx1"/>
            </w14:solidFill>
          </w14:textFill>
        </w:rPr>
        <w:t>在规定的时间内无法在线完成已递交的“电子加密投标文件”解密的，视为投标无效。在线解密时间为30分钟。</w:t>
      </w:r>
    </w:p>
    <w:p w14:paraId="54801B52">
      <w:pPr>
        <w:pStyle w:val="29"/>
        <w:snapToGrid w:val="0"/>
        <w:spacing w:line="360" w:lineRule="exact"/>
        <w:ind w:firstLine="422" w:firstLineChars="20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2.投标文件解密结束后，开标活动组织人员在线开启投标文件。</w:t>
      </w:r>
    </w:p>
    <w:p w14:paraId="29BE1154">
      <w:pPr>
        <w:pStyle w:val="29"/>
        <w:snapToGrid w:val="0"/>
        <w:spacing w:line="360" w:lineRule="exact"/>
        <w:ind w:firstLine="422" w:firstLineChars="20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3.开启投标人报价文件，开标活动组织人员宣读开标（报价）一览表有关内容，投标人代表如果认为宣读有误，可以当场提出异议。</w:t>
      </w:r>
    </w:p>
    <w:p w14:paraId="3D712F9E">
      <w:pPr>
        <w:pStyle w:val="29"/>
        <w:snapToGrid w:val="0"/>
        <w:spacing w:line="360" w:lineRule="exact"/>
        <w:ind w:firstLine="422" w:firstLineChars="20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开标结束后，如发现开标结果与报价文件不一致者，由评标委员会根据报价文件内容进行修正。</w:t>
      </w:r>
    </w:p>
    <w:p w14:paraId="6F8E4935">
      <w:pPr>
        <w:pStyle w:val="29"/>
        <w:snapToGrid w:val="0"/>
        <w:spacing w:line="360" w:lineRule="exact"/>
        <w:ind w:firstLine="422" w:firstLineChars="200"/>
        <w:rPr>
          <w:rFonts w:hAnsi="宋体" w:cs="宋体"/>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特别说明：如遇“政府采购云平台”电子化开标或评审程序调整的，按调整后程序执行。</w:t>
      </w:r>
    </w:p>
    <w:p w14:paraId="3D4F6E4A">
      <w:pPr>
        <w:pStyle w:val="22"/>
        <w:tabs>
          <w:tab w:val="left" w:pos="709"/>
        </w:tabs>
        <w:adjustRightInd w:val="0"/>
        <w:snapToGrid w:val="0"/>
        <w:spacing w:line="360" w:lineRule="exact"/>
        <w:ind w:firstLine="562" w:firstLineChars="200"/>
        <w:rPr>
          <w:rFonts w:ascii="宋体" w:hAnsi="宋体" w:eastAsia="宋体" w:cs="宋体"/>
          <w:b/>
          <w:bCs/>
          <w:color w:val="000000" w:themeColor="text1"/>
          <w:kern w:val="2"/>
          <w:sz w:val="28"/>
          <w:szCs w:val="28"/>
          <w14:textFill>
            <w14:solidFill>
              <w14:schemeClr w14:val="tx1"/>
            </w14:solidFill>
          </w14:textFill>
        </w:rPr>
      </w:pPr>
      <w:r>
        <w:rPr>
          <w:rFonts w:hint="eastAsia" w:ascii="宋体" w:hAnsi="宋体" w:eastAsia="宋体" w:cs="宋体"/>
          <w:b/>
          <w:bCs/>
          <w:color w:val="000000" w:themeColor="text1"/>
          <w:kern w:val="2"/>
          <w:sz w:val="28"/>
          <w:szCs w:val="28"/>
          <w14:textFill>
            <w14:solidFill>
              <w14:schemeClr w14:val="tx1"/>
            </w14:solidFill>
          </w14:textFill>
        </w:rPr>
        <w:t>五、评标</w:t>
      </w:r>
      <w:bookmarkEnd w:id="39"/>
      <w:bookmarkEnd w:id="40"/>
    </w:p>
    <w:p w14:paraId="6813A17C">
      <w:pPr>
        <w:pStyle w:val="29"/>
        <w:snapToGrid w:val="0"/>
        <w:spacing w:line="360" w:lineRule="exact"/>
        <w:ind w:firstLine="422" w:firstLineChars="20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（一）组建评标委员会</w:t>
      </w:r>
    </w:p>
    <w:p w14:paraId="0E3DB36D">
      <w:pPr>
        <w:pStyle w:val="29"/>
        <w:snapToGrid w:val="0"/>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本招标采购项目的评标委员会由采购人代表和有关技术、经济等方面的专家组成，成员人数应当为7人以上单数。其中，技术、经济等方面的专家不得少于成员总数的三分之二</w:t>
      </w:r>
      <w:r>
        <w:rPr>
          <w:rFonts w:hint="eastAsia" w:hAnsi="宋体" w:cs="宋体"/>
          <w:color w:val="000000" w:themeColor="text1"/>
          <w:sz w:val="21"/>
          <w14:textFill>
            <w14:solidFill>
              <w14:schemeClr w14:val="tx1"/>
            </w14:solidFill>
          </w14:textFill>
        </w:rPr>
        <w:t>。</w:t>
      </w:r>
    </w:p>
    <w:p w14:paraId="0B600571">
      <w:pPr>
        <w:pStyle w:val="29"/>
        <w:snapToGrid w:val="0"/>
        <w:spacing w:line="360" w:lineRule="exact"/>
        <w:ind w:firstLine="422" w:firstLineChars="20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（二）评标的方式</w:t>
      </w:r>
    </w:p>
    <w:p w14:paraId="7F7805BC">
      <w:pPr>
        <w:pStyle w:val="29"/>
        <w:snapToGrid w:val="0"/>
        <w:spacing w:line="360" w:lineRule="exact"/>
        <w:ind w:left="689" w:leftChars="228" w:hanging="210" w:hangingChars="1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本项目采用不公开方式评标，评标的依据为招标文件和投标文件。</w:t>
      </w:r>
    </w:p>
    <w:p w14:paraId="6D61E2D3">
      <w:pPr>
        <w:pStyle w:val="29"/>
        <w:snapToGrid w:val="0"/>
        <w:spacing w:line="360" w:lineRule="exact"/>
        <w:ind w:firstLine="422" w:firstLineChars="20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（三）</w:t>
      </w:r>
      <w:r>
        <w:rPr>
          <w:rFonts w:hint="eastAsia" w:hAnsi="宋体" w:cs="宋体"/>
          <w:b/>
          <w:bCs/>
          <w:color w:val="000000" w:themeColor="text1"/>
          <w:sz w:val="21"/>
          <w14:textFill>
            <w14:solidFill>
              <w14:schemeClr w14:val="tx1"/>
            </w14:solidFill>
          </w14:textFill>
        </w:rPr>
        <w:t>评标程序</w:t>
      </w:r>
    </w:p>
    <w:p w14:paraId="408F89FE">
      <w:pPr>
        <w:snapToGrid w:val="0"/>
        <w:spacing w:line="360" w:lineRule="exact"/>
        <w:ind w:firstLine="413" w:firstLineChars="196"/>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1.形式审查</w:t>
      </w:r>
    </w:p>
    <w:p w14:paraId="54AA4A2B">
      <w:pPr>
        <w:snapToGrid w:val="0"/>
        <w:spacing w:line="360" w:lineRule="exact"/>
        <w:ind w:firstLine="420" w:firstLineChars="200"/>
        <w:rPr>
          <w:rFonts w:ascii="宋体" w:hAnsi="宋体" w:cs="宋体"/>
          <w:b/>
          <w:color w:val="000000" w:themeColor="text1"/>
          <w:spacing w:val="-4"/>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采购人依法对投标人的资格进行审查。审查的依据是投标人递交的投标文件及本中心依照相关规定通过“信用中国”网站（www.creditchina.gov.cn）和中国政府采购网（www.ccgp.gov.cn）查询的相关</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主体信用记录。合格投标人不足3家的，不得评标。</w:t>
      </w:r>
    </w:p>
    <w:p w14:paraId="44B714A9">
      <w:pPr>
        <w:snapToGrid w:val="0"/>
        <w:spacing w:line="360" w:lineRule="exact"/>
        <w:ind w:firstLine="413" w:firstLineChars="196"/>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2.实质审查与比较</w:t>
      </w:r>
    </w:p>
    <w:p w14:paraId="1642CEB2">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（1）评标委员会审查、评价投标文件是否符合招标文件的商务、技术等实质性要求。</w:t>
      </w:r>
    </w:p>
    <w:p w14:paraId="4E7CF7DD">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（2）评标委员会对投标文件进行比较和评价,如有疑问,将要求投标人对投标文件有关事项作出澄清或者说明。投标人向评标委员会澄清或者说明有关问题,并最终以书面形式进行答复。</w:t>
      </w:r>
    </w:p>
    <w:p w14:paraId="2D94940B">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投标人代表未到场或者拒绝澄清或者澄清的内容改变了投标文件的实质性内容的，评标委员会有权视该投标文件无效。</w:t>
      </w:r>
    </w:p>
    <w:p w14:paraId="46FF08A3">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（3）各投标人的技术得分为所有评委的有效评分的算术平均数，由指定专人进行计算复核。</w:t>
      </w:r>
    </w:p>
    <w:p w14:paraId="40FEA95D">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（4）本中心工作人员协助评标委员会根据本项目的评分标准计算各投标人的商务报价得分。</w:t>
      </w:r>
    </w:p>
    <w:p w14:paraId="7451DD0E">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（5）评标委员会完成评标后,评委对各部分得分汇总,计算出本项目最终得分、评标价等。评标委员会按评标原则推荐中标候选人同时起草评标报告。</w:t>
      </w:r>
    </w:p>
    <w:p w14:paraId="47A774B8">
      <w:pPr>
        <w:snapToGrid w:val="0"/>
        <w:spacing w:line="36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（四）澄清问题的形式</w:t>
      </w:r>
    </w:p>
    <w:p w14:paraId="24B4378B">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70556413">
      <w:pPr>
        <w:pStyle w:val="29"/>
        <w:snapToGrid w:val="0"/>
        <w:spacing w:line="360" w:lineRule="exact"/>
        <w:ind w:left="690" w:leftChars="228" w:hanging="211" w:hangingChars="10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（五）错误修正</w:t>
      </w:r>
    </w:p>
    <w:p w14:paraId="35661AE8">
      <w:pPr>
        <w:pStyle w:val="29"/>
        <w:snapToGrid w:val="0"/>
        <w:spacing w:line="360" w:lineRule="exact"/>
        <w:ind w:left="689" w:leftChars="228" w:hanging="210" w:hangingChars="1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投标文件如果出现计算或表达上的错误，修正错误的原则如下：</w:t>
      </w:r>
    </w:p>
    <w:p w14:paraId="47B7A9FA">
      <w:pPr>
        <w:pStyle w:val="29"/>
        <w:snapToGrid w:val="0"/>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1.投标文件中开标一览表（报价表）内容与投标文件中相应内容不一致的，以开标一览表（报价表）为准；</w:t>
      </w:r>
    </w:p>
    <w:p w14:paraId="09774DCB">
      <w:pPr>
        <w:pStyle w:val="29"/>
        <w:snapToGrid w:val="0"/>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2.大写金额和小写金额不一致的，以大写金额为准；</w:t>
      </w:r>
    </w:p>
    <w:p w14:paraId="4947DA5D">
      <w:pPr>
        <w:pStyle w:val="29"/>
        <w:snapToGrid w:val="0"/>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3.单价金额小数点或者百分比有明显错位的，以开标一览表的总价为准，并修改单价；</w:t>
      </w:r>
    </w:p>
    <w:p w14:paraId="52955011">
      <w:pPr>
        <w:pStyle w:val="29"/>
        <w:snapToGrid w:val="0"/>
        <w:spacing w:line="360" w:lineRule="exact"/>
        <w:ind w:firstLine="420" w:firstLineChars="200"/>
        <w:rPr>
          <w:rFonts w:hint="eastAsia" w:hAnsi="宋体" w:eastAsia="宋体" w:cs="宋体"/>
          <w:color w:val="000000" w:themeColor="text1"/>
          <w:sz w:val="21"/>
          <w:lang w:eastAsia="zh-CN"/>
          <w14:textFill>
            <w14:solidFill>
              <w14:schemeClr w14:val="tx1"/>
            </w14:solidFill>
          </w14:textFill>
        </w:rPr>
      </w:pPr>
      <w:r>
        <w:rPr>
          <w:rFonts w:hint="eastAsia" w:hAnsi="宋体" w:cs="宋体"/>
          <w:color w:val="000000" w:themeColor="text1"/>
          <w:sz w:val="21"/>
          <w14:textFill>
            <w14:solidFill>
              <w14:schemeClr w14:val="tx1"/>
            </w14:solidFill>
          </w14:textFill>
        </w:rPr>
        <w:t>4.总价金额与按单价汇总金额不一致的，以单价金额计算结果为准</w:t>
      </w:r>
      <w:r>
        <w:rPr>
          <w:rFonts w:hint="eastAsia" w:hAnsi="宋体" w:cs="宋体"/>
          <w:color w:val="000000" w:themeColor="text1"/>
          <w:sz w:val="21"/>
          <w:lang w:eastAsia="zh-CN"/>
          <w14:textFill>
            <w14:solidFill>
              <w14:schemeClr w14:val="tx1"/>
            </w14:solidFill>
          </w14:textFill>
        </w:rPr>
        <w:t>；</w:t>
      </w:r>
    </w:p>
    <w:p w14:paraId="259BDBBB">
      <w:pPr>
        <w:pStyle w:val="29"/>
        <w:snapToGrid w:val="0"/>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5.对不同文字文本投标文件的解释发生异议的，以中文文本为准。</w:t>
      </w:r>
    </w:p>
    <w:p w14:paraId="6131ABEB">
      <w:pPr>
        <w:pStyle w:val="29"/>
        <w:snapToGrid w:val="0"/>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同时出现两种以上不一致的，按照前款规定的顺序修正。</w:t>
      </w:r>
    </w:p>
    <w:p w14:paraId="34C0E5EA">
      <w:pPr>
        <w:pStyle w:val="29"/>
        <w:snapToGrid w:val="0"/>
        <w:spacing w:line="360" w:lineRule="exact"/>
        <w:ind w:firstLine="422" w:firstLineChars="200"/>
        <w:rPr>
          <w:rFonts w:hint="eastAsia" w:hAnsi="宋体" w:cs="宋体"/>
          <w:b/>
          <w:bCs/>
          <w:color w:val="000000" w:themeColor="text1"/>
          <w:sz w:val="21"/>
          <w14:textFill>
            <w14:solidFill>
              <w14:schemeClr w14:val="tx1"/>
            </w14:solidFill>
          </w14:textFill>
        </w:rPr>
      </w:pPr>
      <w:r>
        <w:rPr>
          <w:rFonts w:hint="eastAsia" w:hAnsi="宋体" w:cs="宋体"/>
          <w:b/>
          <w:bCs/>
          <w:color w:val="000000" w:themeColor="text1"/>
          <w:sz w:val="21"/>
          <w14:textFill>
            <w14:solidFill>
              <w14:schemeClr w14:val="tx1"/>
            </w14:solidFill>
          </w14:textFill>
        </w:rPr>
        <w:t>按上述修正错误的原则及方法调整或修正投标文件的投标报价，投标人同意并签字确认后，调整后的投标报价对投标人具有约束作用。如果投标人不接受修正后的报价，则其投标将作为无效投标处理。</w:t>
      </w:r>
    </w:p>
    <w:p w14:paraId="35F26E10">
      <w:pPr>
        <w:pStyle w:val="29"/>
        <w:snapToGrid w:val="0"/>
        <w:spacing w:line="360" w:lineRule="exact"/>
        <w:ind w:firstLine="422" w:firstLineChars="200"/>
        <w:rPr>
          <w:rFonts w:hint="eastAsia" w:hAnsi="宋体" w:cs="宋体"/>
          <w:b/>
          <w:bCs/>
          <w:color w:val="000000" w:themeColor="text1"/>
          <w:sz w:val="21"/>
          <w14:textFill>
            <w14:solidFill>
              <w14:schemeClr w14:val="tx1"/>
            </w14:solidFill>
          </w14:textFill>
        </w:rPr>
      </w:pPr>
      <w:r>
        <w:rPr>
          <w:rFonts w:hint="eastAsia" w:hAnsi="宋体" w:cs="宋体"/>
          <w:b/>
          <w:bCs/>
          <w:color w:val="000000" w:themeColor="text1"/>
          <w:sz w:val="21"/>
          <w14:textFill>
            <w14:solidFill>
              <w14:schemeClr w14:val="tx1"/>
            </w14:solidFill>
          </w14:textFill>
        </w:rPr>
        <w:t>（六）政府采购异常低价审查：</w:t>
      </w:r>
    </w:p>
    <w:p w14:paraId="407B0687">
      <w:pPr>
        <w:pStyle w:val="29"/>
        <w:snapToGrid w:val="0"/>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1.按照《关于推动解决政府采购异常低价问题的通知》（财库〔2026〕2号）有关规定，本项目评审中出现下列情形之一的，评标委员会应当启动异常低价投标审查程序：</w:t>
      </w:r>
    </w:p>
    <w:p w14:paraId="6650464E">
      <w:pPr>
        <w:pStyle w:val="29"/>
        <w:snapToGrid w:val="0"/>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（1）投标报价低于全部通过符合性审查</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投标报价平均值50%的，即投标报价&lt;全部通过符合性审查</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投标报价平均值×50%；</w:t>
      </w:r>
    </w:p>
    <w:p w14:paraId="7D5A5539">
      <w:pPr>
        <w:pStyle w:val="29"/>
        <w:snapToGrid w:val="0"/>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（2）投标报价低于通过符合性审查的次低报价</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投标报价50%的，即投标报价&lt;通过符合性审查的次低报价</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投标报价×50%；</w:t>
      </w:r>
    </w:p>
    <w:p w14:paraId="5D1F516D">
      <w:pPr>
        <w:pStyle w:val="29"/>
        <w:snapToGrid w:val="0"/>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（3）投标报价低于采购项目最高限价45%的，即投标报价&lt;采购项目最高限价×45%；</w:t>
      </w:r>
    </w:p>
    <w:p w14:paraId="1529392F">
      <w:pPr>
        <w:pStyle w:val="29"/>
        <w:snapToGrid w:val="0"/>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（4）评标委员会基于专业判断，认为</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报价过低，有可能影响产品质量或者不能诚信履约的其他情形。</w:t>
      </w:r>
    </w:p>
    <w:p w14:paraId="6BBAFF1B">
      <w:pPr>
        <w:pStyle w:val="29"/>
        <w:snapToGrid w:val="0"/>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按照规定，采购人可以结合具体项目实际情况，提高上述第（1）项至第（3）项中启动异常低价投标审查的数值标准，但是最高不得超过65%，本项目采购人决定将上述（1）（2）（3）数值标准分别确定为50%，50%，45%。采购项目未设定最高限价的，审查时取项目预算金额作为最高限价</w:t>
      </w:r>
      <w:r>
        <w:rPr>
          <w:rFonts w:hint="eastAsia" w:hAnsi="宋体" w:cs="宋体"/>
          <w:color w:val="000000" w:themeColor="text1"/>
          <w:sz w:val="21"/>
          <w:lang w:eastAsia="zh-CN"/>
          <w14:textFill>
            <w14:solidFill>
              <w14:schemeClr w14:val="tx1"/>
            </w14:solidFill>
          </w14:textFill>
        </w:rPr>
        <w:t>，</w:t>
      </w:r>
      <w:r>
        <w:rPr>
          <w:rFonts w:hint="eastAsia" w:hAnsi="宋体" w:cs="宋体"/>
          <w:color w:val="000000" w:themeColor="text1"/>
          <w:sz w:val="21"/>
          <w:lang w:val="en-US" w:eastAsia="zh-CN"/>
          <w14:textFill>
            <w14:solidFill>
              <w14:schemeClr w14:val="tx1"/>
            </w14:solidFill>
          </w14:textFill>
        </w:rPr>
        <w:t>政策性扣除后的评标报价作为异常低价审查的计算依据，小型 / 微型企业、监狱企业、残疾人福利性单位按扣除后价格参与审查</w:t>
      </w:r>
      <w:r>
        <w:rPr>
          <w:rFonts w:hint="eastAsia" w:hAnsi="宋体" w:cs="宋体"/>
          <w:color w:val="000000" w:themeColor="text1"/>
          <w:sz w:val="21"/>
          <w14:textFill>
            <w14:solidFill>
              <w14:schemeClr w14:val="tx1"/>
            </w14:solidFill>
          </w14:textFill>
        </w:rPr>
        <w:t>。</w:t>
      </w:r>
    </w:p>
    <w:p w14:paraId="6D650E18">
      <w:pPr>
        <w:pStyle w:val="29"/>
        <w:snapToGrid w:val="0"/>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2.评标委员会启动异常低价投标审查后，属于前述第（1）项至第（4）项情形的，应当要求相关</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在评审现场合理的时间内对投标价格作出解释，提供项目具体成本测算等与报价合理性相关的书面说明及必要的证明材料，包括但不限于原材料成本、人工成本、制造费用等，给予相关</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的合理时间一般不少于30分钟。其中，属于第（3）项情形，</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已随投标文件一并提交相关书面说明及必要的证明材料的，在评审现场可不再重复提交。</w:t>
      </w:r>
    </w:p>
    <w:p w14:paraId="15B56A7A">
      <w:pPr>
        <w:pStyle w:val="29"/>
        <w:snapToGrid w:val="0"/>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评标委员会依据专业经验，参考同类项目中标（成交）价格、类似产品市场价格水平、行业人工费用标准、国家有关部门指导行业协会发布的行业平均成本等情况，对报价合理性进行判断。投标</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不能提供书面说明、证明材料，或者提供的书面说明、证明材料不能证明其报价合理性的，评审委员会应当将其作为无效投标处理。</w:t>
      </w:r>
    </w:p>
    <w:p w14:paraId="467059FF">
      <w:pPr>
        <w:pStyle w:val="29"/>
        <w:snapToGrid w:val="0"/>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B7362E7">
      <w:pPr>
        <w:pStyle w:val="29"/>
        <w:snapToGrid w:val="0"/>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异常低价投标审查的启动原因、审查意见和审查结果应当在评审报告中记录，并随</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提供的相关书面说明及证明材料，以及评标委员会有关互联网浏览、查询历史一并归档。</w:t>
      </w:r>
    </w:p>
    <w:p w14:paraId="73BF1D62">
      <w:pPr>
        <w:pStyle w:val="29"/>
        <w:tabs>
          <w:tab w:val="left" w:pos="630"/>
        </w:tabs>
        <w:snapToGrid w:val="0"/>
        <w:spacing w:line="360" w:lineRule="exact"/>
        <w:ind w:firstLine="211" w:firstLineChars="10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（七）评标原则和评标办法</w:t>
      </w:r>
    </w:p>
    <w:p w14:paraId="75405B27">
      <w:pPr>
        <w:pStyle w:val="29"/>
        <w:snapToGrid w:val="0"/>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0D031ED">
      <w:pPr>
        <w:pStyle w:val="29"/>
        <w:snapToGrid w:val="0"/>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2.评标办法。本项目评标办法是综合评分法，具体评标内容及评分标准等详见第四章：评标方法及评定标准。</w:t>
      </w:r>
    </w:p>
    <w:p w14:paraId="185BDD82">
      <w:pPr>
        <w:pStyle w:val="29"/>
        <w:snapToGrid w:val="0"/>
        <w:spacing w:line="440" w:lineRule="exact"/>
        <w:ind w:firstLine="211" w:firstLineChars="10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（八）评标过程中出现争议时处理办法</w:t>
      </w:r>
    </w:p>
    <w:p w14:paraId="3A3B2C05">
      <w:pPr>
        <w:pStyle w:val="29"/>
        <w:adjustRightInd w:val="0"/>
        <w:snapToGrid w:val="0"/>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14:paraId="2849CB2D">
      <w:pPr>
        <w:pStyle w:val="29"/>
        <w:adjustRightInd w:val="0"/>
        <w:snapToGrid w:val="0"/>
        <w:spacing w:line="360" w:lineRule="exact"/>
        <w:ind w:firstLine="211" w:firstLineChars="10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（九）评标过程的监控</w:t>
      </w:r>
    </w:p>
    <w:p w14:paraId="7D631FF8">
      <w:pPr>
        <w:pStyle w:val="29"/>
        <w:adjustRightInd w:val="0"/>
        <w:snapToGrid w:val="0"/>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本项目评标过程实行全程录音、录像监控，投标人在评标过程中所进行的试图影响评标结果的不公正活动，可能导致其投标被拒绝。</w:t>
      </w:r>
      <w:bookmarkStart w:id="41" w:name="_Toc254970546"/>
      <w:bookmarkStart w:id="42" w:name="_Toc254970687"/>
    </w:p>
    <w:p w14:paraId="5EFA3807">
      <w:pPr>
        <w:pStyle w:val="29"/>
        <w:adjustRightInd w:val="0"/>
        <w:snapToGrid w:val="0"/>
        <w:spacing w:line="360" w:lineRule="exact"/>
        <w:ind w:firstLine="281" w:firstLineChars="100"/>
        <w:rPr>
          <w:rFonts w:hAnsi="宋体" w:cs="宋体"/>
          <w:b/>
          <w:bCs/>
          <w:color w:val="000000" w:themeColor="text1"/>
          <w:kern w:val="2"/>
          <w:sz w:val="28"/>
          <w:szCs w:val="28"/>
          <w14:textFill>
            <w14:solidFill>
              <w14:schemeClr w14:val="tx1"/>
            </w14:solidFill>
          </w14:textFill>
        </w:rPr>
      </w:pPr>
      <w:r>
        <w:rPr>
          <w:rFonts w:hint="eastAsia" w:hAnsi="宋体" w:cs="宋体"/>
          <w:b/>
          <w:bCs/>
          <w:color w:val="000000" w:themeColor="text1"/>
          <w:kern w:val="2"/>
          <w:sz w:val="28"/>
          <w:szCs w:val="28"/>
          <w14:textFill>
            <w14:solidFill>
              <w14:schemeClr w14:val="tx1"/>
            </w14:solidFill>
          </w14:textFill>
        </w:rPr>
        <w:t>六、评标结果</w:t>
      </w:r>
      <w:bookmarkEnd w:id="41"/>
      <w:bookmarkEnd w:id="42"/>
    </w:p>
    <w:p w14:paraId="6914A056">
      <w:pPr>
        <w:pStyle w:val="29"/>
        <w:adjustRightInd w:val="0"/>
        <w:snapToGrid w:val="0"/>
        <w:spacing w:line="360" w:lineRule="exact"/>
        <w:ind w:firstLine="210" w:firstLineChars="1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（一）本中心将在评标结束后2个工作日内将评标报告送采购人，采购人在5个工作日内按照评标报告中推荐的中标候选</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顺序确定中标</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。采购人也可以事先授权评标委员会直接确定中标</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w:t>
      </w:r>
    </w:p>
    <w:p w14:paraId="5F0DEC9C">
      <w:pPr>
        <w:pStyle w:val="29"/>
        <w:adjustRightInd w:val="0"/>
        <w:snapToGrid w:val="0"/>
        <w:spacing w:line="360" w:lineRule="exact"/>
        <w:ind w:firstLine="210" w:firstLineChars="1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（二）中标</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确定后，本中心在中国政府采购网、广西壮族自治区政府采购网、北海市政府采购监管网、北海市政府采购中心网站、全国公共资源交易平台（广西•北海）发布中标公告。</w:t>
      </w:r>
    </w:p>
    <w:p w14:paraId="38DA2227">
      <w:pPr>
        <w:pStyle w:val="29"/>
        <w:adjustRightInd w:val="0"/>
        <w:snapToGrid w:val="0"/>
        <w:spacing w:line="360" w:lineRule="exact"/>
        <w:ind w:firstLine="210" w:firstLineChars="1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（三）在发布中标公告的同时，本中心向中标</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发出中标通知书。对未通过资格审查的投标人，本中心告知其未通过的原因；采用综合评分法评审的，本中心告知未中标人本人的评审得分与排序。</w:t>
      </w:r>
    </w:p>
    <w:p w14:paraId="5F321A5B">
      <w:pPr>
        <w:pStyle w:val="29"/>
        <w:adjustRightInd w:val="0"/>
        <w:snapToGrid w:val="0"/>
        <w:spacing w:line="360" w:lineRule="exact"/>
        <w:ind w:firstLine="210" w:firstLineChars="1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（四）投标人认为招标文件、招标过程和中标结果使自己的权益受到损害的，可以在知道或者应知其权益受到损害之日起七个工作日内，以书面形式向本中心提出质疑，并及时索要书面回执。</w:t>
      </w:r>
    </w:p>
    <w:p w14:paraId="454223D1">
      <w:pPr>
        <w:pStyle w:val="29"/>
        <w:adjustRightInd w:val="0"/>
        <w:snapToGrid w:val="0"/>
        <w:spacing w:line="360" w:lineRule="exact"/>
        <w:ind w:firstLine="210" w:firstLineChars="1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（五）本中心应当按照有关规定就采购人委托授权范围内的事项在收到投标人的书面质疑后7个工作日内做出答复，但答复的内容不得涉及商业秘密。</w:t>
      </w:r>
    </w:p>
    <w:p w14:paraId="5D01CFE9">
      <w:pPr>
        <w:pStyle w:val="22"/>
        <w:adjustRightInd w:val="0"/>
        <w:snapToGrid w:val="0"/>
        <w:spacing w:line="360" w:lineRule="exact"/>
        <w:ind w:left="0" w:leftChars="0" w:firstLine="281" w:firstLineChars="100"/>
        <w:rPr>
          <w:rFonts w:ascii="宋体" w:hAnsi="宋体" w:eastAsia="宋体" w:cs="宋体"/>
          <w:b/>
          <w:bCs/>
          <w:color w:val="000000" w:themeColor="text1"/>
          <w:kern w:val="2"/>
          <w:sz w:val="28"/>
          <w:szCs w:val="28"/>
          <w14:textFill>
            <w14:solidFill>
              <w14:schemeClr w14:val="tx1"/>
            </w14:solidFill>
          </w14:textFill>
        </w:rPr>
      </w:pPr>
      <w:r>
        <w:rPr>
          <w:rFonts w:hint="eastAsia" w:ascii="宋体" w:hAnsi="宋体" w:eastAsia="宋体" w:cs="宋体"/>
          <w:b/>
          <w:bCs/>
          <w:color w:val="000000" w:themeColor="text1"/>
          <w:kern w:val="2"/>
          <w:sz w:val="28"/>
          <w:szCs w:val="28"/>
          <w14:textFill>
            <w14:solidFill>
              <w14:schemeClr w14:val="tx1"/>
            </w14:solidFill>
          </w14:textFill>
        </w:rPr>
        <w:t>七、签订合同</w:t>
      </w:r>
    </w:p>
    <w:p w14:paraId="5A9F4DCC">
      <w:pPr>
        <w:pStyle w:val="22"/>
        <w:adjustRightInd w:val="0"/>
        <w:snapToGrid w:val="0"/>
        <w:spacing w:line="360" w:lineRule="exact"/>
        <w:ind w:left="0" w:leftChars="0" w:firstLine="211" w:firstLineChars="100"/>
        <w:rPr>
          <w:rFonts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（一）合同授予标准</w:t>
      </w:r>
    </w:p>
    <w:p w14:paraId="4703E7E5">
      <w:pPr>
        <w:pStyle w:val="29"/>
        <w:spacing w:line="44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合同将授予被确定投标文件满足招标文件全部实质性要求，具备履行合同能力，评审得分最高，综合评分排名第一的</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w:t>
      </w:r>
    </w:p>
    <w:p w14:paraId="58EC4268">
      <w:pPr>
        <w:pStyle w:val="29"/>
        <w:spacing w:line="440" w:lineRule="exact"/>
        <w:ind w:firstLine="211" w:firstLineChars="100"/>
        <w:rPr>
          <w:rFonts w:hAnsi="宋体" w:cs="宋体"/>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（二）签订合同</w:t>
      </w:r>
    </w:p>
    <w:p w14:paraId="6388647D">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1.中标通知书发出后，采购人不得违法改变中标结果，中标人无正当理由不得放弃中标。</w:t>
      </w:r>
    </w:p>
    <w:p w14:paraId="7ECE4F54">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2.中标</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拒绝与采购人签订合同或因不可抗力或者自身原因不能履行采购合同的，采购人可以与中标</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之后排名第一的中标候选</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签订采购合同，以此类推,也可以重新招标。中标</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放弃中标项目，拒绝与采购人签订合同的，给采购人造成损失的，还应当赔偿损失，并作为不良行为记录在案。</w:t>
      </w:r>
    </w:p>
    <w:p w14:paraId="101B2C9D">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3.采购人应当自中标通知书发出之日起25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42B45A0">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4.政府采购合同应当包括采购人与中标人的名称和住所、标的、数量、质量、价款或者报酬、履行期限及地点和方式、验收要求、违约责任、解决争议的方法等内容。政府采购合同签订当日，将政府采购合同送代理机构备案。</w:t>
      </w:r>
    </w:p>
    <w:p w14:paraId="1E03EF4E">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5.采购人与中标人应当根据合同的约定依法履行合同义务。政府采购合同的履行、违约责任和解决争议的方法等适用《中华人民共和国民法典》。</w:t>
      </w:r>
    </w:p>
    <w:p w14:paraId="3D7594DB">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6.采购人应当及时对采购项目进行验收。采购人可以邀请参加本项目的其他投标人或者第三方机构参与验收。参与验收的投标人或者第三方机构的意见作为验收书的参考资料一并存档。</w:t>
      </w:r>
    </w:p>
    <w:p w14:paraId="6B2FA14D">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7.采购人应当加强对中标人的履约管理，并按照采购合同约定，及时向中标人支付采购资金。对于中标人违反采购合同约定的行为，采购人应当及时处理，依法追究其违约责任。</w:t>
      </w:r>
    </w:p>
    <w:p w14:paraId="74627D37">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8.关于开展北海市政府采购合同信用融资工作的通知</w:t>
      </w:r>
    </w:p>
    <w:p w14:paraId="7F4194D5">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各政府采购</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w:t>
      </w:r>
    </w:p>
    <w:p w14:paraId="4109C1A4">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为贯彻落实党的十九大精神、国务院“放管服”改革决策部署，助力解决中小微企业在政府采购活动中资金不足、融资难、融资贵的困难，促进中小微企业依法诚信参加政府采购活动，优化我市营商环境，根据《中华人民共和国政府采购法》等有关规定，现就开展北海市政府采购合同信用融资工作有关事项通知如下：</w:t>
      </w:r>
    </w:p>
    <w:p w14:paraId="62C9E7A0">
      <w:pPr>
        <w:pStyle w:val="29"/>
        <w:spacing w:line="360" w:lineRule="exact"/>
        <w:ind w:firstLine="422" w:firstLineChars="200"/>
        <w:rPr>
          <w:rFonts w:hAnsi="宋体" w:cs="宋体"/>
          <w:b/>
          <w:bCs/>
          <w:color w:val="000000" w:themeColor="text1"/>
          <w:sz w:val="21"/>
          <w14:textFill>
            <w14:solidFill>
              <w14:schemeClr w14:val="tx1"/>
            </w14:solidFill>
          </w14:textFill>
        </w:rPr>
      </w:pPr>
      <w:r>
        <w:rPr>
          <w:rFonts w:hint="eastAsia" w:hAnsi="宋体" w:cs="宋体"/>
          <w:b/>
          <w:bCs/>
          <w:color w:val="000000" w:themeColor="text1"/>
          <w:sz w:val="21"/>
          <w14:textFill>
            <w14:solidFill>
              <w14:schemeClr w14:val="tx1"/>
            </w14:solidFill>
          </w14:textFill>
        </w:rPr>
        <w:t>一、融资概念</w:t>
      </w:r>
    </w:p>
    <w:p w14:paraId="4C429315">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w:t>
      </w:r>
    </w:p>
    <w:p w14:paraId="3DCFCF0F">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二、基本原则</w:t>
      </w:r>
    </w:p>
    <w:p w14:paraId="10241E14">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一）协调推进，服务银企。北海市财政局、北海市政府采购中心共同推进“政采贷”工作，促进政府采购政策功能和金融资源的有机结合，拓宽金融机构的融资业务，助力解决政府采购中标（成交）中小微企业资金不足、融资难、融资贵的困难，促进中小微企业健康发展。</w:t>
      </w:r>
    </w:p>
    <w:p w14:paraId="6A3902C4">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二）银企自愿，互惠共赢。金融机构和中小微企业按照自愿原则参与。中小微企业根据自身情况自行决定是否申请“政采贷”，自愿选择金融机构、融资方式；金融机构依据其内部审查制度和决策程序决定是否为中小微企业提供信用融资、融资额度等，并与</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签订融资合同，自担风险。</w:t>
      </w:r>
    </w:p>
    <w:p w14:paraId="5649F3E6">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三）优质优惠，加强扶持。金融机构按优于同期一般企业的贷款利率，向政府采购中小微企业提供信用贷款，贷款额度由金融机构根据政府采购合同的具体情况确定，不要求申请融资的中小微企业提供财产抵押或第三方担保，不收取融资利息之外的额外费用。</w:t>
      </w:r>
    </w:p>
    <w:p w14:paraId="6A51B545">
      <w:pPr>
        <w:pStyle w:val="29"/>
        <w:spacing w:line="360" w:lineRule="exact"/>
        <w:ind w:firstLine="422" w:firstLineChars="200"/>
        <w:rPr>
          <w:rFonts w:hAnsi="宋体" w:cs="宋体"/>
          <w:b/>
          <w:bCs/>
          <w:color w:val="000000" w:themeColor="text1"/>
          <w:sz w:val="21"/>
          <w14:textFill>
            <w14:solidFill>
              <w14:schemeClr w14:val="tx1"/>
            </w14:solidFill>
          </w14:textFill>
        </w:rPr>
      </w:pPr>
      <w:r>
        <w:rPr>
          <w:rFonts w:hint="eastAsia" w:hAnsi="宋体" w:cs="宋体"/>
          <w:b/>
          <w:bCs/>
          <w:color w:val="000000" w:themeColor="text1"/>
          <w:sz w:val="21"/>
          <w14:textFill>
            <w14:solidFill>
              <w14:schemeClr w14:val="tx1"/>
            </w14:solidFill>
          </w14:textFill>
        </w:rPr>
        <w:t>三、基本流程</w:t>
      </w:r>
    </w:p>
    <w:p w14:paraId="10B71777">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（一）融资申请。有融资需求的</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取得《中标通知书》后，在签订采购合同前，向贷款金融机构递交融资申请表。中标（成交）</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可以根据贷款需求等实际情况选择是否需要北海市小微企业融资担保有限公司提供担保增信，如需要提供担保增信则同时向北海市小微企业融资担保有限公司递交融资申请表。</w:t>
      </w:r>
    </w:p>
    <w:p w14:paraId="19A2CEC6">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（二）资料审查。贷款金融机构查看有融资需求</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有关资料，进行贷前独立评审，决定是否提供融资或融资担保。双方达成融资意向后，确定融资方案和回款账户，</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与采购单位签订《政府采购合同》，并将金融机构监管账户设定为合同收款账户。其中，需北海市小微企业融资担保有限公司提供担保增信的，还需北海市小微企业融资担保有限公司进行保前独立评审。</w:t>
      </w:r>
    </w:p>
    <w:p w14:paraId="4C82FA3B">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（三）签订贷款协议。无需北海市小微企业融资担保有限公司提供担保增信的，贷款金融机构查看采购合同信息，确认账户无误后，与</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签订贷款协议。需要北海市小微企业融资担保有限公司提供担保增信的，由其与贷款金融机构查看采购合同信息，确认账户无误后，贷款金融机构与</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签订贷款协议、北海市小微企业融资担保有限公司与</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签订委托担保合同。</w:t>
      </w:r>
    </w:p>
    <w:p w14:paraId="18B4C514">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（四）贷款发放。贷款金融机构根据贷款协议向</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发放贷款。</w:t>
      </w:r>
    </w:p>
    <w:p w14:paraId="2B794385">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（五）按期还款。</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获得贷款后应自觉履行政府采购合同，合同履行完毕后，采购单位根据合同约定时间和账户信息，严格按照财政资金管理的相关规定，及时将资金支付到采购合同收款账户。</w:t>
      </w:r>
    </w:p>
    <w:p w14:paraId="4EB06387">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（六）业务终止。贷款偿清后，贷款金融机构或北海市小微企业融资担保有限公司及时办理应收账款质押注销登记，业务终止。</w:t>
      </w:r>
    </w:p>
    <w:p w14:paraId="6B8D64ED">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注：相关合作银行的具体操作流程详见北海市政府采购中心首页“政采云”板块。</w:t>
      </w:r>
    </w:p>
    <w:p w14:paraId="685E2F88">
      <w:pPr>
        <w:pStyle w:val="29"/>
        <w:spacing w:line="360" w:lineRule="exact"/>
        <w:ind w:firstLine="422" w:firstLineChars="200"/>
        <w:rPr>
          <w:rFonts w:hAnsi="宋体" w:cs="宋体"/>
          <w:b/>
          <w:color w:val="000000" w:themeColor="text1"/>
          <w:sz w:val="21"/>
          <w14:textFill>
            <w14:solidFill>
              <w14:schemeClr w14:val="tx1"/>
            </w14:solidFill>
          </w14:textFill>
        </w:rPr>
      </w:pPr>
      <w:r>
        <w:rPr>
          <w:rFonts w:hint="eastAsia" w:hAnsi="宋体" w:cs="宋体"/>
          <w:b/>
          <w:color w:val="000000" w:themeColor="text1"/>
          <w:sz w:val="21"/>
          <w14:textFill>
            <w14:solidFill>
              <w14:schemeClr w14:val="tx1"/>
            </w14:solidFill>
          </w14:textFill>
        </w:rPr>
        <w:t>（三）补充合同</w:t>
      </w:r>
    </w:p>
    <w:p w14:paraId="74671DFC">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政府采购采购合同履行过程中，采购人需要追加与合同标的相同的货物或服务的，在不改变合同其他条款的前提下，可以与中标</w:t>
      </w:r>
      <w:r>
        <w:rPr>
          <w:rFonts w:hint="eastAsia" w:hAnsi="宋体" w:cs="宋体"/>
          <w:color w:val="000000" w:themeColor="text1"/>
          <w:sz w:val="21"/>
          <w:lang w:eastAsia="zh-CN"/>
          <w14:textFill>
            <w14:solidFill>
              <w14:schemeClr w14:val="tx1"/>
            </w14:solidFill>
          </w14:textFill>
        </w:rPr>
        <w:t>投标人</w:t>
      </w:r>
      <w:r>
        <w:rPr>
          <w:rFonts w:hint="eastAsia" w:hAnsi="宋体" w:cs="宋体"/>
          <w:color w:val="000000" w:themeColor="text1"/>
          <w:sz w:val="21"/>
          <w14:textFill>
            <w14:solidFill>
              <w14:schemeClr w14:val="tx1"/>
            </w14:solidFill>
          </w14:textFill>
        </w:rPr>
        <w:t>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781B1085">
      <w:pPr>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14:textFill>
            <w14:solidFill>
              <w14:schemeClr w14:val="tx1"/>
            </w14:solidFill>
          </w14:textFill>
        </w:rPr>
        <w:t>（四）</w:t>
      </w:r>
      <w:r>
        <w:rPr>
          <w:rFonts w:hint="eastAsia" w:ascii="宋体" w:hAnsi="宋体" w:cs="宋体"/>
          <w:b/>
          <w:color w:val="000000" w:themeColor="text1"/>
          <w:kern w:val="0"/>
          <w:szCs w:val="21"/>
          <w14:textFill>
            <w14:solidFill>
              <w14:schemeClr w14:val="tx1"/>
            </w14:solidFill>
          </w14:textFill>
        </w:rPr>
        <w:t>合同公告</w:t>
      </w:r>
    </w:p>
    <w:p w14:paraId="2D9440B2">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采购人应当自政府采购合同签订（双方当事人均已签字盖章）之日起2个工作日内，将政府采购合同在省级以上人民政府财政部门指定的媒体上公告（广西壮族自治区政府采购网），但政府采购合同中涉及国家秘密、商业秘密的内容除外。</w:t>
      </w:r>
    </w:p>
    <w:p w14:paraId="51C6A257">
      <w:pPr>
        <w:pStyle w:val="29"/>
        <w:spacing w:line="440" w:lineRule="exact"/>
        <w:ind w:left="-105" w:leftChars="-50" w:firstLine="562" w:firstLineChars="200"/>
        <w:rPr>
          <w:rFonts w:hAnsi="宋体" w:cs="宋体"/>
          <w:b/>
          <w:bCs/>
          <w:color w:val="000000" w:themeColor="text1"/>
          <w:kern w:val="2"/>
          <w:sz w:val="28"/>
          <w:szCs w:val="28"/>
          <w14:textFill>
            <w14:solidFill>
              <w14:schemeClr w14:val="tx1"/>
            </w14:solidFill>
          </w14:textFill>
        </w:rPr>
      </w:pPr>
      <w:r>
        <w:rPr>
          <w:rFonts w:hint="eastAsia" w:hAnsi="宋体" w:cs="宋体"/>
          <w:b/>
          <w:bCs/>
          <w:color w:val="000000" w:themeColor="text1"/>
          <w:kern w:val="2"/>
          <w:sz w:val="28"/>
          <w:szCs w:val="28"/>
          <w14:textFill>
            <w14:solidFill>
              <w14:schemeClr w14:val="tx1"/>
            </w14:solidFill>
          </w14:textFill>
        </w:rPr>
        <w:t>八、履约保证金</w:t>
      </w:r>
    </w:p>
    <w:p w14:paraId="74378F89">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本项目收取履约保证金，金额为合同金额的5%。</w:t>
      </w:r>
    </w:p>
    <w:p w14:paraId="74A2BD5C">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中标人应当以支票、汇票、本票、银行保函、保险公司保函等非现金形式在签订合同时向采购人提交，采购人不得拒收合法有效的保函。</w:t>
      </w:r>
    </w:p>
    <w:p w14:paraId="705B3213">
      <w:pPr>
        <w:ind w:firstLine="420" w:firstLineChars="200"/>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履约保证金自合同生效之日起至合同约定的中标人主要义务履行完毕止，采购人按约定退还履约保证金。中标人若出现项目进展未按进度及项目需求或演出过程中发生演出事故等情况，按违约处理，采购人将按照合同约定执行履约赔偿。如中标人违约给采购人造成的损失超过履约保证金的，应当依法赔偿超过部分的损失。</w:t>
      </w:r>
    </w:p>
    <w:p w14:paraId="3BC83EAB">
      <w:pPr>
        <w:pStyle w:val="29"/>
        <w:spacing w:line="440" w:lineRule="exact"/>
        <w:ind w:left="-105" w:leftChars="-50" w:firstLine="562" w:firstLineChars="200"/>
        <w:rPr>
          <w:rFonts w:hAnsi="宋体" w:cs="宋体"/>
          <w:b/>
          <w:bCs/>
          <w:color w:val="000000" w:themeColor="text1"/>
          <w:kern w:val="2"/>
          <w:sz w:val="28"/>
          <w:szCs w:val="28"/>
          <w14:textFill>
            <w14:solidFill>
              <w14:schemeClr w14:val="tx1"/>
            </w14:solidFill>
          </w14:textFill>
        </w:rPr>
      </w:pPr>
      <w:r>
        <w:rPr>
          <w:rFonts w:hint="eastAsia" w:hAnsi="宋体" w:cs="宋体"/>
          <w:b/>
          <w:bCs/>
          <w:color w:val="000000" w:themeColor="text1"/>
          <w:kern w:val="2"/>
          <w:sz w:val="28"/>
          <w:szCs w:val="28"/>
          <w14:textFill>
            <w14:solidFill>
              <w14:schemeClr w14:val="tx1"/>
            </w14:solidFill>
          </w14:textFill>
        </w:rPr>
        <w:t>九、中标服务费</w:t>
      </w:r>
    </w:p>
    <w:p w14:paraId="79FB6306">
      <w:pPr>
        <w:pStyle w:val="29"/>
        <w:spacing w:line="440" w:lineRule="exact"/>
        <w:ind w:firstLine="420" w:firstLineChars="200"/>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本项目不收取中标服务费。</w:t>
      </w:r>
    </w:p>
    <w:p w14:paraId="68667664">
      <w:pPr>
        <w:pStyle w:val="29"/>
        <w:spacing w:line="440" w:lineRule="exact"/>
        <w:ind w:firstLine="422" w:firstLineChars="150"/>
        <w:rPr>
          <w:rFonts w:hAnsi="宋体" w:cs="宋体"/>
          <w:b/>
          <w:bCs/>
          <w:color w:val="000000" w:themeColor="text1"/>
          <w:kern w:val="2"/>
          <w:sz w:val="28"/>
          <w:szCs w:val="28"/>
          <w14:textFill>
            <w14:solidFill>
              <w14:schemeClr w14:val="tx1"/>
            </w14:solidFill>
          </w14:textFill>
        </w:rPr>
      </w:pPr>
      <w:r>
        <w:rPr>
          <w:rFonts w:hint="eastAsia" w:hAnsi="宋体" w:cs="宋体"/>
          <w:b/>
          <w:bCs/>
          <w:color w:val="000000" w:themeColor="text1"/>
          <w:kern w:val="2"/>
          <w:sz w:val="28"/>
          <w:szCs w:val="28"/>
          <w14:textFill>
            <w14:solidFill>
              <w14:schemeClr w14:val="tx1"/>
            </w14:solidFill>
          </w14:textFill>
        </w:rPr>
        <w:t>十、其他事项</w:t>
      </w:r>
    </w:p>
    <w:p w14:paraId="54AFE383">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1.电子交易异常情形处理：采购过程中出现以下异常情形，导致电子交易平台无法正常运行，或者无法保证电子交易的公平、公正和安全时，本中心有权中止电子交易活动：</w:t>
      </w:r>
    </w:p>
    <w:p w14:paraId="59B069BC">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1.1电子交易平台发生故障而无法登录访问的；</w:t>
      </w:r>
    </w:p>
    <w:p w14:paraId="1DAA7A0E">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1.2电子交易平台应用或数据库出现错误，不能进行正常操作的；</w:t>
      </w:r>
    </w:p>
    <w:p w14:paraId="6BC708EE">
      <w:pPr>
        <w:pStyle w:val="29"/>
        <w:spacing w:line="360" w:lineRule="exact"/>
        <w:ind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1.3电子交易平台发现严重安全漏洞，潜在泄密危险的；</w:t>
      </w:r>
    </w:p>
    <w:p w14:paraId="0C65E8EB">
      <w:pPr>
        <w:pStyle w:val="29"/>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1.4病毒发作导致不能进行正常操作的；</w:t>
      </w:r>
    </w:p>
    <w:p w14:paraId="6A0F120A">
      <w:pPr>
        <w:pStyle w:val="29"/>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1.5其他无法保证电子交易的公平、公正和安全的情况。出现以上规定情形，不影响采购公平、公正性的，本中心可以待上述情形消除后继续组织电子交易活动，也可以决定某些环节以纸质形式进行；影响或可能影响采购公平、公正性的，应当重新采购。</w:t>
      </w:r>
    </w:p>
    <w:p w14:paraId="36B0B201">
      <w:pPr>
        <w:pStyle w:val="29"/>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2.解释权：本招标文件解释权属采购人及本中心。</w:t>
      </w:r>
    </w:p>
    <w:p w14:paraId="58BA1FE9">
      <w:pPr>
        <w:pStyle w:val="29"/>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3.有关事宜</w:t>
      </w:r>
    </w:p>
    <w:p w14:paraId="4C31FDF2">
      <w:pPr>
        <w:pStyle w:val="29"/>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所有与本招标文件有关的函件请按下列通讯地址联系：</w:t>
      </w:r>
    </w:p>
    <w:p w14:paraId="7494AA58">
      <w:pPr>
        <w:pStyle w:val="29"/>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北海市政府采购中心</w:t>
      </w:r>
    </w:p>
    <w:p w14:paraId="74D93AA2">
      <w:pPr>
        <w:pStyle w:val="29"/>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邮政编码：536000</w:t>
      </w:r>
    </w:p>
    <w:p w14:paraId="70FDB346">
      <w:pPr>
        <w:pStyle w:val="29"/>
        <w:spacing w:line="36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通讯地址：北海市海城区陈文村北路7号市直机关第三办公区</w:t>
      </w:r>
    </w:p>
    <w:p w14:paraId="0DFC48A6">
      <w:pPr>
        <w:pStyle w:val="29"/>
        <w:spacing w:line="360" w:lineRule="exact"/>
        <w:ind w:firstLine="420" w:firstLineChars="200"/>
        <w:rPr>
          <w:rFonts w:hint="default" w:hAnsi="宋体" w:cs="宋体"/>
          <w:color w:val="000000" w:themeColor="text1"/>
          <w:sz w:val="21"/>
          <w:lang w:val="en-US" w:eastAsia="zh-CN"/>
          <w14:textFill>
            <w14:solidFill>
              <w14:schemeClr w14:val="tx1"/>
            </w14:solidFill>
          </w14:textFill>
        </w:rPr>
      </w:pPr>
      <w:r>
        <w:rPr>
          <w:rFonts w:hint="eastAsia" w:hAnsi="宋体" w:cs="宋体"/>
          <w:color w:val="000000" w:themeColor="text1"/>
          <w:sz w:val="21"/>
          <w14:textFill>
            <w14:solidFill>
              <w14:schemeClr w14:val="tx1"/>
            </w14:solidFill>
          </w14:textFill>
        </w:rPr>
        <w:t>电话：0779—3960815</w:t>
      </w:r>
    </w:p>
    <w:p w14:paraId="7CAC7839">
      <w:pPr>
        <w:pStyle w:val="29"/>
        <w:snapToGrid w:val="0"/>
        <w:spacing w:line="600" w:lineRule="exact"/>
        <w:outlineLvl w:val="0"/>
        <w:rPr>
          <w:rFonts w:hAnsi="宋体" w:cs="宋体"/>
          <w:b/>
          <w:color w:val="000000" w:themeColor="text1"/>
          <w:sz w:val="36"/>
          <w:szCs w:val="36"/>
          <w14:textFill>
            <w14:solidFill>
              <w14:schemeClr w14:val="tx1"/>
            </w14:solidFill>
          </w14:textFill>
        </w:rPr>
        <w:sectPr>
          <w:pgSz w:w="11906" w:h="16838"/>
          <w:pgMar w:top="1247" w:right="849" w:bottom="1247" w:left="1418" w:header="851" w:footer="992" w:gutter="0"/>
          <w:cols w:space="720" w:num="1"/>
          <w:titlePg/>
          <w:docGrid w:type="lines" w:linePitch="312" w:charSpace="0"/>
        </w:sectPr>
      </w:pPr>
      <w:bookmarkStart w:id="43" w:name="_Toc9838480"/>
    </w:p>
    <w:p w14:paraId="7C599261">
      <w:pPr>
        <w:pStyle w:val="29"/>
        <w:snapToGrid w:val="0"/>
        <w:spacing w:line="600" w:lineRule="exact"/>
        <w:jc w:val="center"/>
        <w:rPr>
          <w:rFonts w:hAnsi="宋体" w:cs="宋体"/>
          <w:b/>
          <w:color w:val="000000" w:themeColor="text1"/>
          <w:sz w:val="36"/>
          <w:szCs w:val="36"/>
          <w14:textFill>
            <w14:solidFill>
              <w14:schemeClr w14:val="tx1"/>
            </w14:solidFill>
          </w14:textFill>
        </w:rPr>
      </w:pPr>
    </w:p>
    <w:p w14:paraId="796FF29F">
      <w:pPr>
        <w:pStyle w:val="29"/>
        <w:snapToGrid w:val="0"/>
        <w:spacing w:line="600" w:lineRule="exact"/>
        <w:jc w:val="center"/>
        <w:rPr>
          <w:rFonts w:hAnsi="宋体" w:cs="宋体"/>
          <w:b/>
          <w:color w:val="000000" w:themeColor="text1"/>
          <w:sz w:val="36"/>
          <w:szCs w:val="36"/>
          <w14:textFill>
            <w14:solidFill>
              <w14:schemeClr w14:val="tx1"/>
            </w14:solidFill>
          </w14:textFill>
        </w:rPr>
      </w:pPr>
    </w:p>
    <w:p w14:paraId="2A406644">
      <w:pPr>
        <w:pStyle w:val="29"/>
        <w:snapToGrid w:val="0"/>
        <w:spacing w:line="600" w:lineRule="exact"/>
        <w:jc w:val="center"/>
        <w:rPr>
          <w:rFonts w:hAnsi="宋体" w:cs="宋体"/>
          <w:b/>
          <w:color w:val="000000" w:themeColor="text1"/>
          <w:sz w:val="36"/>
          <w:szCs w:val="36"/>
          <w14:textFill>
            <w14:solidFill>
              <w14:schemeClr w14:val="tx1"/>
            </w14:solidFill>
          </w14:textFill>
        </w:rPr>
      </w:pPr>
    </w:p>
    <w:p w14:paraId="58C701F3">
      <w:pPr>
        <w:pStyle w:val="29"/>
        <w:snapToGrid w:val="0"/>
        <w:spacing w:line="600" w:lineRule="exact"/>
        <w:jc w:val="center"/>
        <w:rPr>
          <w:rFonts w:hAnsi="宋体" w:cs="宋体"/>
          <w:b/>
          <w:color w:val="000000" w:themeColor="text1"/>
          <w:sz w:val="36"/>
          <w:szCs w:val="36"/>
          <w14:textFill>
            <w14:solidFill>
              <w14:schemeClr w14:val="tx1"/>
            </w14:solidFill>
          </w14:textFill>
        </w:rPr>
      </w:pPr>
    </w:p>
    <w:p w14:paraId="78B104EB">
      <w:pPr>
        <w:pStyle w:val="29"/>
        <w:snapToGrid w:val="0"/>
        <w:spacing w:line="600" w:lineRule="exact"/>
        <w:rPr>
          <w:rFonts w:hAnsi="宋体" w:cs="宋体"/>
          <w:b/>
          <w:color w:val="000000" w:themeColor="text1"/>
          <w:sz w:val="36"/>
          <w:szCs w:val="36"/>
          <w14:textFill>
            <w14:solidFill>
              <w14:schemeClr w14:val="tx1"/>
            </w14:solidFill>
          </w14:textFill>
        </w:rPr>
      </w:pPr>
    </w:p>
    <w:p w14:paraId="0C8F0EA6">
      <w:pPr>
        <w:pStyle w:val="29"/>
        <w:snapToGrid w:val="0"/>
        <w:spacing w:line="600" w:lineRule="exact"/>
        <w:jc w:val="center"/>
        <w:rPr>
          <w:rFonts w:hAnsi="宋体" w:cs="宋体"/>
          <w:b/>
          <w:color w:val="000000" w:themeColor="text1"/>
          <w:sz w:val="36"/>
          <w:szCs w:val="36"/>
          <w14:textFill>
            <w14:solidFill>
              <w14:schemeClr w14:val="tx1"/>
            </w14:solidFill>
          </w14:textFill>
        </w:rPr>
      </w:pPr>
    </w:p>
    <w:p w14:paraId="7F4EF05F">
      <w:pPr>
        <w:pStyle w:val="29"/>
        <w:snapToGrid w:val="0"/>
        <w:spacing w:line="600" w:lineRule="exact"/>
        <w:jc w:val="center"/>
        <w:rPr>
          <w:rFonts w:hAnsi="宋体" w:cs="宋体"/>
          <w:b/>
          <w:color w:val="000000" w:themeColor="text1"/>
          <w:sz w:val="36"/>
          <w:szCs w:val="36"/>
          <w14:textFill>
            <w14:solidFill>
              <w14:schemeClr w14:val="tx1"/>
            </w14:solidFill>
          </w14:textFill>
        </w:rPr>
      </w:pPr>
    </w:p>
    <w:p w14:paraId="7116053C">
      <w:pPr>
        <w:pStyle w:val="29"/>
        <w:snapToGrid w:val="0"/>
        <w:spacing w:line="600" w:lineRule="exact"/>
        <w:jc w:val="center"/>
        <w:rPr>
          <w:rFonts w:hAnsi="宋体" w:cs="宋体"/>
          <w:b/>
          <w:color w:val="000000" w:themeColor="text1"/>
          <w:sz w:val="36"/>
          <w:szCs w:val="36"/>
          <w14:textFill>
            <w14:solidFill>
              <w14:schemeClr w14:val="tx1"/>
            </w14:solidFill>
          </w14:textFill>
        </w:rPr>
      </w:pPr>
    </w:p>
    <w:bookmarkEnd w:id="43"/>
    <w:p w14:paraId="33C94DD5">
      <w:pPr>
        <w:pStyle w:val="29"/>
        <w:snapToGrid w:val="0"/>
        <w:spacing w:line="600" w:lineRule="exact"/>
        <w:jc w:val="center"/>
        <w:outlineLvl w:val="0"/>
        <w:rPr>
          <w:rFonts w:hAnsi="宋体" w:cs="宋体"/>
          <w:b/>
          <w:color w:val="000000" w:themeColor="text1"/>
          <w:sz w:val="36"/>
          <w:szCs w:val="36"/>
          <w14:textFill>
            <w14:solidFill>
              <w14:schemeClr w14:val="tx1"/>
            </w14:solidFill>
          </w14:textFill>
        </w:rPr>
      </w:pPr>
      <w:bookmarkStart w:id="44" w:name="_Toc19711"/>
      <w:r>
        <w:rPr>
          <w:rFonts w:hint="eastAsia" w:hAnsi="宋体" w:cs="宋体"/>
          <w:b/>
          <w:color w:val="000000" w:themeColor="text1"/>
          <w:sz w:val="36"/>
          <w:szCs w:val="36"/>
          <w14:textFill>
            <w14:solidFill>
              <w14:schemeClr w14:val="tx1"/>
            </w14:solidFill>
          </w14:textFill>
        </w:rPr>
        <w:t>第四章 评标办法及评分标准</w:t>
      </w:r>
      <w:bookmarkEnd w:id="44"/>
    </w:p>
    <w:p w14:paraId="21499175">
      <w:pPr>
        <w:pStyle w:val="29"/>
        <w:spacing w:line="360" w:lineRule="exact"/>
        <w:rPr>
          <w:rFonts w:hAnsi="宋体" w:cs="宋体"/>
          <w:b/>
          <w:bCs/>
          <w:color w:val="000000" w:themeColor="text1"/>
          <w:sz w:val="28"/>
          <w:szCs w:val="28"/>
          <w14:textFill>
            <w14:solidFill>
              <w14:schemeClr w14:val="tx1"/>
            </w14:solidFill>
          </w14:textFill>
        </w:rPr>
      </w:pPr>
    </w:p>
    <w:p w14:paraId="52FE8F63">
      <w:pPr>
        <w:pStyle w:val="29"/>
        <w:spacing w:line="360" w:lineRule="exact"/>
        <w:rPr>
          <w:rFonts w:hAnsi="宋体" w:cs="宋体"/>
          <w:b/>
          <w:bCs/>
          <w:color w:val="000000" w:themeColor="text1"/>
          <w:sz w:val="32"/>
          <w:szCs w:val="32"/>
          <w14:textFill>
            <w14:solidFill>
              <w14:schemeClr w14:val="tx1"/>
            </w14:solidFill>
          </w14:textFill>
        </w:rPr>
      </w:pPr>
    </w:p>
    <w:p w14:paraId="1534214E">
      <w:pPr>
        <w:pStyle w:val="29"/>
        <w:spacing w:line="360" w:lineRule="exact"/>
        <w:rPr>
          <w:rFonts w:hAnsi="宋体" w:cs="宋体"/>
          <w:b/>
          <w:bCs/>
          <w:color w:val="000000" w:themeColor="text1"/>
          <w:sz w:val="32"/>
          <w:szCs w:val="32"/>
          <w14:textFill>
            <w14:solidFill>
              <w14:schemeClr w14:val="tx1"/>
            </w14:solidFill>
          </w14:textFill>
        </w:rPr>
      </w:pPr>
    </w:p>
    <w:p w14:paraId="7484B391">
      <w:pPr>
        <w:pStyle w:val="29"/>
        <w:spacing w:line="360" w:lineRule="exact"/>
        <w:rPr>
          <w:rFonts w:hAnsi="宋体" w:cs="宋体"/>
          <w:b/>
          <w:bCs/>
          <w:color w:val="000000" w:themeColor="text1"/>
          <w:sz w:val="32"/>
          <w:szCs w:val="32"/>
          <w14:textFill>
            <w14:solidFill>
              <w14:schemeClr w14:val="tx1"/>
            </w14:solidFill>
          </w14:textFill>
        </w:rPr>
      </w:pPr>
    </w:p>
    <w:p w14:paraId="1CE27806">
      <w:pPr>
        <w:pStyle w:val="29"/>
        <w:spacing w:line="360" w:lineRule="exact"/>
        <w:rPr>
          <w:rFonts w:hAnsi="宋体" w:cs="宋体"/>
          <w:b/>
          <w:bCs/>
          <w:color w:val="000000" w:themeColor="text1"/>
          <w:sz w:val="32"/>
          <w:szCs w:val="32"/>
          <w14:textFill>
            <w14:solidFill>
              <w14:schemeClr w14:val="tx1"/>
            </w14:solidFill>
          </w14:textFill>
        </w:rPr>
      </w:pPr>
    </w:p>
    <w:p w14:paraId="374D9497">
      <w:pPr>
        <w:pStyle w:val="29"/>
        <w:spacing w:line="360" w:lineRule="exact"/>
        <w:rPr>
          <w:rFonts w:hAnsi="宋体" w:cs="宋体"/>
          <w:b/>
          <w:bCs/>
          <w:color w:val="000000" w:themeColor="text1"/>
          <w:sz w:val="32"/>
          <w:szCs w:val="32"/>
          <w14:textFill>
            <w14:solidFill>
              <w14:schemeClr w14:val="tx1"/>
            </w14:solidFill>
          </w14:textFill>
        </w:rPr>
      </w:pPr>
    </w:p>
    <w:p w14:paraId="787E1E1A">
      <w:pPr>
        <w:pStyle w:val="29"/>
        <w:spacing w:line="360" w:lineRule="exact"/>
        <w:rPr>
          <w:rFonts w:hAnsi="宋体" w:cs="宋体"/>
          <w:b/>
          <w:bCs/>
          <w:color w:val="000000" w:themeColor="text1"/>
          <w:sz w:val="32"/>
          <w:szCs w:val="32"/>
          <w14:textFill>
            <w14:solidFill>
              <w14:schemeClr w14:val="tx1"/>
            </w14:solidFill>
          </w14:textFill>
        </w:rPr>
      </w:pPr>
    </w:p>
    <w:p w14:paraId="3CA20E4D">
      <w:pPr>
        <w:pStyle w:val="29"/>
        <w:spacing w:line="360" w:lineRule="exact"/>
        <w:rPr>
          <w:rFonts w:hAnsi="宋体" w:cs="宋体"/>
          <w:b/>
          <w:bCs/>
          <w:color w:val="000000" w:themeColor="text1"/>
          <w:sz w:val="32"/>
          <w:szCs w:val="32"/>
          <w14:textFill>
            <w14:solidFill>
              <w14:schemeClr w14:val="tx1"/>
            </w14:solidFill>
          </w14:textFill>
        </w:rPr>
      </w:pPr>
    </w:p>
    <w:p w14:paraId="31CB6196">
      <w:pPr>
        <w:pStyle w:val="29"/>
        <w:spacing w:line="360" w:lineRule="exact"/>
        <w:rPr>
          <w:rFonts w:hAnsi="宋体" w:cs="宋体"/>
          <w:b/>
          <w:color w:val="000000" w:themeColor="text1"/>
          <w:sz w:val="32"/>
          <w:szCs w:val="32"/>
          <w14:textFill>
            <w14:solidFill>
              <w14:schemeClr w14:val="tx1"/>
            </w14:solidFill>
          </w14:textFill>
        </w:rPr>
      </w:pPr>
    </w:p>
    <w:p w14:paraId="5D855B98">
      <w:pPr>
        <w:pStyle w:val="29"/>
        <w:spacing w:line="360" w:lineRule="exact"/>
        <w:rPr>
          <w:rFonts w:hAnsi="宋体" w:cs="宋体"/>
          <w:b/>
          <w:color w:val="000000" w:themeColor="text1"/>
          <w:sz w:val="32"/>
          <w:szCs w:val="32"/>
          <w14:textFill>
            <w14:solidFill>
              <w14:schemeClr w14:val="tx1"/>
            </w14:solidFill>
          </w14:textFill>
        </w:rPr>
      </w:pPr>
    </w:p>
    <w:p w14:paraId="5BE24660">
      <w:pPr>
        <w:pStyle w:val="29"/>
        <w:spacing w:line="360" w:lineRule="exact"/>
        <w:rPr>
          <w:rFonts w:hAnsi="宋体" w:cs="宋体"/>
          <w:b/>
          <w:color w:val="000000" w:themeColor="text1"/>
          <w:sz w:val="32"/>
          <w:szCs w:val="32"/>
          <w14:textFill>
            <w14:solidFill>
              <w14:schemeClr w14:val="tx1"/>
            </w14:solidFill>
          </w14:textFill>
        </w:rPr>
      </w:pPr>
    </w:p>
    <w:p w14:paraId="39EB540B">
      <w:pPr>
        <w:pStyle w:val="29"/>
        <w:spacing w:line="360" w:lineRule="exact"/>
        <w:rPr>
          <w:rFonts w:hAnsi="宋体" w:cs="宋体"/>
          <w:b/>
          <w:color w:val="000000" w:themeColor="text1"/>
          <w:sz w:val="32"/>
          <w:szCs w:val="32"/>
          <w14:textFill>
            <w14:solidFill>
              <w14:schemeClr w14:val="tx1"/>
            </w14:solidFill>
          </w14:textFill>
        </w:rPr>
      </w:pPr>
    </w:p>
    <w:p w14:paraId="72F5FFD5">
      <w:pPr>
        <w:pStyle w:val="29"/>
        <w:spacing w:line="360" w:lineRule="exact"/>
        <w:rPr>
          <w:rFonts w:hAnsi="宋体" w:cs="宋体"/>
          <w:b/>
          <w:color w:val="000000" w:themeColor="text1"/>
          <w:sz w:val="32"/>
          <w:szCs w:val="32"/>
          <w14:textFill>
            <w14:solidFill>
              <w14:schemeClr w14:val="tx1"/>
            </w14:solidFill>
          </w14:textFill>
        </w:rPr>
      </w:pPr>
    </w:p>
    <w:p w14:paraId="67BEC6E8">
      <w:pPr>
        <w:pStyle w:val="29"/>
        <w:spacing w:line="360" w:lineRule="exact"/>
        <w:rPr>
          <w:rFonts w:hAnsi="宋体" w:cs="宋体"/>
          <w:b/>
          <w:color w:val="000000" w:themeColor="text1"/>
          <w:sz w:val="32"/>
          <w:szCs w:val="32"/>
          <w14:textFill>
            <w14:solidFill>
              <w14:schemeClr w14:val="tx1"/>
            </w14:solidFill>
          </w14:textFill>
        </w:rPr>
      </w:pPr>
    </w:p>
    <w:p w14:paraId="5CA465AC">
      <w:pPr>
        <w:pStyle w:val="29"/>
        <w:spacing w:line="360" w:lineRule="exact"/>
        <w:rPr>
          <w:rFonts w:hAnsi="宋体" w:cs="宋体"/>
          <w:b/>
          <w:color w:val="000000" w:themeColor="text1"/>
          <w:sz w:val="32"/>
          <w:szCs w:val="32"/>
          <w14:textFill>
            <w14:solidFill>
              <w14:schemeClr w14:val="tx1"/>
            </w14:solidFill>
          </w14:textFill>
        </w:rPr>
      </w:pPr>
    </w:p>
    <w:p w14:paraId="3BD90379">
      <w:pPr>
        <w:pStyle w:val="29"/>
        <w:spacing w:line="360" w:lineRule="exact"/>
        <w:rPr>
          <w:rFonts w:hAnsi="宋体" w:cs="宋体"/>
          <w:b/>
          <w:color w:val="000000" w:themeColor="text1"/>
          <w:sz w:val="32"/>
          <w:szCs w:val="32"/>
          <w14:textFill>
            <w14:solidFill>
              <w14:schemeClr w14:val="tx1"/>
            </w14:solidFill>
          </w14:textFill>
        </w:rPr>
      </w:pPr>
    </w:p>
    <w:p w14:paraId="209BF6E5">
      <w:pPr>
        <w:pStyle w:val="29"/>
        <w:spacing w:line="360" w:lineRule="exact"/>
        <w:rPr>
          <w:rFonts w:hAnsi="宋体" w:cs="宋体"/>
          <w:b/>
          <w:color w:val="000000" w:themeColor="text1"/>
          <w:sz w:val="32"/>
          <w:szCs w:val="32"/>
          <w14:textFill>
            <w14:solidFill>
              <w14:schemeClr w14:val="tx1"/>
            </w14:solidFill>
          </w14:textFill>
        </w:rPr>
      </w:pPr>
    </w:p>
    <w:p w14:paraId="32F66AE4">
      <w:pPr>
        <w:pStyle w:val="29"/>
        <w:spacing w:line="360" w:lineRule="exact"/>
        <w:rPr>
          <w:rFonts w:hAnsi="宋体" w:cs="宋体"/>
          <w:b/>
          <w:color w:val="000000" w:themeColor="text1"/>
          <w:sz w:val="32"/>
          <w:szCs w:val="32"/>
          <w14:textFill>
            <w14:solidFill>
              <w14:schemeClr w14:val="tx1"/>
            </w14:solidFill>
          </w14:textFill>
        </w:rPr>
      </w:pPr>
    </w:p>
    <w:p w14:paraId="5A5D56C5">
      <w:pPr>
        <w:pStyle w:val="29"/>
        <w:spacing w:line="360" w:lineRule="exact"/>
        <w:rPr>
          <w:rFonts w:hAnsi="宋体" w:cs="宋体"/>
          <w:b/>
          <w:color w:val="000000" w:themeColor="text1"/>
          <w:sz w:val="32"/>
          <w:szCs w:val="32"/>
          <w14:textFill>
            <w14:solidFill>
              <w14:schemeClr w14:val="tx1"/>
            </w14:solidFill>
          </w14:textFill>
        </w:rPr>
      </w:pPr>
    </w:p>
    <w:p w14:paraId="6CCD3548">
      <w:pPr>
        <w:rPr>
          <w:rFonts w:ascii="宋体" w:hAnsi="宋体" w:cs="宋体"/>
          <w:color w:val="000000" w:themeColor="text1"/>
          <w14:textFill>
            <w14:solidFill>
              <w14:schemeClr w14:val="tx1"/>
            </w14:solidFill>
          </w14:textFill>
        </w:rPr>
      </w:pPr>
    </w:p>
    <w:p w14:paraId="7CE08DF2">
      <w:pPr>
        <w:pStyle w:val="100"/>
        <w:rPr>
          <w:rFonts w:ascii="宋体" w:hAnsi="宋体" w:cs="宋体"/>
          <w:color w:val="000000" w:themeColor="text1"/>
          <w14:textFill>
            <w14:solidFill>
              <w14:schemeClr w14:val="tx1"/>
            </w14:solidFill>
          </w14:textFill>
        </w:rPr>
      </w:pPr>
    </w:p>
    <w:p w14:paraId="4AF5CD17">
      <w:pPr>
        <w:pStyle w:val="100"/>
        <w:rPr>
          <w:rFonts w:ascii="宋体" w:hAnsi="宋体" w:cs="宋体"/>
          <w:color w:val="000000" w:themeColor="text1"/>
          <w14:textFill>
            <w14:solidFill>
              <w14:schemeClr w14:val="tx1"/>
            </w14:solidFill>
          </w14:textFill>
        </w:rPr>
      </w:pPr>
    </w:p>
    <w:p w14:paraId="4A8F1A51">
      <w:pPr>
        <w:pStyle w:val="100"/>
        <w:rPr>
          <w:rFonts w:ascii="宋体" w:hAnsi="宋体" w:cs="宋体"/>
          <w:color w:val="000000" w:themeColor="text1"/>
          <w14:textFill>
            <w14:solidFill>
              <w14:schemeClr w14:val="tx1"/>
            </w14:solidFill>
          </w14:textFill>
        </w:rPr>
      </w:pPr>
    </w:p>
    <w:p w14:paraId="00586293">
      <w:pPr>
        <w:pStyle w:val="100"/>
        <w:rPr>
          <w:rFonts w:ascii="宋体" w:hAnsi="宋体" w:cs="宋体"/>
          <w:color w:val="000000" w:themeColor="text1"/>
          <w14:textFill>
            <w14:solidFill>
              <w14:schemeClr w14:val="tx1"/>
            </w14:solidFill>
          </w14:textFill>
        </w:rPr>
      </w:pPr>
    </w:p>
    <w:p w14:paraId="26A60672">
      <w:pPr>
        <w:pStyle w:val="100"/>
        <w:rPr>
          <w:rFonts w:ascii="宋体" w:hAnsi="宋体" w:cs="宋体"/>
          <w:color w:val="000000" w:themeColor="text1"/>
          <w14:textFill>
            <w14:solidFill>
              <w14:schemeClr w14:val="tx1"/>
            </w14:solidFill>
          </w14:textFill>
        </w:rPr>
      </w:pPr>
    </w:p>
    <w:p w14:paraId="29B08607">
      <w:pPr>
        <w:pStyle w:val="100"/>
        <w:rPr>
          <w:rFonts w:ascii="宋体" w:hAnsi="宋体" w:cs="宋体"/>
          <w:color w:val="000000" w:themeColor="text1"/>
          <w14:textFill>
            <w14:solidFill>
              <w14:schemeClr w14:val="tx1"/>
            </w14:solidFill>
          </w14:textFill>
        </w:rPr>
      </w:pPr>
    </w:p>
    <w:p w14:paraId="0F2EDB59">
      <w:pPr>
        <w:spacing w:line="36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评标办法及评分标准</w:t>
      </w:r>
    </w:p>
    <w:p w14:paraId="5BC1B25B">
      <w:pPr>
        <w:spacing w:line="360" w:lineRule="exact"/>
        <w:rPr>
          <w:rFonts w:ascii="宋体" w:hAnsi="宋体" w:cs="宋体"/>
          <w:b/>
          <w:bCs/>
          <w:color w:val="000000" w:themeColor="text1"/>
          <w:sz w:val="28"/>
          <w:szCs w:val="21"/>
          <w14:textFill>
            <w14:solidFill>
              <w14:schemeClr w14:val="tx1"/>
            </w14:solidFill>
          </w14:textFill>
        </w:rPr>
      </w:pPr>
    </w:p>
    <w:p w14:paraId="577B74F9">
      <w:pPr>
        <w:tabs>
          <w:tab w:val="left" w:pos="5302"/>
        </w:tabs>
        <w:spacing w:line="360" w:lineRule="auto"/>
        <w:jc w:val="left"/>
        <w:rPr>
          <w:rFonts w:ascii="宋体" w:hAnsi="宋体" w:cs="宋体"/>
          <w:b/>
          <w:color w:val="000000" w:themeColor="text1"/>
          <w:sz w:val="40"/>
          <w:szCs w:val="28"/>
          <w14:textFill>
            <w14:solidFill>
              <w14:schemeClr w14:val="tx1"/>
            </w14:solidFill>
          </w14:textFill>
        </w:rPr>
      </w:pPr>
    </w:p>
    <w:p w14:paraId="1102295C">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一、评标原则</w:t>
      </w:r>
    </w:p>
    <w:p w14:paraId="6BF5AECC">
      <w:pPr>
        <w:adjustRightInd w:val="0"/>
        <w:snapToGrid w:val="0"/>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(一)评委组成：本招标采购项目的评标委员会由采购人代表和有关技术、经济等方面的专家组成，成员人数应当为7人以上单数，其中评审专家不得少于成员总数的三分之二。</w:t>
      </w:r>
    </w:p>
    <w:p w14:paraId="53D41453">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(二)评标依据：评委将以招投标文件为评标依据，对投标人的投标报价，技术性能，服务方案，售后服务，信誉业绩等方面的内容按百分制打分。</w:t>
      </w:r>
    </w:p>
    <w:p w14:paraId="13078AFF">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(三)评标方式：以封闭方式进行。</w:t>
      </w:r>
    </w:p>
    <w:p w14:paraId="6C81134F">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二、评定方法</w:t>
      </w:r>
    </w:p>
    <w:p w14:paraId="449C4820">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（一）对进入详评的，采用百分制综合评分法。</w:t>
      </w:r>
    </w:p>
    <w:p w14:paraId="4A5E3E08">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（二）计分办法（按四舍五入取至百分位）：</w:t>
      </w:r>
    </w:p>
    <w:p w14:paraId="11EA5129">
      <w:pPr>
        <w:widowControl/>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三、评审标准</w:t>
      </w:r>
    </w:p>
    <w:p w14:paraId="0BCF4FA1">
      <w:pPr>
        <w:snapToGrid w:val="0"/>
        <w:spacing w:line="360" w:lineRule="auto"/>
        <w:ind w:firstLine="234" w:firstLineChars="111"/>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1.价格分（满分10分）</w:t>
      </w:r>
    </w:p>
    <w:p w14:paraId="23ED7FBD">
      <w:pPr>
        <w:snapToGrid w:val="0"/>
        <w:spacing w:line="360" w:lineRule="auto"/>
        <w:ind w:firstLine="233" w:firstLineChars="111"/>
        <w:jc w:val="left"/>
        <w:rPr>
          <w:rFonts w:hint="eastAsia" w:ascii="宋体" w:hAnsi="宋体" w:cs="宋体"/>
          <w:b w:val="0"/>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（1）评标报价为投标人的投标报价进行政策性扣除后的价格，评标报价只是作为评标时使用。最终中标人的中标金额等于投标报价。</w:t>
      </w:r>
      <w:r>
        <w:rPr>
          <w:rFonts w:hint="eastAsia" w:ascii="宋体" w:hAnsi="宋体" w:cs="宋体"/>
          <w:b w:val="0"/>
          <w:bCs/>
          <w:color w:val="000000" w:themeColor="text1"/>
          <w:szCs w:val="21"/>
          <w:lang w:val="en-US" w:eastAsia="zh-CN"/>
          <w14:textFill>
            <w14:solidFill>
              <w14:schemeClr w14:val="tx1"/>
            </w14:solidFill>
          </w14:textFill>
        </w:rPr>
        <w:t>政策性扣除后的评标报价同时作为政府采购异常低价审查的计算依据。</w:t>
      </w:r>
    </w:p>
    <w:p w14:paraId="0AB9DE9A">
      <w:pPr>
        <w:snapToGrid w:val="0"/>
        <w:spacing w:line="360" w:lineRule="auto"/>
        <w:ind w:firstLine="233" w:firstLineChars="1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（2）政策性扣除计算方法。</w:t>
      </w:r>
    </w:p>
    <w:p w14:paraId="628DA498">
      <w:pPr>
        <w:snapToGrid w:val="0"/>
        <w:spacing w:line="360" w:lineRule="auto"/>
        <w:ind w:firstLine="443" w:firstLineChars="211"/>
        <w:jc w:val="left"/>
        <w:rPr>
          <w:rFonts w:ascii="宋体" w:hAnsi="宋体" w:cs="宋体"/>
          <w:b w:val="0"/>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根据《政府采购促进中小企业发展管理办法》（财库〔2020〕46号）及《广西壮族自治区财政厅关于贯彻落实政府采购支持中小企业发展政策的通知》（桂财采〔2022〕31号）的规定，对其投标报价给予20%</w:t>
      </w:r>
      <w:r>
        <w:rPr>
          <w:rFonts w:hint="eastAsia" w:ascii="宋体" w:hAnsi="宋体" w:cs="宋体"/>
          <w:b w:val="0"/>
          <w:bCs/>
          <w:color w:val="000000" w:themeColor="text1"/>
          <w:szCs w:val="21"/>
          <w14:textFill>
            <w14:solidFill>
              <w14:schemeClr w14:val="tx1"/>
            </w14:solidFill>
          </w14:textFill>
        </w:rPr>
        <w:t>的扣除，扣除后的价格为评标报价，即评标报价=投标报价×（1-20%）。除上述情况外，评标报价=投标报价。</w:t>
      </w:r>
    </w:p>
    <w:p w14:paraId="73381499">
      <w:pPr>
        <w:snapToGrid w:val="0"/>
        <w:spacing w:line="360" w:lineRule="auto"/>
        <w:ind w:firstLine="233" w:firstLineChars="111"/>
        <w:jc w:val="left"/>
        <w:rPr>
          <w:rFonts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（3）</w:t>
      </w:r>
      <w:r>
        <w:rPr>
          <w:rFonts w:hint="eastAsia" w:ascii="宋体" w:hAnsi="宋体" w:cs="宋体"/>
          <w:b w:val="0"/>
          <w:bCs/>
          <w:color w:val="000000" w:themeColor="text1"/>
          <w:szCs w:val="21"/>
          <w:lang w:val="en-US" w:eastAsia="zh-CN"/>
          <w14:textFill>
            <w14:solidFill>
              <w14:schemeClr w14:val="tx1"/>
            </w14:solidFill>
          </w14:textFill>
        </w:rPr>
        <w:t>按照《财政部、司法部关于政府采购支持监狱企业发展有关问题的通知》（财库〔2014〕68 号）的规定，监狱企业视同小型、微型企业，享受同等 20% 价格扣除政策，监狱企业参加政府采购活动时，应当提供由省级以上监狱管理局、戒毒管理局（含新疆生产建设兵团）出具的属于监狱企业的证明文件。监狱企业属于小型、微型企业的，不重复享受政策</w:t>
      </w:r>
      <w:r>
        <w:rPr>
          <w:rFonts w:hint="eastAsia" w:ascii="宋体" w:hAnsi="宋体" w:cs="宋体"/>
          <w:b w:val="0"/>
          <w:bCs/>
          <w:color w:val="000000" w:themeColor="text1"/>
          <w:szCs w:val="21"/>
          <w14:textFill>
            <w14:solidFill>
              <w14:schemeClr w14:val="tx1"/>
            </w14:solidFill>
          </w14:textFill>
        </w:rPr>
        <w:t>。</w:t>
      </w:r>
    </w:p>
    <w:p w14:paraId="494860A8">
      <w:pPr>
        <w:snapToGrid w:val="0"/>
        <w:spacing w:line="360" w:lineRule="auto"/>
        <w:ind w:firstLine="233" w:firstLineChars="1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09A781D">
      <w:pPr>
        <w:snapToGrid w:val="0"/>
        <w:spacing w:line="360" w:lineRule="auto"/>
        <w:ind w:firstLine="233" w:firstLineChars="1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（5）满足招标文件要求且评标报价最低的评标报价为评标基准价，其价格分为满分。</w:t>
      </w:r>
    </w:p>
    <w:p w14:paraId="1B67B74E">
      <w:pPr>
        <w:spacing w:line="360" w:lineRule="auto"/>
        <w:ind w:firstLine="233" w:firstLineChars="1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（6）价格分计算公式：        </w:t>
      </w:r>
    </w:p>
    <w:p w14:paraId="38B73333">
      <w:pPr>
        <w:snapToGrid w:val="0"/>
        <w:spacing w:line="360" w:lineRule="auto"/>
        <w:ind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价格分=（评标基准价/评标报价）×10分</w:t>
      </w:r>
    </w:p>
    <w:p w14:paraId="4EED67C6">
      <w:pPr>
        <w:snapToGrid w:val="0"/>
        <w:spacing w:line="360" w:lineRule="auto"/>
        <w:ind w:firstLine="445" w:firstLineChars="211"/>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r>
        <w:rPr>
          <w:rFonts w:ascii="宋体" w:hAns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服务实施方案分（满分3</w:t>
      </w:r>
      <w:r>
        <w:rPr>
          <w:rFonts w:hint="eastAsia" w:ascii="宋体" w:hAnsi="宋体" w:cs="宋体"/>
          <w:b/>
          <w:color w:val="000000" w:themeColor="text1"/>
          <w:szCs w:val="21"/>
          <w:lang w:val="en-US" w:eastAsia="zh-CN"/>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分）</w:t>
      </w:r>
    </w:p>
    <w:p w14:paraId="12B17BF1">
      <w:pPr>
        <w:snapToGrid w:val="0"/>
        <w:spacing w:line="360" w:lineRule="auto"/>
        <w:ind w:firstLine="233" w:firstLineChars="1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（1）项目策划执行方案（满分20分）</w:t>
      </w:r>
    </w:p>
    <w:p w14:paraId="6134FF8D">
      <w:pPr>
        <w:snapToGrid w:val="0"/>
        <w:spacing w:line="360" w:lineRule="auto"/>
        <w:ind w:firstLine="443" w:firstLineChars="211"/>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评标委员会根据各投标人提供的项目实施服务方案等情况进行定档，各评委在相应档次内独立打分。方案需重点评审是否紧扣 “潮涌新时代，向海开新篇”“平等、参与、共享、奋进” 赛事主题，是否融合广西北海地域文化、向海图强战略，是否落实绿色环保、无障碍建设理念。</w:t>
      </w:r>
    </w:p>
    <w:p w14:paraId="3682624B">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一档0分：策划执行方案简单，整体构思含糊不明确，展示形式呆板，方案重点内容不全或不突出，无特色符合主题的原创节目，基本无措施，较难达到采购方的采购目的。</w:t>
      </w:r>
    </w:p>
    <w:p w14:paraId="02B49FED">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二档5分：策划执行方案简单，整体构思、展示形式、方案重点内容简单，无特色符合主题的原创节目，基本能达到采购方的采购目的。</w:t>
      </w:r>
    </w:p>
    <w:p w14:paraId="50B54F8C">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三档10分：策划执行方案较完整，整体构思、展示形式、方案重点内容较好，有特色符合主题的原创节目，措施良好，方案可行性良好，能达到采购方的采购目的。</w:t>
      </w:r>
    </w:p>
    <w:p w14:paraId="0DD1DF28">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四档20分：策划执行方案清晰完整，整体构思新颖、目标明确，展示形式灵活多样，方案重点内容突出，有特色符合主题的原创节目，措施具体，方案完全可行性强，完全能达到采购方的采购目的，能很好的实现采购方的预期效果。</w:t>
      </w:r>
    </w:p>
    <w:p w14:paraId="4E070C51">
      <w:pPr>
        <w:snapToGrid w:val="0"/>
        <w:spacing w:line="360" w:lineRule="auto"/>
        <w:ind w:firstLine="233" w:firstLineChars="1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（2）舞美舞台设计方案（满分</w:t>
      </w:r>
      <w:r>
        <w:rPr>
          <w:rFonts w:hint="eastAsia" w:ascii="宋体" w:hAnsi="宋体" w:cs="宋体"/>
          <w:bCs/>
          <w:color w:val="000000" w:themeColor="text1"/>
          <w:szCs w:val="21"/>
          <w:lang w:val="en-US" w:eastAsia="zh-CN"/>
          <w14:textFill>
            <w14:solidFill>
              <w14:schemeClr w14:val="tx1"/>
            </w14:solidFill>
          </w14:textFill>
        </w:rPr>
        <w:t>8</w:t>
      </w:r>
      <w:r>
        <w:rPr>
          <w:rFonts w:hint="eastAsia" w:ascii="宋体" w:hAnsi="宋体" w:cs="宋体"/>
          <w:bCs/>
          <w:color w:val="000000" w:themeColor="text1"/>
          <w:szCs w:val="21"/>
          <w14:textFill>
            <w14:solidFill>
              <w14:schemeClr w14:val="tx1"/>
            </w14:solidFill>
          </w14:textFill>
        </w:rPr>
        <w:t>分）</w:t>
      </w:r>
    </w:p>
    <w:p w14:paraId="678652DE">
      <w:pPr>
        <w:snapToGrid w:val="0"/>
        <w:spacing w:line="360" w:lineRule="auto"/>
        <w:ind w:firstLine="233" w:firstLineChars="1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评委对</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的</w:t>
      </w:r>
      <w:r>
        <w:rPr>
          <w:rFonts w:hint="eastAsia" w:ascii="宋体" w:hAnsi="宋体" w:cs="宋体"/>
          <w:bCs/>
          <w:color w:val="000000" w:themeColor="text1"/>
          <w:szCs w:val="21"/>
          <w:lang w:eastAsia="zh-CN"/>
          <w14:textFill>
            <w14:solidFill>
              <w14:schemeClr w14:val="tx1"/>
            </w14:solidFill>
          </w14:textFill>
        </w:rPr>
        <w:t>投标文件</w:t>
      </w:r>
      <w:r>
        <w:rPr>
          <w:rFonts w:hint="eastAsia" w:ascii="宋体" w:hAnsi="宋体" w:cs="宋体"/>
          <w:bCs/>
          <w:color w:val="000000" w:themeColor="text1"/>
          <w:szCs w:val="21"/>
          <w14:textFill>
            <w14:solidFill>
              <w14:schemeClr w14:val="tx1"/>
            </w14:solidFill>
          </w14:textFill>
        </w:rPr>
        <w:t>中提供的舞美舞台设计方案，从设计说明、设计效果图等方面进行综合评定，</w:t>
      </w:r>
      <w:r>
        <w:rPr>
          <w:rFonts w:hint="eastAsia" w:ascii="宋体" w:hAnsi="宋体" w:cs="宋体"/>
          <w:bCs/>
          <w:color w:val="000000" w:themeColor="text1"/>
          <w:szCs w:val="21"/>
          <w:lang w:eastAsia="zh-CN"/>
          <w14:textFill>
            <w14:solidFill>
              <w14:schemeClr w14:val="tx1"/>
            </w14:solidFill>
          </w14:textFill>
        </w:rPr>
        <w:t>重点评审是否适配开闭幕式不同场地（中国东盟北海体育实训基地、北海市体育馆），是否能实现高清投影、超清 LED 数字光影、裸眼 3D 等技术融合，是否符合各场次演员阵容规模及演出需求，</w:t>
      </w:r>
      <w:r>
        <w:rPr>
          <w:rFonts w:hint="eastAsia" w:ascii="宋体" w:hAnsi="宋体" w:cs="宋体"/>
          <w:bCs/>
          <w:color w:val="000000" w:themeColor="text1"/>
          <w:szCs w:val="21"/>
          <w14:textFill>
            <w14:solidFill>
              <w14:schemeClr w14:val="tx1"/>
            </w14:solidFill>
          </w14:textFill>
        </w:rPr>
        <w:t>根据优劣程度进行独立打分：</w:t>
      </w:r>
    </w:p>
    <w:p w14:paraId="5A1C1CAC">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一档（0分）：未提供舞美舞台设计方案；</w:t>
      </w:r>
    </w:p>
    <w:p w14:paraId="335F8A8D">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二档（1分）：提供的舞美舞台设计方案比较简单，有基本的现场效果图，设计说明笼统，设计效果不明显，不能满足采购需求；</w:t>
      </w:r>
    </w:p>
    <w:p w14:paraId="641633A2">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三档（3分）：提供的舞美舞台设计方案较完整，有明确的现场效果图，设计说明较详细，有较好的创意，有较丰富设计效果体现，基本满采购需求；</w:t>
      </w:r>
    </w:p>
    <w:p w14:paraId="3148C346">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四档（</w:t>
      </w:r>
      <w:r>
        <w:rPr>
          <w:rFonts w:hint="eastAsia" w:ascii="宋体" w:hAnsi="宋体" w:cs="宋体"/>
          <w:bCs/>
          <w:color w:val="000000" w:themeColor="text1"/>
          <w:szCs w:val="21"/>
          <w:lang w:val="en-US" w:eastAsia="zh-CN"/>
          <w14:textFill>
            <w14:solidFill>
              <w14:schemeClr w14:val="tx1"/>
            </w14:solidFill>
          </w14:textFill>
        </w:rPr>
        <w:t>8</w:t>
      </w:r>
      <w:r>
        <w:rPr>
          <w:rFonts w:hint="eastAsia" w:ascii="宋体" w:hAnsi="宋体" w:cs="宋体"/>
          <w:bCs/>
          <w:color w:val="000000" w:themeColor="text1"/>
          <w:szCs w:val="21"/>
          <w14:textFill>
            <w14:solidFill>
              <w14:schemeClr w14:val="tx1"/>
            </w14:solidFill>
          </w14:textFill>
        </w:rPr>
        <w:t>分）：提供的舞美舞台设计方案详细且合理，有齐全的现场效果图、有针对性的设计说明，设计效果新颖多样，能起到吸引广大受众，引起良好反响的效果，满足采购需求。</w:t>
      </w:r>
    </w:p>
    <w:p w14:paraId="0413DBE4">
      <w:pPr>
        <w:snapToGrid w:val="0"/>
        <w:spacing w:line="360" w:lineRule="auto"/>
        <w:ind w:firstLine="233" w:firstLineChars="1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（3）演出安全保障措施、应急预案防控预案（满分5分）</w:t>
      </w:r>
    </w:p>
    <w:p w14:paraId="15518E88">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本项评审需包含火炬传递、场地搭建、高空作业、残疾人参与环节的专项安全保障，以及极端天气、设备故障、人员突发健康问题的应急处置，残运会环节需重点评审无障碍保障措施。评委对</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的</w:t>
      </w:r>
      <w:r>
        <w:rPr>
          <w:rFonts w:hint="eastAsia" w:ascii="宋体" w:hAnsi="宋体" w:cs="宋体"/>
          <w:bCs/>
          <w:color w:val="000000" w:themeColor="text1"/>
          <w:szCs w:val="21"/>
          <w:lang w:eastAsia="zh-CN"/>
          <w14:textFill>
            <w14:solidFill>
              <w14:schemeClr w14:val="tx1"/>
            </w14:solidFill>
          </w14:textFill>
        </w:rPr>
        <w:t>投标文件</w:t>
      </w:r>
      <w:r>
        <w:rPr>
          <w:rFonts w:hint="eastAsia" w:ascii="宋体" w:hAnsi="宋体" w:cs="宋体"/>
          <w:bCs/>
          <w:color w:val="000000" w:themeColor="text1"/>
          <w:szCs w:val="21"/>
          <w14:textFill>
            <w14:solidFill>
              <w14:schemeClr w14:val="tx1"/>
            </w14:solidFill>
          </w14:textFill>
        </w:rPr>
        <w:t>中提供的演出安全保障措施、应急预案和防控预案的优劣进行独立打分：</w:t>
      </w:r>
    </w:p>
    <w:p w14:paraId="725E42B9">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一档（0分）：未提供演出安全保障措施、应急预案。</w:t>
      </w:r>
    </w:p>
    <w:p w14:paraId="07AC6E16">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二档（1分）：有简单的演出安全保障措施和应急预案及疫情防控预案，不能满足项目需求。</w:t>
      </w:r>
    </w:p>
    <w:p w14:paraId="34BD57F3">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三档（3分）：演出各项工作环节安全保障措施明确，有突发状况分析及对应的解决应急方案，能基本保障项目实施。</w:t>
      </w:r>
    </w:p>
    <w:p w14:paraId="4CADC7E5">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四档（5分）：演出各项工作环节安全保障措施详细合理，针对可能出现的各种突发状况有明确说明并出具可行的解决应急预案（能有力保障活动安全实施）</w:t>
      </w:r>
    </w:p>
    <w:p w14:paraId="3A04320A">
      <w:pPr>
        <w:numPr>
          <w:ilvl w:val="0"/>
          <w:numId w:val="6"/>
        </w:numPr>
        <w:snapToGrid w:val="0"/>
        <w:spacing w:line="360" w:lineRule="auto"/>
        <w:ind w:firstLine="443" w:firstLineChars="211"/>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拟投入人员分（满分3</w:t>
      </w:r>
      <w:r>
        <w:rPr>
          <w:rFonts w:hint="eastAsia" w:ascii="宋体" w:hAnsi="宋体" w:cs="宋体"/>
          <w:bCs/>
          <w:color w:val="000000" w:themeColor="text1"/>
          <w:szCs w:val="21"/>
          <w:lang w:val="en-US" w:eastAsia="zh-CN"/>
          <w14:textFill>
            <w14:solidFill>
              <w14:schemeClr w14:val="tx1"/>
            </w14:solidFill>
          </w14:textFill>
        </w:rPr>
        <w:t>2</w:t>
      </w:r>
      <w:r>
        <w:rPr>
          <w:rFonts w:hint="eastAsia" w:ascii="宋体" w:hAnsi="宋体" w:cs="宋体"/>
          <w:bCs/>
          <w:color w:val="000000" w:themeColor="text1"/>
          <w:szCs w:val="21"/>
          <w14:textFill>
            <w14:solidFill>
              <w14:schemeClr w14:val="tx1"/>
            </w14:solidFill>
          </w14:textFill>
        </w:rPr>
        <w:t>分）</w:t>
      </w:r>
    </w:p>
    <w:p w14:paraId="2C5DCC3B">
      <w:pPr>
        <w:snapToGrid w:val="0"/>
        <w:spacing w:line="360" w:lineRule="auto"/>
        <w:ind w:firstLine="443" w:firstLineChars="211"/>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注：</w:t>
      </w:r>
      <w:r>
        <w:rPr>
          <w:rFonts w:hint="eastAsia" w:ascii="宋体" w:hAnsi="宋体" w:cs="宋体"/>
          <w:bCs/>
          <w:color w:val="000000" w:themeColor="text1"/>
          <w:szCs w:val="21"/>
          <w14:textFill>
            <w14:solidFill>
              <w14:schemeClr w14:val="tx1"/>
            </w14:solidFill>
          </w14:textFill>
        </w:rPr>
        <w:t>1. 残运会相关环节拟投入人员需具备残疾人文体活动服务经验；2. 点火仪式、火炬传递需配备专项执行团队人员，且该人员计入本项评审；3. 投标人下属全资子公司人员参与的，需在投标文件中单独列明并提供全资控股证明、人员所属关系证明，否则不计入本项评分。</w:t>
      </w:r>
    </w:p>
    <w:p w14:paraId="2CFE6946">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一档（5分）：组织机构设置、人员配备基本满足采购需求，包含一级导演1名以上、二级编导2名以上，其中导演具有大型综合项目服务经验，部分人员具有大型活动或运动会服务经验。</w:t>
      </w:r>
    </w:p>
    <w:p w14:paraId="48C2FA75">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二档（10分）：组织机构设置较为合理，人员配备齐全，包含一级导演2名以上、二级编导2名以上、二级演员5名以上，其中导演具有大型综合项目服务经验，其他人员均具有大型活动或运动会服务经验。</w:t>
      </w:r>
    </w:p>
    <w:p w14:paraId="581F5568">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三档（20分）：组织机构设置完善合理、人员配备齐全，包含一级导演2名以上、二级编导2名以上、一级演员3名以上、二级演员10名以上、一级服装设计师1名以上、二级造型设计1名以上、二级舞台技术3名以上、二级舞台监督1名、三级演出监督3名，其中导演具有大型综合项目服务经验，其他人员均具有大型活动或运动会服务经验。</w:t>
      </w:r>
    </w:p>
    <w:p w14:paraId="499FEA0E">
      <w:pPr>
        <w:snapToGrid w:val="0"/>
        <w:spacing w:line="360" w:lineRule="auto"/>
        <w:ind w:firstLine="443" w:firstLineChars="211"/>
        <w:jc w:val="left"/>
        <w:rPr>
          <w:rFonts w:hint="eastAsia" w:ascii="宋体" w:hAnsi="宋体" w:cs="宋体"/>
          <w:b/>
          <w:bCs w:val="0"/>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四档（3</w:t>
      </w:r>
      <w:r>
        <w:rPr>
          <w:rFonts w:hint="eastAsia" w:ascii="宋体" w:hAnsi="宋体" w:cs="宋体"/>
          <w:bCs/>
          <w:color w:val="000000" w:themeColor="text1"/>
          <w:szCs w:val="21"/>
          <w:lang w:val="en-US" w:eastAsia="zh-CN"/>
          <w14:textFill>
            <w14:solidFill>
              <w14:schemeClr w14:val="tx1"/>
            </w14:solidFill>
          </w14:textFill>
        </w:rPr>
        <w:t>2</w:t>
      </w:r>
      <w:r>
        <w:rPr>
          <w:rFonts w:hint="eastAsia" w:ascii="宋体" w:hAnsi="宋体" w:cs="宋体"/>
          <w:bCs/>
          <w:color w:val="000000" w:themeColor="text1"/>
          <w:szCs w:val="21"/>
          <w14:textFill>
            <w14:solidFill>
              <w14:schemeClr w14:val="tx1"/>
            </w14:solidFill>
          </w14:textFill>
        </w:rPr>
        <w:t>分）：</w:t>
      </w:r>
      <w:r>
        <w:rPr>
          <w:rFonts w:hint="eastAsia" w:ascii="宋体" w:hAnsi="宋体" w:cs="宋体"/>
          <w:b/>
          <w:bCs w:val="0"/>
          <w:color w:val="000000" w:themeColor="text1"/>
          <w:szCs w:val="21"/>
          <w:lang w:val="en-US" w:eastAsia="zh-CN"/>
          <w14:textFill>
            <w14:solidFill>
              <w14:schemeClr w14:val="tx1"/>
            </w14:solidFill>
          </w14:textFill>
        </w:rPr>
        <w:t>组织机构设置完善合理、人员配备齐全，核心主创及专业技术团队包含一级导演 3 名以上、一级编导 3 名以上、二级导演 3 名以上、二级编导 3 名以上、一级演员 6 名以上、二级演员 10 名以上、一级服装设计师 1 名以上、二级造型设计 1 名以上、二级舞台技术 6 名以上、二级舞台监督 1 名、三级演出监督 5 名，配备残运会专项执行团队（人员具备残疾人文体活动服务经验）及点火仪式、火炬传递专项执行团队，并配备足额技术专业人员；其中导演具备大型综合项目服务经验，其余所有主创、专业技术及演职人员均具有大型文体活动或运动会服务经验。</w:t>
      </w:r>
    </w:p>
    <w:p w14:paraId="507BC115">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注：1.拟投入本项目的团队人员需以</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自有人员为主，</w:t>
      </w:r>
      <w:r>
        <w:rPr>
          <w:rFonts w:hint="eastAsia" w:ascii="宋体" w:hAnsi="宋体" w:cs="宋体"/>
          <w:bCs/>
          <w:color w:val="000000" w:themeColor="text1"/>
          <w:szCs w:val="21"/>
          <w:lang w:eastAsia="zh-CN"/>
          <w14:textFill>
            <w14:solidFill>
              <w14:schemeClr w14:val="tx1"/>
            </w14:solidFill>
          </w14:textFill>
        </w:rPr>
        <w:t>投标文件</w:t>
      </w:r>
      <w:r>
        <w:rPr>
          <w:rFonts w:hint="eastAsia" w:ascii="宋体" w:hAnsi="宋体" w:cs="宋体"/>
          <w:bCs/>
          <w:color w:val="000000" w:themeColor="text1"/>
          <w:szCs w:val="21"/>
          <w14:textFill>
            <w14:solidFill>
              <w14:schemeClr w14:val="tx1"/>
            </w14:solidFill>
          </w14:textFill>
        </w:rPr>
        <w:t>中须提供以下材料复印件（加盖</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公章【公章(CA签章)/自然人签字或个人CA签章】）作为计分依据：①团队人员名单、年龄、性别、工作简历；②团队人员相关大型活动或运动会服务经验的有效证明材料（如项目服务合同、履约验收文件、获奖证书等）。</w:t>
      </w:r>
      <w:r>
        <w:rPr>
          <w:rFonts w:hint="default" w:ascii="宋体" w:hAnsi="宋体" w:cs="宋体"/>
          <w:bCs/>
          <w:color w:val="000000" w:themeColor="text1"/>
          <w:szCs w:val="21"/>
          <w14:textFill>
            <w14:solidFill>
              <w14:schemeClr w14:val="tx1"/>
            </w14:solidFill>
          </w14:textFill>
        </w:rPr>
        <w:t>③</w:t>
      </w:r>
      <w:r>
        <w:rPr>
          <w:rFonts w:hint="eastAsia" w:ascii="宋体" w:hAnsi="宋体" w:cs="宋体"/>
          <w:bCs/>
          <w:color w:val="000000" w:themeColor="text1"/>
          <w:szCs w:val="21"/>
          <w14:textFill>
            <w14:solidFill>
              <w14:schemeClr w14:val="tx1"/>
            </w14:solidFill>
          </w14:textFill>
        </w:rPr>
        <w:t xml:space="preserve"> 投标人下属全资子公司人员参与的，需在投标文件中单独列明并提供全资控股证明、人员所属关系证明，否则不计入本项评分。未按上述要求完整提供的，本项不得分。</w:t>
      </w:r>
    </w:p>
    <w:p w14:paraId="3EAFD320">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2.本条款中一级、二级导演、编导、演员等职称，指由国家文化和旅游部、人力资源和社会保障部等官方主管部门或省级以上专业文艺行业协会颁发的相应等级职称证书。</w:t>
      </w:r>
    </w:p>
    <w:p w14:paraId="676B5108">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3.投标文件中须同时提供拟投入团队人员的职称证书复印件，以及</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在20</w:t>
      </w:r>
      <w:r>
        <w:rPr>
          <w:rFonts w:hint="eastAsia" w:ascii="宋体" w:hAnsi="宋体" w:cs="宋体"/>
          <w:bCs/>
          <w:color w:val="000000" w:themeColor="text1"/>
          <w:szCs w:val="21"/>
          <w:lang w:val="en-US" w:eastAsia="zh-CN"/>
          <w14:textFill>
            <w14:solidFill>
              <w14:schemeClr w14:val="tx1"/>
            </w14:solidFill>
          </w14:textFill>
        </w:rPr>
        <w:t>25</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lang w:val="en-US" w:eastAsia="zh-CN"/>
          <w14:textFill>
            <w14:solidFill>
              <w14:schemeClr w14:val="tx1"/>
            </w14:solidFill>
          </w14:textFill>
        </w:rPr>
        <w:t>8</w:t>
      </w:r>
      <w:r>
        <w:rPr>
          <w:rFonts w:hint="eastAsia" w:ascii="宋体" w:hAnsi="宋体" w:cs="宋体"/>
          <w:bCs/>
          <w:color w:val="000000" w:themeColor="text1"/>
          <w:szCs w:val="21"/>
          <w14:textFill>
            <w14:solidFill>
              <w14:schemeClr w14:val="tx1"/>
            </w14:solidFill>
          </w14:textFill>
        </w:rPr>
        <w:t>月1日至首次投标文件提交截</w:t>
      </w:r>
      <w:r>
        <w:rPr>
          <w:rFonts w:hint="eastAsia" w:ascii="宋体" w:hAnsi="宋体" w:cs="宋体"/>
          <w:bCs/>
          <w:color w:val="000000" w:themeColor="text1"/>
          <w:szCs w:val="21"/>
          <w:highlight w:val="yellow"/>
          <w14:textFill>
            <w14:solidFill>
              <w14:schemeClr w14:val="tx1"/>
            </w14:solidFill>
          </w14:textFill>
        </w:rPr>
        <w:t>止时间期间任意连续六个月为其缴纳的社保证明</w:t>
      </w:r>
      <w:r>
        <w:rPr>
          <w:rFonts w:hint="eastAsia" w:ascii="宋体" w:hAnsi="宋体" w:cs="宋体"/>
          <w:bCs/>
          <w:color w:val="000000" w:themeColor="text1"/>
          <w:szCs w:val="21"/>
          <w14:textFill>
            <w14:solidFill>
              <w14:schemeClr w14:val="tx1"/>
            </w14:solidFill>
          </w14:textFill>
        </w:rPr>
        <w:t>材料复印件（社保证明为认定自有人员身份的核心依据）；未按要求提供职称证及自有人员社保证明，本项不得分。</w:t>
      </w:r>
    </w:p>
    <w:p w14:paraId="4CD6FB10">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w:t>
      </w:r>
      <w:r>
        <w:rPr>
          <w:rFonts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服务承诺分………………………………5分</w:t>
      </w:r>
    </w:p>
    <w:p w14:paraId="6F7187F5">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评委对投标人的投标文件中提供的服务承诺书，从服务内容、服务措施、服务响应速度、应急服务承诺、后续清场服务承诺，以及方案提交时限、保险购买（保额≥20 万元 / 人）、人员管理（无理由不得更换核心人员）、分包管理（严禁转包，非主体工作分包需审批）、知识产权归属（采购人独家所有）、保密期限（合同履行后 3 年） 等本采购需求约定的核心履约要求方面进行综合评定，根据优劣程度进行独立打分：</w:t>
      </w:r>
    </w:p>
    <w:p w14:paraId="2FCD9E98">
      <w:pPr>
        <w:snapToGrid w:val="0"/>
        <w:spacing w:line="360" w:lineRule="auto"/>
        <w:ind w:firstLine="443" w:firstLineChars="211"/>
        <w:jc w:val="left"/>
        <w:rPr>
          <w:rFonts w:hint="eastAsia"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一档（1 分）：服务承诺内容简单，核心履约要求缺项较多，各项承诺内容不够全面或缺项；</w:t>
      </w:r>
    </w:p>
    <w:p w14:paraId="6A0BC621">
      <w:pPr>
        <w:snapToGrid w:val="0"/>
        <w:spacing w:line="360" w:lineRule="auto"/>
        <w:ind w:firstLine="443" w:firstLineChars="211"/>
        <w:jc w:val="left"/>
        <w:rPr>
          <w:rFonts w:hint="eastAsia"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二档（3 分）：服务承诺内容较完整，覆盖核心履约要求，各项承诺内容基本合理，具有一定针对性，基本满足项目需求；</w:t>
      </w:r>
    </w:p>
    <w:p w14:paraId="33DDA8EF">
      <w:pPr>
        <w:snapToGrid w:val="0"/>
        <w:spacing w:line="360" w:lineRule="auto"/>
        <w:ind w:firstLine="443" w:firstLineChars="211"/>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三档（5 分）：服务承诺内容详细，全面覆盖本采购需求所有核心履约要求，各项承诺内容合理，针对性强，服务措施详细可行，完全满足项目需求，充分为采购人考虑。</w:t>
      </w:r>
    </w:p>
    <w:p w14:paraId="1CC877AB">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w:t>
      </w:r>
      <w:r>
        <w:rPr>
          <w:rFonts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履约能力分…………满分20分</w:t>
      </w:r>
    </w:p>
    <w:p w14:paraId="4B51A0B0">
      <w:pPr>
        <w:snapToGrid w:val="0"/>
        <w:spacing w:line="360" w:lineRule="auto"/>
        <w:ind w:firstLine="233" w:firstLineChars="1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（1）投标主体资质与履约保障条件（2分）</w:t>
      </w:r>
    </w:p>
    <w:p w14:paraId="385D32AB">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若投标人以下属全资子公司资质作为履约保障的，需提供全资控股证明及子公司资质材料，否则相关资质不计入评审。</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须为依法登记设立、具备与本项目（大型运动会开闭幕式文艺演出策划、创作、执行、舞美制作等）相匹配服务能力的专业文化服务单位，拥有合法经营资质、固定服务场所、完善的项目管理体系、质量管控机制及安全保障制度，具备满足本项目全流程实施的履约条件与综合服务能力。</w:t>
      </w:r>
    </w:p>
    <w:p w14:paraId="2750DE8E">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投标文件</w:t>
      </w:r>
      <w:r>
        <w:rPr>
          <w:rFonts w:hint="eastAsia" w:ascii="宋体" w:hAnsi="宋体" w:cs="宋体"/>
          <w:bCs/>
          <w:color w:val="000000" w:themeColor="text1"/>
          <w:szCs w:val="21"/>
          <w14:textFill>
            <w14:solidFill>
              <w14:schemeClr w14:val="tx1"/>
            </w14:solidFill>
          </w14:textFill>
        </w:rPr>
        <w:t>中须提供营业执照（经营范围需包含相关文化演出服务内容）、核心专业资质证书（如营业性演出许可证等）、固定办公/服务场所证明（产权证明或租赁协议）等材料复印件，并加盖</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公章【公章(CA签章)/自然人签字或个人CA签章】。全部满足要求得2分，缺项或不符合要求不得分。</w:t>
      </w:r>
    </w:p>
    <w:p w14:paraId="5824760A">
      <w:pPr>
        <w:snapToGrid w:val="0"/>
        <w:spacing w:line="360" w:lineRule="auto"/>
        <w:ind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（2）类似项目业绩（14分）</w:t>
      </w:r>
    </w:p>
    <w:p w14:paraId="305C4992">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本项业绩包含大型运动会（含残疾人运动会）开闭幕式、火炬传递仪式的策划执行业绩，投标人下属全资子公司的业绩需提供全资控股证明，否则不计入评审</w:t>
      </w:r>
      <w:r>
        <w:rPr>
          <w:color w:val="000000" w:themeColor="text1"/>
          <w:sz w:val="24"/>
          <w:szCs w:val="24"/>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2018年1月1日至</w:t>
      </w:r>
      <w:r>
        <w:rPr>
          <w:rFonts w:hint="eastAsia" w:ascii="宋体" w:hAnsi="宋体" w:cs="宋体"/>
          <w:bCs/>
          <w:color w:val="000000" w:themeColor="text1"/>
          <w:szCs w:val="21"/>
          <w:lang w:eastAsia="zh-CN"/>
          <w14:textFill>
            <w14:solidFill>
              <w14:schemeClr w14:val="tx1"/>
            </w14:solidFill>
          </w14:textFill>
        </w:rPr>
        <w:t>投标文件</w:t>
      </w:r>
      <w:r>
        <w:rPr>
          <w:rFonts w:hint="eastAsia" w:ascii="宋体" w:hAnsi="宋体" w:cs="宋体"/>
          <w:bCs/>
          <w:color w:val="000000" w:themeColor="text1"/>
          <w:szCs w:val="21"/>
          <w14:textFill>
            <w14:solidFill>
              <w14:schemeClr w14:val="tx1"/>
            </w14:solidFill>
          </w14:textFill>
        </w:rPr>
        <w:t>提交截止时间止，</w:t>
      </w:r>
      <w:r>
        <w:rPr>
          <w:rFonts w:hint="eastAsia" w:ascii="宋体" w:hAnsi="宋体" w:cs="宋体"/>
          <w:bCs/>
          <w:color w:val="000000" w:themeColor="text1"/>
          <w:szCs w:val="21"/>
          <w:lang w:val="en-US"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具有与本次采购内容（大型运动会、大型文体活动开幕式/闭幕式文艺演出策划、创作、执行、舞美制作、设备保障等）一致或高度类似的服务业绩，每提供1个有效项目得</w:t>
      </w:r>
      <w:r>
        <w:rPr>
          <w:rFonts w:hint="eastAsia" w:ascii="宋体" w:hAnsi="宋体" w:cs="宋体"/>
          <w:bCs/>
          <w:color w:val="000000" w:themeColor="text1"/>
          <w:szCs w:val="21"/>
          <w:lang w:val="en-US" w:eastAsia="zh-CN"/>
          <w14:textFill>
            <w14:solidFill>
              <w14:schemeClr w14:val="tx1"/>
            </w14:solidFill>
          </w14:textFill>
        </w:rPr>
        <w:t>2</w:t>
      </w:r>
      <w:r>
        <w:rPr>
          <w:rFonts w:hint="eastAsia" w:ascii="宋体" w:hAnsi="宋体" w:cs="宋体"/>
          <w:bCs/>
          <w:color w:val="000000" w:themeColor="text1"/>
          <w:szCs w:val="21"/>
          <w14:textFill>
            <w14:solidFill>
              <w14:schemeClr w14:val="tx1"/>
            </w14:solidFill>
          </w14:textFill>
        </w:rPr>
        <w:t>分，满分14分。</w:t>
      </w:r>
    </w:p>
    <w:p w14:paraId="56AA4B5C">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有效业绩证明材料要求：需提供能清晰反映项目名称、服务类型、核心服务内容、服务周期的中标（成交）通知书或正式服务合同复印件（加盖</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公章【公章(CA签章)/自然人签字或个人CA签章】）；同一项目编号下多个分标中标（成交）的，仅按1个项目计分；未按要求提供、材料信息不全或无法佐证业绩关联性的，该业绩不计分。</w:t>
      </w:r>
    </w:p>
    <w:p w14:paraId="46E94C5E">
      <w:pPr>
        <w:snapToGrid w:val="0"/>
        <w:spacing w:line="360" w:lineRule="auto"/>
        <w:ind w:firstLine="233" w:firstLineChars="1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（3）荣誉奖项（4分）</w:t>
      </w:r>
    </w:p>
    <w:p w14:paraId="65A805FB">
      <w:pPr>
        <w:snapToGrid w:val="0"/>
        <w:spacing w:line="360" w:lineRule="auto"/>
        <w:ind w:firstLine="443" w:firstLineChars="211"/>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201</w:t>
      </w:r>
      <w:r>
        <w:rPr>
          <w:rFonts w:hint="eastAsia" w:ascii="宋体" w:hAnsi="宋体" w:cs="宋体"/>
          <w:bCs/>
          <w:color w:val="000000" w:themeColor="text1"/>
          <w:szCs w:val="21"/>
          <w:lang w:val="en-US" w:eastAsia="zh-CN"/>
          <w14:textFill>
            <w14:solidFill>
              <w14:schemeClr w14:val="tx1"/>
            </w14:solidFill>
          </w14:textFill>
        </w:rPr>
        <w:t>8</w:t>
      </w:r>
      <w:r>
        <w:rPr>
          <w:rFonts w:hint="eastAsia" w:ascii="宋体" w:hAnsi="宋体" w:cs="宋体"/>
          <w:bCs/>
          <w:color w:val="000000" w:themeColor="text1"/>
          <w:szCs w:val="21"/>
          <w14:textFill>
            <w14:solidFill>
              <w14:schemeClr w14:val="tx1"/>
            </w14:solidFill>
          </w14:textFill>
        </w:rPr>
        <w:t>年1月1日至</w:t>
      </w:r>
      <w:r>
        <w:rPr>
          <w:rFonts w:hint="eastAsia" w:ascii="宋体" w:hAnsi="宋体" w:cs="宋体"/>
          <w:bCs/>
          <w:color w:val="000000" w:themeColor="text1"/>
          <w:szCs w:val="21"/>
          <w:lang w:eastAsia="zh-CN"/>
          <w14:textFill>
            <w14:solidFill>
              <w14:schemeClr w14:val="tx1"/>
            </w14:solidFill>
          </w14:textFill>
        </w:rPr>
        <w:t>投标文件</w:t>
      </w:r>
      <w:r>
        <w:rPr>
          <w:rFonts w:hint="eastAsia" w:ascii="宋体" w:hAnsi="宋体" w:cs="宋体"/>
          <w:bCs/>
          <w:color w:val="000000" w:themeColor="text1"/>
          <w:szCs w:val="21"/>
          <w14:textFill>
            <w14:solidFill>
              <w14:schemeClr w14:val="tx1"/>
            </w14:solidFill>
          </w14:textFill>
        </w:rPr>
        <w:t>提交截止时间止，</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自身，或其作为主创单位创排的文艺演出、赛事开闭幕式等项目作品，获得省级以上</w:t>
      </w:r>
      <w:r>
        <w:rPr>
          <w:rFonts w:hint="eastAsia" w:ascii="宋体" w:hAnsi="宋体" w:cs="宋体"/>
          <w:bCs/>
          <w:color w:val="000000" w:themeColor="text1"/>
          <w:szCs w:val="21"/>
          <w:lang w:val="en-US" w:eastAsia="zh-CN"/>
          <w14:textFill>
            <w14:solidFill>
              <w14:schemeClr w14:val="tx1"/>
            </w14:solidFill>
          </w14:textFill>
        </w:rPr>
        <w:t>行业主管部门批准的</w:t>
      </w:r>
      <w:r>
        <w:rPr>
          <w:rFonts w:hint="eastAsia" w:ascii="宋体" w:hAnsi="宋体" w:cs="宋体"/>
          <w:bCs/>
          <w:color w:val="000000" w:themeColor="text1"/>
          <w:szCs w:val="21"/>
          <w14:textFill>
            <w14:solidFill>
              <w14:schemeClr w14:val="tx1"/>
            </w14:solidFill>
          </w14:textFill>
        </w:rPr>
        <w:t>行业协会颁发相关荣誉、奖项的，每提供1个有效证明得0.5分，满分4分。</w:t>
      </w:r>
    </w:p>
    <w:p w14:paraId="63D1F53C">
      <w:pPr>
        <w:snapToGrid w:val="0"/>
        <w:spacing w:line="360" w:lineRule="auto"/>
        <w:ind w:firstLine="443" w:firstLineChars="211"/>
        <w:jc w:val="left"/>
        <w:rPr>
          <w:color w:val="000000" w:themeColor="text1"/>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投标文件</w:t>
      </w:r>
      <w:r>
        <w:rPr>
          <w:rFonts w:hint="eastAsia" w:ascii="宋体" w:hAnsi="宋体" w:cs="宋体"/>
          <w:bCs/>
          <w:color w:val="000000" w:themeColor="text1"/>
          <w:szCs w:val="21"/>
          <w14:textFill>
            <w14:solidFill>
              <w14:schemeClr w14:val="tx1"/>
            </w14:solidFill>
          </w14:textFill>
        </w:rPr>
        <w:t>中须提供奖项证书、颁奖批复文件、获奖公示截图等有效证明材料复印件并加盖</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公章【公章(CA签章)/自然人签字或个人CA签章】；未按要求提供、材料无效或超出规定时间范围的，该奖项不计分。</w:t>
      </w:r>
    </w:p>
    <w:p w14:paraId="0A7E698D">
      <w:pPr>
        <w:widowControl/>
        <w:spacing w:line="360" w:lineRule="exact"/>
        <w:ind w:firstLine="422"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三、中标候选人推荐原则</w:t>
      </w:r>
    </w:p>
    <w:p w14:paraId="64AC8FE2">
      <w:pPr>
        <w:pStyle w:val="29"/>
        <w:adjustRightInd w:val="0"/>
        <w:snapToGrid w:val="0"/>
        <w:spacing w:line="360" w:lineRule="exact"/>
        <w:ind w:firstLine="210" w:firstLineChars="100"/>
        <w:rPr>
          <w:rFonts w:hAnsi="宋体" w:cs="宋体"/>
          <w:color w:val="000000" w:themeColor="text1"/>
          <w:kern w:val="2"/>
          <w:sz w:val="21"/>
          <w:szCs w:val="24"/>
          <w14:textFill>
            <w14:solidFill>
              <w14:schemeClr w14:val="tx1"/>
            </w14:solidFill>
          </w14:textFill>
        </w:rPr>
      </w:pPr>
      <w:r>
        <w:rPr>
          <w:rFonts w:hint="eastAsia" w:hAnsi="宋体" w:cs="宋体"/>
          <w:color w:val="000000" w:themeColor="text1"/>
          <w:kern w:val="2"/>
          <w:sz w:val="21"/>
          <w:szCs w:val="24"/>
          <w14:textFill>
            <w14:solidFill>
              <w14:schemeClr w14:val="tx1"/>
            </w14:solidFill>
          </w14:textFill>
        </w:rPr>
        <w:t>（一）评标委员会将根据得分由高到低排列次序（得分相同时，以投标报价由低到高顺序排列；得分相同且投标报价相同的，按技术指标优劣顺序排列）并推荐中标候选投标人。招标采购单位应当确定评审委员会推荐排名第一的中标候选人为中标人。排名第一的中标候选人放弃中标、因不可抗力提出不能履行合同，或者招标文件规定应当提交履约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采购人也可以决定重新采购。</w:t>
      </w:r>
    </w:p>
    <w:p w14:paraId="7AB3F7EE">
      <w:pPr>
        <w:pStyle w:val="29"/>
        <w:adjustRightInd w:val="0"/>
        <w:snapToGrid w:val="0"/>
        <w:spacing w:line="360" w:lineRule="exact"/>
        <w:ind w:firstLine="210" w:firstLineChars="100"/>
        <w:rPr>
          <w:rFonts w:hint="eastAsia" w:hAnsi="宋体" w:cs="宋体"/>
          <w:color w:val="000000" w:themeColor="text1"/>
          <w:kern w:val="2"/>
          <w:sz w:val="21"/>
          <w:szCs w:val="24"/>
          <w14:textFill>
            <w14:solidFill>
              <w14:schemeClr w14:val="tx1"/>
            </w14:solidFill>
          </w14:textFill>
        </w:rPr>
        <w:sectPr>
          <w:pgSz w:w="11906" w:h="16838"/>
          <w:pgMar w:top="1247" w:right="849" w:bottom="1247" w:left="1418" w:header="851" w:footer="992" w:gutter="0"/>
          <w:cols w:space="720" w:num="1"/>
          <w:titlePg/>
          <w:docGrid w:type="lines" w:linePitch="312" w:charSpace="0"/>
        </w:sectPr>
      </w:pPr>
      <w:r>
        <w:rPr>
          <w:rFonts w:hint="eastAsia" w:hAnsi="宋体" w:cs="宋体"/>
          <w:color w:val="000000" w:themeColor="text1"/>
          <w:kern w:val="2"/>
          <w:sz w:val="21"/>
          <w:szCs w:val="24"/>
          <w14:textFill>
            <w14:solidFill>
              <w14:schemeClr w14:val="tx1"/>
            </w14:solidFill>
          </w14:textFill>
        </w:rPr>
        <w:t>（二）投标报价属于本招标文件规定的政府采购异常低价情形之一，评标委员会应当要求投标人提供书面说明、证明材料。投标人不能提供书面说明、证明材料，或者提供的书面说明、证明材料不能证明其报价合理性的，投标无效。</w:t>
      </w:r>
    </w:p>
    <w:p w14:paraId="6F233421">
      <w:pPr>
        <w:pStyle w:val="29"/>
        <w:adjustRightInd w:val="0"/>
        <w:snapToGrid w:val="0"/>
        <w:spacing w:line="360" w:lineRule="exact"/>
        <w:rPr>
          <w:rFonts w:hAnsi="宋体" w:cs="宋体"/>
          <w:b/>
          <w:color w:val="000000" w:themeColor="text1"/>
          <w:sz w:val="21"/>
          <w14:textFill>
            <w14:solidFill>
              <w14:schemeClr w14:val="tx1"/>
            </w14:solidFill>
          </w14:textFill>
        </w:rPr>
      </w:pPr>
    </w:p>
    <w:p w14:paraId="123507F0">
      <w:pPr>
        <w:pStyle w:val="29"/>
        <w:snapToGrid w:val="0"/>
        <w:spacing w:line="600" w:lineRule="exact"/>
        <w:rPr>
          <w:rFonts w:hAnsi="宋体" w:cs="宋体"/>
          <w:b/>
          <w:color w:val="000000" w:themeColor="text1"/>
          <w:sz w:val="36"/>
          <w:szCs w:val="36"/>
          <w14:textFill>
            <w14:solidFill>
              <w14:schemeClr w14:val="tx1"/>
            </w14:solidFill>
          </w14:textFill>
        </w:rPr>
      </w:pPr>
    </w:p>
    <w:p w14:paraId="454C346C">
      <w:pPr>
        <w:pStyle w:val="29"/>
        <w:snapToGrid w:val="0"/>
        <w:spacing w:line="600" w:lineRule="exact"/>
        <w:jc w:val="center"/>
        <w:rPr>
          <w:rFonts w:hAnsi="宋体" w:cs="宋体"/>
          <w:b/>
          <w:color w:val="000000" w:themeColor="text1"/>
          <w:sz w:val="36"/>
          <w:szCs w:val="36"/>
          <w14:textFill>
            <w14:solidFill>
              <w14:schemeClr w14:val="tx1"/>
            </w14:solidFill>
          </w14:textFill>
        </w:rPr>
      </w:pPr>
    </w:p>
    <w:p w14:paraId="62BABD80">
      <w:pPr>
        <w:pStyle w:val="29"/>
        <w:snapToGrid w:val="0"/>
        <w:spacing w:line="600" w:lineRule="exact"/>
        <w:jc w:val="center"/>
        <w:rPr>
          <w:rFonts w:hAnsi="宋体" w:cs="宋体"/>
          <w:b/>
          <w:color w:val="000000" w:themeColor="text1"/>
          <w:sz w:val="36"/>
          <w:szCs w:val="36"/>
          <w14:textFill>
            <w14:solidFill>
              <w14:schemeClr w14:val="tx1"/>
            </w14:solidFill>
          </w14:textFill>
        </w:rPr>
      </w:pPr>
    </w:p>
    <w:p w14:paraId="31BCBF59">
      <w:pPr>
        <w:pStyle w:val="29"/>
        <w:snapToGrid w:val="0"/>
        <w:spacing w:line="600" w:lineRule="exact"/>
        <w:rPr>
          <w:rFonts w:hAnsi="宋体" w:cs="宋体"/>
          <w:b/>
          <w:color w:val="000000" w:themeColor="text1"/>
          <w:sz w:val="36"/>
          <w:szCs w:val="36"/>
          <w14:textFill>
            <w14:solidFill>
              <w14:schemeClr w14:val="tx1"/>
            </w14:solidFill>
          </w14:textFill>
        </w:rPr>
      </w:pPr>
    </w:p>
    <w:p w14:paraId="49F7ED5A">
      <w:pPr>
        <w:pStyle w:val="29"/>
        <w:snapToGrid w:val="0"/>
        <w:spacing w:line="600" w:lineRule="exact"/>
        <w:jc w:val="center"/>
        <w:rPr>
          <w:rFonts w:hAnsi="宋体" w:cs="宋体"/>
          <w:b/>
          <w:color w:val="000000" w:themeColor="text1"/>
          <w:sz w:val="36"/>
          <w:szCs w:val="36"/>
          <w14:textFill>
            <w14:solidFill>
              <w14:schemeClr w14:val="tx1"/>
            </w14:solidFill>
          </w14:textFill>
        </w:rPr>
      </w:pPr>
    </w:p>
    <w:p w14:paraId="697DC8C0">
      <w:pPr>
        <w:pStyle w:val="29"/>
        <w:snapToGrid w:val="0"/>
        <w:spacing w:line="600" w:lineRule="exact"/>
        <w:jc w:val="center"/>
        <w:rPr>
          <w:rFonts w:hAnsi="宋体" w:cs="宋体"/>
          <w:b/>
          <w:color w:val="000000" w:themeColor="text1"/>
          <w:sz w:val="36"/>
          <w:szCs w:val="36"/>
          <w14:textFill>
            <w14:solidFill>
              <w14:schemeClr w14:val="tx1"/>
            </w14:solidFill>
          </w14:textFill>
        </w:rPr>
      </w:pPr>
    </w:p>
    <w:p w14:paraId="50267296">
      <w:pPr>
        <w:pStyle w:val="29"/>
        <w:snapToGrid w:val="0"/>
        <w:spacing w:line="600" w:lineRule="exact"/>
        <w:jc w:val="center"/>
        <w:rPr>
          <w:rFonts w:hAnsi="宋体" w:cs="宋体"/>
          <w:b/>
          <w:color w:val="000000" w:themeColor="text1"/>
          <w:sz w:val="36"/>
          <w:szCs w:val="36"/>
          <w14:textFill>
            <w14:solidFill>
              <w14:schemeClr w14:val="tx1"/>
            </w14:solidFill>
          </w14:textFill>
        </w:rPr>
      </w:pPr>
    </w:p>
    <w:p w14:paraId="6AFD4844">
      <w:pPr>
        <w:pStyle w:val="29"/>
        <w:snapToGrid w:val="0"/>
        <w:spacing w:line="600" w:lineRule="exact"/>
        <w:jc w:val="center"/>
        <w:rPr>
          <w:rFonts w:hAnsi="宋体" w:cs="宋体"/>
          <w:b/>
          <w:color w:val="000000" w:themeColor="text1"/>
          <w:sz w:val="36"/>
          <w:szCs w:val="36"/>
          <w14:textFill>
            <w14:solidFill>
              <w14:schemeClr w14:val="tx1"/>
            </w14:solidFill>
          </w14:textFill>
        </w:rPr>
      </w:pPr>
    </w:p>
    <w:p w14:paraId="08F0B9D2">
      <w:pPr>
        <w:pStyle w:val="29"/>
        <w:snapToGrid w:val="0"/>
        <w:spacing w:line="600" w:lineRule="exact"/>
        <w:jc w:val="center"/>
        <w:outlineLvl w:val="0"/>
        <w:rPr>
          <w:rFonts w:hAnsi="宋体" w:cs="宋体"/>
          <w:b/>
          <w:color w:val="000000" w:themeColor="text1"/>
          <w:sz w:val="36"/>
          <w:szCs w:val="36"/>
          <w14:textFill>
            <w14:solidFill>
              <w14:schemeClr w14:val="tx1"/>
            </w14:solidFill>
          </w14:textFill>
        </w:rPr>
      </w:pPr>
      <w:bookmarkStart w:id="45" w:name="_Toc5671"/>
      <w:r>
        <w:rPr>
          <w:rFonts w:hint="eastAsia" w:hAnsi="宋体" w:cs="宋体"/>
          <w:b/>
          <w:color w:val="000000" w:themeColor="text1"/>
          <w:sz w:val="36"/>
          <w:szCs w:val="36"/>
          <w14:textFill>
            <w14:solidFill>
              <w14:schemeClr w14:val="tx1"/>
            </w14:solidFill>
          </w14:textFill>
        </w:rPr>
        <w:t>第五章 合同文本（格式）</w:t>
      </w:r>
      <w:bookmarkEnd w:id="45"/>
    </w:p>
    <w:p w14:paraId="72645674">
      <w:pPr>
        <w:pStyle w:val="29"/>
        <w:spacing w:line="600" w:lineRule="exact"/>
        <w:jc w:val="center"/>
        <w:rPr>
          <w:rFonts w:hAnsi="宋体" w:cs="宋体"/>
          <w:b/>
          <w:color w:val="000000" w:themeColor="text1"/>
          <w:sz w:val="52"/>
          <w:szCs w:val="52"/>
          <w14:textFill>
            <w14:solidFill>
              <w14:schemeClr w14:val="tx1"/>
            </w14:solidFill>
          </w14:textFill>
        </w:rPr>
      </w:pPr>
    </w:p>
    <w:p w14:paraId="1CB5A7E5">
      <w:pPr>
        <w:pStyle w:val="29"/>
        <w:spacing w:line="600" w:lineRule="exact"/>
        <w:rPr>
          <w:rFonts w:hAnsi="宋体" w:cs="宋体"/>
          <w:b/>
          <w:color w:val="000000" w:themeColor="text1"/>
          <w:sz w:val="52"/>
          <w:szCs w:val="52"/>
          <w14:textFill>
            <w14:solidFill>
              <w14:schemeClr w14:val="tx1"/>
            </w14:solidFill>
          </w14:textFill>
        </w:rPr>
      </w:pPr>
    </w:p>
    <w:p w14:paraId="5C904822">
      <w:pPr>
        <w:pStyle w:val="29"/>
        <w:spacing w:line="600" w:lineRule="exact"/>
        <w:rPr>
          <w:rFonts w:hAnsi="宋体" w:cs="宋体"/>
          <w:b/>
          <w:color w:val="000000" w:themeColor="text1"/>
          <w:sz w:val="52"/>
          <w:szCs w:val="52"/>
          <w14:textFill>
            <w14:solidFill>
              <w14:schemeClr w14:val="tx1"/>
            </w14:solidFill>
          </w14:textFill>
        </w:rPr>
      </w:pPr>
    </w:p>
    <w:p w14:paraId="16375CF0">
      <w:pPr>
        <w:pStyle w:val="29"/>
        <w:spacing w:line="600" w:lineRule="exact"/>
        <w:rPr>
          <w:rFonts w:hAnsi="宋体" w:cs="宋体"/>
          <w:b/>
          <w:color w:val="000000" w:themeColor="text1"/>
          <w:sz w:val="52"/>
          <w:szCs w:val="52"/>
          <w14:textFill>
            <w14:solidFill>
              <w14:schemeClr w14:val="tx1"/>
            </w14:solidFill>
          </w14:textFill>
        </w:rPr>
      </w:pPr>
    </w:p>
    <w:p w14:paraId="6FDBA2AF">
      <w:pPr>
        <w:pStyle w:val="29"/>
        <w:spacing w:line="600" w:lineRule="exact"/>
        <w:rPr>
          <w:rFonts w:hAnsi="宋体" w:cs="宋体"/>
          <w:b/>
          <w:color w:val="000000" w:themeColor="text1"/>
          <w:sz w:val="52"/>
          <w:szCs w:val="52"/>
          <w14:textFill>
            <w14:solidFill>
              <w14:schemeClr w14:val="tx1"/>
            </w14:solidFill>
          </w14:textFill>
        </w:rPr>
      </w:pPr>
    </w:p>
    <w:p w14:paraId="58026E55">
      <w:pPr>
        <w:pStyle w:val="29"/>
        <w:spacing w:line="600" w:lineRule="exact"/>
        <w:rPr>
          <w:rFonts w:hAnsi="宋体" w:cs="宋体"/>
          <w:b/>
          <w:color w:val="000000" w:themeColor="text1"/>
          <w:sz w:val="52"/>
          <w:szCs w:val="52"/>
          <w14:textFill>
            <w14:solidFill>
              <w14:schemeClr w14:val="tx1"/>
            </w14:solidFill>
          </w14:textFill>
        </w:rPr>
      </w:pPr>
    </w:p>
    <w:p w14:paraId="73A414E2">
      <w:pPr>
        <w:pStyle w:val="29"/>
        <w:spacing w:line="600" w:lineRule="exact"/>
        <w:rPr>
          <w:rFonts w:hAnsi="宋体" w:cs="宋体"/>
          <w:b/>
          <w:color w:val="000000" w:themeColor="text1"/>
          <w:sz w:val="52"/>
          <w:szCs w:val="52"/>
          <w14:textFill>
            <w14:solidFill>
              <w14:schemeClr w14:val="tx1"/>
            </w14:solidFill>
          </w14:textFill>
        </w:rPr>
      </w:pPr>
    </w:p>
    <w:p w14:paraId="07D90CD0">
      <w:pPr>
        <w:pStyle w:val="29"/>
        <w:spacing w:line="600" w:lineRule="exact"/>
        <w:rPr>
          <w:rFonts w:hAnsi="宋体" w:cs="宋体"/>
          <w:b/>
          <w:color w:val="000000" w:themeColor="text1"/>
          <w:sz w:val="52"/>
          <w:szCs w:val="52"/>
          <w14:textFill>
            <w14:solidFill>
              <w14:schemeClr w14:val="tx1"/>
            </w14:solidFill>
          </w14:textFill>
        </w:rPr>
      </w:pPr>
    </w:p>
    <w:p w14:paraId="7926CA8A">
      <w:pPr>
        <w:pStyle w:val="29"/>
        <w:spacing w:line="600" w:lineRule="exact"/>
        <w:rPr>
          <w:rFonts w:hAnsi="宋体" w:cs="宋体"/>
          <w:b/>
          <w:color w:val="000000" w:themeColor="text1"/>
          <w:sz w:val="52"/>
          <w:szCs w:val="52"/>
          <w14:textFill>
            <w14:solidFill>
              <w14:schemeClr w14:val="tx1"/>
            </w14:solidFill>
          </w14:textFill>
        </w:rPr>
      </w:pPr>
    </w:p>
    <w:p w14:paraId="5DD54975">
      <w:pPr>
        <w:pStyle w:val="29"/>
        <w:spacing w:line="600" w:lineRule="exact"/>
        <w:rPr>
          <w:rFonts w:hAnsi="宋体" w:cs="宋体"/>
          <w:b/>
          <w:color w:val="000000" w:themeColor="text1"/>
          <w:sz w:val="52"/>
          <w:szCs w:val="52"/>
          <w14:textFill>
            <w14:solidFill>
              <w14:schemeClr w14:val="tx1"/>
            </w14:solidFill>
          </w14:textFill>
        </w:rPr>
      </w:pPr>
    </w:p>
    <w:p w14:paraId="20DB22EA">
      <w:pPr>
        <w:pStyle w:val="29"/>
        <w:spacing w:line="600" w:lineRule="exact"/>
        <w:rPr>
          <w:rFonts w:hAnsi="宋体" w:cs="宋体"/>
          <w:b/>
          <w:color w:val="000000" w:themeColor="text1"/>
          <w:sz w:val="52"/>
          <w:szCs w:val="52"/>
          <w14:textFill>
            <w14:solidFill>
              <w14:schemeClr w14:val="tx1"/>
            </w14:solidFill>
          </w14:textFill>
        </w:rPr>
      </w:pPr>
    </w:p>
    <w:p w14:paraId="7F98DDE3">
      <w:pPr>
        <w:pStyle w:val="29"/>
        <w:spacing w:line="600" w:lineRule="exact"/>
        <w:rPr>
          <w:rFonts w:hAnsi="宋体" w:cs="宋体"/>
          <w:b/>
          <w:color w:val="000000" w:themeColor="text1"/>
          <w:sz w:val="52"/>
          <w:szCs w:val="52"/>
          <w14:textFill>
            <w14:solidFill>
              <w14:schemeClr w14:val="tx1"/>
            </w14:solidFill>
          </w14:textFill>
        </w:rPr>
      </w:pPr>
    </w:p>
    <w:p w14:paraId="0B3AEF7C">
      <w:pPr>
        <w:pStyle w:val="29"/>
        <w:spacing w:line="600" w:lineRule="exact"/>
        <w:rPr>
          <w:rFonts w:hAnsi="宋体" w:cs="宋体"/>
          <w:b/>
          <w:color w:val="000000" w:themeColor="text1"/>
          <w:sz w:val="52"/>
          <w:szCs w:val="52"/>
          <w14:textFill>
            <w14:solidFill>
              <w14:schemeClr w14:val="tx1"/>
            </w14:solidFill>
          </w14:textFill>
        </w:rPr>
      </w:pPr>
    </w:p>
    <w:p w14:paraId="07606A34">
      <w:pPr>
        <w:pStyle w:val="29"/>
        <w:spacing w:line="600" w:lineRule="exact"/>
        <w:jc w:val="center"/>
        <w:rPr>
          <w:rFonts w:hAnsi="宋体" w:cs="宋体"/>
          <w:b/>
          <w:color w:val="000000" w:themeColor="text1"/>
          <w:sz w:val="52"/>
          <w:szCs w:val="52"/>
          <w14:textFill>
            <w14:solidFill>
              <w14:schemeClr w14:val="tx1"/>
            </w14:solidFill>
          </w14:textFill>
        </w:rPr>
      </w:pPr>
    </w:p>
    <w:p w14:paraId="274AF66D">
      <w:pPr>
        <w:pStyle w:val="29"/>
        <w:spacing w:line="600" w:lineRule="exact"/>
        <w:jc w:val="center"/>
        <w:rPr>
          <w:rFonts w:hAnsi="宋体" w:cs="宋体"/>
          <w:b/>
          <w:color w:val="000000" w:themeColor="text1"/>
          <w:sz w:val="52"/>
          <w:szCs w:val="52"/>
          <w14:textFill>
            <w14:solidFill>
              <w14:schemeClr w14:val="tx1"/>
            </w14:solidFill>
          </w14:textFill>
        </w:rPr>
      </w:pPr>
    </w:p>
    <w:p w14:paraId="0687093E">
      <w:pPr>
        <w:pStyle w:val="29"/>
        <w:spacing w:line="600" w:lineRule="exact"/>
        <w:jc w:val="center"/>
        <w:rPr>
          <w:rFonts w:hAnsi="宋体" w:cs="宋体"/>
          <w:b/>
          <w:color w:val="000000" w:themeColor="text1"/>
          <w:sz w:val="52"/>
          <w:szCs w:val="52"/>
          <w14:textFill>
            <w14:solidFill>
              <w14:schemeClr w14:val="tx1"/>
            </w14:solidFill>
          </w14:textFill>
        </w:rPr>
      </w:pPr>
    </w:p>
    <w:p w14:paraId="0ADB4089">
      <w:pPr>
        <w:pStyle w:val="29"/>
        <w:spacing w:line="600" w:lineRule="exact"/>
        <w:jc w:val="center"/>
        <w:rPr>
          <w:rFonts w:hAnsi="宋体" w:cs="宋体"/>
          <w:b/>
          <w:color w:val="000000" w:themeColor="text1"/>
          <w:sz w:val="52"/>
          <w:szCs w:val="52"/>
          <w14:textFill>
            <w14:solidFill>
              <w14:schemeClr w14:val="tx1"/>
            </w14:solidFill>
          </w14:textFill>
        </w:rPr>
      </w:pPr>
    </w:p>
    <w:p w14:paraId="271319AF">
      <w:pPr>
        <w:pStyle w:val="29"/>
        <w:spacing w:line="600" w:lineRule="exact"/>
        <w:jc w:val="center"/>
        <w:rPr>
          <w:rFonts w:hAnsi="宋体" w:cs="宋体"/>
          <w:b/>
          <w:color w:val="000000" w:themeColor="text1"/>
          <w:sz w:val="52"/>
          <w:szCs w:val="52"/>
          <w14:textFill>
            <w14:solidFill>
              <w14:schemeClr w14:val="tx1"/>
            </w14:solidFill>
          </w14:textFill>
        </w:rPr>
      </w:pPr>
    </w:p>
    <w:p w14:paraId="298EA1CE">
      <w:pPr>
        <w:pStyle w:val="29"/>
        <w:spacing w:line="600" w:lineRule="exact"/>
        <w:jc w:val="center"/>
        <w:rPr>
          <w:rFonts w:hAnsi="宋体" w:cs="宋体"/>
          <w:b/>
          <w:color w:val="000000" w:themeColor="text1"/>
          <w:sz w:val="52"/>
          <w:szCs w:val="52"/>
          <w14:textFill>
            <w14:solidFill>
              <w14:schemeClr w14:val="tx1"/>
            </w14:solidFill>
          </w14:textFill>
        </w:rPr>
      </w:pPr>
      <w:r>
        <w:rPr>
          <w:rFonts w:hint="eastAsia" w:hAnsi="宋体" w:cs="宋体"/>
          <w:b/>
          <w:color w:val="000000" w:themeColor="text1"/>
          <w:sz w:val="52"/>
          <w:szCs w:val="52"/>
          <w14:textFill>
            <w14:solidFill>
              <w14:schemeClr w14:val="tx1"/>
            </w14:solidFill>
          </w14:textFill>
        </w:rPr>
        <w:t>北海市政府采购合同</w:t>
      </w:r>
    </w:p>
    <w:p w14:paraId="51638196">
      <w:pPr>
        <w:pStyle w:val="29"/>
        <w:spacing w:line="600" w:lineRule="exact"/>
        <w:rPr>
          <w:rFonts w:hAnsi="宋体" w:cs="宋体"/>
          <w:color w:val="000000" w:themeColor="text1"/>
          <w:sz w:val="52"/>
          <w:szCs w:val="52"/>
          <w14:textFill>
            <w14:solidFill>
              <w14:schemeClr w14:val="tx1"/>
            </w14:solidFill>
          </w14:textFill>
        </w:rPr>
      </w:pPr>
    </w:p>
    <w:p w14:paraId="14109A9C">
      <w:pPr>
        <w:pStyle w:val="29"/>
        <w:spacing w:line="600" w:lineRule="exact"/>
        <w:rPr>
          <w:rFonts w:hAnsi="宋体" w:cs="宋体"/>
          <w:color w:val="000000" w:themeColor="text1"/>
          <w14:textFill>
            <w14:solidFill>
              <w14:schemeClr w14:val="tx1"/>
            </w14:solidFill>
          </w14:textFill>
        </w:rPr>
      </w:pPr>
    </w:p>
    <w:p w14:paraId="6B03BAE0">
      <w:pPr>
        <w:pStyle w:val="29"/>
        <w:spacing w:line="600" w:lineRule="exact"/>
        <w:rPr>
          <w:rFonts w:hAnsi="宋体" w:cs="宋体"/>
          <w:color w:val="000000" w:themeColor="text1"/>
          <w14:textFill>
            <w14:solidFill>
              <w14:schemeClr w14:val="tx1"/>
            </w14:solidFill>
          </w14:textFill>
        </w:rPr>
      </w:pPr>
    </w:p>
    <w:p w14:paraId="18DBA735">
      <w:pPr>
        <w:pStyle w:val="29"/>
        <w:spacing w:line="600" w:lineRule="exact"/>
        <w:rPr>
          <w:rFonts w:hAnsi="宋体" w:cs="宋体"/>
          <w:color w:val="000000" w:themeColor="text1"/>
          <w14:textFill>
            <w14:solidFill>
              <w14:schemeClr w14:val="tx1"/>
            </w14:solidFill>
          </w14:textFill>
        </w:rPr>
      </w:pPr>
    </w:p>
    <w:p w14:paraId="0B50D019">
      <w:pPr>
        <w:pStyle w:val="29"/>
        <w:spacing w:line="600" w:lineRule="exact"/>
        <w:rPr>
          <w:rFonts w:hAnsi="宋体" w:cs="宋体"/>
          <w:color w:val="000000" w:themeColor="text1"/>
          <w14:textFill>
            <w14:solidFill>
              <w14:schemeClr w14:val="tx1"/>
            </w14:solidFill>
          </w14:textFill>
        </w:rPr>
      </w:pPr>
    </w:p>
    <w:p w14:paraId="24FD1C17">
      <w:pPr>
        <w:pStyle w:val="29"/>
        <w:spacing w:line="700" w:lineRule="exact"/>
        <w:rPr>
          <w:rFonts w:hint="eastAsia"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合同名称：</w:t>
      </w:r>
      <w:r>
        <w:rPr>
          <w:rFonts w:hint="eastAsia" w:hAnsi="宋体" w:cs="宋体"/>
          <w:b/>
          <w:color w:val="000000" w:themeColor="text1"/>
          <w:sz w:val="28"/>
          <w:szCs w:val="28"/>
          <w:lang w:val="en-US" w:eastAsia="zh-CN"/>
          <w14:textFill>
            <w14:solidFill>
              <w14:schemeClr w14:val="tx1"/>
            </w14:solidFill>
          </w14:textFill>
        </w:rPr>
        <w:t>广西壮族自治区第十六届运动会和广西壮族自治区第十一届残疾人运动会暨第六届特殊奥林匹克运动会开闭幕式及火炬传递仪式服务合同</w:t>
      </w:r>
    </w:p>
    <w:p w14:paraId="3190F61A">
      <w:pPr>
        <w:pStyle w:val="29"/>
        <w:spacing w:line="700" w:lineRule="exact"/>
        <w:rPr>
          <w:rFonts w:hAnsi="宋体" w:cs="宋体"/>
          <w:b/>
          <w:color w:val="000000" w:themeColor="text1"/>
          <w:sz w:val="28"/>
          <w:szCs w:val="28"/>
          <w:u w:val="single"/>
          <w14:textFill>
            <w14:solidFill>
              <w14:schemeClr w14:val="tx1"/>
            </w14:solidFill>
          </w14:textFill>
        </w:rPr>
      </w:pPr>
      <w:r>
        <w:rPr>
          <w:rFonts w:hint="eastAsia" w:hAnsi="宋体" w:cs="宋体"/>
          <w:b/>
          <w:color w:val="000000" w:themeColor="text1"/>
          <w:sz w:val="28"/>
          <w:szCs w:val="28"/>
          <w14:textFill>
            <w14:solidFill>
              <w14:schemeClr w14:val="tx1"/>
            </w14:solidFill>
          </w14:textFill>
        </w:rPr>
        <w:t>合同编号：</w:t>
      </w:r>
    </w:p>
    <w:p w14:paraId="32B075C3">
      <w:pPr>
        <w:pStyle w:val="29"/>
        <w:spacing w:line="700" w:lineRule="exact"/>
        <w:rPr>
          <w:rFonts w:hAnsi="宋体" w:cs="宋体"/>
          <w:color w:val="000000" w:themeColor="text1"/>
          <w:sz w:val="28"/>
          <w:szCs w:val="28"/>
          <w14:textFill>
            <w14:solidFill>
              <w14:schemeClr w14:val="tx1"/>
            </w14:solidFill>
          </w14:textFill>
        </w:rPr>
      </w:pPr>
    </w:p>
    <w:p w14:paraId="311A3C87">
      <w:pPr>
        <w:pStyle w:val="29"/>
        <w:spacing w:line="700" w:lineRule="exact"/>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采购单位（甲方）</w:t>
      </w:r>
    </w:p>
    <w:p w14:paraId="177FAA2D">
      <w:pPr>
        <w:pStyle w:val="29"/>
        <w:spacing w:line="700" w:lineRule="exact"/>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lang w:eastAsia="zh-CN"/>
          <w14:textFill>
            <w14:solidFill>
              <w14:schemeClr w14:val="tx1"/>
            </w14:solidFill>
          </w14:textFill>
        </w:rPr>
        <w:t>投标人</w:t>
      </w:r>
      <w:r>
        <w:rPr>
          <w:rFonts w:hint="eastAsia" w:hAnsi="宋体" w:cs="宋体"/>
          <w:b/>
          <w:color w:val="000000" w:themeColor="text1"/>
          <w:sz w:val="28"/>
          <w:szCs w:val="28"/>
          <w14:textFill>
            <w14:solidFill>
              <w14:schemeClr w14:val="tx1"/>
            </w14:solidFill>
          </w14:textFill>
        </w:rPr>
        <w:t>（乙方）</w:t>
      </w:r>
    </w:p>
    <w:p w14:paraId="13CC66B5">
      <w:pPr>
        <w:pStyle w:val="29"/>
        <w:spacing w:line="700" w:lineRule="exact"/>
        <w:rPr>
          <w:rFonts w:hAnsi="宋体" w:cs="宋体"/>
          <w:color w:val="000000" w:themeColor="text1"/>
          <w:sz w:val="28"/>
          <w:szCs w:val="28"/>
          <w14:textFill>
            <w14:solidFill>
              <w14:schemeClr w14:val="tx1"/>
            </w14:solidFill>
          </w14:textFill>
        </w:rPr>
      </w:pPr>
    </w:p>
    <w:p w14:paraId="15190C56">
      <w:pPr>
        <w:pStyle w:val="29"/>
        <w:spacing w:line="700" w:lineRule="exact"/>
        <w:rPr>
          <w:rFonts w:hAnsi="宋体" w:cs="宋体"/>
          <w:b/>
          <w:color w:val="000000" w:themeColor="text1"/>
          <w:sz w:val="28"/>
          <w:szCs w:val="28"/>
          <w:u w:val="single"/>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签订合同地点：</w:t>
      </w:r>
    </w:p>
    <w:p w14:paraId="075CCBFA">
      <w:pPr>
        <w:pStyle w:val="29"/>
        <w:spacing w:line="700" w:lineRule="exact"/>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签订合同时间：</w:t>
      </w:r>
    </w:p>
    <w:p w14:paraId="6EEEDCB1">
      <w:pPr>
        <w:snapToGrid w:val="0"/>
        <w:spacing w:line="360" w:lineRule="exact"/>
        <w:rPr>
          <w:rFonts w:ascii="宋体" w:hAnsi="宋体" w:cs="宋体"/>
          <w:b/>
          <w:bCs/>
          <w:color w:val="000000" w:themeColor="text1"/>
          <w:szCs w:val="21"/>
          <w14:textFill>
            <w14:solidFill>
              <w14:schemeClr w14:val="tx1"/>
            </w14:solidFill>
          </w14:textFill>
        </w:rPr>
      </w:pPr>
    </w:p>
    <w:p w14:paraId="376C1552">
      <w:pPr>
        <w:snapToGrid w:val="0"/>
        <w:spacing w:line="360" w:lineRule="exact"/>
        <w:rPr>
          <w:rFonts w:ascii="宋体" w:hAnsi="宋体" w:cs="宋体"/>
          <w:b/>
          <w:bCs/>
          <w:color w:val="000000" w:themeColor="text1"/>
          <w:szCs w:val="21"/>
          <w14:textFill>
            <w14:solidFill>
              <w14:schemeClr w14:val="tx1"/>
            </w14:solidFill>
          </w14:textFill>
        </w:rPr>
      </w:pPr>
    </w:p>
    <w:p w14:paraId="1380F8E6">
      <w:pPr>
        <w:snapToGrid w:val="0"/>
        <w:spacing w:line="360" w:lineRule="exact"/>
        <w:rPr>
          <w:rFonts w:ascii="宋体" w:hAnsi="宋体" w:cs="宋体"/>
          <w:b/>
          <w:bCs/>
          <w:color w:val="000000" w:themeColor="text1"/>
          <w:szCs w:val="21"/>
          <w14:textFill>
            <w14:solidFill>
              <w14:schemeClr w14:val="tx1"/>
            </w14:solidFill>
          </w14:textFill>
        </w:rPr>
      </w:pPr>
    </w:p>
    <w:p w14:paraId="4C42216D">
      <w:pPr>
        <w:spacing w:line="520" w:lineRule="exact"/>
        <w:rPr>
          <w:rFonts w:ascii="宋体" w:hAnsi="宋体" w:cs="宋体"/>
          <w:color w:val="000000" w:themeColor="text1"/>
          <w:szCs w:val="21"/>
          <w14:textFill>
            <w14:solidFill>
              <w14:schemeClr w14:val="tx1"/>
            </w14:solidFill>
          </w14:textFill>
        </w:rPr>
      </w:pPr>
    </w:p>
    <w:p w14:paraId="5FEAF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themeColor="text1"/>
          <w:sz w:val="36"/>
          <w:szCs w:val="36"/>
          <w:u w:val="none"/>
          <w14:textFill>
            <w14:solidFill>
              <w14:schemeClr w14:val="tx1"/>
            </w14:solidFill>
          </w14:textFill>
        </w:rPr>
      </w:pPr>
      <w:bookmarkStart w:id="46" w:name="_Toc10502"/>
      <w:r>
        <w:rPr>
          <w:rFonts w:hint="eastAsia"/>
          <w:color w:val="000000" w:themeColor="text1"/>
          <w:sz w:val="36"/>
          <w:szCs w:val="36"/>
          <w:u w:val="none"/>
          <w:lang w:val="en-US" w:eastAsia="zh-CN"/>
          <w14:textFill>
            <w14:solidFill>
              <w14:schemeClr w14:val="tx1"/>
            </w14:solidFill>
          </w14:textFill>
        </w:rPr>
        <w:t>北海市</w:t>
      </w:r>
      <w:r>
        <w:rPr>
          <w:color w:val="000000" w:themeColor="text1"/>
          <w:sz w:val="36"/>
          <w:szCs w:val="36"/>
          <w:u w:val="none"/>
          <w14:textFill>
            <w14:solidFill>
              <w14:schemeClr w14:val="tx1"/>
            </w14:solidFill>
          </w14:textFill>
        </w:rPr>
        <w:t>政府采购合同</w:t>
      </w:r>
      <w:bookmarkEnd w:id="46"/>
    </w:p>
    <w:p w14:paraId="6B2039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Style w:val="61"/>
          <w:rFonts w:ascii="宋体" w:hAnsi="宋体" w:eastAsia="宋体" w:cs="宋体"/>
          <w:b/>
          <w:bCs/>
          <w:color w:val="000000" w:themeColor="text1"/>
          <w:kern w:val="0"/>
          <w:sz w:val="24"/>
          <w:szCs w:val="24"/>
          <w:u w:val="single"/>
          <w:lang w:val="en-US" w:eastAsia="zh-CN" w:bidi="ar"/>
          <w14:textFill>
            <w14:solidFill>
              <w14:schemeClr w14:val="tx1"/>
            </w14:solidFill>
          </w14:textFill>
        </w:rPr>
      </w:pPr>
    </w:p>
    <w:p w14:paraId="1E871E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u w:val="single"/>
          <w:lang w:val="en-US" w:eastAsia="zh-CN" w:bidi="ar"/>
          <w14:textFill>
            <w14:solidFill>
              <w14:schemeClr w14:val="tx1"/>
            </w14:solidFill>
          </w14:textFill>
        </w:rPr>
      </w:pPr>
    </w:p>
    <w:p w14:paraId="6F614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hint="default" w:ascii="宋体" w:hAnsi="宋体" w:eastAsia="宋体" w:cs="宋体"/>
          <w:color w:val="000000" w:themeColor="text1"/>
          <w:kern w:val="0"/>
          <w:sz w:val="21"/>
          <w:szCs w:val="21"/>
          <w:u w:val="single"/>
          <w:lang w:val="en-US" w:eastAsia="zh-CN" w:bidi="ar"/>
          <w14:textFill>
            <w14:solidFill>
              <w14:schemeClr w14:val="tx1"/>
            </w14:solidFill>
          </w14:textFill>
        </w:rPr>
      </w:pPr>
      <w:r>
        <w:rPr>
          <w:rFonts w:ascii="宋体" w:hAnsi="宋体" w:eastAsia="宋体" w:cs="宋体"/>
          <w:color w:val="000000" w:themeColor="text1"/>
          <w:kern w:val="0"/>
          <w:sz w:val="21"/>
          <w:szCs w:val="21"/>
          <w:u w:val="none"/>
          <w:lang w:val="en-US" w:eastAsia="zh-CN" w:bidi="ar"/>
          <w14:textFill>
            <w14:solidFill>
              <w14:schemeClr w14:val="tx1"/>
            </w14:solidFill>
          </w14:textFill>
        </w:rPr>
        <w:t>合同编号：</w:t>
      </w:r>
      <w:r>
        <w:rPr>
          <w:rFonts w:hint="eastAsia" w:ascii="宋体" w:hAnsi="宋体" w:cs="宋体"/>
          <w:color w:val="000000" w:themeColor="text1"/>
          <w:kern w:val="0"/>
          <w:sz w:val="21"/>
          <w:szCs w:val="21"/>
          <w:u w:val="single"/>
          <w:lang w:val="en-US" w:eastAsia="zh-CN" w:bidi="ar"/>
          <w14:textFill>
            <w14:solidFill>
              <w14:schemeClr w14:val="tx1"/>
            </w14:solidFill>
          </w14:textFill>
        </w:rPr>
        <w:t>HT-BHZC2026-G3-990062-CGZX</w:t>
      </w:r>
    </w:p>
    <w:p w14:paraId="19FBF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u w:val="none"/>
          <w:lang w:val="en-US" w:eastAsia="zh-CN" w:bidi="ar"/>
          <w14:textFill>
            <w14:solidFill>
              <w14:schemeClr w14:val="tx1"/>
            </w14:solidFill>
          </w14:textFill>
        </w:rPr>
      </w:pPr>
      <w:r>
        <w:rPr>
          <w:rFonts w:ascii="宋体" w:hAnsi="宋体" w:eastAsia="宋体" w:cs="宋体"/>
          <w:color w:val="000000" w:themeColor="text1"/>
          <w:kern w:val="0"/>
          <w:sz w:val="21"/>
          <w:szCs w:val="21"/>
          <w:u w:val="none"/>
          <w:lang w:val="en-US" w:eastAsia="zh-CN" w:bidi="ar"/>
          <w14:textFill>
            <w14:solidFill>
              <w14:schemeClr w14:val="tx1"/>
            </w14:solidFill>
          </w14:textFill>
        </w:rPr>
        <w:t>采购类别：</w:t>
      </w:r>
      <w:r>
        <w:rPr>
          <w:rFonts w:ascii="宋体" w:hAnsi="宋体" w:eastAsia="宋体" w:cs="宋体"/>
          <w:color w:val="000000" w:themeColor="text1"/>
          <w:kern w:val="0"/>
          <w:sz w:val="21"/>
          <w:szCs w:val="21"/>
          <w:u w:val="single"/>
          <w:lang w:val="en-US" w:eastAsia="zh-CN" w:bidi="ar"/>
          <w14:textFill>
            <w14:solidFill>
              <w14:schemeClr w14:val="tx1"/>
            </w14:solidFill>
          </w14:textFill>
        </w:rPr>
        <w:t>服务类</w:t>
      </w:r>
    </w:p>
    <w:p w14:paraId="37A295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u w:val="none"/>
          <w:lang w:val="en-US" w:eastAsia="zh-CN" w:bidi="ar"/>
          <w14:textFill>
            <w14:solidFill>
              <w14:schemeClr w14:val="tx1"/>
            </w14:solidFill>
          </w14:textFill>
        </w:rPr>
      </w:pPr>
      <w:r>
        <w:rPr>
          <w:rFonts w:ascii="宋体" w:hAnsi="宋体" w:eastAsia="宋体" w:cs="宋体"/>
          <w:color w:val="000000" w:themeColor="text1"/>
          <w:kern w:val="0"/>
          <w:sz w:val="21"/>
          <w:szCs w:val="21"/>
          <w:u w:val="none"/>
          <w:lang w:val="en-US" w:eastAsia="zh-CN" w:bidi="ar"/>
          <w14:textFill>
            <w14:solidFill>
              <w14:schemeClr w14:val="tx1"/>
            </w14:solidFill>
          </w14:textFill>
        </w:rPr>
        <w:t>采购人（甲方）：</w:t>
      </w:r>
      <w:r>
        <w:rPr>
          <w:rFonts w:ascii="宋体" w:hAnsi="宋体" w:eastAsia="宋体" w:cs="宋体"/>
          <w:color w:val="000000" w:themeColor="text1"/>
          <w:kern w:val="0"/>
          <w:sz w:val="21"/>
          <w:szCs w:val="21"/>
          <w:u w:val="single"/>
          <w:lang w:val="en-US" w:eastAsia="zh-CN" w:bidi="ar"/>
          <w14:textFill>
            <w14:solidFill>
              <w14:schemeClr w14:val="tx1"/>
            </w14:solidFill>
          </w14:textFill>
        </w:rPr>
        <w:t>中国共产党北海市委员会宣传部</w:t>
      </w:r>
    </w:p>
    <w:p w14:paraId="03DF6B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u w:val="none"/>
          <w:lang w:val="en-US" w:eastAsia="zh-CN" w:bidi="ar"/>
          <w14:textFill>
            <w14:solidFill>
              <w14:schemeClr w14:val="tx1"/>
            </w14:solidFill>
          </w14:textFill>
        </w:rPr>
      </w:pPr>
      <w:r>
        <w:rPr>
          <w:rFonts w:ascii="宋体" w:hAnsi="宋体" w:eastAsia="宋体" w:cs="宋体"/>
          <w:color w:val="000000" w:themeColor="text1"/>
          <w:kern w:val="0"/>
          <w:sz w:val="21"/>
          <w:szCs w:val="21"/>
          <w:u w:val="none"/>
          <w:lang w:val="en-US" w:eastAsia="zh-CN" w:bidi="ar"/>
          <w14:textFill>
            <w14:solidFill>
              <w14:schemeClr w14:val="tx1"/>
            </w14:solidFill>
          </w14:textFill>
        </w:rPr>
        <w:t>地址：</w:t>
      </w:r>
      <w:r>
        <w:rPr>
          <w:rFonts w:ascii="宋体" w:hAnsi="宋体" w:eastAsia="宋体" w:cs="宋体"/>
          <w:color w:val="000000" w:themeColor="text1"/>
          <w:kern w:val="0"/>
          <w:sz w:val="21"/>
          <w:szCs w:val="21"/>
          <w:u w:val="single"/>
          <w:lang w:val="en-US" w:eastAsia="zh-CN" w:bidi="ar"/>
          <w14:textFill>
            <w14:solidFill>
              <w14:schemeClr w14:val="tx1"/>
            </w14:solidFill>
          </w14:textFill>
        </w:rPr>
        <w:t>北海市海城区和平路东二巷 2 号（党政机关大院内</w:t>
      </w:r>
      <w:r>
        <w:rPr>
          <w:rFonts w:ascii="宋体" w:hAnsi="宋体" w:eastAsia="宋体" w:cs="宋体"/>
          <w:color w:val="000000" w:themeColor="text1"/>
          <w:kern w:val="0"/>
          <w:sz w:val="21"/>
          <w:szCs w:val="21"/>
          <w:u w:val="none"/>
          <w:lang w:val="en-US" w:eastAsia="zh-CN" w:bidi="ar"/>
          <w14:textFill>
            <w14:solidFill>
              <w14:schemeClr w14:val="tx1"/>
            </w14:solidFill>
          </w14:textFill>
        </w:rPr>
        <w:t>）</w:t>
      </w:r>
    </w:p>
    <w:p w14:paraId="51107B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u w:val="none"/>
          <w:lang w:val="en-US" w:eastAsia="zh-CN" w:bidi="ar"/>
          <w14:textFill>
            <w14:solidFill>
              <w14:schemeClr w14:val="tx1"/>
            </w14:solidFill>
          </w14:textFill>
        </w:rPr>
      </w:pPr>
      <w:r>
        <w:rPr>
          <w:rFonts w:ascii="宋体" w:hAnsi="宋体" w:eastAsia="宋体" w:cs="宋体"/>
          <w:color w:val="000000" w:themeColor="text1"/>
          <w:kern w:val="0"/>
          <w:sz w:val="21"/>
          <w:szCs w:val="21"/>
          <w:u w:val="none"/>
          <w:lang w:val="en-US" w:eastAsia="zh-CN" w:bidi="ar"/>
          <w14:textFill>
            <w14:solidFill>
              <w14:schemeClr w14:val="tx1"/>
            </w14:solidFill>
          </w14:textFill>
        </w:rPr>
        <w:t>法定代表人 / 委托代理人：__________</w:t>
      </w:r>
    </w:p>
    <w:p w14:paraId="5C0175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u w:val="single"/>
          <w:lang w:val="en-US" w:eastAsia="zh-CN" w:bidi="ar"/>
          <w14:textFill>
            <w14:solidFill>
              <w14:schemeClr w14:val="tx1"/>
            </w14:solidFill>
          </w14:textFill>
        </w:rPr>
      </w:pPr>
    </w:p>
    <w:p w14:paraId="03F06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hint="default" w:ascii="宋体" w:hAnsi="宋体" w:eastAsia="宋体" w:cs="宋体"/>
          <w:color w:val="000000" w:themeColor="text1"/>
          <w:kern w:val="0"/>
          <w:sz w:val="21"/>
          <w:szCs w:val="21"/>
          <w:u w:val="single"/>
          <w:lang w:val="en-US" w:eastAsia="zh-CN" w:bidi="ar"/>
          <w14:textFill>
            <w14:solidFill>
              <w14:schemeClr w14:val="tx1"/>
            </w14:solidFill>
          </w14:textFill>
        </w:rPr>
      </w:pPr>
      <w:r>
        <w:rPr>
          <w:rFonts w:ascii="宋体" w:hAnsi="宋体" w:eastAsia="宋体" w:cs="宋体"/>
          <w:color w:val="000000" w:themeColor="text1"/>
          <w:kern w:val="0"/>
          <w:sz w:val="21"/>
          <w:szCs w:val="21"/>
          <w:u w:val="none"/>
          <w:lang w:val="en-US" w:eastAsia="zh-CN" w:bidi="ar"/>
          <w14:textFill>
            <w14:solidFill>
              <w14:schemeClr w14:val="tx1"/>
            </w14:solidFill>
          </w14:textFill>
        </w:rPr>
        <w:t>中标人（乙方）：</w:t>
      </w:r>
      <w:r>
        <w:rPr>
          <w:rFonts w:hint="eastAsia" w:ascii="宋体" w:hAnsi="宋体" w:cs="宋体"/>
          <w:color w:val="000000" w:themeColor="text1"/>
          <w:kern w:val="0"/>
          <w:sz w:val="21"/>
          <w:szCs w:val="21"/>
          <w:u w:val="single"/>
          <w:lang w:val="en-US" w:eastAsia="zh-CN" w:bidi="ar"/>
          <w14:textFill>
            <w14:solidFill>
              <w14:schemeClr w14:val="tx1"/>
            </w14:solidFill>
          </w14:textFill>
        </w:rPr>
        <w:t xml:space="preserve">                      </w:t>
      </w:r>
    </w:p>
    <w:p w14:paraId="1F3A97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u w:val="none"/>
          <w:lang w:val="en-US" w:eastAsia="zh-CN" w:bidi="ar"/>
          <w14:textFill>
            <w14:solidFill>
              <w14:schemeClr w14:val="tx1"/>
            </w14:solidFill>
          </w14:textFill>
        </w:rPr>
      </w:pPr>
      <w:r>
        <w:rPr>
          <w:rFonts w:ascii="宋体" w:hAnsi="宋体" w:eastAsia="宋体" w:cs="宋体"/>
          <w:color w:val="000000" w:themeColor="text1"/>
          <w:kern w:val="0"/>
          <w:sz w:val="21"/>
          <w:szCs w:val="21"/>
          <w:u w:val="none"/>
          <w:lang w:val="en-US" w:eastAsia="zh-CN" w:bidi="ar"/>
          <w14:textFill>
            <w14:solidFill>
              <w14:schemeClr w14:val="tx1"/>
            </w14:solidFill>
          </w14:textFill>
        </w:rPr>
        <w:t>统一社会信用代码：__________</w:t>
      </w:r>
    </w:p>
    <w:p w14:paraId="7B651B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u w:val="none"/>
          <w:lang w:val="en-US" w:eastAsia="zh-CN" w:bidi="ar"/>
          <w14:textFill>
            <w14:solidFill>
              <w14:schemeClr w14:val="tx1"/>
            </w14:solidFill>
          </w14:textFill>
        </w:rPr>
      </w:pPr>
      <w:r>
        <w:rPr>
          <w:rFonts w:ascii="宋体" w:hAnsi="宋体" w:eastAsia="宋体" w:cs="宋体"/>
          <w:color w:val="000000" w:themeColor="text1"/>
          <w:kern w:val="0"/>
          <w:sz w:val="21"/>
          <w:szCs w:val="21"/>
          <w:u w:val="none"/>
          <w:lang w:val="en-US" w:eastAsia="zh-CN" w:bidi="ar"/>
          <w14:textFill>
            <w14:solidFill>
              <w14:schemeClr w14:val="tx1"/>
            </w14:solidFill>
          </w14:textFill>
        </w:rPr>
        <w:t>地址：__________</w:t>
      </w:r>
    </w:p>
    <w:p w14:paraId="21581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u w:val="none"/>
          <w:lang w:val="en-US" w:eastAsia="zh-CN" w:bidi="ar"/>
          <w14:textFill>
            <w14:solidFill>
              <w14:schemeClr w14:val="tx1"/>
            </w14:solidFill>
          </w14:textFill>
        </w:rPr>
      </w:pPr>
      <w:r>
        <w:rPr>
          <w:rFonts w:ascii="宋体" w:hAnsi="宋体" w:eastAsia="宋体" w:cs="宋体"/>
          <w:color w:val="000000" w:themeColor="text1"/>
          <w:kern w:val="0"/>
          <w:sz w:val="21"/>
          <w:szCs w:val="21"/>
          <w:u w:val="none"/>
          <w:lang w:val="en-US" w:eastAsia="zh-CN" w:bidi="ar"/>
          <w14:textFill>
            <w14:solidFill>
              <w14:schemeClr w14:val="tx1"/>
            </w14:solidFill>
          </w14:textFill>
        </w:rPr>
        <w:t>法定代表人 / 委托代理人：__________</w:t>
      </w:r>
    </w:p>
    <w:p w14:paraId="00ED0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u w:val="none"/>
          <w:lang w:val="en-US" w:eastAsia="zh-CN" w:bidi="ar"/>
          <w14:textFill>
            <w14:solidFill>
              <w14:schemeClr w14:val="tx1"/>
            </w14:solidFill>
          </w14:textFill>
        </w:rPr>
      </w:pPr>
      <w:r>
        <w:rPr>
          <w:rFonts w:ascii="宋体" w:hAnsi="宋体" w:eastAsia="宋体" w:cs="宋体"/>
          <w:color w:val="000000" w:themeColor="text1"/>
          <w:kern w:val="0"/>
          <w:sz w:val="21"/>
          <w:szCs w:val="21"/>
          <w:u w:val="none"/>
          <w:lang w:val="en-US" w:eastAsia="zh-CN" w:bidi="ar"/>
          <w14:textFill>
            <w14:solidFill>
              <w14:schemeClr w14:val="tx1"/>
            </w14:solidFill>
          </w14:textFill>
        </w:rPr>
        <w:t>联系电话：__________</w:t>
      </w:r>
    </w:p>
    <w:p w14:paraId="1745EE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u w:val="none"/>
          <w:lang w:val="en-US" w:eastAsia="zh-CN" w:bidi="ar"/>
          <w14:textFill>
            <w14:solidFill>
              <w14:schemeClr w14:val="tx1"/>
            </w14:solidFill>
          </w14:textFill>
        </w:rPr>
      </w:pPr>
      <w:r>
        <w:rPr>
          <w:rFonts w:ascii="宋体" w:hAnsi="宋体" w:eastAsia="宋体" w:cs="宋体"/>
          <w:color w:val="000000" w:themeColor="text1"/>
          <w:kern w:val="0"/>
          <w:sz w:val="21"/>
          <w:szCs w:val="21"/>
          <w:u w:val="none"/>
          <w:lang w:val="en-US" w:eastAsia="zh-CN" w:bidi="ar"/>
          <w14:textFill>
            <w14:solidFill>
              <w14:schemeClr w14:val="tx1"/>
            </w14:solidFill>
          </w14:textFill>
        </w:rPr>
        <w:t>开户银行：__________</w:t>
      </w:r>
    </w:p>
    <w:p w14:paraId="7E3A86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u w:val="none"/>
          <w:lang w:val="en-US" w:eastAsia="zh-CN" w:bidi="ar"/>
          <w14:textFill>
            <w14:solidFill>
              <w14:schemeClr w14:val="tx1"/>
            </w14:solidFill>
          </w14:textFill>
        </w:rPr>
      </w:pPr>
      <w:r>
        <w:rPr>
          <w:rFonts w:ascii="宋体" w:hAnsi="宋体" w:eastAsia="宋体" w:cs="宋体"/>
          <w:color w:val="000000" w:themeColor="text1"/>
          <w:kern w:val="0"/>
          <w:sz w:val="21"/>
          <w:szCs w:val="21"/>
          <w:u w:val="none"/>
          <w:lang w:val="en-US" w:eastAsia="zh-CN" w:bidi="ar"/>
          <w14:textFill>
            <w14:solidFill>
              <w14:schemeClr w14:val="tx1"/>
            </w14:solidFill>
          </w14:textFill>
        </w:rPr>
        <w:t>银行账号：__________</w:t>
      </w:r>
    </w:p>
    <w:p w14:paraId="5A108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both"/>
        <w:rPr>
          <w:rFonts w:ascii="宋体" w:hAnsi="宋体" w:eastAsia="宋体" w:cs="宋体"/>
          <w:color w:val="000000" w:themeColor="text1"/>
          <w:kern w:val="0"/>
          <w:sz w:val="21"/>
          <w:szCs w:val="21"/>
          <w:u w:val="none"/>
          <w:lang w:val="en-US" w:eastAsia="zh-CN" w:bidi="ar"/>
          <w14:textFill>
            <w14:solidFill>
              <w14:schemeClr w14:val="tx1"/>
            </w14:solidFill>
          </w14:textFill>
        </w:rPr>
      </w:pPr>
      <w:r>
        <w:rPr>
          <w:rFonts w:ascii="宋体" w:hAnsi="宋体" w:eastAsia="宋体" w:cs="宋体"/>
          <w:color w:val="000000" w:themeColor="text1"/>
          <w:kern w:val="0"/>
          <w:sz w:val="21"/>
          <w:szCs w:val="21"/>
          <w:u w:val="none"/>
          <w:lang w:val="en-US" w:eastAsia="zh-CN" w:bidi="ar"/>
          <w14:textFill>
            <w14:solidFill>
              <w14:schemeClr w14:val="tx1"/>
            </w14:solidFill>
          </w14:textFill>
        </w:rPr>
        <w:t>营业性演出许可证编号：__________</w:t>
      </w:r>
    </w:p>
    <w:p w14:paraId="2BBFD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lang w:val="en-US" w:eastAsia="zh-CN" w:bidi="ar"/>
          <w14:textFill>
            <w14:solidFill>
              <w14:schemeClr w14:val="tx1"/>
            </w14:solidFill>
          </w14:textFill>
        </w:rPr>
      </w:pPr>
    </w:p>
    <w:p w14:paraId="2D098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依据《中华人民共和国政府采购法》《中华人民共和国民法典》《政府采购货物和服务招标投标管理办法》等相关法律法规，甲方通过公开招标方式确定乙方为本项目中标人，双方本着平等自愿、公平诚信、协商一致的原则，就乙方为甲方提供本项目开闭幕式及火炬传递仪式策划实施等相关服务事宜，签订本合同，以资共同遵守。</w:t>
      </w:r>
    </w:p>
    <w:p w14:paraId="0D21E9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center"/>
        <w:textAlignment w:val="auto"/>
        <w:outlineLvl w:val="1"/>
        <w:rPr>
          <w:color w:val="000000" w:themeColor="text1"/>
          <w:sz w:val="21"/>
          <w:szCs w:val="21"/>
          <w14:textFill>
            <w14:solidFill>
              <w14:schemeClr w14:val="tx1"/>
            </w14:solidFill>
          </w14:textFill>
        </w:rPr>
      </w:pPr>
    </w:p>
    <w:p w14:paraId="64DE338B">
      <w:pPr>
        <w:pStyle w:val="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outlineLvl w:val="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核心约定</w:t>
      </w:r>
    </w:p>
    <w:p w14:paraId="0AB4D2E8">
      <w:pPr>
        <w:keepNext w:val="0"/>
        <w:keepLines w:val="0"/>
        <w:pageBreakBefore w:val="0"/>
        <w:numPr>
          <w:ilvl w:val="0"/>
          <w:numId w:val="0"/>
        </w:numPr>
        <w:kinsoku/>
        <w:wordWrap/>
        <w:overflowPunct/>
        <w:topLinePunct w:val="0"/>
        <w:autoSpaceDE/>
        <w:autoSpaceDN/>
        <w:bidi w:val="0"/>
        <w:adjustRightInd w:val="0"/>
        <w:snapToGrid w:val="0"/>
        <w:spacing w:line="540" w:lineRule="atLeast"/>
        <w:textAlignment w:val="auto"/>
        <w:rPr>
          <w:color w:val="000000" w:themeColor="text1"/>
          <w:sz w:val="21"/>
          <w:szCs w:val="21"/>
          <w14:textFill>
            <w14:solidFill>
              <w14:schemeClr w14:val="tx1"/>
            </w14:solidFill>
          </w14:textFill>
        </w:rPr>
      </w:pPr>
    </w:p>
    <w:p w14:paraId="433DF7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outlineLvl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一、服务项目概况</w:t>
      </w:r>
    </w:p>
    <w:p w14:paraId="3323AE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项目</w:t>
      </w:r>
      <w:r>
        <w:rPr>
          <w:rFonts w:ascii="宋体" w:hAnsi="宋体" w:eastAsia="宋体" w:cs="宋体"/>
          <w:color w:val="000000" w:themeColor="text1"/>
          <w:kern w:val="0"/>
          <w:sz w:val="21"/>
          <w:szCs w:val="21"/>
          <w:lang w:val="en-US" w:eastAsia="zh-CN" w:bidi="ar"/>
          <w14:textFill>
            <w14:solidFill>
              <w14:schemeClr w14:val="tx1"/>
            </w14:solidFill>
          </w14:textFill>
        </w:rPr>
        <w:t>名称：</w:t>
      </w:r>
      <w:r>
        <w:rPr>
          <w:rFonts w:hint="eastAsia" w:ascii="宋体" w:hAnsi="宋体" w:cs="宋体"/>
          <w:color w:val="000000" w:themeColor="text1"/>
          <w:kern w:val="0"/>
          <w:sz w:val="21"/>
          <w:szCs w:val="21"/>
          <w:lang w:val="en-US" w:eastAsia="zh-CN" w:bidi="ar"/>
          <w14:textFill>
            <w14:solidFill>
              <w14:schemeClr w14:val="tx1"/>
            </w14:solidFill>
          </w14:textFill>
        </w:rPr>
        <w:t>广西壮族自治区第十六届运动会和广西壮族自治区第十一届残疾人运动会暨第六届特殊奥林匹克运动会开闭幕式及火炬传递仪式服务</w:t>
      </w:r>
    </w:p>
    <w:p w14:paraId="2DE4A0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服务范围：包含但不限于广西壮族自治区第十六届运动会和广西壮族自治区第十一届残疾人运动会暨第六届特殊奥林匹克运动会火炬传递仪式、开闭幕式全流程策划组织与实施，具体为开闭幕式文体演出、音乐创作、火炬传递仪式策划与执行、火炬及火种灯、圣火盆、火炬手护具的原创设计与定制制作、服装道具制作租赁、全程全景实录、舞美音响灯光舞台搭建、媒体直播录制配合、文稿撰写与培训、相关人员遴选与培训等，以及各场次暖场、仪式、演出环节的统筹执行等（详见本合同第二部分）。</w:t>
      </w:r>
    </w:p>
    <w:p w14:paraId="69F787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3.</w:t>
      </w:r>
      <w:r>
        <w:rPr>
          <w:rFonts w:ascii="宋体" w:hAnsi="宋体" w:eastAsia="宋体" w:cs="宋体"/>
          <w:color w:val="000000" w:themeColor="text1"/>
          <w:kern w:val="0"/>
          <w:sz w:val="21"/>
          <w:szCs w:val="21"/>
          <w:lang w:val="en-US" w:eastAsia="zh-CN" w:bidi="ar"/>
          <w14:textFill>
            <w14:solidFill>
              <w14:schemeClr w14:val="tx1"/>
            </w14:solidFill>
          </w14:textFill>
        </w:rPr>
        <w:t>服务要求：火炬传递及开闭幕式所有环节需严格落实绿色环保、低碳节能理念，残运会环节需符合无障碍环境建设要求，所有原创设计成果知识产权归甲方独家所有。</w:t>
      </w:r>
    </w:p>
    <w:p w14:paraId="53C398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4.</w:t>
      </w:r>
      <w:r>
        <w:rPr>
          <w:rFonts w:ascii="宋体" w:hAnsi="宋体" w:eastAsia="宋体" w:cs="宋体"/>
          <w:color w:val="000000" w:themeColor="text1"/>
          <w:kern w:val="0"/>
          <w:sz w:val="21"/>
          <w:szCs w:val="21"/>
          <w:lang w:val="en-US" w:eastAsia="zh-CN" w:bidi="ar"/>
          <w14:textFill>
            <w14:solidFill>
              <w14:schemeClr w14:val="tx1"/>
            </w14:solidFill>
          </w14:textFill>
        </w:rPr>
        <w:t>服务地点：（1）火炬传递仪式：北海市（含一县三区，最终以甲方批准线路为准）；（2）</w:t>
      </w:r>
      <w:r>
        <w:rPr>
          <w:rFonts w:hint="eastAsia" w:ascii="宋体" w:hAnsi="宋体" w:eastAsia="宋体" w:cs="宋体"/>
          <w:color w:val="000000" w:themeColor="text1"/>
          <w:kern w:val="0"/>
          <w:sz w:val="21"/>
          <w:szCs w:val="21"/>
          <w:lang w:val="en-US" w:eastAsia="zh-CN" w:bidi="ar"/>
          <w14:textFill>
            <w14:solidFill>
              <w14:schemeClr w14:val="tx1"/>
            </w14:solidFill>
          </w14:textFill>
        </w:rPr>
        <w:t>广西壮族自治区第十六届运动会</w:t>
      </w:r>
      <w:r>
        <w:rPr>
          <w:rFonts w:ascii="宋体" w:hAnsi="宋体" w:eastAsia="宋体" w:cs="宋体"/>
          <w:color w:val="000000" w:themeColor="text1"/>
          <w:kern w:val="0"/>
          <w:sz w:val="21"/>
          <w:szCs w:val="21"/>
          <w:lang w:val="en-US" w:eastAsia="zh-CN" w:bidi="ar"/>
          <w14:textFill>
            <w14:solidFill>
              <w14:schemeClr w14:val="tx1"/>
            </w14:solidFill>
          </w14:textFill>
        </w:rPr>
        <w:t>开幕式：中国东盟（北海）体育实训基地；（3）</w:t>
      </w:r>
      <w:r>
        <w:rPr>
          <w:rFonts w:hint="eastAsia" w:ascii="宋体" w:hAnsi="宋体" w:eastAsia="宋体" w:cs="宋体"/>
          <w:color w:val="000000" w:themeColor="text1"/>
          <w:kern w:val="0"/>
          <w:sz w:val="21"/>
          <w:szCs w:val="21"/>
          <w:lang w:val="en-US" w:eastAsia="zh-CN" w:bidi="ar"/>
          <w14:textFill>
            <w14:solidFill>
              <w14:schemeClr w14:val="tx1"/>
            </w14:solidFill>
          </w14:textFill>
        </w:rPr>
        <w:t>广西壮族自治区第十六届运动会</w:t>
      </w:r>
      <w:r>
        <w:rPr>
          <w:rFonts w:ascii="宋体" w:hAnsi="宋体" w:eastAsia="宋体" w:cs="宋体"/>
          <w:color w:val="000000" w:themeColor="text1"/>
          <w:kern w:val="0"/>
          <w:sz w:val="21"/>
          <w:szCs w:val="21"/>
          <w:lang w:val="en-US" w:eastAsia="zh-CN" w:bidi="ar"/>
          <w14:textFill>
            <w14:solidFill>
              <w14:schemeClr w14:val="tx1"/>
            </w14:solidFill>
          </w14:textFill>
        </w:rPr>
        <w:t>闭幕式、</w:t>
      </w:r>
      <w:r>
        <w:rPr>
          <w:rFonts w:hint="eastAsia" w:ascii="宋体" w:hAnsi="宋体" w:eastAsia="宋体" w:cs="宋体"/>
          <w:color w:val="000000" w:themeColor="text1"/>
          <w:kern w:val="0"/>
          <w:sz w:val="21"/>
          <w:szCs w:val="21"/>
          <w:lang w:val="en-US" w:eastAsia="zh-CN" w:bidi="ar"/>
          <w14:textFill>
            <w14:solidFill>
              <w14:schemeClr w14:val="tx1"/>
            </w14:solidFill>
          </w14:textFill>
        </w:rPr>
        <w:t>第十一届残运会暨第六届特殊奥林匹克运动会</w:t>
      </w:r>
      <w:r>
        <w:rPr>
          <w:rFonts w:ascii="宋体" w:hAnsi="宋体" w:eastAsia="宋体" w:cs="宋体"/>
          <w:color w:val="000000" w:themeColor="text1"/>
          <w:kern w:val="0"/>
          <w:sz w:val="21"/>
          <w:szCs w:val="21"/>
          <w:lang w:val="en-US" w:eastAsia="zh-CN" w:bidi="ar"/>
          <w14:textFill>
            <w14:solidFill>
              <w14:schemeClr w14:val="tx1"/>
            </w14:solidFill>
          </w14:textFill>
        </w:rPr>
        <w:t>开闭幕式：北海市体育馆。</w:t>
      </w:r>
    </w:p>
    <w:p w14:paraId="789377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5.</w:t>
      </w:r>
      <w:r>
        <w:rPr>
          <w:rFonts w:ascii="宋体" w:hAnsi="宋体" w:eastAsia="宋体" w:cs="宋体"/>
          <w:color w:val="000000" w:themeColor="text1"/>
          <w:kern w:val="0"/>
          <w:sz w:val="21"/>
          <w:szCs w:val="21"/>
          <w:lang w:val="en-US" w:eastAsia="zh-CN" w:bidi="ar"/>
          <w14:textFill>
            <w14:solidFill>
              <w14:schemeClr w14:val="tx1"/>
            </w14:solidFill>
          </w14:textFill>
        </w:rPr>
        <w:t>服务期限：</w:t>
      </w:r>
      <w:r>
        <w:rPr>
          <w:rFonts w:hint="eastAsia" w:ascii="宋体" w:hAnsi="宋体" w:eastAsia="宋体" w:cs="宋体"/>
          <w:color w:val="000000" w:themeColor="text1"/>
          <w:kern w:val="0"/>
          <w:sz w:val="21"/>
          <w:szCs w:val="21"/>
          <w:lang w:val="en-US" w:eastAsia="zh-CN" w:bidi="ar"/>
          <w14:textFill>
            <w14:solidFill>
              <w14:schemeClr w14:val="tx1"/>
            </w14:solidFill>
          </w14:textFill>
        </w:rPr>
        <w:t>2026年5月至 2026年12月（具体以甲方书面通知为准，乙方收到通知后 24 小时内书面确认，逾期未确认视为认可）；服务期限包含方案策划、人员培训、排练、彩排、正式活动、撤场及验收等全流程。</w:t>
      </w:r>
    </w:p>
    <w:p w14:paraId="5F9E55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二、服务费用及支付方式</w:t>
      </w:r>
    </w:p>
    <w:p w14:paraId="5305FF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w:t>
      </w:r>
      <w:r>
        <w:rPr>
          <w:rFonts w:ascii="宋体" w:hAnsi="宋体" w:eastAsia="宋体" w:cs="宋体"/>
          <w:color w:val="000000" w:themeColor="text1"/>
          <w:kern w:val="0"/>
          <w:sz w:val="21"/>
          <w:szCs w:val="21"/>
          <w:lang w:val="en-US" w:eastAsia="zh-CN" w:bidi="ar"/>
          <w14:textFill>
            <w14:solidFill>
              <w14:schemeClr w14:val="tx1"/>
            </w14:solidFill>
          </w14:textFill>
        </w:rPr>
        <w:t xml:space="preserve">合同总价：人民币______元（大写：______________________元整），该价格为总价包干价，包含乙方完成本项目全部服务的一切费用（含税费、人员劳务费 </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 xml:space="preserve"> 食宿费</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保险费</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 xml:space="preserve">设备采购 </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 xml:space="preserve"> 租赁费、制作费、排练费、演出费、版权费、火炬及相关护具设计制作费、无障碍设施搭建费、场地清场费、运输费、安全保障费等），甲方不再支付任何额外费用。本价格不得高于项目最高限价 13</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000</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000.00 元，且已充分考虑项目实施过程中甲方优化舞台效果、增加设备 / 人员等所有风险。</w:t>
      </w:r>
    </w:p>
    <w:p w14:paraId="2D3843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w:t>
      </w:r>
      <w:r>
        <w:rPr>
          <w:rFonts w:ascii="宋体" w:hAnsi="宋体" w:eastAsia="宋体" w:cs="宋体"/>
          <w:color w:val="000000" w:themeColor="text1"/>
          <w:kern w:val="0"/>
          <w:sz w:val="21"/>
          <w:szCs w:val="21"/>
          <w:lang w:val="en-US" w:eastAsia="zh-CN" w:bidi="ar"/>
          <w14:textFill>
            <w14:solidFill>
              <w14:schemeClr w14:val="tx1"/>
            </w14:solidFill>
          </w14:textFill>
        </w:rPr>
        <w:t>付款方式：甲方以银行转账方式支付，乙方每次收款前需向甲方开具等额合法有效的增值税专用发票，否则甲方有权顺延付款，且不承担违约责任。具体付款节点：</w:t>
      </w:r>
    </w:p>
    <w:p w14:paraId="014584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ascii="宋体" w:hAnsi="宋体" w:eastAsia="宋体" w:cs="宋体"/>
          <w:color w:val="000000" w:themeColor="text1"/>
          <w:kern w:val="0"/>
          <w:sz w:val="21"/>
          <w:szCs w:val="21"/>
          <w:lang w:val="en-US" w:eastAsia="zh-CN" w:bidi="ar"/>
          <w14:textFill>
            <w14:solidFill>
              <w14:schemeClr w14:val="tx1"/>
            </w14:solidFill>
          </w14:textFill>
        </w:rPr>
        <w:t>首期款（30%）：合同签订生效后，甲方收到乙方开具的</w:t>
      </w:r>
      <w:r>
        <w:rPr>
          <w:rFonts w:hint="eastAsia" w:ascii="宋体" w:hAnsi="宋体" w:cs="宋体"/>
          <w:color w:val="000000" w:themeColor="text1"/>
          <w:kern w:val="0"/>
          <w:sz w:val="21"/>
          <w:szCs w:val="21"/>
          <w:lang w:val="en-US" w:eastAsia="zh-CN" w:bidi="ar"/>
          <w14:textFill>
            <w14:solidFill>
              <w14:schemeClr w14:val="tx1"/>
            </w14:solidFill>
          </w14:textFill>
        </w:rPr>
        <w:t>等额发票</w:t>
      </w:r>
      <w:r>
        <w:rPr>
          <w:rFonts w:ascii="宋体" w:hAnsi="宋体" w:eastAsia="宋体" w:cs="宋体"/>
          <w:color w:val="000000" w:themeColor="text1"/>
          <w:kern w:val="0"/>
          <w:sz w:val="21"/>
          <w:szCs w:val="21"/>
          <w:lang w:val="en-US" w:eastAsia="zh-CN" w:bidi="ar"/>
          <w14:textFill>
            <w14:solidFill>
              <w14:schemeClr w14:val="tx1"/>
            </w14:solidFill>
          </w14:textFill>
        </w:rPr>
        <w:t>之日起 10 日内，支付合同总金额的 30%，即人民币______元；</w:t>
      </w:r>
    </w:p>
    <w:p w14:paraId="369B9DF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二期款（20%）：演出执行方案经组委会审定通过后，甲方收到乙方开具的</w:t>
      </w:r>
      <w:r>
        <w:rPr>
          <w:rFonts w:hint="eastAsia" w:ascii="宋体" w:hAnsi="宋体" w:cs="宋体"/>
          <w:color w:val="000000" w:themeColor="text1"/>
          <w:kern w:val="0"/>
          <w:sz w:val="21"/>
          <w:szCs w:val="21"/>
          <w:lang w:val="en-US" w:eastAsia="zh-CN" w:bidi="ar"/>
          <w14:textFill>
            <w14:solidFill>
              <w14:schemeClr w14:val="tx1"/>
            </w14:solidFill>
          </w14:textFill>
        </w:rPr>
        <w:t>等额发票</w:t>
      </w:r>
      <w:r>
        <w:rPr>
          <w:rFonts w:ascii="宋体" w:hAnsi="宋体" w:eastAsia="宋体" w:cs="宋体"/>
          <w:color w:val="000000" w:themeColor="text1"/>
          <w:kern w:val="0"/>
          <w:sz w:val="21"/>
          <w:szCs w:val="21"/>
          <w:lang w:val="en-US" w:eastAsia="zh-CN" w:bidi="ar"/>
          <w14:textFill>
            <w14:solidFill>
              <w14:schemeClr w14:val="tx1"/>
            </w14:solidFill>
          </w14:textFill>
        </w:rPr>
        <w:t>之日起 10 日内，支付合同总金额的 20%，即人民币______元；</w:t>
      </w:r>
    </w:p>
    <w:p w14:paraId="5411DD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r>
        <w:rPr>
          <w:rFonts w:ascii="宋体" w:hAnsi="宋体" w:eastAsia="宋体" w:cs="宋体"/>
          <w:color w:val="000000" w:themeColor="text1"/>
          <w:kern w:val="0"/>
          <w:sz w:val="21"/>
          <w:szCs w:val="21"/>
          <w:lang w:val="en-US" w:eastAsia="zh-CN" w:bidi="ar"/>
          <w14:textFill>
            <w14:solidFill>
              <w14:schemeClr w14:val="tx1"/>
            </w14:solidFill>
          </w14:textFill>
        </w:rPr>
        <w:t>三期款（20%）：广西壮族自治区第十六届运动会开幕式全流程合成彩排完成后，甲方收到乙方开具的</w:t>
      </w:r>
      <w:r>
        <w:rPr>
          <w:rFonts w:hint="eastAsia" w:ascii="宋体" w:hAnsi="宋体" w:cs="宋体"/>
          <w:color w:val="000000" w:themeColor="text1"/>
          <w:kern w:val="0"/>
          <w:sz w:val="21"/>
          <w:szCs w:val="21"/>
          <w:lang w:val="en-US" w:eastAsia="zh-CN" w:bidi="ar"/>
          <w14:textFill>
            <w14:solidFill>
              <w14:schemeClr w14:val="tx1"/>
            </w14:solidFill>
          </w14:textFill>
        </w:rPr>
        <w:t>等额发票</w:t>
      </w:r>
      <w:r>
        <w:rPr>
          <w:rFonts w:ascii="宋体" w:hAnsi="宋体" w:eastAsia="宋体" w:cs="宋体"/>
          <w:color w:val="000000" w:themeColor="text1"/>
          <w:kern w:val="0"/>
          <w:sz w:val="21"/>
          <w:szCs w:val="21"/>
          <w:lang w:val="en-US" w:eastAsia="zh-CN" w:bidi="ar"/>
          <w14:textFill>
            <w14:solidFill>
              <w14:schemeClr w14:val="tx1"/>
            </w14:solidFill>
          </w14:textFill>
        </w:rPr>
        <w:t>之日起 10 日内，支付合同总金额的 20%，即人民币______元；</w:t>
      </w:r>
    </w:p>
    <w:p w14:paraId="1C29E2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r>
        <w:rPr>
          <w:rFonts w:ascii="宋体" w:hAnsi="宋体" w:eastAsia="宋体" w:cs="宋体"/>
          <w:color w:val="000000" w:themeColor="text1"/>
          <w:kern w:val="0"/>
          <w:sz w:val="21"/>
          <w:szCs w:val="21"/>
          <w:lang w:val="en-US" w:eastAsia="zh-CN" w:bidi="ar"/>
          <w14:textFill>
            <w14:solidFill>
              <w14:schemeClr w14:val="tx1"/>
            </w14:solidFill>
          </w14:textFill>
        </w:rPr>
        <w:t>尾款（30%）</w:t>
      </w:r>
      <w:r>
        <w:rPr>
          <w:color w:val="000000" w:themeColor="text1"/>
          <w:sz w:val="24"/>
          <w:szCs w:val="24"/>
          <w:shd w:val="clear" w:fill="FFFFFF"/>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广西壮族自治区第十一届残疾人运动会暨第六届特殊奥林匹克运动会闭幕式结束后，乙方完成场内设施拆卸及清场工作并经甲方履约验收合格，甲方收到乙方开具的</w:t>
      </w:r>
      <w:r>
        <w:rPr>
          <w:rFonts w:hint="eastAsia" w:ascii="宋体" w:hAnsi="宋体" w:cs="宋体"/>
          <w:color w:val="000000" w:themeColor="text1"/>
          <w:kern w:val="0"/>
          <w:sz w:val="21"/>
          <w:szCs w:val="21"/>
          <w:lang w:val="en-US" w:eastAsia="zh-CN" w:bidi="ar"/>
          <w14:textFill>
            <w14:solidFill>
              <w14:schemeClr w14:val="tx1"/>
            </w14:solidFill>
          </w14:textFill>
        </w:rPr>
        <w:t>等额发票</w:t>
      </w:r>
      <w:r>
        <w:rPr>
          <w:rFonts w:ascii="宋体" w:hAnsi="宋体" w:eastAsia="宋体" w:cs="宋体"/>
          <w:color w:val="000000" w:themeColor="text1"/>
          <w:kern w:val="0"/>
          <w:sz w:val="21"/>
          <w:szCs w:val="21"/>
          <w:lang w:val="en-US" w:eastAsia="zh-CN" w:bidi="ar"/>
          <w14:textFill>
            <w14:solidFill>
              <w14:schemeClr w14:val="tx1"/>
            </w14:solidFill>
          </w14:textFill>
        </w:rPr>
        <w:t>之日起 10 日内，支付合同总金额的 30%，即人民币______元</w:t>
      </w:r>
      <w:r>
        <w:rPr>
          <w:rFonts w:hint="eastAsia" w:ascii="宋体" w:hAnsi="宋体" w:cs="宋体"/>
          <w:color w:val="000000" w:themeColor="text1"/>
          <w:kern w:val="0"/>
          <w:sz w:val="21"/>
          <w:szCs w:val="21"/>
          <w:lang w:val="en-US" w:eastAsia="zh-CN" w:bidi="ar"/>
          <w14:textFill>
            <w14:solidFill>
              <w14:schemeClr w14:val="tx1"/>
            </w14:solidFill>
          </w14:textFill>
        </w:rPr>
        <w:t>。</w:t>
      </w:r>
    </w:p>
    <w:p w14:paraId="670D4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r>
        <w:rPr>
          <w:rFonts w:ascii="宋体" w:hAnsi="宋体" w:eastAsia="宋体" w:cs="宋体"/>
          <w:color w:val="000000" w:themeColor="text1"/>
          <w:kern w:val="0"/>
          <w:sz w:val="21"/>
          <w:szCs w:val="21"/>
          <w:lang w:val="en-US" w:eastAsia="zh-CN" w:bidi="ar"/>
          <w14:textFill>
            <w14:solidFill>
              <w14:schemeClr w14:val="tx1"/>
            </w14:solidFill>
          </w14:textFill>
        </w:rPr>
        <w:t>发票要求：乙方开具的发票应符合国家税收法律法规规定，发票项目、金额与本合同约定一致，开票信息以甲方书面通知为准。</w:t>
      </w:r>
    </w:p>
    <w:p w14:paraId="44CBCD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hint="default" w:ascii="宋体" w:hAnsi="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三、履约保证金</w:t>
      </w:r>
    </w:p>
    <w:p w14:paraId="6B7D9D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若因乙方下属全资子公司原因导致违约的，视为乙方违约，甲方按本条款扣除履约保证金并要求赔偿。</w:t>
      </w:r>
    </w:p>
    <w:p w14:paraId="03E91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w:t>
      </w:r>
      <w:r>
        <w:rPr>
          <w:rFonts w:ascii="宋体" w:hAnsi="宋体" w:eastAsia="宋体" w:cs="宋体"/>
          <w:color w:val="000000" w:themeColor="text1"/>
          <w:kern w:val="0"/>
          <w:sz w:val="21"/>
          <w:szCs w:val="21"/>
          <w:lang w:val="en-US" w:eastAsia="zh-CN" w:bidi="ar"/>
          <w14:textFill>
            <w14:solidFill>
              <w14:schemeClr w14:val="tx1"/>
            </w14:solidFill>
          </w14:textFill>
        </w:rPr>
        <w:t>乙方应在本合同签订当日，向甲方提交合同总金额5%的履约保证金，即人民币______元，保证金形式为银行保函 / 保险公司保函 / 汇票 / 本票（禁止现金形式），甲方不得拒收合法有效的保函。</w:t>
      </w:r>
    </w:p>
    <w:p w14:paraId="1EA63E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w:t>
      </w:r>
      <w:r>
        <w:rPr>
          <w:rFonts w:ascii="宋体" w:hAnsi="宋体" w:eastAsia="宋体" w:cs="宋体"/>
          <w:color w:val="000000" w:themeColor="text1"/>
          <w:kern w:val="0"/>
          <w:sz w:val="21"/>
          <w:szCs w:val="21"/>
          <w:lang w:val="en-US" w:eastAsia="zh-CN" w:bidi="ar"/>
          <w14:textFill>
            <w14:solidFill>
              <w14:schemeClr w14:val="tx1"/>
            </w14:solidFill>
          </w14:textFill>
        </w:rPr>
        <w:t>履约保证金有效期：自合同生效之日起至本项目全部履约验收合格且乙方完成所有收尾工作之日止。</w:t>
      </w:r>
    </w:p>
    <w:p w14:paraId="11409A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w:t>
      </w:r>
      <w:r>
        <w:rPr>
          <w:rFonts w:ascii="宋体" w:hAnsi="宋体" w:eastAsia="宋体" w:cs="宋体"/>
          <w:color w:val="000000" w:themeColor="text1"/>
          <w:kern w:val="0"/>
          <w:sz w:val="21"/>
          <w:szCs w:val="21"/>
          <w:lang w:val="en-US" w:eastAsia="zh-CN" w:bidi="ar"/>
          <w14:textFill>
            <w14:solidFill>
              <w14:schemeClr w14:val="tx1"/>
            </w14:solidFill>
          </w14:textFill>
        </w:rPr>
        <w:t>履约保证金退还：本项目全部验收合格后 30 个工作日内，甲方无息退还乙方履约保证金（若为保函，甲方配合办理保函注销手续）</w:t>
      </w:r>
      <w:r>
        <w:rPr>
          <w:rFonts w:hint="eastAsia" w:ascii="宋体" w:hAnsi="宋体" w:cs="宋体"/>
          <w:color w:val="000000" w:themeColor="text1"/>
          <w:kern w:val="0"/>
          <w:sz w:val="21"/>
          <w:szCs w:val="21"/>
          <w:lang w:val="en-US" w:eastAsia="zh-CN" w:bidi="ar"/>
          <w14:textFill>
            <w14:solidFill>
              <w14:schemeClr w14:val="tx1"/>
            </w14:solidFill>
          </w14:textFill>
        </w:rPr>
        <w:t>；履约</w:t>
      </w:r>
      <w:r>
        <w:rPr>
          <w:rFonts w:ascii="宋体" w:hAnsi="宋体" w:eastAsia="宋体" w:cs="宋体"/>
          <w:color w:val="000000" w:themeColor="text1"/>
          <w:kern w:val="0"/>
          <w:sz w:val="21"/>
          <w:szCs w:val="21"/>
          <w:lang w:val="en-US" w:eastAsia="zh-CN" w:bidi="ar"/>
          <w14:textFill>
            <w14:solidFill>
              <w14:schemeClr w14:val="tx1"/>
            </w14:solidFill>
          </w14:textFill>
        </w:rPr>
        <w:t>保证金退还前，乙方需完成所有收尾工作（含场地复原、物资移交、档案交接等）。</w:t>
      </w:r>
    </w:p>
    <w:p w14:paraId="5A55F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w:t>
      </w:r>
      <w:r>
        <w:rPr>
          <w:rFonts w:hint="eastAsia" w:ascii="宋体" w:hAnsi="宋体" w:cs="宋体"/>
          <w:color w:val="000000" w:themeColor="text1"/>
          <w:kern w:val="0"/>
          <w:sz w:val="21"/>
          <w:szCs w:val="21"/>
          <w:lang w:val="en-US" w:eastAsia="zh-CN" w:bidi="ar"/>
          <w14:textFill>
            <w14:solidFill>
              <w14:schemeClr w14:val="tx1"/>
            </w14:solidFill>
          </w14:textFill>
        </w:rPr>
        <w:t>履约</w:t>
      </w:r>
      <w:r>
        <w:rPr>
          <w:rFonts w:ascii="宋体" w:hAnsi="宋体" w:eastAsia="宋体" w:cs="宋体"/>
          <w:color w:val="000000" w:themeColor="text1"/>
          <w:kern w:val="0"/>
          <w:sz w:val="21"/>
          <w:szCs w:val="21"/>
          <w:lang w:val="en-US" w:eastAsia="zh-CN" w:bidi="ar"/>
          <w14:textFill>
            <w14:solidFill>
              <w14:schemeClr w14:val="tx1"/>
            </w14:solidFill>
          </w14:textFill>
        </w:rPr>
        <w:t>保证金扣除情形：乙方出现本合同约定的违约情形（如项目进度滞后、演出质量不达标、擅自更换人员、安全事故等），甲方有权根据违约程度扣除部分或全部履约保证金；若乙方违约给甲方造成的损失超过履约保证金金额，乙方需依法赔偿超出部分。</w:t>
      </w:r>
    </w:p>
    <w:p w14:paraId="0C5DCD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【注】本部分所有条款均严格对应采购需求中火炬传递、各场次开闭幕式的演员规模、排练次数、技术要求、清场时限等核心要求，乙方需 100% 履约。</w:t>
      </w:r>
    </w:p>
    <w:p w14:paraId="679223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p>
    <w:p w14:paraId="1E286E8E">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lang w:val="en-US" w:eastAsia="zh-CN" w:bidi="ar"/>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服务内容及执行标准</w:t>
      </w:r>
    </w:p>
    <w:p w14:paraId="5F41B19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p>
    <w:p w14:paraId="05305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一、火炬传递仪式服务</w:t>
      </w:r>
    </w:p>
    <w:p w14:paraId="19FAA8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w:t>
      </w:r>
      <w:r>
        <w:rPr>
          <w:rFonts w:ascii="宋体" w:hAnsi="宋体" w:eastAsia="宋体" w:cs="宋体"/>
          <w:color w:val="000000" w:themeColor="text1"/>
          <w:kern w:val="0"/>
          <w:sz w:val="21"/>
          <w:szCs w:val="21"/>
          <w:lang w:val="en-US" w:eastAsia="zh-CN" w:bidi="ar"/>
          <w14:textFill>
            <w14:solidFill>
              <w14:schemeClr w14:val="tx1"/>
            </w14:solidFill>
          </w14:textFill>
        </w:rPr>
        <w:t>乙方负责火炬传递全程策划与实施，制定总体方案、路线细化方案、起跑 / 收火仪式方案，经甲方审定后执行；</w:t>
      </w:r>
    </w:p>
    <w:p w14:paraId="7F625B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w:t>
      </w:r>
      <w:r>
        <w:rPr>
          <w:rFonts w:ascii="宋体" w:hAnsi="宋体" w:eastAsia="宋体" w:cs="宋体"/>
          <w:color w:val="000000" w:themeColor="text1"/>
          <w:kern w:val="0"/>
          <w:sz w:val="21"/>
          <w:szCs w:val="21"/>
          <w:lang w:val="en-US" w:eastAsia="zh-CN" w:bidi="ar"/>
          <w14:textFill>
            <w14:solidFill>
              <w14:schemeClr w14:val="tx1"/>
            </w14:solidFill>
          </w14:textFill>
        </w:rPr>
        <w:t>负责火炬、火种灯、圣火盆、火炬手护具的原创设计与定制制作，材料符合环保、安全、耐用要求，火焰效果醒目稳定，具备防风、防雨功能；</w:t>
      </w:r>
    </w:p>
    <w:p w14:paraId="0E1BE1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w:t>
      </w:r>
      <w:r>
        <w:rPr>
          <w:rFonts w:ascii="宋体" w:hAnsi="宋体" w:eastAsia="宋体" w:cs="宋体"/>
          <w:color w:val="000000" w:themeColor="text1"/>
          <w:kern w:val="0"/>
          <w:sz w:val="21"/>
          <w:szCs w:val="21"/>
          <w:lang w:val="en-US" w:eastAsia="zh-CN" w:bidi="ar"/>
          <w14:textFill>
            <w14:solidFill>
              <w14:schemeClr w14:val="tx1"/>
            </w14:solidFill>
          </w14:textFill>
        </w:rPr>
        <w:t>负责火炬手、护跑手、志愿者的遴选与培训，火炬手涵盖优秀运动员、残疾人运动员、社会先进模范等，培训内容包含交接规范、应急处理等；</w:t>
      </w:r>
    </w:p>
    <w:p w14:paraId="3DE83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w:t>
      </w:r>
      <w:r>
        <w:rPr>
          <w:rFonts w:ascii="宋体" w:hAnsi="宋体" w:eastAsia="宋体" w:cs="宋体"/>
          <w:color w:val="000000" w:themeColor="text1"/>
          <w:kern w:val="0"/>
          <w:sz w:val="21"/>
          <w:szCs w:val="21"/>
          <w:lang w:val="en-US" w:eastAsia="zh-CN" w:bidi="ar"/>
          <w14:textFill>
            <w14:solidFill>
              <w14:schemeClr w14:val="tx1"/>
            </w14:solidFill>
          </w14:textFill>
        </w:rPr>
        <w:t xml:space="preserve">负责起跑 / 收火仪式的舞美搭建、音响设备、流程把控，配合媒体完成宣传报道及直播录制，传递结束后 </w:t>
      </w:r>
      <w:r>
        <w:rPr>
          <w:rFonts w:hint="eastAsia" w:ascii="宋体" w:hAnsi="宋体" w:cs="宋体"/>
          <w:color w:val="000000" w:themeColor="text1"/>
          <w:kern w:val="0"/>
          <w:sz w:val="21"/>
          <w:szCs w:val="21"/>
          <w:lang w:val="en-US" w:eastAsia="zh-CN" w:bidi="ar"/>
          <w14:textFill>
            <w14:solidFill>
              <w14:schemeClr w14:val="tx1"/>
            </w14:solidFill>
          </w14:textFill>
        </w:rPr>
        <w:t>48</w:t>
      </w:r>
      <w:r>
        <w:rPr>
          <w:rFonts w:ascii="宋体" w:hAnsi="宋体" w:eastAsia="宋体" w:cs="宋体"/>
          <w:color w:val="000000" w:themeColor="text1"/>
          <w:kern w:val="0"/>
          <w:sz w:val="21"/>
          <w:szCs w:val="21"/>
          <w:lang w:val="en-US" w:eastAsia="zh-CN" w:bidi="ar"/>
          <w14:textFill>
            <w14:solidFill>
              <w14:schemeClr w14:val="tx1"/>
            </w14:solidFill>
          </w14:textFill>
        </w:rPr>
        <w:t xml:space="preserve"> 小时内完成场地清场并恢复原貌。</w:t>
      </w:r>
    </w:p>
    <w:p w14:paraId="3589FA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二、各场次开闭幕式演出服务执行标准</w:t>
      </w:r>
    </w:p>
    <w:p w14:paraId="00157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（一）</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广西壮族自治区第十六届运动会</w:t>
      </w:r>
      <w:r>
        <w:rPr>
          <w:rFonts w:ascii="宋体" w:hAnsi="宋体" w:eastAsia="宋体" w:cs="宋体"/>
          <w:b/>
          <w:bCs/>
          <w:color w:val="000000" w:themeColor="text1"/>
          <w:kern w:val="0"/>
          <w:sz w:val="21"/>
          <w:szCs w:val="21"/>
          <w:lang w:val="en-US" w:eastAsia="zh-CN" w:bidi="ar"/>
          <w14:textFill>
            <w14:solidFill>
              <w14:schemeClr w14:val="tx1"/>
            </w14:solidFill>
          </w14:textFill>
        </w:rPr>
        <w:t>开幕式</w:t>
      </w:r>
    </w:p>
    <w:p w14:paraId="7CFB0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ascii="宋体" w:hAnsi="宋体" w:eastAsia="宋体" w:cs="宋体"/>
          <w:color w:val="000000" w:themeColor="text1"/>
          <w:kern w:val="0"/>
          <w:sz w:val="21"/>
          <w:szCs w:val="21"/>
          <w:lang w:val="en-US" w:eastAsia="zh-CN" w:bidi="ar"/>
          <w14:textFill>
            <w14:solidFill>
              <w14:schemeClr w14:val="tx1"/>
            </w14:solidFill>
          </w14:textFill>
        </w:rPr>
        <w:t>总时长控制在 120 分钟内，其中大型文艺表演 40 分钟（最终以甲方审定为准），包含入场式、升国旗会旗、领导致辞、代表宣誓、节目表演等流程，要求无缝衔接；</w:t>
      </w:r>
    </w:p>
    <w:p w14:paraId="14267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演员阵容总人数</w:t>
      </w:r>
      <w:r>
        <w:rPr>
          <w:rFonts w:hint="eastAsia" w:ascii="宋体" w:hAnsi="宋体" w:cs="宋体"/>
          <w:color w:val="000000" w:themeColor="text1"/>
          <w:kern w:val="0"/>
          <w:sz w:val="21"/>
          <w:szCs w:val="21"/>
          <w:lang w:val="en-US" w:eastAsia="zh-CN" w:bidi="ar"/>
          <w14:textFill>
            <w14:solidFill>
              <w14:schemeClr w14:val="tx1"/>
            </w14:solidFill>
          </w14:textFill>
        </w:rPr>
        <w:t>不超过</w:t>
      </w:r>
      <w:r>
        <w:rPr>
          <w:rFonts w:ascii="宋体" w:hAnsi="宋体" w:eastAsia="宋体" w:cs="宋体"/>
          <w:color w:val="000000" w:themeColor="text1"/>
          <w:kern w:val="0"/>
          <w:sz w:val="21"/>
          <w:szCs w:val="21"/>
          <w:lang w:val="en-US" w:eastAsia="zh-CN" w:bidi="ar"/>
          <w14:textFill>
            <w14:solidFill>
              <w14:schemeClr w14:val="tx1"/>
            </w14:solidFill>
          </w14:textFill>
        </w:rPr>
        <w:t>2000 人，其中专业演员</w:t>
      </w:r>
      <w:r>
        <w:rPr>
          <w:rFonts w:hint="eastAsia" w:ascii="宋体" w:hAnsi="宋体" w:eastAsia="宋体" w:cs="宋体"/>
          <w:color w:val="000000" w:themeColor="text1"/>
          <w:kern w:val="0"/>
          <w:sz w:val="21"/>
          <w:szCs w:val="21"/>
          <w:lang w:val="en-US" w:eastAsia="zh-CN" w:bidi="ar"/>
          <w14:textFill>
            <w14:solidFill>
              <w14:schemeClr w14:val="tx1"/>
            </w14:solidFill>
          </w14:textFill>
        </w:rPr>
        <w:t>不低于</w:t>
      </w:r>
      <w:r>
        <w:rPr>
          <w:rFonts w:ascii="宋体" w:hAnsi="宋体" w:eastAsia="宋体" w:cs="宋体"/>
          <w:color w:val="000000" w:themeColor="text1"/>
          <w:kern w:val="0"/>
          <w:sz w:val="21"/>
          <w:szCs w:val="21"/>
          <w:lang w:val="en-US" w:eastAsia="zh-CN" w:bidi="ar"/>
          <w14:textFill>
            <w14:solidFill>
              <w14:schemeClr w14:val="tx1"/>
            </w14:solidFill>
          </w14:textFill>
        </w:rPr>
        <w:t>200 人，专业演员的吃住行、劳务、保险等全部费用由乙方承担；</w:t>
      </w:r>
    </w:p>
    <w:p w14:paraId="46A7C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r>
        <w:rPr>
          <w:rFonts w:ascii="宋体" w:hAnsi="宋体" w:eastAsia="宋体" w:cs="宋体"/>
          <w:color w:val="000000" w:themeColor="text1"/>
          <w:kern w:val="0"/>
          <w:sz w:val="21"/>
          <w:szCs w:val="21"/>
          <w:lang w:val="en-US" w:eastAsia="zh-CN" w:bidi="ar"/>
          <w14:textFill>
            <w14:solidFill>
              <w14:schemeClr w14:val="tx1"/>
            </w14:solidFill>
          </w14:textFill>
        </w:rPr>
        <w:t>集中排练、彩排至正式演出</w:t>
      </w:r>
      <w:r>
        <w:rPr>
          <w:rFonts w:hint="eastAsia" w:ascii="宋体" w:hAnsi="宋体" w:eastAsia="宋体" w:cs="宋体"/>
          <w:color w:val="000000" w:themeColor="text1"/>
          <w:kern w:val="0"/>
          <w:sz w:val="21"/>
          <w:szCs w:val="21"/>
          <w:lang w:val="en-US" w:eastAsia="zh-CN" w:bidi="ar"/>
          <w14:textFill>
            <w14:solidFill>
              <w14:schemeClr w14:val="tx1"/>
            </w14:solidFill>
          </w14:textFill>
        </w:rPr>
        <w:t>不低于</w:t>
      </w:r>
      <w:r>
        <w:rPr>
          <w:rFonts w:ascii="宋体" w:hAnsi="宋体" w:eastAsia="宋体" w:cs="宋体"/>
          <w:color w:val="000000" w:themeColor="text1"/>
          <w:kern w:val="0"/>
          <w:sz w:val="21"/>
          <w:szCs w:val="21"/>
          <w:lang w:val="en-US" w:eastAsia="zh-CN" w:bidi="ar"/>
          <w14:textFill>
            <w14:solidFill>
              <w14:schemeClr w14:val="tx1"/>
            </w14:solidFill>
          </w14:textFill>
        </w:rPr>
        <w:t>4 次（含暖场表演），乙方制定详细排练计划并报甲方审核；</w:t>
      </w:r>
    </w:p>
    <w:p w14:paraId="3241D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r>
        <w:rPr>
          <w:rFonts w:ascii="宋体" w:hAnsi="宋体" w:eastAsia="宋体" w:cs="宋体"/>
          <w:color w:val="000000" w:themeColor="text1"/>
          <w:kern w:val="0"/>
          <w:sz w:val="21"/>
          <w:szCs w:val="21"/>
          <w:lang w:val="en-US" w:eastAsia="zh-CN" w:bidi="ar"/>
          <w14:textFill>
            <w14:solidFill>
              <w14:schemeClr w14:val="tx1"/>
            </w14:solidFill>
          </w14:textFill>
        </w:rPr>
        <w:t>文艺表演综合运用高清投影、超清 LED 数字光影、裸眼 3D 等技术，打造全景化视觉效果；</w:t>
      </w:r>
    </w:p>
    <w:p w14:paraId="5BB7C9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r>
        <w:rPr>
          <w:rFonts w:ascii="宋体" w:hAnsi="宋体" w:eastAsia="宋体" w:cs="宋体"/>
          <w:color w:val="000000" w:themeColor="text1"/>
          <w:kern w:val="0"/>
          <w:sz w:val="21"/>
          <w:szCs w:val="21"/>
          <w:lang w:val="en-US" w:eastAsia="zh-CN" w:bidi="ar"/>
          <w14:textFill>
            <w14:solidFill>
              <w14:schemeClr w14:val="tx1"/>
            </w14:solidFill>
          </w14:textFill>
        </w:rPr>
        <w:t>场内火炬传递路线与点火仪式结合广西、北海地域文化及绿色环保理念原创设计，方案经甲方审定；</w:t>
      </w:r>
    </w:p>
    <w:p w14:paraId="640838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w:t>
      </w:r>
      <w:r>
        <w:rPr>
          <w:rFonts w:ascii="宋体" w:hAnsi="宋体" w:eastAsia="宋体" w:cs="宋体"/>
          <w:color w:val="000000" w:themeColor="text1"/>
          <w:kern w:val="0"/>
          <w:sz w:val="21"/>
          <w:szCs w:val="21"/>
          <w:lang w:val="en-US" w:eastAsia="zh-CN" w:bidi="ar"/>
          <w14:textFill>
            <w14:solidFill>
              <w14:schemeClr w14:val="tx1"/>
            </w14:solidFill>
          </w14:textFill>
        </w:rPr>
        <w:t>演出结束后 48 小时内完成场内设施拆卸、清运及清场，恢复场地原貌并经甲方验收。</w:t>
      </w:r>
    </w:p>
    <w:p w14:paraId="5FCE8E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（二）</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广西壮族自治区第十六届运动会</w:t>
      </w:r>
      <w:r>
        <w:rPr>
          <w:rFonts w:ascii="宋体" w:hAnsi="宋体" w:eastAsia="宋体" w:cs="宋体"/>
          <w:b/>
          <w:bCs/>
          <w:color w:val="000000" w:themeColor="text1"/>
          <w:kern w:val="0"/>
          <w:sz w:val="21"/>
          <w:szCs w:val="21"/>
          <w:lang w:val="en-US" w:eastAsia="zh-CN" w:bidi="ar"/>
          <w14:textFill>
            <w14:solidFill>
              <w14:schemeClr w14:val="tx1"/>
            </w14:solidFill>
          </w14:textFill>
        </w:rPr>
        <w:t>闭幕式</w:t>
      </w:r>
    </w:p>
    <w:p w14:paraId="79B3A8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ascii="宋体" w:hAnsi="宋体" w:eastAsia="宋体" w:cs="宋体"/>
          <w:color w:val="000000" w:themeColor="text1"/>
          <w:kern w:val="0"/>
          <w:sz w:val="21"/>
          <w:szCs w:val="21"/>
          <w:lang w:val="en-US" w:eastAsia="zh-CN" w:bidi="ar"/>
          <w14:textFill>
            <w14:solidFill>
              <w14:schemeClr w14:val="tx1"/>
            </w14:solidFill>
          </w14:textFill>
        </w:rPr>
        <w:t>总时长控制在 60 分钟内，其中仪式环节 30-40 分钟、文体演出 20 分钟（最终以甲方审定为准），包含运动员代表入场、领导致辞、颁奖、交接会旗、宣布闭幕等流程；</w:t>
      </w:r>
    </w:p>
    <w:p w14:paraId="4E177F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演员阵容总人数</w:t>
      </w:r>
      <w:r>
        <w:rPr>
          <w:rFonts w:hint="eastAsia" w:ascii="宋体" w:hAnsi="宋体" w:cs="宋体"/>
          <w:color w:val="000000" w:themeColor="text1"/>
          <w:kern w:val="0"/>
          <w:sz w:val="21"/>
          <w:szCs w:val="21"/>
          <w:lang w:val="en-US" w:eastAsia="zh-CN" w:bidi="ar"/>
          <w14:textFill>
            <w14:solidFill>
              <w14:schemeClr w14:val="tx1"/>
            </w14:solidFill>
          </w14:textFill>
        </w:rPr>
        <w:t>不超过</w:t>
      </w:r>
      <w:r>
        <w:rPr>
          <w:rFonts w:ascii="宋体" w:hAnsi="宋体" w:eastAsia="宋体" w:cs="宋体"/>
          <w:color w:val="000000" w:themeColor="text1"/>
          <w:kern w:val="0"/>
          <w:sz w:val="21"/>
          <w:szCs w:val="21"/>
          <w:lang w:val="en-US" w:eastAsia="zh-CN" w:bidi="ar"/>
          <w14:textFill>
            <w14:solidFill>
              <w14:schemeClr w14:val="tx1"/>
            </w14:solidFill>
          </w14:textFill>
        </w:rPr>
        <w:t>500 人，其中专业演员</w:t>
      </w:r>
      <w:r>
        <w:rPr>
          <w:rFonts w:hint="eastAsia" w:ascii="宋体" w:hAnsi="宋体" w:eastAsia="宋体" w:cs="宋体"/>
          <w:color w:val="000000" w:themeColor="text1"/>
          <w:kern w:val="0"/>
          <w:sz w:val="21"/>
          <w:szCs w:val="21"/>
          <w:lang w:val="en-US" w:eastAsia="zh-CN" w:bidi="ar"/>
          <w14:textFill>
            <w14:solidFill>
              <w14:schemeClr w14:val="tx1"/>
            </w14:solidFill>
          </w14:textFill>
        </w:rPr>
        <w:t>不低于</w:t>
      </w:r>
      <w:r>
        <w:rPr>
          <w:rFonts w:ascii="宋体" w:hAnsi="宋体" w:eastAsia="宋体" w:cs="宋体"/>
          <w:color w:val="000000" w:themeColor="text1"/>
          <w:kern w:val="0"/>
          <w:sz w:val="21"/>
          <w:szCs w:val="21"/>
          <w:lang w:val="en-US" w:eastAsia="zh-CN" w:bidi="ar"/>
          <w14:textFill>
            <w14:solidFill>
              <w14:schemeClr w14:val="tx1"/>
            </w14:solidFill>
          </w14:textFill>
        </w:rPr>
        <w:t>50 人，专业演员相关费用由乙方全额承担；</w:t>
      </w:r>
    </w:p>
    <w:p w14:paraId="0BA801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r>
        <w:rPr>
          <w:rFonts w:ascii="宋体" w:hAnsi="宋体" w:eastAsia="宋体" w:cs="宋体"/>
          <w:color w:val="000000" w:themeColor="text1"/>
          <w:kern w:val="0"/>
          <w:sz w:val="21"/>
          <w:szCs w:val="21"/>
          <w:lang w:val="en-US" w:eastAsia="zh-CN" w:bidi="ar"/>
          <w14:textFill>
            <w14:solidFill>
              <w14:schemeClr w14:val="tx1"/>
            </w14:solidFill>
          </w14:textFill>
        </w:rPr>
        <w:t>集中排练、彩排至正式演出</w:t>
      </w:r>
      <w:r>
        <w:rPr>
          <w:rFonts w:hint="eastAsia" w:ascii="宋体" w:hAnsi="宋体" w:eastAsia="宋体" w:cs="宋体"/>
          <w:color w:val="000000" w:themeColor="text1"/>
          <w:kern w:val="0"/>
          <w:sz w:val="21"/>
          <w:szCs w:val="21"/>
          <w:lang w:val="en-US" w:eastAsia="zh-CN" w:bidi="ar"/>
          <w14:textFill>
            <w14:solidFill>
              <w14:schemeClr w14:val="tx1"/>
            </w14:solidFill>
          </w14:textFill>
        </w:rPr>
        <w:t>不低于</w:t>
      </w:r>
      <w:r>
        <w:rPr>
          <w:rFonts w:ascii="宋体" w:hAnsi="宋体" w:eastAsia="宋体" w:cs="宋体"/>
          <w:color w:val="000000" w:themeColor="text1"/>
          <w:kern w:val="0"/>
          <w:sz w:val="21"/>
          <w:szCs w:val="21"/>
          <w:lang w:val="en-US" w:eastAsia="zh-CN" w:bidi="ar"/>
          <w14:textFill>
            <w14:solidFill>
              <w14:schemeClr w14:val="tx1"/>
            </w14:solidFill>
          </w14:textFill>
        </w:rPr>
        <w:t>3 次，排练计划报甲方审核；</w:t>
      </w:r>
    </w:p>
    <w:p w14:paraId="3F0F29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r>
        <w:rPr>
          <w:rFonts w:ascii="宋体" w:hAnsi="宋体" w:eastAsia="宋体" w:cs="宋体"/>
          <w:color w:val="000000" w:themeColor="text1"/>
          <w:kern w:val="0"/>
          <w:sz w:val="21"/>
          <w:szCs w:val="21"/>
          <w:lang w:val="en-US" w:eastAsia="zh-CN" w:bidi="ar"/>
          <w14:textFill>
            <w14:solidFill>
              <w14:schemeClr w14:val="tx1"/>
            </w14:solidFill>
          </w14:textFill>
        </w:rPr>
        <w:t>舞美、设备贴合演出主题，效果经甲方审核后方可进场搭建，演出结束后按要求完成清场。</w:t>
      </w:r>
    </w:p>
    <w:p w14:paraId="50B0C6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（三）</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第十一届残运会暨第六届特殊奥林匹克运动会</w:t>
      </w:r>
      <w:r>
        <w:rPr>
          <w:rFonts w:ascii="宋体" w:hAnsi="宋体" w:eastAsia="宋体" w:cs="宋体"/>
          <w:b/>
          <w:bCs/>
          <w:color w:val="000000" w:themeColor="text1"/>
          <w:kern w:val="0"/>
          <w:sz w:val="21"/>
          <w:szCs w:val="21"/>
          <w:lang w:val="en-US" w:eastAsia="zh-CN" w:bidi="ar"/>
          <w14:textFill>
            <w14:solidFill>
              <w14:schemeClr w14:val="tx1"/>
            </w14:solidFill>
          </w14:textFill>
        </w:rPr>
        <w:t>开幕式</w:t>
      </w:r>
    </w:p>
    <w:p w14:paraId="6F08F5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ascii="宋体" w:hAnsi="宋体" w:eastAsia="宋体" w:cs="宋体"/>
          <w:color w:val="000000" w:themeColor="text1"/>
          <w:kern w:val="0"/>
          <w:sz w:val="21"/>
          <w:szCs w:val="21"/>
          <w:lang w:val="en-US" w:eastAsia="zh-CN" w:bidi="ar"/>
          <w14:textFill>
            <w14:solidFill>
              <w14:schemeClr w14:val="tx1"/>
            </w14:solidFill>
          </w14:textFill>
        </w:rPr>
        <w:t>总时长控制在 90 分钟内，其中大型文艺表演 30 分钟（最终以甲方审定为准），流程衔接顺畅，凸显 “平等、参与、共享、奋进” 核心价值；</w:t>
      </w:r>
    </w:p>
    <w:p w14:paraId="025608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演员阵容总人数</w:t>
      </w:r>
      <w:r>
        <w:rPr>
          <w:rFonts w:hint="eastAsia" w:ascii="宋体" w:hAnsi="宋体" w:cs="宋体"/>
          <w:color w:val="000000" w:themeColor="text1"/>
          <w:kern w:val="0"/>
          <w:sz w:val="21"/>
          <w:szCs w:val="21"/>
          <w:lang w:val="en-US" w:eastAsia="zh-CN" w:bidi="ar"/>
          <w14:textFill>
            <w14:solidFill>
              <w14:schemeClr w14:val="tx1"/>
            </w14:solidFill>
          </w14:textFill>
        </w:rPr>
        <w:t>不超过</w:t>
      </w:r>
      <w:r>
        <w:rPr>
          <w:rFonts w:ascii="宋体" w:hAnsi="宋体" w:eastAsia="宋体" w:cs="宋体"/>
          <w:color w:val="000000" w:themeColor="text1"/>
          <w:kern w:val="0"/>
          <w:sz w:val="21"/>
          <w:szCs w:val="21"/>
          <w:lang w:val="en-US" w:eastAsia="zh-CN" w:bidi="ar"/>
          <w14:textFill>
            <w14:solidFill>
              <w14:schemeClr w14:val="tx1"/>
            </w14:solidFill>
          </w14:textFill>
        </w:rPr>
        <w:t>400 人，其中专业演员</w:t>
      </w:r>
      <w:r>
        <w:rPr>
          <w:rFonts w:hint="eastAsia" w:ascii="宋体" w:hAnsi="宋体" w:eastAsia="宋体" w:cs="宋体"/>
          <w:color w:val="000000" w:themeColor="text1"/>
          <w:kern w:val="0"/>
          <w:sz w:val="21"/>
          <w:szCs w:val="21"/>
          <w:lang w:val="en-US" w:eastAsia="zh-CN" w:bidi="ar"/>
          <w14:textFill>
            <w14:solidFill>
              <w14:schemeClr w14:val="tx1"/>
            </w14:solidFill>
          </w14:textFill>
        </w:rPr>
        <w:t>不低于</w:t>
      </w:r>
      <w:r>
        <w:rPr>
          <w:rFonts w:ascii="宋体" w:hAnsi="宋体" w:eastAsia="宋体" w:cs="宋体"/>
          <w:color w:val="000000" w:themeColor="text1"/>
          <w:kern w:val="0"/>
          <w:sz w:val="21"/>
          <w:szCs w:val="21"/>
          <w:lang w:val="en-US" w:eastAsia="zh-CN" w:bidi="ar"/>
          <w14:textFill>
            <w14:solidFill>
              <w14:schemeClr w14:val="tx1"/>
            </w14:solidFill>
          </w14:textFill>
        </w:rPr>
        <w:t>40 人，专业演员相关费用由乙方全额承担；</w:t>
      </w:r>
    </w:p>
    <w:p w14:paraId="215768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r>
        <w:rPr>
          <w:rFonts w:ascii="宋体" w:hAnsi="宋体" w:eastAsia="宋体" w:cs="宋体"/>
          <w:color w:val="000000" w:themeColor="text1"/>
          <w:kern w:val="0"/>
          <w:sz w:val="21"/>
          <w:szCs w:val="21"/>
          <w:lang w:val="en-US" w:eastAsia="zh-CN" w:bidi="ar"/>
          <w14:textFill>
            <w14:solidFill>
              <w14:schemeClr w14:val="tx1"/>
            </w14:solidFill>
          </w14:textFill>
        </w:rPr>
        <w:t>集中排练、彩排至正式演出</w:t>
      </w:r>
      <w:r>
        <w:rPr>
          <w:rFonts w:hint="eastAsia" w:ascii="宋体" w:hAnsi="宋体" w:eastAsia="宋体" w:cs="宋体"/>
          <w:color w:val="000000" w:themeColor="text1"/>
          <w:kern w:val="0"/>
          <w:sz w:val="21"/>
          <w:szCs w:val="21"/>
          <w:lang w:val="en-US" w:eastAsia="zh-CN" w:bidi="ar"/>
          <w14:textFill>
            <w14:solidFill>
              <w14:schemeClr w14:val="tx1"/>
            </w14:solidFill>
          </w14:textFill>
        </w:rPr>
        <w:t>不低于</w:t>
      </w:r>
      <w:r>
        <w:rPr>
          <w:rFonts w:ascii="宋体" w:hAnsi="宋体" w:eastAsia="宋体" w:cs="宋体"/>
          <w:color w:val="000000" w:themeColor="text1"/>
          <w:kern w:val="0"/>
          <w:sz w:val="21"/>
          <w:szCs w:val="21"/>
          <w:lang w:val="en-US" w:eastAsia="zh-CN" w:bidi="ar"/>
          <w14:textFill>
            <w14:solidFill>
              <w14:schemeClr w14:val="tx1"/>
            </w14:solidFill>
          </w14:textFill>
        </w:rPr>
        <w:t>3 次（含暖场表演），排练计划报甲方审核；</w:t>
      </w:r>
    </w:p>
    <w:p w14:paraId="6ADE0D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r>
        <w:rPr>
          <w:rFonts w:ascii="宋体" w:hAnsi="宋体" w:eastAsia="宋体" w:cs="宋体"/>
          <w:color w:val="000000" w:themeColor="text1"/>
          <w:kern w:val="0"/>
          <w:sz w:val="21"/>
          <w:szCs w:val="21"/>
          <w:lang w:val="en-US" w:eastAsia="zh-CN" w:bidi="ar"/>
          <w14:textFill>
            <w14:solidFill>
              <w14:schemeClr w14:val="tx1"/>
            </w14:solidFill>
          </w14:textFill>
        </w:rPr>
        <w:t>运用高清投影、裸眼 3D 等技术打造全景化演出，火炬传递路线充分考虑残疾人参与便利性，符合无障碍环境建设理念；</w:t>
      </w:r>
    </w:p>
    <w:p w14:paraId="03BB7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r>
        <w:rPr>
          <w:rFonts w:ascii="宋体" w:hAnsi="宋体" w:eastAsia="宋体" w:cs="宋体"/>
          <w:color w:val="000000" w:themeColor="text1"/>
          <w:kern w:val="0"/>
          <w:sz w:val="21"/>
          <w:szCs w:val="21"/>
          <w:lang w:val="en-US" w:eastAsia="zh-CN" w:bidi="ar"/>
          <w14:textFill>
            <w14:solidFill>
              <w14:schemeClr w14:val="tx1"/>
            </w14:solidFill>
          </w14:textFill>
        </w:rPr>
        <w:t>演出结束后 48 小时内完成场地清场并恢复原貌。</w:t>
      </w:r>
    </w:p>
    <w:p w14:paraId="67AD14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（四）</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第十一届残运会暨第六届特殊奥林匹克运动会</w:t>
      </w:r>
      <w:r>
        <w:rPr>
          <w:rFonts w:ascii="宋体" w:hAnsi="宋体" w:eastAsia="宋体" w:cs="宋体"/>
          <w:b/>
          <w:bCs/>
          <w:color w:val="000000" w:themeColor="text1"/>
          <w:kern w:val="0"/>
          <w:sz w:val="21"/>
          <w:szCs w:val="21"/>
          <w:lang w:val="en-US" w:eastAsia="zh-CN" w:bidi="ar"/>
          <w14:textFill>
            <w14:solidFill>
              <w14:schemeClr w14:val="tx1"/>
            </w14:solidFill>
          </w14:textFill>
        </w:rPr>
        <w:t>闭幕式</w:t>
      </w:r>
    </w:p>
    <w:p w14:paraId="4D4FB1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ascii="宋体" w:hAnsi="宋体" w:eastAsia="宋体" w:cs="宋体"/>
          <w:color w:val="000000" w:themeColor="text1"/>
          <w:kern w:val="0"/>
          <w:sz w:val="21"/>
          <w:szCs w:val="21"/>
          <w:lang w:val="en-US" w:eastAsia="zh-CN" w:bidi="ar"/>
          <w14:textFill>
            <w14:solidFill>
              <w14:schemeClr w14:val="tx1"/>
            </w14:solidFill>
          </w14:textFill>
        </w:rPr>
        <w:t>总时长控制在 60 分钟内，其中仪式环节 30-40 分钟、文体演出 20 分钟（最终以甲方审定为准），凸显 “爱之温暖、融之力量”；</w:t>
      </w:r>
    </w:p>
    <w:p w14:paraId="095842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演员阵容总人数</w:t>
      </w:r>
      <w:r>
        <w:rPr>
          <w:rFonts w:hint="eastAsia" w:ascii="宋体" w:hAnsi="宋体" w:cs="宋体"/>
          <w:color w:val="000000" w:themeColor="text1"/>
          <w:kern w:val="0"/>
          <w:sz w:val="21"/>
          <w:szCs w:val="21"/>
          <w:lang w:val="en-US" w:eastAsia="zh-CN" w:bidi="ar"/>
          <w14:textFill>
            <w14:solidFill>
              <w14:schemeClr w14:val="tx1"/>
            </w14:solidFill>
          </w14:textFill>
        </w:rPr>
        <w:t>不超过</w:t>
      </w:r>
      <w:r>
        <w:rPr>
          <w:rFonts w:ascii="宋体" w:hAnsi="宋体" w:eastAsia="宋体" w:cs="宋体"/>
          <w:color w:val="000000" w:themeColor="text1"/>
          <w:kern w:val="0"/>
          <w:sz w:val="21"/>
          <w:szCs w:val="21"/>
          <w:lang w:val="en-US" w:eastAsia="zh-CN" w:bidi="ar"/>
          <w14:textFill>
            <w14:solidFill>
              <w14:schemeClr w14:val="tx1"/>
            </w14:solidFill>
          </w14:textFill>
        </w:rPr>
        <w:t>300 人，其中专业演员</w:t>
      </w:r>
      <w:r>
        <w:rPr>
          <w:rFonts w:hint="eastAsia" w:ascii="宋体" w:hAnsi="宋体" w:eastAsia="宋体" w:cs="宋体"/>
          <w:color w:val="000000" w:themeColor="text1"/>
          <w:kern w:val="0"/>
          <w:sz w:val="21"/>
          <w:szCs w:val="21"/>
          <w:lang w:val="en-US" w:eastAsia="zh-CN" w:bidi="ar"/>
          <w14:textFill>
            <w14:solidFill>
              <w14:schemeClr w14:val="tx1"/>
            </w14:solidFill>
          </w14:textFill>
        </w:rPr>
        <w:t>不低于</w:t>
      </w:r>
      <w:r>
        <w:rPr>
          <w:rFonts w:ascii="宋体" w:hAnsi="宋体" w:eastAsia="宋体" w:cs="宋体"/>
          <w:color w:val="000000" w:themeColor="text1"/>
          <w:kern w:val="0"/>
          <w:sz w:val="21"/>
          <w:szCs w:val="21"/>
          <w:lang w:val="en-US" w:eastAsia="zh-CN" w:bidi="ar"/>
          <w14:textFill>
            <w14:solidFill>
              <w14:schemeClr w14:val="tx1"/>
            </w14:solidFill>
          </w14:textFill>
        </w:rPr>
        <w:t>30 人，专业演员相关费用由乙方全额承担；</w:t>
      </w:r>
    </w:p>
    <w:p w14:paraId="5A1A4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r>
        <w:rPr>
          <w:rFonts w:ascii="宋体" w:hAnsi="宋体" w:eastAsia="宋体" w:cs="宋体"/>
          <w:color w:val="000000" w:themeColor="text1"/>
          <w:kern w:val="0"/>
          <w:sz w:val="21"/>
          <w:szCs w:val="21"/>
          <w:lang w:val="en-US" w:eastAsia="zh-CN" w:bidi="ar"/>
          <w14:textFill>
            <w14:solidFill>
              <w14:schemeClr w14:val="tx1"/>
            </w14:solidFill>
          </w14:textFill>
        </w:rPr>
        <w:t>集中排练、彩排至正式演出</w:t>
      </w:r>
      <w:r>
        <w:rPr>
          <w:rFonts w:hint="eastAsia" w:ascii="宋体" w:hAnsi="宋体" w:eastAsia="宋体" w:cs="宋体"/>
          <w:color w:val="000000" w:themeColor="text1"/>
          <w:kern w:val="0"/>
          <w:sz w:val="21"/>
          <w:szCs w:val="21"/>
          <w:lang w:val="en-US" w:eastAsia="zh-CN" w:bidi="ar"/>
          <w14:textFill>
            <w14:solidFill>
              <w14:schemeClr w14:val="tx1"/>
            </w14:solidFill>
          </w14:textFill>
        </w:rPr>
        <w:t>不低于</w:t>
      </w:r>
      <w:r>
        <w:rPr>
          <w:rFonts w:ascii="宋体" w:hAnsi="宋体" w:eastAsia="宋体" w:cs="宋体"/>
          <w:color w:val="000000" w:themeColor="text1"/>
          <w:kern w:val="0"/>
          <w:sz w:val="21"/>
          <w:szCs w:val="21"/>
          <w:lang w:val="en-US" w:eastAsia="zh-CN" w:bidi="ar"/>
          <w14:textFill>
            <w14:solidFill>
              <w14:schemeClr w14:val="tx1"/>
            </w14:solidFill>
          </w14:textFill>
        </w:rPr>
        <w:t>2 次，排练计划报甲方审核；</w:t>
      </w:r>
    </w:p>
    <w:p w14:paraId="4B753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r>
        <w:rPr>
          <w:rFonts w:ascii="宋体" w:hAnsi="宋体" w:eastAsia="宋体" w:cs="宋体"/>
          <w:color w:val="000000" w:themeColor="text1"/>
          <w:kern w:val="0"/>
          <w:sz w:val="21"/>
          <w:szCs w:val="21"/>
          <w:lang w:val="en-US" w:eastAsia="zh-CN" w:bidi="ar"/>
          <w14:textFill>
            <w14:solidFill>
              <w14:schemeClr w14:val="tx1"/>
            </w14:solidFill>
          </w14:textFill>
        </w:rPr>
        <w:t>舞美、设备贴合演出主题，演出结束后按要求完成清场。</w:t>
      </w:r>
    </w:p>
    <w:p w14:paraId="036A26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三、通用服务要求</w:t>
      </w:r>
    </w:p>
    <w:p w14:paraId="12BA7A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w:t>
      </w:r>
      <w:r>
        <w:rPr>
          <w:rFonts w:ascii="宋体" w:hAnsi="宋体" w:eastAsia="宋体" w:cs="宋体"/>
          <w:color w:val="000000" w:themeColor="text1"/>
          <w:kern w:val="0"/>
          <w:sz w:val="21"/>
          <w:szCs w:val="21"/>
          <w:lang w:val="en-US" w:eastAsia="zh-CN" w:bidi="ar"/>
          <w14:textFill>
            <w14:solidFill>
              <w14:schemeClr w14:val="tx1"/>
            </w14:solidFill>
          </w14:textFill>
        </w:rPr>
        <w:t>乙方主创团队必须配备项目负责人、总导演、执行导演、总撰稿、音乐设计制作、舞蹈编导、服装 / 化妆 / 道具设计等专业人员，所有人员需具备大型运动会 / 大型文体演艺活动服务经验，人员资质证明报甲方备案；</w:t>
      </w:r>
    </w:p>
    <w:p w14:paraId="61C4C9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w:t>
      </w:r>
      <w:r>
        <w:rPr>
          <w:rFonts w:ascii="宋体" w:hAnsi="宋体" w:eastAsia="宋体" w:cs="宋体"/>
          <w:color w:val="000000" w:themeColor="text1"/>
          <w:kern w:val="0"/>
          <w:sz w:val="21"/>
          <w:szCs w:val="21"/>
          <w:lang w:val="en-US" w:eastAsia="zh-CN" w:bidi="ar"/>
          <w14:textFill>
            <w14:solidFill>
              <w14:schemeClr w14:val="tx1"/>
            </w14:solidFill>
          </w14:textFill>
        </w:rPr>
        <w:t>乙方负责本项目所有施工搭建工作，施工单位需具备相应资质，乙方在进场前向甲方提供施工单位资质材料；</w:t>
      </w:r>
    </w:p>
    <w:p w14:paraId="392353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w:t>
      </w:r>
      <w:r>
        <w:rPr>
          <w:rFonts w:ascii="宋体" w:hAnsi="宋体" w:eastAsia="宋体" w:cs="宋体"/>
          <w:color w:val="000000" w:themeColor="text1"/>
          <w:kern w:val="0"/>
          <w:sz w:val="21"/>
          <w:szCs w:val="21"/>
          <w:lang w:val="en-US" w:eastAsia="zh-CN" w:bidi="ar"/>
          <w14:textFill>
            <w14:solidFill>
              <w14:schemeClr w14:val="tx1"/>
            </w14:solidFill>
          </w14:textFill>
        </w:rPr>
        <w:t>乙方负责配合电视及网络直播的全流程工作，包括音视频信号对接、直播配套设施搭建、现场技术保障等，确保直播顺利进行；</w:t>
      </w:r>
    </w:p>
    <w:p w14:paraId="49838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w:t>
      </w:r>
      <w:r>
        <w:rPr>
          <w:rFonts w:ascii="宋体" w:hAnsi="宋体" w:eastAsia="宋体" w:cs="宋体"/>
          <w:color w:val="000000" w:themeColor="text1"/>
          <w:kern w:val="0"/>
          <w:sz w:val="21"/>
          <w:szCs w:val="21"/>
          <w:lang w:val="en-US" w:eastAsia="zh-CN" w:bidi="ar"/>
          <w14:textFill>
            <w14:solidFill>
              <w14:schemeClr w14:val="tx1"/>
            </w14:solidFill>
          </w14:textFill>
        </w:rPr>
        <w:t>乙方需按甲方要求完成本项目所有成果性文件的编制与提交，包括策划方案、执行流程表、舞美设计图、安全方案、应急方案等。</w:t>
      </w:r>
    </w:p>
    <w:p w14:paraId="3BF687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p>
    <w:p w14:paraId="0526FDF8">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lang w:val="en-US" w:eastAsia="zh-CN" w:bidi="ar"/>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双方权利与义务</w:t>
      </w:r>
    </w:p>
    <w:p w14:paraId="4BE8AA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p>
    <w:p w14:paraId="67394D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一、甲方权利与义务</w:t>
      </w:r>
    </w:p>
    <w:p w14:paraId="2849AE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（一）</w:t>
      </w:r>
      <w:r>
        <w:rPr>
          <w:rFonts w:ascii="宋体" w:hAnsi="宋体" w:eastAsia="宋体" w:cs="宋体"/>
          <w:b/>
          <w:bCs/>
          <w:color w:val="000000" w:themeColor="text1"/>
          <w:kern w:val="0"/>
          <w:sz w:val="21"/>
          <w:szCs w:val="21"/>
          <w:lang w:val="en-US" w:eastAsia="zh-CN" w:bidi="ar"/>
          <w14:textFill>
            <w14:solidFill>
              <w14:schemeClr w14:val="tx1"/>
            </w14:solidFill>
          </w14:textFill>
        </w:rPr>
        <w:t>权利</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 xml:space="preserve"> </w:t>
      </w:r>
    </w:p>
    <w:p w14:paraId="38A420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ascii="宋体" w:hAnsi="宋体" w:eastAsia="宋体" w:cs="宋体"/>
          <w:color w:val="000000" w:themeColor="text1"/>
          <w:kern w:val="0"/>
          <w:sz w:val="21"/>
          <w:szCs w:val="21"/>
          <w:lang w:val="en-US" w:eastAsia="zh-CN" w:bidi="ar"/>
          <w14:textFill>
            <w14:solidFill>
              <w14:schemeClr w14:val="tx1"/>
            </w14:solidFill>
          </w14:textFill>
        </w:rPr>
        <w:t>对乙方的服务方案、人员配置、施工搭建、排练演出等全过程进行监督、检查和审核，有权要求乙方对不符合约定的内容进行整改；</w:t>
      </w:r>
    </w:p>
    <w:p w14:paraId="64F609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根据项目实际需要，对服务内容提出合理的优化调整要求，乙方需无条件配合，且甲方不额外支付费用；</w:t>
      </w:r>
    </w:p>
    <w:p w14:paraId="793B7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r>
        <w:rPr>
          <w:rFonts w:ascii="宋体" w:hAnsi="宋体" w:eastAsia="宋体" w:cs="宋体"/>
          <w:color w:val="000000" w:themeColor="text1"/>
          <w:kern w:val="0"/>
          <w:sz w:val="21"/>
          <w:szCs w:val="21"/>
          <w:lang w:val="en-US" w:eastAsia="zh-CN" w:bidi="ar"/>
          <w14:textFill>
            <w14:solidFill>
              <w14:schemeClr w14:val="tx1"/>
            </w14:solidFill>
          </w14:textFill>
        </w:rPr>
        <w:t>乙方出现违约情形时，有权根据本合同约定扣除履约保证金、要求乙方承担违约责任并赔偿损失；</w:t>
      </w:r>
    </w:p>
    <w:p w14:paraId="72472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r>
        <w:rPr>
          <w:rFonts w:ascii="宋体" w:hAnsi="宋体" w:eastAsia="宋体" w:cs="宋体"/>
          <w:color w:val="000000" w:themeColor="text1"/>
          <w:kern w:val="0"/>
          <w:sz w:val="21"/>
          <w:szCs w:val="21"/>
          <w:lang w:val="en-US" w:eastAsia="zh-CN" w:bidi="ar"/>
          <w14:textFill>
            <w14:solidFill>
              <w14:schemeClr w14:val="tx1"/>
            </w14:solidFill>
          </w14:textFill>
        </w:rPr>
        <w:t>本项目全部服务成果的知识产权归甲方所有，甲方有权无偿使用、修改、复制相关成果。</w:t>
      </w:r>
    </w:p>
    <w:p w14:paraId="4ED57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（二）</w:t>
      </w:r>
      <w:r>
        <w:rPr>
          <w:rFonts w:ascii="宋体" w:hAnsi="宋体" w:eastAsia="宋体" w:cs="宋体"/>
          <w:b/>
          <w:bCs/>
          <w:color w:val="000000" w:themeColor="text1"/>
          <w:kern w:val="0"/>
          <w:sz w:val="21"/>
          <w:szCs w:val="21"/>
          <w:lang w:val="en-US" w:eastAsia="zh-CN" w:bidi="ar"/>
          <w14:textFill>
            <w14:solidFill>
              <w14:schemeClr w14:val="tx1"/>
            </w14:solidFill>
          </w14:textFill>
        </w:rPr>
        <w:t>义务</w:t>
      </w:r>
    </w:p>
    <w:p w14:paraId="019B0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ascii="宋体" w:hAnsi="宋体" w:eastAsia="宋体" w:cs="宋体"/>
          <w:color w:val="000000" w:themeColor="text1"/>
          <w:kern w:val="0"/>
          <w:sz w:val="21"/>
          <w:szCs w:val="21"/>
          <w:lang w:val="en-US" w:eastAsia="zh-CN" w:bidi="ar"/>
          <w14:textFill>
            <w14:solidFill>
              <w14:schemeClr w14:val="tx1"/>
            </w14:solidFill>
          </w14:textFill>
        </w:rPr>
        <w:t>按本合同约定及时向乙方支付服务费用；</w:t>
      </w:r>
    </w:p>
    <w:p w14:paraId="45656D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向乙方提供项目实施所需的相关资料和必要的协助，协调相关单位配合乙方开展工作；</w:t>
      </w:r>
    </w:p>
    <w:p w14:paraId="155C20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r>
        <w:rPr>
          <w:rFonts w:ascii="宋体" w:hAnsi="宋体" w:eastAsia="宋体" w:cs="宋体"/>
          <w:color w:val="000000" w:themeColor="text1"/>
          <w:kern w:val="0"/>
          <w:sz w:val="21"/>
          <w:szCs w:val="21"/>
          <w:lang w:val="en-US" w:eastAsia="zh-CN" w:bidi="ar"/>
          <w14:textFill>
            <w14:solidFill>
              <w14:schemeClr w14:val="tx1"/>
            </w14:solidFill>
          </w14:textFill>
        </w:rPr>
        <w:t>在乙方提交符合要求的方案、申请等材料后，按约定时间完成审核并出具书面意见；</w:t>
      </w:r>
    </w:p>
    <w:p w14:paraId="48D1F3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r>
        <w:rPr>
          <w:rFonts w:ascii="宋体" w:hAnsi="宋体" w:eastAsia="宋体" w:cs="宋体"/>
          <w:color w:val="000000" w:themeColor="text1"/>
          <w:kern w:val="0"/>
          <w:sz w:val="21"/>
          <w:szCs w:val="21"/>
          <w:lang w:val="en-US" w:eastAsia="zh-CN" w:bidi="ar"/>
          <w14:textFill>
            <w14:solidFill>
              <w14:schemeClr w14:val="tx1"/>
            </w14:solidFill>
          </w14:textFill>
        </w:rPr>
        <w:t>项目验收合格后，按约定及时退还乙方履约保证金。</w:t>
      </w:r>
    </w:p>
    <w:p w14:paraId="208391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二、乙方权利与义务</w:t>
      </w:r>
    </w:p>
    <w:p w14:paraId="09DC66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（一）</w:t>
      </w:r>
      <w:r>
        <w:rPr>
          <w:rFonts w:ascii="宋体" w:hAnsi="宋体" w:eastAsia="宋体" w:cs="宋体"/>
          <w:b/>
          <w:bCs/>
          <w:color w:val="000000" w:themeColor="text1"/>
          <w:kern w:val="0"/>
          <w:sz w:val="21"/>
          <w:szCs w:val="21"/>
          <w:lang w:val="en-US" w:eastAsia="zh-CN" w:bidi="ar"/>
          <w14:textFill>
            <w14:solidFill>
              <w14:schemeClr w14:val="tx1"/>
            </w14:solidFill>
          </w14:textFill>
        </w:rPr>
        <w:t>权利</w:t>
      </w:r>
    </w:p>
    <w:p w14:paraId="673A22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ascii="宋体" w:hAnsi="宋体" w:eastAsia="宋体" w:cs="宋体"/>
          <w:color w:val="000000" w:themeColor="text1"/>
          <w:kern w:val="0"/>
          <w:sz w:val="21"/>
          <w:szCs w:val="21"/>
          <w:lang w:val="en-US" w:eastAsia="zh-CN" w:bidi="ar"/>
          <w14:textFill>
            <w14:solidFill>
              <w14:schemeClr w14:val="tx1"/>
            </w14:solidFill>
          </w14:textFill>
        </w:rPr>
        <w:t>按本合同约定要求甲方及时支付服务费用；</w:t>
      </w:r>
    </w:p>
    <w:p w14:paraId="15662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在遵守本合同约定的前提下，自主组织开展服务实施工作，要求甲方提供必要的协助；</w:t>
      </w:r>
    </w:p>
    <w:p w14:paraId="508BBE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r>
        <w:rPr>
          <w:rFonts w:ascii="宋体" w:hAnsi="宋体" w:eastAsia="宋体" w:cs="宋体"/>
          <w:color w:val="000000" w:themeColor="text1"/>
          <w:kern w:val="0"/>
          <w:sz w:val="21"/>
          <w:szCs w:val="21"/>
          <w:lang w:val="en-US" w:eastAsia="zh-CN" w:bidi="ar"/>
          <w14:textFill>
            <w14:solidFill>
              <w14:schemeClr w14:val="tx1"/>
            </w14:solidFill>
          </w14:textFill>
        </w:rPr>
        <w:t>对甲方提出的不合理要求，有权予以拒绝并书面说明理由。</w:t>
      </w:r>
    </w:p>
    <w:p w14:paraId="34949B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（二）</w:t>
      </w:r>
      <w:r>
        <w:rPr>
          <w:rFonts w:ascii="宋体" w:hAnsi="宋体" w:eastAsia="宋体" w:cs="宋体"/>
          <w:b/>
          <w:bCs/>
          <w:color w:val="000000" w:themeColor="text1"/>
          <w:kern w:val="0"/>
          <w:sz w:val="21"/>
          <w:szCs w:val="21"/>
          <w:lang w:val="en-US" w:eastAsia="zh-CN" w:bidi="ar"/>
          <w14:textFill>
            <w14:solidFill>
              <w14:schemeClr w14:val="tx1"/>
            </w14:solidFill>
          </w14:textFill>
        </w:rPr>
        <w:t>义务</w:t>
      </w:r>
    </w:p>
    <w:p w14:paraId="06C0C0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ascii="宋体" w:hAnsi="宋体" w:eastAsia="宋体" w:cs="宋体"/>
          <w:color w:val="000000" w:themeColor="text1"/>
          <w:kern w:val="0"/>
          <w:sz w:val="21"/>
          <w:szCs w:val="21"/>
          <w:lang w:val="en-US" w:eastAsia="zh-CN" w:bidi="ar"/>
          <w14:textFill>
            <w14:solidFill>
              <w14:schemeClr w14:val="tx1"/>
            </w14:solidFill>
          </w14:textFill>
        </w:rPr>
        <w:t>严格按照本合同约定及甲方审定的方案开展服务，确保服务质量、数量、工期符合约定，不得擅自变更服务内容、人员配置、实施方案；</w:t>
      </w:r>
    </w:p>
    <w:p w14:paraId="3C2CF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合同生效后 10 日内，向甲方提交《项目主创团队及全部工作人员名单》（含姓名、职务、职称、工作经验、社保证明等），经甲方审核确认后方可上岗；未经甲方书面同意，不得擅自更换主创人员、核心技术人员及主要演职人员，若确需更换，新人员资质不得低于原人员标准；</w:t>
      </w:r>
    </w:p>
    <w:p w14:paraId="6D7D1C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r>
        <w:rPr>
          <w:rFonts w:ascii="宋体" w:hAnsi="宋体" w:eastAsia="宋体" w:cs="宋体"/>
          <w:color w:val="000000" w:themeColor="text1"/>
          <w:kern w:val="0"/>
          <w:sz w:val="21"/>
          <w:szCs w:val="21"/>
          <w:lang w:val="en-US" w:eastAsia="zh-CN" w:bidi="ar"/>
          <w14:textFill>
            <w14:solidFill>
              <w14:schemeClr w14:val="tx1"/>
            </w14:solidFill>
          </w14:textFill>
        </w:rPr>
        <w:t>合同生效后 15 日内，向甲方提交全套《安全实施方案》</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《火炬传递安全实施方案》</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《应急处置方案》（覆盖施工、排练、演出、撤场各环节，含安全事故、消防、自然灾害等场景），经甲方审核通过后实施；</w:t>
      </w:r>
    </w:p>
    <w:p w14:paraId="215CD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4.人员保险购买：乙方需在项目启动前（最晚不迟于首次排练开始前），为专业演员、现场搭建人员、高空作业人员购买人身意外伤害保险，保额不低于 20 万元 / 人；投保期限覆盖从场地搭建至全部项目撤场完毕的全周期（含排练、彩排、正式活动期间）；保险单复印件需提交甲方备案，未按要求投保或保额不足的视为违约</w:t>
      </w:r>
      <w:r>
        <w:rPr>
          <w:rFonts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p w14:paraId="4CB83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 xml:space="preserve">5. 下属子公司履约要求：乙方下属全资子公司参与本项目的，乙方需向甲方提交全资控股证明、子公司人员 </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 xml:space="preserve">资质 </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 xml:space="preserve"> 业绩材料，子公司的工作质量、安全责任由乙方全权承担，子公司人员视为乙方人员，子公司资质视为乙方资质。</w:t>
      </w:r>
    </w:p>
    <w:p w14:paraId="51ECBC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6</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对本项目施工、排练、演出、撤场等所有环节的安全生产负全部责任，若发生安全事故，立即启动应急方案并向甲方及相关部门报告，承担事故造成的全部赔偿责任；</w:t>
      </w:r>
    </w:p>
    <w:p w14:paraId="27DD5E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7</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合同生效后 30 日内，向甲方提交本项目全套细化实施方案，经甲方审定后严格执行；若需调整方案，提前 10 个工作日书面报备甲方并经同意；</w:t>
      </w:r>
    </w:p>
    <w:p w14:paraId="0134E1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9</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严格遵守国家相关法律、法规及北海市本地政策，符合民族、民俗、环保、安全、消防等相关部门要求，因违规操作导致项目暂停、整改或终止的，由乙方承担全部责任并赔偿甲方损失；</w:t>
      </w:r>
    </w:p>
    <w:p w14:paraId="02B773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9. 火炬及相关物资交付：乙方需在火炬传递仪式开始前 15 日，将定制制作的火炬、火种灯、圣火盆、火炬手护具提交甲方验收，验收合格后方可使用，相关物资验收后归甲方所有。</w:t>
      </w:r>
    </w:p>
    <w:p w14:paraId="704434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本项目严禁转包，允许将非主体、非关键性工作分包（如道具制作、设备租赁、后勤保障等），分包方需具备相应资质且不得再次分包；乙方拟在中标后分包的，需在投标文件中载明分包承担主体、分包内容及分包商资质，并在分包前提前 15 个工作日向甲方提交书面申请，说明分包内容及分包商资质，经甲方书面同意后方可分包；乙方对分包商的工作成果承担连带责任，对分包环节的质量、安全、进度进行全程管控；中小企业乙方不得将项目分包 / 转包给大型 / 中型企业</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投标人下属全资子公司承担本项目非主体、非关键性工作的，不视为分包，无需履行分包申请程序，乙方需提供全资控股证明材料，对子公司的工作成果承担全部责任。</w:t>
      </w:r>
    </w:p>
    <w:p w14:paraId="672886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11</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项目完成后，按甲方要求整理并提交全套验收材料，包括书面报告、全程视频影像、经费使用明细、人员资质材料、保险单等；</w:t>
      </w:r>
    </w:p>
    <w:p w14:paraId="111B0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hint="eastAsia" w:ascii="宋体" w:hAnsi="宋体" w:cs="宋体"/>
          <w:color w:val="000000" w:themeColor="text1"/>
          <w:kern w:val="0"/>
          <w:sz w:val="21"/>
          <w:szCs w:val="21"/>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ascii="宋体" w:hAnsi="宋体" w:eastAsia="宋体" w:cs="宋体"/>
          <w:color w:val="000000" w:themeColor="text1"/>
          <w:kern w:val="0"/>
          <w:sz w:val="21"/>
          <w:szCs w:val="21"/>
          <w:lang w:val="en-US" w:eastAsia="zh-CN" w:bidi="ar"/>
          <w14:textFill>
            <w14:solidFill>
              <w14:schemeClr w14:val="tx1"/>
            </w14:solidFill>
          </w14:textFill>
        </w:rPr>
        <w:t>不得向甲方工作人员提供任何形式的回扣、贿赂，不得从事其他不正当竞争行为。</w:t>
      </w:r>
    </w:p>
    <w:p w14:paraId="1FAFC3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p>
    <w:p w14:paraId="627075C7">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lang w:val="en-US" w:eastAsia="zh-CN" w:bidi="ar"/>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知识产权与保密条款</w:t>
      </w:r>
    </w:p>
    <w:p w14:paraId="11D2D15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p>
    <w:p w14:paraId="19DF63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一、知识产权归属</w:t>
      </w:r>
    </w:p>
    <w:p w14:paraId="53D70C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w:t>
      </w:r>
      <w:r>
        <w:rPr>
          <w:rFonts w:ascii="宋体" w:hAnsi="宋体" w:eastAsia="宋体" w:cs="宋体"/>
          <w:color w:val="000000" w:themeColor="text1"/>
          <w:kern w:val="0"/>
          <w:sz w:val="21"/>
          <w:szCs w:val="21"/>
          <w:lang w:val="en-US" w:eastAsia="zh-CN" w:bidi="ar"/>
          <w14:textFill>
            <w14:solidFill>
              <w14:schemeClr w14:val="tx1"/>
            </w14:solidFill>
          </w14:textFill>
        </w:rPr>
        <w:t>乙方在本合同履约过程中，为甲方专门创作或根据甲方提供的有关资料产生的任何作品、创意、设计等（包括但不限于图案、图像、文案、音乐、视频、舞美设计、火炬及护具设计、点火仪式创意、服装道具设计等），以及为本项目新创作的原创作品的全部知识产权（含著作权、商标权、专利权等），自创作完成之日起归甲方独家所有；乙方仅享有合理署名权，未经甲方书面同意，不得自行使用、授权第三方使用、发表或转让上述成果；甲方可无偿使用、修改、复制上述成果，无需另行支付费用。</w:t>
      </w:r>
    </w:p>
    <w:p w14:paraId="72AC1A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w:t>
      </w:r>
      <w:r>
        <w:rPr>
          <w:rFonts w:ascii="宋体" w:hAnsi="宋体" w:eastAsia="宋体" w:cs="宋体"/>
          <w:color w:val="000000" w:themeColor="text1"/>
          <w:kern w:val="0"/>
          <w:sz w:val="21"/>
          <w:szCs w:val="21"/>
          <w:lang w:val="en-US" w:eastAsia="zh-CN" w:bidi="ar"/>
          <w14:textFill>
            <w14:solidFill>
              <w14:schemeClr w14:val="tx1"/>
            </w14:solidFill>
          </w14:textFill>
        </w:rPr>
        <w:t>乙方仅享有上述成果的合理署名权，未经甲方书面同意，乙方不得自行使用、授权第三方使用、发表或转让上述成果；甲方可无偿使用、修改、复制上述成果，无需另行向乙方支付费用。</w:t>
      </w:r>
    </w:p>
    <w:p w14:paraId="5F31F5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w:t>
      </w:r>
      <w:r>
        <w:rPr>
          <w:rFonts w:ascii="宋体" w:hAnsi="宋体" w:eastAsia="宋体" w:cs="宋体"/>
          <w:color w:val="000000" w:themeColor="text1"/>
          <w:kern w:val="0"/>
          <w:sz w:val="21"/>
          <w:szCs w:val="21"/>
          <w:lang w:val="en-US" w:eastAsia="zh-CN" w:bidi="ar"/>
          <w14:textFill>
            <w14:solidFill>
              <w14:schemeClr w14:val="tx1"/>
            </w14:solidFill>
          </w14:textFill>
        </w:rPr>
        <w:t>若因乙方创作成果侵犯第三方知识产权引发纠纷，由乙方全权处理并承担全部责任（含赔偿、诉讼费、律师费等），同时赔偿甲方因此遭受的一切损失。</w:t>
      </w:r>
    </w:p>
    <w:p w14:paraId="5376E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（四）</w:t>
      </w:r>
      <w:r>
        <w:rPr>
          <w:rFonts w:ascii="宋体" w:hAnsi="宋体" w:eastAsia="宋体" w:cs="宋体"/>
          <w:color w:val="000000" w:themeColor="text1"/>
          <w:kern w:val="0"/>
          <w:sz w:val="21"/>
          <w:szCs w:val="21"/>
          <w:lang w:val="en-US" w:eastAsia="zh-CN" w:bidi="ar"/>
          <w14:textFill>
            <w14:solidFill>
              <w14:schemeClr w14:val="tx1"/>
            </w14:solidFill>
          </w14:textFill>
        </w:rPr>
        <w:t>若乙方下属全资子公司完成上述创作成果的，视为乙方的创作成果，相关知识产权归属及侵权责任均由乙方承担。</w:t>
      </w:r>
    </w:p>
    <w:p w14:paraId="4276A0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二、保密条款</w:t>
      </w:r>
    </w:p>
    <w:p w14:paraId="3DA71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双方应对在合同签订及履行过程中知悉的对方商业秘密、项目信息、技术资料等未公开信息承担保密义务，保密期限为合同履行完毕后 3 年。</w:t>
      </w:r>
    </w:p>
    <w:p w14:paraId="37632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未经对方书面同意，任何一方不得向任何第三方泄露上述保密信息，不得将保密信息用于本合同约定以外的目的。</w:t>
      </w:r>
    </w:p>
    <w:p w14:paraId="20A273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本条款不因合同的解除、终止而失效，若一方违反保密约定，需赔偿对方因此遭受的全部损失。</w:t>
      </w:r>
    </w:p>
    <w:p w14:paraId="2B8B04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p>
    <w:p w14:paraId="2437ED87">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lang w:val="en-US" w:eastAsia="zh-CN" w:bidi="ar"/>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验收标准与程序</w:t>
      </w:r>
    </w:p>
    <w:p w14:paraId="6B9209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p>
    <w:p w14:paraId="23B5CC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一、</w:t>
      </w:r>
      <w:r>
        <w:rPr>
          <w:rFonts w:ascii="宋体" w:hAnsi="宋体" w:eastAsia="宋体" w:cs="宋体"/>
          <w:b/>
          <w:bCs/>
          <w:color w:val="000000" w:themeColor="text1"/>
          <w:kern w:val="0"/>
          <w:sz w:val="21"/>
          <w:szCs w:val="21"/>
          <w:lang w:val="en-US" w:eastAsia="zh-CN" w:bidi="ar"/>
          <w14:textFill>
            <w14:solidFill>
              <w14:schemeClr w14:val="tx1"/>
            </w14:solidFill>
          </w14:textFill>
        </w:rPr>
        <w:t>验收依据</w:t>
      </w:r>
    </w:p>
    <w:p w14:paraId="791022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（一）本招标文件（含补充文件、澄清说明）及乙方投标文件、中标通知书；</w:t>
      </w:r>
    </w:p>
    <w:p w14:paraId="02E10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（二）本合同及补充协议、会议纪要、确认书等书面文件；</w:t>
      </w:r>
    </w:p>
    <w:p w14:paraId="7D0068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（三）甲方审定通过的《开闭幕式执行方案》《火炬传递执行方案》及相关技术文件；</w:t>
      </w:r>
    </w:p>
    <w:p w14:paraId="3CA39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（四）国家及行业相关标准、规范（包括但不限于《大型群众性活动安全管理条例》《演出场所安全技术要求》《舞台机械安全标准》等）；</w:t>
      </w:r>
    </w:p>
    <w:p w14:paraId="2E9DF1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（五）乙方提交的全套验收材料（含书面报告、影像资料、经费使用明细、人员资质证明、保险单、设备检测报告等）。</w:t>
      </w:r>
    </w:p>
    <w:p w14:paraId="030D5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二、验收要点</w:t>
      </w:r>
    </w:p>
    <w:p w14:paraId="69DFA7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（一）</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策划方案与执行一致性：</w:t>
      </w:r>
    </w:p>
    <w:p w14:paraId="326679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1.</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火炬传递：</w:t>
      </w:r>
      <w:r>
        <w:rPr>
          <w:rFonts w:hint="eastAsia" w:ascii="宋体" w:hAnsi="宋体" w:eastAsia="宋体" w:cs="宋体"/>
          <w:color w:val="000000" w:themeColor="text1"/>
          <w:kern w:val="0"/>
          <w:sz w:val="21"/>
          <w:szCs w:val="21"/>
          <w:lang w:val="en-US" w:eastAsia="zh-CN" w:bidi="ar"/>
          <w14:textFill>
            <w14:solidFill>
              <w14:schemeClr w14:val="tx1"/>
            </w14:solidFill>
          </w14:textFill>
        </w:rPr>
        <w:t>传递路线、总里程、传递天数、火炬手遴选、仪式流程等是否与审定方案一致；</w:t>
      </w:r>
    </w:p>
    <w:p w14:paraId="5D63F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2.</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开闭幕式：</w:t>
      </w:r>
      <w:r>
        <w:rPr>
          <w:rFonts w:hint="eastAsia" w:ascii="宋体" w:hAnsi="宋体" w:eastAsia="宋体" w:cs="宋体"/>
          <w:color w:val="000000" w:themeColor="text1"/>
          <w:kern w:val="0"/>
          <w:sz w:val="21"/>
          <w:szCs w:val="21"/>
          <w:lang w:val="en-US" w:eastAsia="zh-CN" w:bidi="ar"/>
          <w14:textFill>
            <w14:solidFill>
              <w14:schemeClr w14:val="tx1"/>
            </w14:solidFill>
          </w14:textFill>
        </w:rPr>
        <w:t>各环节流程、演出时长、演员阵容（专业演员数量、总人数）、节目内容、舞美设计等是否符合约定要求；</w:t>
      </w:r>
    </w:p>
    <w:p w14:paraId="029E1D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3.</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创意成果：</w:t>
      </w:r>
      <w:r>
        <w:rPr>
          <w:rFonts w:hint="eastAsia" w:ascii="宋体" w:hAnsi="宋体" w:eastAsia="宋体" w:cs="宋体"/>
          <w:color w:val="000000" w:themeColor="text1"/>
          <w:kern w:val="0"/>
          <w:sz w:val="21"/>
          <w:szCs w:val="21"/>
          <w:lang w:val="en-US" w:eastAsia="zh-CN" w:bidi="ar"/>
          <w14:textFill>
            <w14:solidFill>
              <w14:schemeClr w14:val="tx1"/>
            </w14:solidFill>
          </w14:textFill>
        </w:rPr>
        <w:t>音乐、视频、文案、舞美设计、火炬及护具设计等是否达到审定标准，是否融入地域文化特色及赛事主题。</w:t>
      </w:r>
    </w:p>
    <w:p w14:paraId="5D0D11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cs="宋体"/>
          <w:b/>
          <w:bCs/>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（二）服务质量与效果：</w:t>
      </w:r>
    </w:p>
    <w:p w14:paraId="232505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1.</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演出效果</w:t>
      </w:r>
      <w:r>
        <w:rPr>
          <w:rFonts w:hint="eastAsia" w:ascii="宋体" w:hAnsi="宋体" w:eastAsia="宋体" w:cs="宋体"/>
          <w:color w:val="000000" w:themeColor="text1"/>
          <w:kern w:val="0"/>
          <w:sz w:val="21"/>
          <w:szCs w:val="21"/>
          <w:lang w:val="en-US" w:eastAsia="zh-CN" w:bidi="ar"/>
          <w14:textFill>
            <w14:solidFill>
              <w14:schemeClr w14:val="tx1"/>
            </w14:solidFill>
          </w14:textFill>
        </w:rPr>
        <w:t>：文艺表演的艺术水准、流程衔接、现场氛围营造是否达标；</w:t>
      </w:r>
    </w:p>
    <w:p w14:paraId="54BBE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210" w:leftChars="100" w:right="0" w:rightChars="0" w:firstLine="0" w:firstLineChars="0"/>
        <w:jc w:val="both"/>
        <w:textAlignment w:val="auto"/>
        <w:rPr>
          <w:rFonts w:hint="eastAsia" w:ascii="宋体" w:hAnsi="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2.</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设备运行：</w:t>
      </w:r>
      <w:r>
        <w:rPr>
          <w:rFonts w:hint="eastAsia" w:ascii="宋体" w:hAnsi="宋体" w:eastAsia="宋体" w:cs="宋体"/>
          <w:color w:val="000000" w:themeColor="text1"/>
          <w:kern w:val="0"/>
          <w:sz w:val="21"/>
          <w:szCs w:val="21"/>
          <w:lang w:val="en-US" w:eastAsia="zh-CN" w:bidi="ar"/>
          <w14:textFill>
            <w14:solidFill>
              <w14:schemeClr w14:val="tx1"/>
            </w14:solidFill>
          </w14:textFill>
        </w:rPr>
        <w:t>灯光、音响、视频、舞台机械、火炬、圣火盆等设备是否运行稳定，无故障、无安全隐患；</w:t>
      </w:r>
      <w:r>
        <w:rPr>
          <w:rFonts w:hint="eastAsia" w:ascii="宋体" w:hAnsi="宋体" w:cs="宋体"/>
          <w:b/>
          <w:bCs/>
          <w:color w:val="000000" w:themeColor="text1"/>
          <w:kern w:val="0"/>
          <w:sz w:val="21"/>
          <w:szCs w:val="21"/>
          <w:lang w:val="en-US" w:eastAsia="zh-CN" w:bidi="ar"/>
          <w14:textFill>
            <w14:solidFill>
              <w14:schemeClr w14:val="tx1"/>
            </w14:solidFill>
          </w14:textFill>
        </w:rPr>
        <w:t>3.安全保障：</w:t>
      </w:r>
      <w:r>
        <w:rPr>
          <w:rFonts w:hint="eastAsia" w:ascii="宋体" w:hAnsi="宋体" w:cs="宋体"/>
          <w:color w:val="000000" w:themeColor="text1"/>
          <w:kern w:val="0"/>
          <w:sz w:val="21"/>
          <w:szCs w:val="21"/>
          <w:lang w:val="en-US" w:eastAsia="zh-CN" w:bidi="ar"/>
          <w14:textFill>
            <w14:solidFill>
              <w14:schemeClr w14:val="tx1"/>
            </w14:solidFill>
          </w14:textFill>
        </w:rPr>
        <w:t>安全方案落实情况，是否发生安全事故、重大安全隐患或突发事件处置不当的情形；</w:t>
      </w:r>
    </w:p>
    <w:p w14:paraId="6EC477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210" w:leftChars="100" w:right="0" w:rightChars="0" w:firstLine="0" w:firstLineChars="0"/>
        <w:jc w:val="both"/>
        <w:textAlignment w:val="auto"/>
        <w:rPr>
          <w:rFonts w:hint="eastAsia" w:ascii="宋体" w:hAnsi="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4.人员表现：</w:t>
      </w:r>
      <w:r>
        <w:rPr>
          <w:rFonts w:hint="eastAsia" w:ascii="宋体" w:hAnsi="宋体" w:cs="宋体"/>
          <w:color w:val="000000" w:themeColor="text1"/>
          <w:kern w:val="0"/>
          <w:sz w:val="21"/>
          <w:szCs w:val="21"/>
          <w:lang w:val="en-US" w:eastAsia="zh-CN" w:bidi="ar"/>
          <w14:textFill>
            <w14:solidFill>
              <w14:schemeClr w14:val="tx1"/>
            </w14:solidFill>
          </w14:textFill>
        </w:rPr>
        <w:t>演职人员、工作人员、志愿者的专业素养、服务态度、执行能力是否符合要求。</w:t>
      </w:r>
    </w:p>
    <w:p w14:paraId="5AB783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（三）</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物资与成果交付：</w:t>
      </w:r>
    </w:p>
    <w:p w14:paraId="2CE7B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1.</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实体物资</w:t>
      </w:r>
      <w:r>
        <w:rPr>
          <w:rFonts w:hint="eastAsia" w:ascii="宋体" w:hAnsi="宋体" w:eastAsia="宋体" w:cs="宋体"/>
          <w:color w:val="000000" w:themeColor="text1"/>
          <w:kern w:val="0"/>
          <w:sz w:val="21"/>
          <w:szCs w:val="21"/>
          <w:lang w:val="en-US" w:eastAsia="zh-CN" w:bidi="ar"/>
          <w14:textFill>
            <w14:solidFill>
              <w14:schemeClr w14:val="tx1"/>
            </w14:solidFill>
          </w14:textFill>
        </w:rPr>
        <w:t>：火炬、火种灯、圣火盆、护具、服装、道具等是否按约定制作、交付，数量齐全、质量合格；</w:t>
      </w:r>
    </w:p>
    <w:p w14:paraId="0F42BB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2.</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成果文件：</w:t>
      </w:r>
      <w:r>
        <w:rPr>
          <w:rFonts w:hint="eastAsia" w:ascii="宋体" w:hAnsi="宋体" w:eastAsia="宋体" w:cs="宋体"/>
          <w:color w:val="000000" w:themeColor="text1"/>
          <w:kern w:val="0"/>
          <w:sz w:val="21"/>
          <w:szCs w:val="21"/>
          <w:lang w:val="en-US" w:eastAsia="zh-CN" w:bidi="ar"/>
          <w14:textFill>
            <w14:solidFill>
              <w14:schemeClr w14:val="tx1"/>
            </w14:solidFill>
          </w14:textFill>
        </w:rPr>
        <w:t>全程影像资料（直播录像、全景实录、花絮视频）、书面报告（策划报告、执行总结、经费决算报告）、设计文件（舞美设计图、服装道具设计图等）是否完整、规范，符合归档要求。</w:t>
      </w:r>
    </w:p>
    <w:p w14:paraId="4ED13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3.</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场地与撤场情况：</w:t>
      </w:r>
      <w:r>
        <w:rPr>
          <w:rFonts w:hint="eastAsia" w:ascii="宋体" w:hAnsi="宋体" w:eastAsia="宋体" w:cs="宋体"/>
          <w:color w:val="000000" w:themeColor="text1"/>
          <w:kern w:val="0"/>
          <w:sz w:val="21"/>
          <w:szCs w:val="21"/>
          <w:lang w:val="en-US" w:eastAsia="zh-CN" w:bidi="ar"/>
          <w14:textFill>
            <w14:solidFill>
              <w14:schemeClr w14:val="tx1"/>
            </w14:solidFill>
          </w14:textFill>
        </w:rPr>
        <w:t>各场次活动结束后，场地清场、设施拆卸、物资清运是否及时（火炬传递 24 小时内，开闭幕式 48 小时内），场地是否恢复原貌，无遗留杂物、无环境破坏，不影响后续赛事或场地正常使用。</w:t>
      </w:r>
    </w:p>
    <w:p w14:paraId="4AD3CC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4.</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合规性要求：</w:t>
      </w:r>
      <w:r>
        <w:rPr>
          <w:rFonts w:hint="eastAsia" w:ascii="宋体" w:hAnsi="宋体" w:eastAsia="宋体" w:cs="宋体"/>
          <w:color w:val="000000" w:themeColor="text1"/>
          <w:kern w:val="0"/>
          <w:sz w:val="21"/>
          <w:szCs w:val="21"/>
          <w:lang w:val="en-US" w:eastAsia="zh-CN" w:bidi="ar"/>
          <w14:textFill>
            <w14:solidFill>
              <w14:schemeClr w14:val="tx1"/>
            </w14:solidFill>
          </w14:textFill>
        </w:rPr>
        <w:t>（1）资质合规：施工单位、分包商等相关合作方的资质是否齐全有效；（2）财务合规：经费使用是否符合预算要求，报价清单与实际支出是否一致，无违规收费或虚报费用情形；（3）保险合规：保险购买是否覆盖全部相关人员及物资，保额、投保期限符合约定。</w:t>
      </w:r>
    </w:p>
    <w:p w14:paraId="5F4477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二、验收程序</w:t>
      </w:r>
    </w:p>
    <w:p w14:paraId="471450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（一）验收申请：</w:t>
      </w:r>
      <w:r>
        <w:rPr>
          <w:rFonts w:hint="eastAsia" w:ascii="宋体" w:hAnsi="宋体" w:eastAsia="宋体" w:cs="宋体"/>
          <w:color w:val="000000" w:themeColor="text1"/>
          <w:kern w:val="0"/>
          <w:sz w:val="21"/>
          <w:szCs w:val="21"/>
          <w:lang w:val="en-US" w:eastAsia="zh-CN" w:bidi="ar"/>
          <w14:textFill>
            <w14:solidFill>
              <w14:schemeClr w14:val="tx1"/>
            </w14:solidFill>
          </w14:textFill>
        </w:rPr>
        <w:t>广西壮族自治区第十一届残疾人运动会暨第六届特殊奥林匹克运动会闭幕式撤场完毕且场地恢复原貌后</w:t>
      </w:r>
      <w:r>
        <w:rPr>
          <w:rFonts w:hint="eastAsia" w:ascii="宋体" w:hAnsi="宋体" w:cs="宋体"/>
          <w:color w:val="000000" w:themeColor="text1"/>
          <w:kern w:val="0"/>
          <w:sz w:val="21"/>
          <w:szCs w:val="21"/>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lang w:val="en-US" w:eastAsia="zh-CN" w:bidi="ar"/>
          <w14:textFill>
            <w14:solidFill>
              <w14:schemeClr w14:val="tx1"/>
            </w14:solidFill>
          </w14:textFill>
        </w:rPr>
        <w:t>个工作日内，乙方向甲方提交书面验收申请，并附上全套验收材料（纸质版一式肆份、电子版一式贰份），验收材料需加盖乙方公章并由法定代表人或委托代理人签字确认</w:t>
      </w:r>
      <w:r>
        <w:rPr>
          <w:rFonts w:hint="eastAsia" w:ascii="宋体" w:hAnsi="宋体" w:cs="宋体"/>
          <w:color w:val="000000" w:themeColor="text1"/>
          <w:kern w:val="0"/>
          <w:sz w:val="21"/>
          <w:szCs w:val="21"/>
          <w:lang w:val="en-US" w:eastAsia="zh-CN" w:bidi="ar"/>
          <w14:textFill>
            <w14:solidFill>
              <w14:schemeClr w14:val="tx1"/>
            </w14:solidFill>
          </w14:textFill>
        </w:rPr>
        <w:t>。</w:t>
      </w:r>
    </w:p>
    <w:p w14:paraId="083A23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b/>
          <w:bCs/>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（二）验收组织：</w:t>
      </w:r>
      <w:r>
        <w:rPr>
          <w:rFonts w:hint="eastAsia" w:ascii="宋体" w:hAnsi="宋体" w:eastAsia="宋体" w:cs="宋体"/>
          <w:color w:val="000000" w:themeColor="text1"/>
          <w:kern w:val="0"/>
          <w:sz w:val="21"/>
          <w:szCs w:val="21"/>
          <w:lang w:val="en-US" w:eastAsia="zh-CN" w:bidi="ar"/>
          <w14:textFill>
            <w14:solidFill>
              <w14:schemeClr w14:val="tx1"/>
            </w14:solidFill>
          </w14:textFill>
        </w:rPr>
        <w:t>甲方在收到验收申请及全套材料后 15 个工作日内，组织验收小组（由甲方代表、相关专业技术人员、纪检监察人员组成，必要时邀请第三方机构参与）开展验收工作</w:t>
      </w:r>
      <w:r>
        <w:rPr>
          <w:rFonts w:hint="eastAsia" w:ascii="宋体" w:hAnsi="宋体" w:cs="宋体"/>
          <w:b/>
          <w:bCs/>
          <w:color w:val="000000" w:themeColor="text1"/>
          <w:kern w:val="0"/>
          <w:sz w:val="21"/>
          <w:szCs w:val="21"/>
          <w:lang w:val="en-US" w:eastAsia="zh-CN" w:bidi="ar"/>
          <w14:textFill>
            <w14:solidFill>
              <w14:schemeClr w14:val="tx1"/>
            </w14:solidFill>
          </w14:textFill>
        </w:rPr>
        <w:t>。</w:t>
      </w:r>
    </w:p>
    <w:p w14:paraId="524348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b/>
          <w:bCs/>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（三）验收实施：</w:t>
      </w:r>
    </w:p>
    <w:p w14:paraId="382D06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1.资料审核：</w:t>
      </w:r>
      <w:r>
        <w:rPr>
          <w:rFonts w:hint="eastAsia" w:ascii="宋体" w:hAnsi="宋体" w:eastAsia="宋体" w:cs="宋体"/>
          <w:color w:val="000000" w:themeColor="text1"/>
          <w:kern w:val="0"/>
          <w:sz w:val="21"/>
          <w:szCs w:val="21"/>
          <w:lang w:val="en-US" w:eastAsia="zh-CN" w:bidi="ar"/>
          <w14:textFill>
            <w14:solidFill>
              <w14:schemeClr w14:val="tx1"/>
            </w14:solidFill>
          </w14:textFill>
        </w:rPr>
        <w:t>验收小组对乙方提交的验收材料进行完整性、真实性、合规性审核；</w:t>
      </w:r>
    </w:p>
    <w:p w14:paraId="2024C6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2.现场核查：</w:t>
      </w:r>
      <w:r>
        <w:rPr>
          <w:rFonts w:hint="eastAsia" w:ascii="宋体" w:hAnsi="宋体" w:eastAsia="宋体" w:cs="宋体"/>
          <w:color w:val="000000" w:themeColor="text1"/>
          <w:kern w:val="0"/>
          <w:sz w:val="21"/>
          <w:szCs w:val="21"/>
          <w:lang w:val="en-US" w:eastAsia="zh-CN" w:bidi="ar"/>
          <w14:textFill>
            <w14:solidFill>
              <w14:schemeClr w14:val="tx1"/>
            </w14:solidFill>
          </w14:textFill>
        </w:rPr>
        <w:t>实地核查场地恢复情况、剩余物资情况，查阅活动影像资料，核实各环节执行情况；</w:t>
      </w:r>
    </w:p>
    <w:p w14:paraId="52F322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3.沟通质询：</w:t>
      </w:r>
      <w:r>
        <w:rPr>
          <w:rFonts w:hint="eastAsia" w:ascii="宋体" w:hAnsi="宋体" w:eastAsia="宋体" w:cs="宋体"/>
          <w:color w:val="000000" w:themeColor="text1"/>
          <w:kern w:val="0"/>
          <w:sz w:val="21"/>
          <w:szCs w:val="21"/>
          <w:lang w:val="en-US" w:eastAsia="zh-CN" w:bidi="ar"/>
          <w14:textFill>
            <w14:solidFill>
              <w14:schemeClr w14:val="tx1"/>
            </w14:solidFill>
          </w14:textFill>
        </w:rPr>
        <w:t>就验收过程中发现的问题向乙方进行质询，乙方需现场作出解释或提供补充证明材料（新增：补充验收实施流程）</w:t>
      </w:r>
      <w:r>
        <w:rPr>
          <w:rFonts w:hint="eastAsia" w:ascii="宋体" w:hAnsi="宋体" w:cs="宋体"/>
          <w:color w:val="000000" w:themeColor="text1"/>
          <w:kern w:val="0"/>
          <w:sz w:val="21"/>
          <w:szCs w:val="21"/>
          <w:lang w:val="en-US" w:eastAsia="zh-CN" w:bidi="ar"/>
          <w14:textFill>
            <w14:solidFill>
              <w14:schemeClr w14:val="tx1"/>
            </w14:solidFill>
          </w14:textFill>
        </w:rPr>
        <w:t>。</w:t>
      </w:r>
    </w:p>
    <w:p w14:paraId="45A8EA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b/>
          <w:bCs/>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（四）验收结果：</w:t>
      </w:r>
    </w:p>
    <w:p w14:paraId="277303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1.验收合格：</w:t>
      </w:r>
      <w:r>
        <w:rPr>
          <w:rFonts w:hint="eastAsia" w:ascii="宋体" w:hAnsi="宋体" w:eastAsia="宋体" w:cs="宋体"/>
          <w:color w:val="000000" w:themeColor="text1"/>
          <w:kern w:val="0"/>
          <w:sz w:val="21"/>
          <w:szCs w:val="21"/>
          <w:lang w:val="en-US" w:eastAsia="zh-CN" w:bidi="ar"/>
          <w14:textFill>
            <w14:solidFill>
              <w14:schemeClr w14:val="tx1"/>
            </w14:solidFill>
          </w14:textFill>
        </w:rPr>
        <w:t>验收小组一致认为项目符合验收依据及要求，出具《项目履约验收报告》，由验收小组成员签字、甲方盖章确认，验收报告作为付款及履约保证金退还的依据；</w:t>
      </w:r>
    </w:p>
    <w:p w14:paraId="53FC5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2.验收不合格：</w:t>
      </w:r>
      <w:r>
        <w:rPr>
          <w:rFonts w:hint="eastAsia" w:ascii="宋体" w:hAnsi="宋体" w:eastAsia="宋体" w:cs="宋体"/>
          <w:color w:val="000000" w:themeColor="text1"/>
          <w:kern w:val="0"/>
          <w:sz w:val="21"/>
          <w:szCs w:val="21"/>
          <w:lang w:val="en-US" w:eastAsia="zh-CN" w:bidi="ar"/>
          <w14:textFill>
            <w14:solidFill>
              <w14:schemeClr w14:val="tx1"/>
            </w14:solidFill>
          </w14:textFill>
        </w:rPr>
        <w:t>验收小组出具书面整改意见，明确不合格事项、整改要求及整改期限（最长不超过 15 个工作日）；乙方需在整改期限内完成整改并重新提交验收申请，整改费用由乙方自行承担；若整改后仍不合格，或逾期未完成整改，甲方有权解除合同，扣除全部履约保证金，要求乙方退还已支付的服务费用，并赔偿因此造成的损失</w:t>
      </w:r>
      <w:r>
        <w:rPr>
          <w:rFonts w:hint="eastAsia" w:ascii="宋体" w:hAnsi="宋体" w:cs="宋体"/>
          <w:color w:val="000000" w:themeColor="text1"/>
          <w:kern w:val="0"/>
          <w:sz w:val="21"/>
          <w:szCs w:val="21"/>
          <w:lang w:val="en-US" w:eastAsia="zh-CN" w:bidi="ar"/>
          <w14:textFill>
            <w14:solidFill>
              <w14:schemeClr w14:val="tx1"/>
            </w14:solidFill>
          </w14:textFill>
        </w:rPr>
        <w:t>。</w:t>
      </w:r>
    </w:p>
    <w:p w14:paraId="4965E9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1" w:firstLineChars="1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（五）验收费用：</w:t>
      </w:r>
      <w:r>
        <w:rPr>
          <w:rFonts w:hint="eastAsia" w:ascii="宋体" w:hAnsi="宋体" w:eastAsia="宋体" w:cs="宋体"/>
          <w:color w:val="000000" w:themeColor="text1"/>
          <w:kern w:val="0"/>
          <w:sz w:val="21"/>
          <w:szCs w:val="21"/>
          <w:lang w:val="en-US" w:eastAsia="zh-CN" w:bidi="ar"/>
          <w14:textFill>
            <w14:solidFill>
              <w14:schemeClr w14:val="tx1"/>
            </w14:solidFill>
          </w14:textFill>
        </w:rPr>
        <w:t>首次验收费用（包括专家咨询费、资料审核费等）由甲方承担；因乙方原因导致验收不合格需重新验收的，后续整改及验收的全部费用由乙方承担。</w:t>
      </w:r>
    </w:p>
    <w:p w14:paraId="14CE39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rFonts w:hint="eastAsia" w:ascii="宋体" w:hAnsi="宋体" w:cs="宋体"/>
          <w:b/>
          <w:bCs/>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（六）验收异议处理：</w:t>
      </w:r>
    </w:p>
    <w:p w14:paraId="44394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乙方对验收结果有异议的，可在收到验收结果通知后 7 个工作日内向甲方提出书面异议，说明异议理由并提供相关证明材料；</w:t>
      </w:r>
    </w:p>
    <w:p w14:paraId="46577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0" w:firstLineChars="200"/>
        <w:jc w:val="both"/>
        <w:textAlignment w:val="auto"/>
        <w:rPr>
          <w:rFonts w:hint="eastAsia" w:ascii="宋体" w:hAnsi="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甲方收到异议后 5 个工作日内组织复核，复核结果为最终验收结论；若复核后确认原验收结果有误，需重新出具验收报告；若异议不成立，需书面告知乙方异议理由</w:t>
      </w:r>
      <w:r>
        <w:rPr>
          <w:rFonts w:hint="eastAsia" w:ascii="宋体" w:hAnsi="宋体" w:cs="宋体"/>
          <w:color w:val="000000" w:themeColor="text1"/>
          <w:kern w:val="0"/>
          <w:sz w:val="21"/>
          <w:szCs w:val="21"/>
          <w:lang w:val="en-US" w:eastAsia="zh-CN" w:bidi="ar"/>
          <w14:textFill>
            <w14:solidFill>
              <w14:schemeClr w14:val="tx1"/>
            </w14:solidFill>
          </w14:textFill>
        </w:rPr>
        <w:t>。</w:t>
      </w:r>
    </w:p>
    <w:p w14:paraId="103A89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22" w:firstLineChars="200"/>
        <w:jc w:val="both"/>
        <w:textAlignment w:val="auto"/>
        <w:rPr>
          <w:color w:val="000000" w:themeColor="text1"/>
          <w:sz w:val="24"/>
          <w:szCs w:val="24"/>
          <w:shd w:val="clear" w:fill="FFFFFF"/>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t>（七）验收档案管理：</w:t>
      </w:r>
      <w:r>
        <w:rPr>
          <w:rFonts w:hint="eastAsia" w:ascii="宋体" w:hAnsi="宋体" w:eastAsia="宋体" w:cs="宋体"/>
          <w:color w:val="000000" w:themeColor="text1"/>
          <w:kern w:val="0"/>
          <w:sz w:val="21"/>
          <w:szCs w:val="21"/>
          <w:lang w:val="en-US" w:eastAsia="zh-CN" w:bidi="ar"/>
          <w14:textFill>
            <w14:solidFill>
              <w14:schemeClr w14:val="tx1"/>
            </w14:solidFill>
          </w14:textFill>
        </w:rPr>
        <w:t>验收工作完成后，甲方将验收报告、验收材料、整改记录（如有）等相关文件整理归档，作为项目履约的完整档案留存</w:t>
      </w:r>
      <w:r>
        <w:rPr>
          <w:color w:val="000000" w:themeColor="text1"/>
          <w:sz w:val="24"/>
          <w:szCs w:val="24"/>
          <w:shd w:val="clear" w:fill="FFFFFF"/>
          <w14:textFill>
            <w14:solidFill>
              <w14:schemeClr w14:val="tx1"/>
            </w14:solidFill>
          </w14:textFill>
        </w:rPr>
        <w:t>。</w:t>
      </w:r>
    </w:p>
    <w:p w14:paraId="34A904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480" w:firstLineChars="200"/>
        <w:jc w:val="both"/>
        <w:textAlignment w:val="auto"/>
        <w:rPr>
          <w:rFonts w:hint="eastAsia"/>
          <w:color w:val="000000" w:themeColor="text1"/>
          <w:sz w:val="24"/>
          <w:szCs w:val="24"/>
          <w:shd w:val="clear" w:fill="FFFFFF"/>
          <w:lang w:val="en-US" w:eastAsia="zh-CN"/>
          <w14:textFill>
            <w14:solidFill>
              <w14:schemeClr w14:val="tx1"/>
            </w14:solidFill>
          </w14:textFill>
        </w:rPr>
      </w:pPr>
    </w:p>
    <w:p w14:paraId="1D98E961">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违约责任</w:t>
      </w:r>
    </w:p>
    <w:p w14:paraId="7A7BB1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p>
    <w:p w14:paraId="759EAC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一、甲方违约责任</w:t>
      </w:r>
    </w:p>
    <w:p w14:paraId="0F329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ascii="宋体" w:hAnsi="宋体" w:eastAsia="宋体" w:cs="宋体"/>
          <w:color w:val="000000" w:themeColor="text1"/>
          <w:kern w:val="0"/>
          <w:sz w:val="21"/>
          <w:szCs w:val="21"/>
          <w:lang w:val="en-US" w:eastAsia="zh-CN" w:bidi="ar"/>
          <w14:textFill>
            <w14:solidFill>
              <w14:schemeClr w14:val="tx1"/>
            </w14:solidFill>
          </w14:textFill>
        </w:rPr>
        <w:t>甲方无正当理由逾期支付服务费用的，每逾期一日，按欠付金额的万分之二向乙方支付违约金，违约金最高限额为欠付金额的</w:t>
      </w:r>
      <w:r>
        <w:rPr>
          <w:rFonts w:hint="eastAsia" w:ascii="宋体" w:hAnsi="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0%；逾期付款超过 30 日的，乙方有权要求甲方继续履行合同并赔偿损失。</w:t>
      </w:r>
    </w:p>
    <w:p w14:paraId="58E9AF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甲方无故单方解除合同的，需向乙方支付合同总金额 20% 的违约金，并赔偿乙方因此遭受的实际损失。</w:t>
      </w:r>
    </w:p>
    <w:p w14:paraId="021944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3.</w:t>
      </w:r>
      <w:r>
        <w:rPr>
          <w:rFonts w:ascii="宋体" w:hAnsi="宋体" w:eastAsia="宋体" w:cs="宋体"/>
          <w:color w:val="000000" w:themeColor="text1"/>
          <w:kern w:val="0"/>
          <w:sz w:val="21"/>
          <w:szCs w:val="21"/>
          <w:lang w:val="en-US" w:eastAsia="zh-CN" w:bidi="ar"/>
          <w14:textFill>
            <w14:solidFill>
              <w14:schemeClr w14:val="tx1"/>
            </w14:solidFill>
          </w14:textFill>
        </w:rPr>
        <w:t>因甲方原因导致项目延期的，服务期限相应顺延，甲方不承担其他违约责任。</w:t>
      </w:r>
    </w:p>
    <w:p w14:paraId="0AE129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二、乙方违约责任</w:t>
      </w:r>
    </w:p>
    <w:p w14:paraId="6434BA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ascii="宋体" w:hAnsi="宋体" w:eastAsia="宋体" w:cs="宋体"/>
          <w:color w:val="000000" w:themeColor="text1"/>
          <w:kern w:val="0"/>
          <w:sz w:val="21"/>
          <w:szCs w:val="21"/>
          <w:lang w:val="en-US" w:eastAsia="zh-CN" w:bidi="ar"/>
          <w14:textFill>
            <w14:solidFill>
              <w14:schemeClr w14:val="tx1"/>
            </w14:solidFill>
          </w14:textFill>
        </w:rPr>
        <w:t>乙方未按本合同约定提交方案、人员名单、安全方案等材料，或材料审核未通过拒不整改的，甲方有权扣除履约保证金的 10%-20%，并要求乙方限期整改；逾期未整改的，甲方有权解除合同。</w:t>
      </w:r>
    </w:p>
    <w:p w14:paraId="535B6A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乙方未经甲方书面同意擅自更换主创人员、核心技术人员的，视为严重违约，甲方有权扣除履约保证金的 20%，并要求乙方在 5 个工作日内恢复原人员配置；若因此导致项目进度延误、演出质量下降的，乙方需赔偿甲方因此遭受的损失。</w:t>
      </w:r>
    </w:p>
    <w:p w14:paraId="65195E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r>
        <w:rPr>
          <w:rFonts w:ascii="宋体" w:hAnsi="宋体" w:eastAsia="宋体" w:cs="宋体"/>
          <w:color w:val="000000" w:themeColor="text1"/>
          <w:kern w:val="0"/>
          <w:sz w:val="21"/>
          <w:szCs w:val="21"/>
          <w:lang w:val="en-US" w:eastAsia="zh-CN" w:bidi="ar"/>
          <w14:textFill>
            <w14:solidFill>
              <w14:schemeClr w14:val="tx1"/>
            </w14:solidFill>
          </w14:textFill>
        </w:rPr>
        <w:t>乙方各场次演出的演员阵容、排练次数、演出时长等未达到本合同约定标准的，每一项违约情形，甲方有权扣除履约保证金的 5%-10%，并要求乙方限期整改；整改后仍不符合要求的，甲方有权扣除剩余履约保证金并解除合同。</w:t>
      </w:r>
    </w:p>
    <w:p w14:paraId="622E65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r>
        <w:rPr>
          <w:rFonts w:ascii="宋体" w:hAnsi="宋体" w:eastAsia="宋体" w:cs="宋体"/>
          <w:color w:val="000000" w:themeColor="text1"/>
          <w:kern w:val="0"/>
          <w:sz w:val="21"/>
          <w:szCs w:val="21"/>
          <w:lang w:val="en-US" w:eastAsia="zh-CN" w:bidi="ar"/>
          <w14:textFill>
            <w14:solidFill>
              <w14:schemeClr w14:val="tx1"/>
            </w14:solidFill>
          </w14:textFill>
        </w:rPr>
        <w:t>乙方未按本合同约定时间完成场地清场、设施复原，或清场验收不合格的，每逾期一日，按合同总金额的万分之</w:t>
      </w:r>
      <w:r>
        <w:rPr>
          <w:rFonts w:hint="eastAsia" w:ascii="宋体" w:hAnsi="宋体" w:cs="宋体"/>
          <w:color w:val="000000" w:themeColor="text1"/>
          <w:kern w:val="0"/>
          <w:sz w:val="21"/>
          <w:szCs w:val="21"/>
          <w:lang w:val="en-US" w:eastAsia="zh-CN" w:bidi="ar"/>
          <w14:textFill>
            <w14:solidFill>
              <w14:schemeClr w14:val="tx1"/>
            </w14:solidFill>
          </w14:textFill>
        </w:rPr>
        <w:t>二</w:t>
      </w:r>
      <w:r>
        <w:rPr>
          <w:rFonts w:ascii="宋体" w:hAnsi="宋体" w:eastAsia="宋体" w:cs="宋体"/>
          <w:color w:val="000000" w:themeColor="text1"/>
          <w:kern w:val="0"/>
          <w:sz w:val="21"/>
          <w:szCs w:val="21"/>
          <w:lang w:val="en-US" w:eastAsia="zh-CN" w:bidi="ar"/>
          <w14:textFill>
            <w14:solidFill>
              <w14:schemeClr w14:val="tx1"/>
            </w14:solidFill>
          </w14:textFill>
        </w:rPr>
        <w:t>向甲方支付违约金，直至完成清场并验收合格；同时甲方有权扣除履约保证金的 10%。</w:t>
      </w:r>
    </w:p>
    <w:p w14:paraId="31255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r>
        <w:rPr>
          <w:rFonts w:ascii="宋体" w:hAnsi="宋体" w:eastAsia="宋体" w:cs="宋体"/>
          <w:color w:val="000000" w:themeColor="text1"/>
          <w:kern w:val="0"/>
          <w:sz w:val="21"/>
          <w:szCs w:val="21"/>
          <w:lang w:val="en-US" w:eastAsia="zh-CN" w:bidi="ar"/>
          <w14:textFill>
            <w14:solidFill>
              <w14:schemeClr w14:val="tx1"/>
            </w14:solidFill>
          </w14:textFill>
        </w:rPr>
        <w:t>乙方未按本合同约定为相关人员购买保险的，甲方有权扣除履约保证金的 10%，并要求乙方限期投保；逾期未投保的，甲方有权解除合同并要求乙方赔偿损失。</w:t>
      </w:r>
    </w:p>
    <w:p w14:paraId="4D9400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w:t>
      </w:r>
      <w:r>
        <w:rPr>
          <w:rFonts w:ascii="宋体" w:hAnsi="宋体" w:eastAsia="宋体" w:cs="宋体"/>
          <w:color w:val="000000" w:themeColor="text1"/>
          <w:kern w:val="0"/>
          <w:sz w:val="21"/>
          <w:szCs w:val="21"/>
          <w:lang w:val="en-US" w:eastAsia="zh-CN" w:bidi="ar"/>
          <w14:textFill>
            <w14:solidFill>
              <w14:schemeClr w14:val="tx1"/>
            </w14:solidFill>
          </w14:textFill>
        </w:rPr>
        <w:t>乙方在项目实施过程中发生安全事故、重大演出失误的，甲方有权扣除全部履约保证金，乙方需赔偿甲方因此遭受的全部损失（含直接损失和间接损失）；若事故造成第三方损失的，由乙方承担全部赔偿责任。</w:t>
      </w:r>
    </w:p>
    <w:p w14:paraId="14306E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w:t>
      </w:r>
      <w:r>
        <w:rPr>
          <w:rFonts w:ascii="宋体" w:hAnsi="宋体" w:eastAsia="宋体" w:cs="宋体"/>
          <w:color w:val="000000" w:themeColor="text1"/>
          <w:kern w:val="0"/>
          <w:sz w:val="21"/>
          <w:szCs w:val="21"/>
          <w:lang w:val="en-US" w:eastAsia="zh-CN" w:bidi="ar"/>
          <w14:textFill>
            <w14:solidFill>
              <w14:schemeClr w14:val="tx1"/>
            </w14:solidFill>
          </w14:textFill>
        </w:rPr>
        <w:t>乙方擅自转包项目或未经甲方同意分包项目的，甲方有权立即解除合同，扣除全部履约保证金，并要求乙方支付合同总金额 20% 的违约金，同时赔偿甲方因此遭受的损失。</w:t>
      </w:r>
    </w:p>
    <w:p w14:paraId="3CE42D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w:t>
      </w:r>
      <w:r>
        <w:rPr>
          <w:rFonts w:ascii="宋体" w:hAnsi="宋体" w:eastAsia="宋体" w:cs="宋体"/>
          <w:color w:val="000000" w:themeColor="text1"/>
          <w:kern w:val="0"/>
          <w:sz w:val="21"/>
          <w:szCs w:val="21"/>
          <w:lang w:val="en-US" w:eastAsia="zh-CN" w:bidi="ar"/>
          <w14:textFill>
            <w14:solidFill>
              <w14:schemeClr w14:val="tx1"/>
            </w14:solidFill>
          </w14:textFill>
        </w:rPr>
        <w:t>乙方未按本合同约定配合媒体直播，导致直播故障、中断的，乙方需赔偿甲方因此遭受的全部损失（含直播服务费、品牌损失费等），甲方有权扣除履约保证金的 10%-30%。</w:t>
      </w:r>
    </w:p>
    <w:p w14:paraId="21ACE9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w:t>
      </w:r>
      <w:r>
        <w:rPr>
          <w:rFonts w:ascii="宋体" w:hAnsi="宋体" w:eastAsia="宋体" w:cs="宋体"/>
          <w:color w:val="000000" w:themeColor="text1"/>
          <w:kern w:val="0"/>
          <w:sz w:val="21"/>
          <w:szCs w:val="21"/>
          <w:lang w:val="en-US" w:eastAsia="zh-CN" w:bidi="ar"/>
          <w14:textFill>
            <w14:solidFill>
              <w14:schemeClr w14:val="tx1"/>
            </w14:solidFill>
          </w14:textFill>
        </w:rPr>
        <w:t>乙方逾期完成服务的，每逾期一日，按合同总金额的万分之</w:t>
      </w:r>
      <w:r>
        <w:rPr>
          <w:rFonts w:hint="eastAsia" w:ascii="宋体" w:hAnsi="宋体" w:cs="宋体"/>
          <w:color w:val="000000" w:themeColor="text1"/>
          <w:kern w:val="0"/>
          <w:sz w:val="21"/>
          <w:szCs w:val="21"/>
          <w:lang w:val="en-US" w:eastAsia="zh-CN" w:bidi="ar"/>
          <w14:textFill>
            <w14:solidFill>
              <w14:schemeClr w14:val="tx1"/>
            </w14:solidFill>
          </w14:textFill>
        </w:rPr>
        <w:t>二</w:t>
      </w:r>
      <w:r>
        <w:rPr>
          <w:rFonts w:ascii="宋体" w:hAnsi="宋体" w:eastAsia="宋体" w:cs="宋体"/>
          <w:color w:val="000000" w:themeColor="text1"/>
          <w:kern w:val="0"/>
          <w:sz w:val="21"/>
          <w:szCs w:val="21"/>
          <w:lang w:val="en-US" w:eastAsia="zh-CN" w:bidi="ar"/>
          <w14:textFill>
            <w14:solidFill>
              <w14:schemeClr w14:val="tx1"/>
            </w14:solidFill>
          </w14:textFill>
        </w:rPr>
        <w:t>向甲方支付违约金，违约金最高限额为合同总金额的</w:t>
      </w:r>
      <w:r>
        <w:rPr>
          <w:rFonts w:hint="eastAsia" w:ascii="宋体" w:hAnsi="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0%；逾期超过 15 日的，甲方有权解除合同，扣除全部履约保证金并要求乙方赔偿损失。</w:t>
      </w:r>
    </w:p>
    <w:p w14:paraId="103B94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w:t>
      </w:r>
      <w:r>
        <w:rPr>
          <w:rFonts w:ascii="宋体" w:hAnsi="宋体" w:eastAsia="宋体" w:cs="宋体"/>
          <w:color w:val="000000" w:themeColor="text1"/>
          <w:kern w:val="0"/>
          <w:sz w:val="21"/>
          <w:szCs w:val="21"/>
          <w:lang w:val="en-US" w:eastAsia="zh-CN" w:bidi="ar"/>
          <w14:textFill>
            <w14:solidFill>
              <w14:schemeClr w14:val="tx1"/>
            </w14:solidFill>
          </w14:textFill>
        </w:rPr>
        <w:t>乙方提供的服务成果不符合本合同约定及验收标准，且无法整改或整改后仍不合格的，甲方有权解除合同，扣除全部履约保证金，乙方需退还甲方已支付的全部服务费用，并赔偿甲方因此遭受的损失（含重新采购的差价）。</w:t>
      </w:r>
    </w:p>
    <w:p w14:paraId="2A7128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三、通用违约条款</w:t>
      </w:r>
    </w:p>
    <w:p w14:paraId="59DAA1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w:t>
      </w:r>
      <w:r>
        <w:rPr>
          <w:rFonts w:ascii="宋体" w:hAnsi="宋体" w:eastAsia="宋体" w:cs="宋体"/>
          <w:color w:val="000000" w:themeColor="text1"/>
          <w:kern w:val="0"/>
          <w:sz w:val="21"/>
          <w:szCs w:val="21"/>
          <w:lang w:val="en-US" w:eastAsia="zh-CN" w:bidi="ar"/>
          <w14:textFill>
            <w14:solidFill>
              <w14:schemeClr w14:val="tx1"/>
            </w14:solidFill>
          </w14:textFill>
        </w:rPr>
        <w:t>任何一方违反本合同约定的其他义务，经对方催告后 15 日内仍未履行的，守约方有权要求违约方继续履行合同并赔偿实际损失；若违约行为导致合同目的无法实现的，守约方有权解除合同。</w:t>
      </w:r>
    </w:p>
    <w:p w14:paraId="78D9BE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w:t>
      </w:r>
      <w:r>
        <w:rPr>
          <w:rFonts w:ascii="宋体" w:hAnsi="宋体" w:eastAsia="宋体" w:cs="宋体"/>
          <w:color w:val="000000" w:themeColor="text1"/>
          <w:kern w:val="0"/>
          <w:sz w:val="21"/>
          <w:szCs w:val="21"/>
          <w:lang w:val="en-US" w:eastAsia="zh-CN" w:bidi="ar"/>
          <w14:textFill>
            <w14:solidFill>
              <w14:schemeClr w14:val="tx1"/>
            </w14:solidFill>
          </w14:textFill>
        </w:rPr>
        <w:t>违约金不足以弥补守约方实际损失的，违约方需补足差额部分。</w:t>
      </w:r>
    </w:p>
    <w:p w14:paraId="4F03DB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rightChars="0" w:firstLine="210" w:firstLineChars="1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w:t>
      </w:r>
      <w:r>
        <w:rPr>
          <w:rFonts w:ascii="宋体" w:hAnsi="宋体" w:eastAsia="宋体" w:cs="宋体"/>
          <w:color w:val="000000" w:themeColor="text1"/>
          <w:kern w:val="0"/>
          <w:sz w:val="21"/>
          <w:szCs w:val="21"/>
          <w:lang w:val="en-US" w:eastAsia="zh-CN" w:bidi="ar"/>
          <w14:textFill>
            <w14:solidFill>
              <w14:schemeClr w14:val="tx1"/>
            </w14:solidFill>
          </w14:textFill>
        </w:rPr>
        <w:t>因不可抗力导致一方无法履行合同的，不承担违约责任，双方按本合同第七部分处理。</w:t>
      </w:r>
    </w:p>
    <w:p w14:paraId="53168B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center"/>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p>
    <w:p w14:paraId="7DC08B51">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lang w:val="en-US" w:eastAsia="zh-CN" w:bidi="ar"/>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不可抗力</w:t>
      </w:r>
    </w:p>
    <w:p w14:paraId="641ACF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p>
    <w:p w14:paraId="4C614E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w:t>
      </w:r>
      <w:r>
        <w:rPr>
          <w:rFonts w:ascii="宋体" w:hAnsi="宋体" w:eastAsia="宋体" w:cs="宋体"/>
          <w:color w:val="000000" w:themeColor="text1"/>
          <w:kern w:val="0"/>
          <w:sz w:val="21"/>
          <w:szCs w:val="21"/>
          <w:lang w:val="en-US" w:eastAsia="zh-CN" w:bidi="ar"/>
          <w14:textFill>
            <w14:solidFill>
              <w14:schemeClr w14:val="tx1"/>
            </w14:solidFill>
          </w14:textFill>
        </w:rPr>
        <w:t>本合同所称不可抗力，是指不能预见、不能避免并不能克服的客观情况，包括但不限于自然灾害、战争、疫情、政府行为、政策调整等。</w:t>
      </w:r>
    </w:p>
    <w:p w14:paraId="1DA92A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w:t>
      </w:r>
      <w:r>
        <w:rPr>
          <w:rFonts w:ascii="宋体" w:hAnsi="宋体" w:eastAsia="宋体" w:cs="宋体"/>
          <w:color w:val="000000" w:themeColor="text1"/>
          <w:kern w:val="0"/>
          <w:sz w:val="21"/>
          <w:szCs w:val="21"/>
          <w:lang w:val="en-US" w:eastAsia="zh-CN" w:bidi="ar"/>
          <w14:textFill>
            <w14:solidFill>
              <w14:schemeClr w14:val="tx1"/>
            </w14:solidFill>
          </w14:textFill>
        </w:rPr>
        <w:t>发生不可抗力的一方，应在不可抗力发生后24 小时内以书面形式通知对方，并在不可抗力发生后2 日内提供由相关部门出具的证明文件。</w:t>
      </w:r>
    </w:p>
    <w:p w14:paraId="25515A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w:t>
      </w:r>
      <w:r>
        <w:rPr>
          <w:rFonts w:ascii="宋体" w:hAnsi="宋体" w:eastAsia="宋体" w:cs="宋体"/>
          <w:color w:val="000000" w:themeColor="text1"/>
          <w:kern w:val="0"/>
          <w:sz w:val="21"/>
          <w:szCs w:val="21"/>
          <w:lang w:val="en-US" w:eastAsia="zh-CN" w:bidi="ar"/>
          <w14:textFill>
            <w14:solidFill>
              <w14:schemeClr w14:val="tx1"/>
            </w14:solidFill>
          </w14:textFill>
        </w:rPr>
        <w:t>因不可抗力导致合同无法履行的，根据不可抗力的影响，部分或全部免除责任，但法律另有规定的除外；因不可抗力导致合同履行延误的，服务期限相应顺延。</w:t>
      </w:r>
    </w:p>
    <w:p w14:paraId="42CDB9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w:t>
      </w:r>
      <w:r>
        <w:rPr>
          <w:rFonts w:ascii="宋体" w:hAnsi="宋体" w:eastAsia="宋体" w:cs="宋体"/>
          <w:color w:val="000000" w:themeColor="text1"/>
          <w:kern w:val="0"/>
          <w:sz w:val="21"/>
          <w:szCs w:val="21"/>
          <w:lang w:val="en-US" w:eastAsia="zh-CN" w:bidi="ar"/>
          <w14:textFill>
            <w14:solidFill>
              <w14:schemeClr w14:val="tx1"/>
            </w14:solidFill>
          </w14:textFill>
        </w:rPr>
        <w:t>不可抗力发生后，双方应及时协商解决合同继续履行或解除的事宜，尽可能减少损失。</w:t>
      </w:r>
    </w:p>
    <w:p w14:paraId="334F63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center"/>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p>
    <w:p w14:paraId="19706282">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lang w:val="en-US" w:eastAsia="zh-CN" w:bidi="ar"/>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合同的变更、解除与终止</w:t>
      </w:r>
    </w:p>
    <w:p w14:paraId="561D4D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p>
    <w:p w14:paraId="339EE8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一、合同变更</w:t>
      </w:r>
    </w:p>
    <w:p w14:paraId="7B82CE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ascii="宋体" w:hAnsi="宋体" w:eastAsia="宋体" w:cs="宋体"/>
          <w:color w:val="000000" w:themeColor="text1"/>
          <w:kern w:val="0"/>
          <w:sz w:val="21"/>
          <w:szCs w:val="21"/>
          <w:lang w:val="en-US" w:eastAsia="zh-CN" w:bidi="ar"/>
          <w14:textFill>
            <w14:solidFill>
              <w14:schemeClr w14:val="tx1"/>
            </w14:solidFill>
          </w14:textFill>
        </w:rPr>
        <w:t>本合同的任何变更，需经双方协商一致并签订书面补充协议，补充协议与本合同具有同等法律效力；</w:t>
      </w:r>
    </w:p>
    <w:p w14:paraId="4350D5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甲方因项目需要对服务内容进行小幅优化调整的，乙方需无条件配合，无需签订补充协议，且甲方不额外支付费用；</w:t>
      </w:r>
    </w:p>
    <w:p w14:paraId="45CBE7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r>
        <w:rPr>
          <w:rFonts w:ascii="宋体" w:hAnsi="宋体" w:eastAsia="宋体" w:cs="宋体"/>
          <w:color w:val="000000" w:themeColor="text1"/>
          <w:kern w:val="0"/>
          <w:sz w:val="21"/>
          <w:szCs w:val="21"/>
          <w:lang w:val="en-US" w:eastAsia="zh-CN" w:bidi="ar"/>
          <w14:textFill>
            <w14:solidFill>
              <w14:schemeClr w14:val="tx1"/>
            </w14:solidFill>
          </w14:textFill>
        </w:rPr>
        <w:t>补充协议不得违背招标文件、投标文件的实质性内容，不得超出本合同约定的服务范围和总价包干原则。</w:t>
      </w:r>
    </w:p>
    <w:p w14:paraId="28D2A5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二、合同解除</w:t>
      </w:r>
    </w:p>
    <w:p w14:paraId="65199E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有下列情形之一的，一方有权单方解除本合同，书面通知对方后，合同自通知到达对方之日起解除：</w:t>
      </w:r>
    </w:p>
    <w:p w14:paraId="76797F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ascii="宋体" w:hAnsi="宋体" w:eastAsia="宋体" w:cs="宋体"/>
          <w:color w:val="000000" w:themeColor="text1"/>
          <w:kern w:val="0"/>
          <w:sz w:val="21"/>
          <w:szCs w:val="21"/>
          <w:lang w:val="en-US" w:eastAsia="zh-CN" w:bidi="ar"/>
          <w14:textFill>
            <w14:solidFill>
              <w14:schemeClr w14:val="tx1"/>
            </w14:solidFill>
          </w14:textFill>
        </w:rPr>
        <w:t>乙方出现本合同约定的严重违约情形，经甲方催告后仍未整改的；</w:t>
      </w:r>
    </w:p>
    <w:p w14:paraId="7C310A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乙方因经营不善、破产、吊销营业执照等原因无法继续履行合同的；</w:t>
      </w:r>
    </w:p>
    <w:p w14:paraId="17174E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r>
        <w:rPr>
          <w:rFonts w:ascii="宋体" w:hAnsi="宋体" w:eastAsia="宋体" w:cs="宋体"/>
          <w:color w:val="000000" w:themeColor="text1"/>
          <w:kern w:val="0"/>
          <w:sz w:val="21"/>
          <w:szCs w:val="21"/>
          <w:lang w:val="en-US" w:eastAsia="zh-CN" w:bidi="ar"/>
          <w14:textFill>
            <w14:solidFill>
              <w14:schemeClr w14:val="tx1"/>
            </w14:solidFill>
          </w14:textFill>
        </w:rPr>
        <w:t>甲方无正当理由逾期支付服务费用超过 30 日的；</w:t>
      </w:r>
    </w:p>
    <w:p w14:paraId="52E2CA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r>
        <w:rPr>
          <w:rFonts w:ascii="宋体" w:hAnsi="宋体" w:eastAsia="宋体" w:cs="宋体"/>
          <w:color w:val="000000" w:themeColor="text1"/>
          <w:kern w:val="0"/>
          <w:sz w:val="21"/>
          <w:szCs w:val="21"/>
          <w:lang w:val="en-US" w:eastAsia="zh-CN" w:bidi="ar"/>
          <w14:textFill>
            <w14:solidFill>
              <w14:schemeClr w14:val="tx1"/>
            </w14:solidFill>
          </w14:textFill>
        </w:rPr>
        <w:t>因不可抗力导致合同目的无法实现的；</w:t>
      </w:r>
    </w:p>
    <w:p w14:paraId="562FD4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r>
        <w:rPr>
          <w:rFonts w:ascii="宋体" w:hAnsi="宋体" w:eastAsia="宋体" w:cs="宋体"/>
          <w:color w:val="000000" w:themeColor="text1"/>
          <w:kern w:val="0"/>
          <w:sz w:val="21"/>
          <w:szCs w:val="21"/>
          <w:lang w:val="en-US" w:eastAsia="zh-CN" w:bidi="ar"/>
          <w14:textFill>
            <w14:solidFill>
              <w14:schemeClr w14:val="tx1"/>
            </w14:solidFill>
          </w14:textFill>
        </w:rPr>
        <w:t>法律规定的其他可以解除合同的情形。</w:t>
      </w:r>
    </w:p>
    <w:p w14:paraId="4CDF2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三、合同终止</w:t>
      </w:r>
    </w:p>
    <w:p w14:paraId="2696B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ascii="宋体" w:hAnsi="宋体" w:eastAsia="宋体" w:cs="宋体"/>
          <w:color w:val="000000" w:themeColor="text1"/>
          <w:kern w:val="0"/>
          <w:sz w:val="21"/>
          <w:szCs w:val="21"/>
          <w:lang w:val="en-US" w:eastAsia="zh-CN" w:bidi="ar"/>
          <w14:textFill>
            <w14:solidFill>
              <w14:schemeClr w14:val="tx1"/>
            </w14:solidFill>
          </w14:textFill>
        </w:rPr>
        <w:t>本合同自双方签字盖章之日起生效，至乙方完成全部服务、甲方支付完毕全部服务费用、履约保证金退还完毕之日起终止；</w:t>
      </w:r>
    </w:p>
    <w:p w14:paraId="2A2B08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r>
        <w:rPr>
          <w:rFonts w:ascii="宋体" w:hAnsi="宋体" w:eastAsia="宋体" w:cs="宋体"/>
          <w:color w:val="000000" w:themeColor="text1"/>
          <w:kern w:val="0"/>
          <w:sz w:val="21"/>
          <w:szCs w:val="21"/>
          <w:lang w:val="en-US" w:eastAsia="zh-CN" w:bidi="ar"/>
          <w14:textFill>
            <w14:solidFill>
              <w14:schemeClr w14:val="tx1"/>
            </w14:solidFill>
          </w14:textFill>
        </w:rPr>
        <w:t>合同终止后，本合同中的知识产权、保密、违约责任等条款仍然有效，双方仍需履行相关义务。</w:t>
      </w:r>
    </w:p>
    <w:p w14:paraId="2FDBC2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2" w:firstLineChars="20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p>
    <w:p w14:paraId="3517D02C">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lang w:val="en-US" w:eastAsia="zh-CN" w:bidi="ar"/>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争议解决</w:t>
      </w:r>
    </w:p>
    <w:p w14:paraId="78B973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1"/>
          <w:szCs w:val="21"/>
          <w:lang w:val="en-US" w:eastAsia="zh-CN" w:bidi="ar"/>
          <w14:textFill>
            <w14:solidFill>
              <w14:schemeClr w14:val="tx1"/>
            </w14:solidFill>
          </w14:textFill>
        </w:rPr>
      </w:pPr>
    </w:p>
    <w:p w14:paraId="1FEFE6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一、本合同履行过程中发生的任何争议，双方应首先通过友好协商解决；</w:t>
      </w:r>
    </w:p>
    <w:p w14:paraId="3C0C56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二、协商不成的，任何一方均有权向甲方所在地有管辖权的人民法院提起诉讼；</w:t>
      </w:r>
    </w:p>
    <w:p w14:paraId="1D1787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三、争议解决期间，除争议事项外，本合同其他条款继续履行。</w:t>
      </w:r>
    </w:p>
    <w:p w14:paraId="5E1C76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016FBD2F">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82" w:firstLineChars="200"/>
        <w:jc w:val="center"/>
        <w:textAlignment w:val="auto"/>
        <w:rPr>
          <w:rFonts w:ascii="宋体" w:hAnsi="宋体" w:eastAsia="宋体" w:cs="宋体"/>
          <w:b/>
          <w:bCs/>
          <w:color w:val="000000" w:themeColor="text1"/>
          <w:kern w:val="0"/>
          <w:sz w:val="24"/>
          <w:szCs w:val="24"/>
          <w:lang w:val="en-US" w:eastAsia="zh-CN" w:bidi="ar"/>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其他条款</w:t>
      </w:r>
    </w:p>
    <w:p w14:paraId="4FB37C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Chars="200" w:right="0" w:rightChars="0"/>
        <w:jc w:val="both"/>
        <w:textAlignment w:val="auto"/>
        <w:rPr>
          <w:rFonts w:ascii="宋体" w:hAnsi="宋体" w:eastAsia="宋体" w:cs="宋体"/>
          <w:b/>
          <w:bCs/>
          <w:color w:val="000000" w:themeColor="text1"/>
          <w:kern w:val="0"/>
          <w:sz w:val="24"/>
          <w:szCs w:val="24"/>
          <w:lang w:val="en-US" w:eastAsia="zh-CN" w:bidi="ar"/>
          <w14:textFill>
            <w14:solidFill>
              <w14:schemeClr w14:val="tx1"/>
            </w14:solidFill>
          </w14:textFill>
        </w:rPr>
      </w:pPr>
    </w:p>
    <w:p w14:paraId="55BDC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w:t>
      </w:r>
      <w:r>
        <w:rPr>
          <w:rFonts w:ascii="宋体" w:hAnsi="宋体" w:eastAsia="宋体" w:cs="宋体"/>
          <w:color w:val="000000" w:themeColor="text1"/>
          <w:kern w:val="0"/>
          <w:sz w:val="21"/>
          <w:szCs w:val="21"/>
          <w:lang w:val="en-US" w:eastAsia="zh-CN" w:bidi="ar"/>
          <w14:textFill>
            <w14:solidFill>
              <w14:schemeClr w14:val="tx1"/>
            </w14:solidFill>
          </w14:textFill>
        </w:rPr>
        <w:t>本项目招标文件、乙方投标文件、中标通知书均为本合同的组成部分，与本合同具有同等法律效力；若内容不一致，按以下优先级执行：本合同及补充协议 → 中标通知书 → 招标文件 → 乙方投标文件。</w:t>
      </w:r>
    </w:p>
    <w:p w14:paraId="6DB074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w:t>
      </w:r>
      <w:r>
        <w:rPr>
          <w:rFonts w:ascii="宋体" w:hAnsi="宋体" w:eastAsia="宋体" w:cs="宋体"/>
          <w:color w:val="000000" w:themeColor="text1"/>
          <w:kern w:val="0"/>
          <w:sz w:val="21"/>
          <w:szCs w:val="21"/>
          <w:lang w:val="en-US" w:eastAsia="zh-CN" w:bidi="ar"/>
          <w14:textFill>
            <w14:solidFill>
              <w14:schemeClr w14:val="tx1"/>
            </w14:solidFill>
          </w14:textFill>
        </w:rPr>
        <w:t>本合同未尽事宜，双方可另行签订补充协议，补充协议与本合同具有同等法律效力。</w:t>
      </w:r>
    </w:p>
    <w:p w14:paraId="42647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w:t>
      </w:r>
      <w:r>
        <w:rPr>
          <w:rFonts w:ascii="宋体" w:hAnsi="宋体" w:eastAsia="宋体" w:cs="宋体"/>
          <w:color w:val="000000" w:themeColor="text1"/>
          <w:kern w:val="0"/>
          <w:sz w:val="21"/>
          <w:szCs w:val="21"/>
          <w:lang w:val="en-US" w:eastAsia="zh-CN" w:bidi="ar"/>
          <w14:textFill>
            <w14:solidFill>
              <w14:schemeClr w14:val="tx1"/>
            </w14:solidFill>
          </w14:textFill>
        </w:rPr>
        <w:t>本合同一式肆份，甲方执贰份，乙方执贰份，每份均具有同等法律效力，自双方签字盖章之日起生效。</w:t>
      </w:r>
    </w:p>
    <w:p w14:paraId="4D07DB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leftChars="0" w:right="0" w:rightChars="0" w:firstLine="420" w:firstLineChars="200"/>
        <w:jc w:val="both"/>
        <w:textAlignment w:val="auto"/>
        <w:rPr>
          <w:rFonts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w:t>
      </w:r>
      <w:r>
        <w:rPr>
          <w:rFonts w:ascii="宋体" w:hAnsi="宋体" w:eastAsia="宋体" w:cs="宋体"/>
          <w:color w:val="000000" w:themeColor="text1"/>
          <w:kern w:val="0"/>
          <w:sz w:val="21"/>
          <w:szCs w:val="21"/>
          <w:lang w:val="en-US" w:eastAsia="zh-CN" w:bidi="ar"/>
          <w14:textFill>
            <w14:solidFill>
              <w14:schemeClr w14:val="tx1"/>
            </w14:solidFill>
          </w14:textFill>
        </w:rPr>
        <w:t>双方确认本合同所载的地址、电话、开户银行等信息为有效联系方式，任何书面通知按该地址寄送即视为有效送达；若信息变更，应提前 3 个工作日书面通知对方。</w:t>
      </w:r>
    </w:p>
    <w:p w14:paraId="7DAFE8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lang w:val="en-US" w:eastAsia="zh-CN" w:bidi="ar"/>
          <w14:textFill>
            <w14:solidFill>
              <w14:schemeClr w14:val="tx1"/>
            </w14:solidFill>
          </w14:textFill>
        </w:rPr>
      </w:pPr>
    </w:p>
    <w:p w14:paraId="095E93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both"/>
        <w:rPr>
          <w:rFonts w:ascii="宋体" w:hAnsi="宋体" w:eastAsia="宋体" w:cs="宋体"/>
          <w:color w:val="000000" w:themeColor="text1"/>
          <w:kern w:val="0"/>
          <w:sz w:val="21"/>
          <w:szCs w:val="21"/>
          <w:lang w:val="en-US" w:eastAsia="zh-CN" w:bidi="ar"/>
          <w14:textFill>
            <w14:solidFill>
              <w14:schemeClr w14:val="tx1"/>
            </w14:solidFill>
          </w14:textFill>
        </w:rPr>
      </w:pPr>
    </w:p>
    <w:p w14:paraId="060736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采购人（甲方）（盖章）：______________________</w:t>
      </w:r>
    </w:p>
    <w:p w14:paraId="07E216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lang w:val="en-US" w:eastAsia="zh-CN" w:bidi="ar"/>
          <w14:textFill>
            <w14:solidFill>
              <w14:schemeClr w14:val="tx1"/>
            </w14:solidFill>
          </w14:textFill>
        </w:rPr>
      </w:pPr>
    </w:p>
    <w:p w14:paraId="28300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法定代表人 / 委托代理人（签字）：__________</w:t>
      </w:r>
    </w:p>
    <w:p w14:paraId="3DD92D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lang w:val="en-US" w:eastAsia="zh-CN" w:bidi="ar"/>
          <w14:textFill>
            <w14:solidFill>
              <w14:schemeClr w14:val="tx1"/>
            </w14:solidFill>
          </w14:textFill>
        </w:rPr>
      </w:pPr>
    </w:p>
    <w:p w14:paraId="4C67A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日期：______年____月____日</w:t>
      </w:r>
    </w:p>
    <w:p w14:paraId="4663E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lang w:val="en-US" w:eastAsia="zh-CN" w:bidi="ar"/>
          <w14:textFill>
            <w14:solidFill>
              <w14:schemeClr w14:val="tx1"/>
            </w14:solidFill>
          </w14:textFill>
        </w:rPr>
      </w:pPr>
    </w:p>
    <w:p w14:paraId="014D5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中标人（乙方）（盖章）：______________________</w:t>
      </w:r>
    </w:p>
    <w:p w14:paraId="78EB5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lang w:val="en-US" w:eastAsia="zh-CN" w:bidi="ar"/>
          <w14:textFill>
            <w14:solidFill>
              <w14:schemeClr w14:val="tx1"/>
            </w14:solidFill>
          </w14:textFill>
        </w:rPr>
      </w:pPr>
    </w:p>
    <w:p w14:paraId="5834E5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法定代表人 / 委托代理人（签字）：__________</w:t>
      </w:r>
    </w:p>
    <w:p w14:paraId="7B76D7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lang w:val="en-US" w:eastAsia="zh-CN" w:bidi="ar"/>
          <w14:textFill>
            <w14:solidFill>
              <w14:schemeClr w14:val="tx1"/>
            </w14:solidFill>
          </w14:textFill>
        </w:rPr>
      </w:pPr>
    </w:p>
    <w:p w14:paraId="6FA0B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20" w:firstLineChars="200"/>
        <w:jc w:val="both"/>
        <w:rPr>
          <w:rFonts w:ascii="宋体" w:hAnsi="宋体" w:eastAsia="宋体" w:cs="宋体"/>
          <w:color w:val="000000" w:themeColor="text1"/>
          <w:kern w:val="0"/>
          <w:sz w:val="21"/>
          <w:szCs w:val="21"/>
          <w:lang w:val="en-US" w:eastAsia="zh-CN" w:bidi="ar"/>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日期：______年____月____日</w:t>
      </w:r>
    </w:p>
    <w:p w14:paraId="669F93C2">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7C23F69B">
      <w:pPr>
        <w:spacing w:line="560" w:lineRule="exact"/>
        <w:ind w:firstLine="420" w:firstLineChars="200"/>
        <w:rPr>
          <w:rFonts w:ascii="宋体" w:hAnsi="宋体"/>
          <w:color w:val="000000" w:themeColor="text1"/>
          <w:szCs w:val="21"/>
          <w14:textFill>
            <w14:solidFill>
              <w14:schemeClr w14:val="tx1"/>
            </w14:solidFill>
          </w14:textFill>
        </w:rPr>
      </w:pPr>
    </w:p>
    <w:p w14:paraId="258CC4DC">
      <w:pPr>
        <w:pStyle w:val="29"/>
        <w:snapToGrid w:val="0"/>
        <w:spacing w:line="600" w:lineRule="exact"/>
        <w:rPr>
          <w:rFonts w:hAnsi="宋体" w:cs="宋体"/>
          <w:color w:val="000000" w:themeColor="text1"/>
          <w:sz w:val="36"/>
          <w:szCs w:val="36"/>
          <w14:textFill>
            <w14:solidFill>
              <w14:schemeClr w14:val="tx1"/>
            </w14:solidFill>
          </w14:textFill>
        </w:rPr>
      </w:pPr>
    </w:p>
    <w:p w14:paraId="1781AC69">
      <w:pPr>
        <w:pStyle w:val="29"/>
        <w:snapToGrid w:val="0"/>
        <w:spacing w:line="600" w:lineRule="exact"/>
        <w:rPr>
          <w:rFonts w:hAnsi="宋体" w:cs="宋体"/>
          <w:color w:val="000000" w:themeColor="text1"/>
          <w:sz w:val="36"/>
          <w:szCs w:val="36"/>
          <w14:textFill>
            <w14:solidFill>
              <w14:schemeClr w14:val="tx1"/>
            </w14:solidFill>
          </w14:textFill>
        </w:rPr>
      </w:pPr>
    </w:p>
    <w:p w14:paraId="674A3915">
      <w:pPr>
        <w:pStyle w:val="29"/>
        <w:snapToGrid w:val="0"/>
        <w:spacing w:line="600" w:lineRule="exact"/>
        <w:rPr>
          <w:rFonts w:hAnsi="宋体" w:cs="宋体"/>
          <w:color w:val="000000" w:themeColor="text1"/>
          <w:sz w:val="36"/>
          <w:szCs w:val="36"/>
          <w14:textFill>
            <w14:solidFill>
              <w14:schemeClr w14:val="tx1"/>
            </w14:solidFill>
          </w14:textFill>
        </w:rPr>
      </w:pPr>
    </w:p>
    <w:p w14:paraId="70785532">
      <w:pPr>
        <w:pStyle w:val="29"/>
        <w:snapToGrid w:val="0"/>
        <w:spacing w:line="600" w:lineRule="exact"/>
        <w:rPr>
          <w:rFonts w:hAnsi="宋体" w:cs="宋体"/>
          <w:color w:val="000000" w:themeColor="text1"/>
          <w:sz w:val="36"/>
          <w:szCs w:val="36"/>
          <w14:textFill>
            <w14:solidFill>
              <w14:schemeClr w14:val="tx1"/>
            </w14:solidFill>
          </w14:textFill>
        </w:rPr>
      </w:pPr>
    </w:p>
    <w:p w14:paraId="021F2CE4">
      <w:pPr>
        <w:pStyle w:val="29"/>
        <w:snapToGrid w:val="0"/>
        <w:spacing w:line="600" w:lineRule="exact"/>
        <w:rPr>
          <w:rFonts w:hAnsi="宋体" w:cs="宋体"/>
          <w:color w:val="000000" w:themeColor="text1"/>
          <w:sz w:val="36"/>
          <w:szCs w:val="36"/>
          <w14:textFill>
            <w14:solidFill>
              <w14:schemeClr w14:val="tx1"/>
            </w14:solidFill>
          </w14:textFill>
        </w:rPr>
      </w:pPr>
    </w:p>
    <w:p w14:paraId="0410987B">
      <w:pPr>
        <w:rPr>
          <w:rFonts w:ascii="宋体" w:hAnsi="宋体" w:cs="宋体"/>
          <w:color w:val="000000" w:themeColor="text1"/>
          <w:sz w:val="36"/>
          <w:szCs w:val="36"/>
          <w14:textFill>
            <w14:solidFill>
              <w14:schemeClr w14:val="tx1"/>
            </w14:solidFill>
          </w14:textFill>
        </w:rPr>
      </w:pPr>
    </w:p>
    <w:p w14:paraId="49D703F7">
      <w:pPr>
        <w:rPr>
          <w:rFonts w:ascii="宋体" w:hAnsi="宋体" w:cs="宋体"/>
          <w:color w:val="000000" w:themeColor="text1"/>
          <w:sz w:val="36"/>
          <w:szCs w:val="36"/>
          <w14:textFill>
            <w14:solidFill>
              <w14:schemeClr w14:val="tx1"/>
            </w14:solidFill>
          </w14:textFill>
        </w:rPr>
      </w:pPr>
    </w:p>
    <w:p w14:paraId="15592D9A">
      <w:pPr>
        <w:rPr>
          <w:rFonts w:ascii="宋体" w:hAnsi="宋体" w:cs="宋体"/>
          <w:color w:val="000000" w:themeColor="text1"/>
          <w:sz w:val="36"/>
          <w:szCs w:val="36"/>
          <w14:textFill>
            <w14:solidFill>
              <w14:schemeClr w14:val="tx1"/>
            </w14:solidFill>
          </w14:textFill>
        </w:rPr>
      </w:pPr>
    </w:p>
    <w:p w14:paraId="680D4526">
      <w:pPr>
        <w:rPr>
          <w:rFonts w:ascii="宋体" w:hAnsi="宋体" w:cs="宋体"/>
          <w:color w:val="000000" w:themeColor="text1"/>
          <w:sz w:val="36"/>
          <w:szCs w:val="36"/>
          <w14:textFill>
            <w14:solidFill>
              <w14:schemeClr w14:val="tx1"/>
            </w14:solidFill>
          </w14:textFill>
        </w:rPr>
      </w:pPr>
    </w:p>
    <w:p w14:paraId="03B16678">
      <w:pPr>
        <w:rPr>
          <w:rFonts w:ascii="宋体" w:hAnsi="宋体" w:cs="宋体"/>
          <w:color w:val="000000" w:themeColor="text1"/>
          <w:sz w:val="36"/>
          <w:szCs w:val="36"/>
          <w14:textFill>
            <w14:solidFill>
              <w14:schemeClr w14:val="tx1"/>
            </w14:solidFill>
          </w14:textFill>
        </w:rPr>
      </w:pPr>
    </w:p>
    <w:p w14:paraId="3F359D10">
      <w:pPr>
        <w:rPr>
          <w:rFonts w:ascii="宋体" w:hAnsi="宋体" w:cs="宋体"/>
          <w:color w:val="000000" w:themeColor="text1"/>
          <w:sz w:val="36"/>
          <w:szCs w:val="36"/>
          <w14:textFill>
            <w14:solidFill>
              <w14:schemeClr w14:val="tx1"/>
            </w14:solidFill>
          </w14:textFill>
        </w:rPr>
      </w:pPr>
    </w:p>
    <w:p w14:paraId="2B2B05C0">
      <w:pPr>
        <w:rPr>
          <w:rFonts w:ascii="宋体" w:hAnsi="宋体" w:cs="宋体"/>
          <w:color w:val="000000" w:themeColor="text1"/>
          <w:sz w:val="36"/>
          <w:szCs w:val="36"/>
          <w14:textFill>
            <w14:solidFill>
              <w14:schemeClr w14:val="tx1"/>
            </w14:solidFill>
          </w14:textFill>
        </w:rPr>
      </w:pPr>
    </w:p>
    <w:p w14:paraId="352B6228">
      <w:pPr>
        <w:rPr>
          <w:rFonts w:ascii="宋体" w:hAnsi="宋体" w:cs="宋体"/>
          <w:color w:val="000000" w:themeColor="text1"/>
          <w:sz w:val="36"/>
          <w:szCs w:val="36"/>
          <w14:textFill>
            <w14:solidFill>
              <w14:schemeClr w14:val="tx1"/>
            </w14:solidFill>
          </w14:textFill>
        </w:rPr>
      </w:pPr>
    </w:p>
    <w:p w14:paraId="1D05EFE6">
      <w:pPr>
        <w:rPr>
          <w:rFonts w:ascii="宋体" w:hAnsi="宋体" w:cs="宋体"/>
          <w:color w:val="000000" w:themeColor="text1"/>
          <w:sz w:val="36"/>
          <w:szCs w:val="36"/>
          <w14:textFill>
            <w14:solidFill>
              <w14:schemeClr w14:val="tx1"/>
            </w14:solidFill>
          </w14:textFill>
        </w:rPr>
      </w:pPr>
    </w:p>
    <w:p w14:paraId="3C5C40B3">
      <w:pPr>
        <w:pStyle w:val="29"/>
        <w:snapToGrid w:val="0"/>
        <w:spacing w:line="600" w:lineRule="exact"/>
        <w:jc w:val="center"/>
        <w:outlineLvl w:val="0"/>
        <w:rPr>
          <w:rFonts w:hAnsi="宋体" w:cs="宋体"/>
          <w:b/>
          <w:color w:val="000000" w:themeColor="text1"/>
          <w:sz w:val="36"/>
          <w:szCs w:val="36"/>
          <w14:textFill>
            <w14:solidFill>
              <w14:schemeClr w14:val="tx1"/>
            </w14:solidFill>
          </w14:textFill>
        </w:rPr>
      </w:pPr>
      <w:bookmarkStart w:id="47" w:name="_Toc9838482"/>
      <w:bookmarkStart w:id="48" w:name="_Toc20"/>
      <w:r>
        <w:rPr>
          <w:rFonts w:hint="eastAsia" w:hAnsi="宋体" w:cs="宋体"/>
          <w:b/>
          <w:color w:val="000000" w:themeColor="text1"/>
          <w:sz w:val="36"/>
          <w:szCs w:val="36"/>
          <w14:textFill>
            <w14:solidFill>
              <w14:schemeClr w14:val="tx1"/>
            </w14:solidFill>
          </w14:textFill>
        </w:rPr>
        <w:t>第六章 投标文件格式</w:t>
      </w:r>
      <w:bookmarkEnd w:id="47"/>
      <w:bookmarkEnd w:id="48"/>
    </w:p>
    <w:p w14:paraId="53FB55AF">
      <w:pPr>
        <w:snapToGrid w:val="0"/>
        <w:spacing w:line="360" w:lineRule="exact"/>
        <w:rPr>
          <w:rFonts w:ascii="宋体" w:hAnsi="宋体" w:cs="宋体"/>
          <w:b/>
          <w:bCs/>
          <w:color w:val="000000" w:themeColor="text1"/>
          <w:sz w:val="36"/>
          <w:szCs w:val="36"/>
          <w14:textFill>
            <w14:solidFill>
              <w14:schemeClr w14:val="tx1"/>
            </w14:solidFill>
          </w14:textFill>
        </w:rPr>
      </w:pPr>
    </w:p>
    <w:p w14:paraId="587F9C9A">
      <w:pPr>
        <w:snapToGrid w:val="0"/>
        <w:spacing w:line="460" w:lineRule="exact"/>
        <w:ind w:firstLine="723" w:firstLineChars="200"/>
        <w:rPr>
          <w:rFonts w:ascii="宋体" w:hAnsi="宋体" w:cs="宋体"/>
          <w:b/>
          <w:bCs/>
          <w:color w:val="000000" w:themeColor="text1"/>
          <w:sz w:val="36"/>
          <w:szCs w:val="36"/>
          <w14:textFill>
            <w14:solidFill>
              <w14:schemeClr w14:val="tx1"/>
            </w14:solidFill>
          </w14:textFill>
        </w:rPr>
      </w:pPr>
    </w:p>
    <w:p w14:paraId="59C5C8F6">
      <w:pPr>
        <w:snapToGrid w:val="0"/>
        <w:spacing w:line="460" w:lineRule="exact"/>
        <w:ind w:firstLine="422" w:firstLineChars="200"/>
        <w:rPr>
          <w:rFonts w:ascii="宋体" w:hAnsi="宋体" w:cs="宋体"/>
          <w:b/>
          <w:bCs/>
          <w:color w:val="000000" w:themeColor="text1"/>
          <w:szCs w:val="21"/>
          <w14:textFill>
            <w14:solidFill>
              <w14:schemeClr w14:val="tx1"/>
            </w14:solidFill>
          </w14:textFill>
        </w:rPr>
      </w:pPr>
    </w:p>
    <w:p w14:paraId="680176CF">
      <w:pPr>
        <w:snapToGrid w:val="0"/>
        <w:spacing w:line="460" w:lineRule="exact"/>
        <w:ind w:firstLine="422" w:firstLineChars="200"/>
        <w:rPr>
          <w:rFonts w:ascii="宋体" w:hAnsi="宋体" w:cs="宋体"/>
          <w:b/>
          <w:bCs/>
          <w:color w:val="000000" w:themeColor="text1"/>
          <w:szCs w:val="21"/>
          <w14:textFill>
            <w14:solidFill>
              <w14:schemeClr w14:val="tx1"/>
            </w14:solidFill>
          </w14:textFill>
        </w:rPr>
      </w:pPr>
    </w:p>
    <w:p w14:paraId="5087A2F5">
      <w:pPr>
        <w:snapToGrid w:val="0"/>
        <w:spacing w:line="460" w:lineRule="exact"/>
        <w:ind w:firstLine="422" w:firstLineChars="200"/>
        <w:rPr>
          <w:rFonts w:ascii="宋体" w:hAnsi="宋体" w:cs="宋体"/>
          <w:b/>
          <w:bCs/>
          <w:color w:val="000000" w:themeColor="text1"/>
          <w:szCs w:val="21"/>
          <w14:textFill>
            <w14:solidFill>
              <w14:schemeClr w14:val="tx1"/>
            </w14:solidFill>
          </w14:textFill>
        </w:rPr>
      </w:pPr>
    </w:p>
    <w:p w14:paraId="5933EE17">
      <w:pPr>
        <w:snapToGrid w:val="0"/>
        <w:spacing w:line="460" w:lineRule="exact"/>
        <w:ind w:firstLine="422" w:firstLineChars="200"/>
        <w:rPr>
          <w:rFonts w:ascii="宋体" w:hAnsi="宋体" w:cs="宋体"/>
          <w:b/>
          <w:bCs/>
          <w:color w:val="000000" w:themeColor="text1"/>
          <w:szCs w:val="21"/>
          <w14:textFill>
            <w14:solidFill>
              <w14:schemeClr w14:val="tx1"/>
            </w14:solidFill>
          </w14:textFill>
        </w:rPr>
      </w:pPr>
    </w:p>
    <w:p w14:paraId="396BA1CD">
      <w:pPr>
        <w:snapToGrid w:val="0"/>
        <w:spacing w:line="460" w:lineRule="exact"/>
        <w:ind w:firstLine="422" w:firstLineChars="200"/>
        <w:rPr>
          <w:rFonts w:ascii="宋体" w:hAnsi="宋体" w:cs="宋体"/>
          <w:b/>
          <w:bCs/>
          <w:color w:val="000000" w:themeColor="text1"/>
          <w:szCs w:val="21"/>
          <w14:textFill>
            <w14:solidFill>
              <w14:schemeClr w14:val="tx1"/>
            </w14:solidFill>
          </w14:textFill>
        </w:rPr>
      </w:pPr>
    </w:p>
    <w:p w14:paraId="61720AB6">
      <w:pPr>
        <w:snapToGrid w:val="0"/>
        <w:spacing w:line="460" w:lineRule="exact"/>
        <w:ind w:firstLine="422" w:firstLineChars="200"/>
        <w:rPr>
          <w:rFonts w:ascii="宋体" w:hAnsi="宋体" w:cs="宋体"/>
          <w:b/>
          <w:bCs/>
          <w:color w:val="000000" w:themeColor="text1"/>
          <w:szCs w:val="21"/>
          <w14:textFill>
            <w14:solidFill>
              <w14:schemeClr w14:val="tx1"/>
            </w14:solidFill>
          </w14:textFill>
        </w:rPr>
      </w:pPr>
    </w:p>
    <w:p w14:paraId="46642CA1">
      <w:pPr>
        <w:snapToGrid w:val="0"/>
        <w:spacing w:line="460" w:lineRule="exact"/>
        <w:ind w:firstLine="422" w:firstLineChars="200"/>
        <w:rPr>
          <w:rFonts w:ascii="宋体" w:hAnsi="宋体" w:cs="宋体"/>
          <w:b/>
          <w:bCs/>
          <w:color w:val="000000" w:themeColor="text1"/>
          <w:szCs w:val="21"/>
          <w14:textFill>
            <w14:solidFill>
              <w14:schemeClr w14:val="tx1"/>
            </w14:solidFill>
          </w14:textFill>
        </w:rPr>
      </w:pPr>
    </w:p>
    <w:p w14:paraId="1AC6AA04">
      <w:pPr>
        <w:snapToGrid w:val="0"/>
        <w:spacing w:line="460" w:lineRule="exact"/>
        <w:ind w:firstLine="422" w:firstLineChars="200"/>
        <w:rPr>
          <w:rFonts w:ascii="宋体" w:hAnsi="宋体" w:cs="宋体"/>
          <w:b/>
          <w:bCs/>
          <w:color w:val="000000" w:themeColor="text1"/>
          <w:szCs w:val="21"/>
          <w14:textFill>
            <w14:solidFill>
              <w14:schemeClr w14:val="tx1"/>
            </w14:solidFill>
          </w14:textFill>
        </w:rPr>
      </w:pPr>
    </w:p>
    <w:p w14:paraId="06BB9C30">
      <w:pPr>
        <w:snapToGrid w:val="0"/>
        <w:spacing w:line="460" w:lineRule="exact"/>
        <w:ind w:firstLine="422" w:firstLineChars="200"/>
        <w:rPr>
          <w:rFonts w:ascii="宋体" w:hAnsi="宋体" w:cs="宋体"/>
          <w:b/>
          <w:bCs/>
          <w:color w:val="000000" w:themeColor="text1"/>
          <w:szCs w:val="21"/>
          <w14:textFill>
            <w14:solidFill>
              <w14:schemeClr w14:val="tx1"/>
            </w14:solidFill>
          </w14:textFill>
        </w:rPr>
      </w:pPr>
    </w:p>
    <w:p w14:paraId="57920F54">
      <w:pPr>
        <w:snapToGrid w:val="0"/>
        <w:spacing w:line="460" w:lineRule="exact"/>
        <w:rPr>
          <w:rFonts w:ascii="宋体" w:hAnsi="宋体" w:cs="宋体"/>
          <w:b/>
          <w:bCs/>
          <w:color w:val="000000" w:themeColor="text1"/>
          <w:szCs w:val="21"/>
          <w14:textFill>
            <w14:solidFill>
              <w14:schemeClr w14:val="tx1"/>
            </w14:solidFill>
          </w14:textFill>
        </w:rPr>
      </w:pPr>
    </w:p>
    <w:p w14:paraId="755A8C5E">
      <w:pPr>
        <w:snapToGrid w:val="0"/>
        <w:spacing w:line="460" w:lineRule="exact"/>
        <w:ind w:firstLine="422" w:firstLineChars="200"/>
        <w:rPr>
          <w:rFonts w:ascii="宋体" w:hAnsi="宋体" w:cs="宋体"/>
          <w:b/>
          <w:bCs/>
          <w:color w:val="000000" w:themeColor="text1"/>
          <w:szCs w:val="21"/>
          <w14:textFill>
            <w14:solidFill>
              <w14:schemeClr w14:val="tx1"/>
            </w14:solidFill>
          </w14:textFill>
        </w:rPr>
      </w:pPr>
    </w:p>
    <w:p w14:paraId="2DEF2C5E">
      <w:pPr>
        <w:snapToGrid w:val="0"/>
        <w:spacing w:line="460" w:lineRule="exact"/>
        <w:ind w:firstLine="422" w:firstLineChars="200"/>
        <w:rPr>
          <w:rFonts w:ascii="宋体" w:hAnsi="宋体" w:cs="宋体"/>
          <w:b/>
          <w:bCs/>
          <w:color w:val="000000" w:themeColor="text1"/>
          <w:szCs w:val="21"/>
          <w14:textFill>
            <w14:solidFill>
              <w14:schemeClr w14:val="tx1"/>
            </w14:solidFill>
          </w14:textFill>
        </w:rPr>
      </w:pPr>
    </w:p>
    <w:bookmarkEnd w:id="0"/>
    <w:bookmarkEnd w:id="1"/>
    <w:p w14:paraId="42855429">
      <w:pPr>
        <w:snapToGrid w:val="0"/>
        <w:spacing w:before="156" w:beforeLines="50" w:after="50" w:line="360" w:lineRule="exact"/>
        <w:jc w:val="center"/>
        <w:rPr>
          <w:rFonts w:hint="eastAsia" w:ascii="宋体" w:hAnsi="宋体" w:cs="宋体"/>
          <w:b/>
          <w:color w:val="000000" w:themeColor="text1"/>
          <w:sz w:val="32"/>
          <w:szCs w:val="32"/>
          <w14:textFill>
            <w14:solidFill>
              <w14:schemeClr w14:val="tx1"/>
            </w14:solidFill>
          </w14:textFill>
        </w:rPr>
      </w:pPr>
    </w:p>
    <w:p w14:paraId="0B439FF7">
      <w:pPr>
        <w:snapToGrid w:val="0"/>
        <w:spacing w:before="156" w:beforeLines="50" w:after="50" w:line="360" w:lineRule="exact"/>
        <w:jc w:val="center"/>
        <w:rPr>
          <w:rFonts w:hint="eastAsia" w:ascii="宋体" w:hAnsi="宋体" w:cs="宋体"/>
          <w:b/>
          <w:color w:val="000000" w:themeColor="text1"/>
          <w:sz w:val="32"/>
          <w:szCs w:val="32"/>
          <w14:textFill>
            <w14:solidFill>
              <w14:schemeClr w14:val="tx1"/>
            </w14:solidFill>
          </w14:textFill>
        </w:rPr>
      </w:pPr>
    </w:p>
    <w:p w14:paraId="7535C1F8">
      <w:pPr>
        <w:snapToGrid w:val="0"/>
        <w:spacing w:before="156" w:beforeLines="50" w:after="50" w:line="360" w:lineRule="exact"/>
        <w:jc w:val="center"/>
        <w:rPr>
          <w:rFonts w:hint="eastAsia" w:ascii="宋体" w:hAnsi="宋体" w:cs="宋体"/>
          <w:b/>
          <w:color w:val="000000" w:themeColor="text1"/>
          <w:sz w:val="32"/>
          <w:szCs w:val="32"/>
          <w14:textFill>
            <w14:solidFill>
              <w14:schemeClr w14:val="tx1"/>
            </w14:solidFill>
          </w14:textFill>
        </w:rPr>
      </w:pPr>
    </w:p>
    <w:p w14:paraId="50924C0E">
      <w:pPr>
        <w:snapToGrid w:val="0"/>
        <w:spacing w:before="156" w:beforeLines="50" w:after="50" w:line="36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投标文件格式</w:t>
      </w:r>
    </w:p>
    <w:p w14:paraId="65F7843A">
      <w:pPr>
        <w:snapToGrid w:val="0"/>
        <w:spacing w:before="156" w:beforeLines="50" w:after="50" w:line="360" w:lineRule="exact"/>
        <w:jc w:val="center"/>
        <w:rPr>
          <w:rFonts w:ascii="宋体" w:hAnsi="宋体" w:cs="宋体"/>
          <w:bCs/>
          <w:color w:val="000000" w:themeColor="text1"/>
          <w:sz w:val="32"/>
          <w:szCs w:val="32"/>
          <w14:textFill>
            <w14:solidFill>
              <w14:schemeClr w14:val="tx1"/>
            </w14:solidFill>
          </w14:textFill>
        </w:rPr>
      </w:pPr>
    </w:p>
    <w:p w14:paraId="6A8331A6">
      <w:pPr>
        <w:snapToGrid w:val="0"/>
        <w:spacing w:before="156" w:beforeLines="50" w:after="50" w:line="360" w:lineRule="exact"/>
        <w:jc w:val="center"/>
        <w:outlineLvl w:val="1"/>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一、投标文件外包装封面及投标文件封面格式</w:t>
      </w:r>
    </w:p>
    <w:p w14:paraId="15785DED">
      <w:pPr>
        <w:snapToGrid w:val="0"/>
        <w:spacing w:before="156" w:beforeLines="50" w:after="50" w:line="360" w:lineRule="exact"/>
        <w:rPr>
          <w:rFonts w:ascii="宋体" w:hAnsi="宋体" w:cs="宋体"/>
          <w:b/>
          <w:color w:val="000000" w:themeColor="text1"/>
          <w:szCs w:val="21"/>
          <w14:textFill>
            <w14:solidFill>
              <w14:schemeClr w14:val="tx1"/>
            </w14:solidFill>
          </w14:textFill>
        </w:rPr>
      </w:pPr>
    </w:p>
    <w:p w14:paraId="0509B924">
      <w:pPr>
        <w:snapToGrid w:val="0"/>
        <w:spacing w:before="156" w:beforeLines="50" w:after="50" w:line="360" w:lineRule="exac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一）投标文件的外包装封面格式：</w:t>
      </w:r>
    </w:p>
    <w:p w14:paraId="7ED919A1">
      <w:pPr>
        <w:snapToGrid w:val="0"/>
        <w:spacing w:before="156" w:beforeLines="50" w:after="50" w:line="360" w:lineRule="exact"/>
        <w:ind w:firstLine="3518" w:firstLineChars="1095"/>
        <w:rPr>
          <w:rFonts w:ascii="宋体" w:hAnsi="宋体" w:cs="宋体"/>
          <w:b/>
          <w:bCs/>
          <w:color w:val="000000" w:themeColor="text1"/>
          <w:sz w:val="32"/>
          <w:szCs w:val="32"/>
          <w14:textFill>
            <w14:solidFill>
              <w14:schemeClr w14:val="tx1"/>
            </w14:solidFill>
          </w14:textFill>
        </w:rPr>
      </w:pPr>
    </w:p>
    <w:p w14:paraId="0393D212">
      <w:pPr>
        <w:snapToGrid w:val="0"/>
        <w:spacing w:before="156" w:beforeLines="50" w:after="50" w:line="360" w:lineRule="exact"/>
        <w:ind w:firstLine="3518" w:firstLineChars="1095"/>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投标文件</w:t>
      </w:r>
    </w:p>
    <w:p w14:paraId="253AAC3A">
      <w:pPr>
        <w:snapToGrid w:val="0"/>
        <w:spacing w:before="156" w:beforeLines="50" w:after="50" w:line="360" w:lineRule="exact"/>
        <w:ind w:firstLine="630" w:firstLineChars="3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采购项目名称：</w:t>
      </w:r>
    </w:p>
    <w:p w14:paraId="4E0324F2">
      <w:pPr>
        <w:snapToGrid w:val="0"/>
        <w:spacing w:before="156" w:beforeLines="50" w:after="50" w:line="360" w:lineRule="exact"/>
        <w:ind w:firstLine="630" w:firstLineChars="3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采购项目编号：</w:t>
      </w:r>
    </w:p>
    <w:p w14:paraId="22C72FC3">
      <w:pPr>
        <w:snapToGrid w:val="0"/>
        <w:spacing w:before="156" w:beforeLines="50" w:after="50" w:line="360" w:lineRule="exact"/>
        <w:ind w:firstLine="630" w:firstLineChars="3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所投分标：</w:t>
      </w:r>
    </w:p>
    <w:p w14:paraId="7FE1C278">
      <w:pPr>
        <w:pStyle w:val="7"/>
        <w:snapToGrid w:val="0"/>
        <w:spacing w:before="50" w:after="50" w:line="440" w:lineRule="exact"/>
        <w:ind w:firstLine="632" w:firstLineChars="30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投标文件名称：资格文件</w:t>
      </w:r>
    </w:p>
    <w:p w14:paraId="2E00F85B">
      <w:pPr>
        <w:pStyle w:val="7"/>
        <w:snapToGrid w:val="0"/>
        <w:spacing w:before="50" w:after="50" w:line="440" w:lineRule="exact"/>
        <w:ind w:firstLine="630" w:firstLineChars="3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投标人名称：（盖章）</w:t>
      </w:r>
    </w:p>
    <w:p w14:paraId="5F3E4BA0">
      <w:pPr>
        <w:pStyle w:val="7"/>
        <w:snapToGrid w:val="0"/>
        <w:spacing w:before="50" w:after="50" w:line="440" w:lineRule="exact"/>
        <w:ind w:firstLine="630" w:firstLineChars="3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投标人地址：</w:t>
      </w:r>
    </w:p>
    <w:p w14:paraId="7A76D469">
      <w:pPr>
        <w:pStyle w:val="7"/>
        <w:snapToGrid w:val="0"/>
        <w:spacing w:before="50" w:after="50" w:line="360" w:lineRule="exact"/>
        <w:ind w:firstLine="630" w:firstLineChars="3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在</w:t>
      </w:r>
      <w:r>
        <w:rPr>
          <w:rFonts w:hint="eastAsia" w:ascii="宋体" w:hAnsi="宋体" w:cs="宋体"/>
          <w:color w:val="000000" w:themeColor="text1"/>
          <w:sz w:val="21"/>
          <w:szCs w:val="21"/>
          <w14:textFill>
            <w14:solidFill>
              <w14:schemeClr w14:val="tx1"/>
            </w14:solidFill>
          </w14:textFill>
        </w:rPr>
        <w:t>×年×月×日×时×分前</w:t>
      </w:r>
      <w:r>
        <w:rPr>
          <w:rFonts w:hint="eastAsia" w:ascii="宋体" w:hAnsi="宋体" w:cs="宋体"/>
          <w:bCs/>
          <w:color w:val="000000" w:themeColor="text1"/>
          <w:sz w:val="21"/>
          <w:szCs w:val="21"/>
          <w14:textFill>
            <w14:solidFill>
              <w14:schemeClr w14:val="tx1"/>
            </w14:solidFill>
          </w14:textFill>
        </w:rPr>
        <w:t>不得启封（开标时才能启封）</w:t>
      </w:r>
    </w:p>
    <w:p w14:paraId="179E44A5">
      <w:pPr>
        <w:snapToGrid w:val="0"/>
        <w:spacing w:before="156" w:beforeLines="50" w:after="50" w:line="360" w:lineRule="exact"/>
        <w:rPr>
          <w:rFonts w:ascii="宋体" w:hAnsi="宋体" w:cs="宋体"/>
          <w:color w:val="000000" w:themeColor="text1"/>
          <w:szCs w:val="21"/>
          <w14:textFill>
            <w14:solidFill>
              <w14:schemeClr w14:val="tx1"/>
            </w14:solidFill>
          </w14:textFill>
        </w:rPr>
      </w:pPr>
    </w:p>
    <w:p w14:paraId="750B6F1F">
      <w:pPr>
        <w:snapToGrid w:val="0"/>
        <w:spacing w:before="156" w:beforeLines="50" w:after="50" w:line="360" w:lineRule="exact"/>
        <w:ind w:firstLine="3518" w:firstLineChars="1095"/>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投标文件</w:t>
      </w:r>
    </w:p>
    <w:p w14:paraId="62FF7174">
      <w:pPr>
        <w:snapToGrid w:val="0"/>
        <w:spacing w:before="156" w:beforeLines="50" w:after="50" w:line="360" w:lineRule="exact"/>
        <w:ind w:firstLine="630" w:firstLineChars="3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采购项目名称：</w:t>
      </w:r>
    </w:p>
    <w:p w14:paraId="75D00988">
      <w:pPr>
        <w:snapToGrid w:val="0"/>
        <w:spacing w:before="156" w:beforeLines="50" w:after="50" w:line="360" w:lineRule="exact"/>
        <w:ind w:firstLine="630" w:firstLineChars="3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采购项目编号：</w:t>
      </w:r>
    </w:p>
    <w:p w14:paraId="28C967F1">
      <w:pPr>
        <w:snapToGrid w:val="0"/>
        <w:spacing w:before="156" w:beforeLines="50" w:after="50" w:line="360" w:lineRule="exact"/>
        <w:ind w:firstLine="630" w:firstLineChars="3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所投分标：</w:t>
      </w:r>
    </w:p>
    <w:p w14:paraId="058A0F9A">
      <w:pPr>
        <w:pStyle w:val="7"/>
        <w:snapToGrid w:val="0"/>
        <w:spacing w:before="50" w:after="50" w:line="440" w:lineRule="exact"/>
        <w:ind w:firstLine="632" w:firstLineChars="30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投标文件名称：资信及商务文件、技术文件、报价文件</w:t>
      </w:r>
    </w:p>
    <w:p w14:paraId="21CE32FB">
      <w:pPr>
        <w:pStyle w:val="7"/>
        <w:snapToGrid w:val="0"/>
        <w:spacing w:before="50" w:after="50" w:line="440" w:lineRule="exact"/>
        <w:ind w:firstLine="630" w:firstLineChars="3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投标人名称：（盖章）</w:t>
      </w:r>
    </w:p>
    <w:p w14:paraId="2D5F0F20">
      <w:pPr>
        <w:pStyle w:val="7"/>
        <w:snapToGrid w:val="0"/>
        <w:spacing w:before="50" w:after="50" w:line="440" w:lineRule="exact"/>
        <w:ind w:firstLine="630" w:firstLineChars="3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投标人地址：</w:t>
      </w:r>
    </w:p>
    <w:p w14:paraId="34C3C850">
      <w:pPr>
        <w:pStyle w:val="7"/>
        <w:snapToGrid w:val="0"/>
        <w:spacing w:before="50" w:after="50" w:line="360" w:lineRule="exact"/>
        <w:ind w:firstLine="630" w:firstLineChars="3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在</w:t>
      </w:r>
      <w:r>
        <w:rPr>
          <w:rFonts w:hint="eastAsia" w:ascii="宋体" w:hAnsi="宋体" w:cs="宋体"/>
          <w:color w:val="000000" w:themeColor="text1"/>
          <w:sz w:val="21"/>
          <w:szCs w:val="21"/>
          <w14:textFill>
            <w14:solidFill>
              <w14:schemeClr w14:val="tx1"/>
            </w14:solidFill>
          </w14:textFill>
        </w:rPr>
        <w:t>×年×月×日×时×分前</w:t>
      </w:r>
      <w:r>
        <w:rPr>
          <w:rFonts w:hint="eastAsia" w:ascii="宋体" w:hAnsi="宋体" w:cs="宋体"/>
          <w:bCs/>
          <w:color w:val="000000" w:themeColor="text1"/>
          <w:sz w:val="21"/>
          <w:szCs w:val="21"/>
          <w14:textFill>
            <w14:solidFill>
              <w14:schemeClr w14:val="tx1"/>
            </w14:solidFill>
          </w14:textFill>
        </w:rPr>
        <w:t>不得启封（开标时才能启封）</w:t>
      </w:r>
    </w:p>
    <w:p w14:paraId="2D1A09BF">
      <w:pPr>
        <w:snapToGrid w:val="0"/>
        <w:spacing w:before="156" w:beforeLines="50" w:after="50" w:line="360" w:lineRule="exact"/>
        <w:jc w:val="center"/>
        <w:rPr>
          <w:rFonts w:ascii="宋体" w:hAnsi="宋体" w:cs="宋体"/>
          <w:color w:val="000000" w:themeColor="text1"/>
          <w:szCs w:val="21"/>
          <w14:textFill>
            <w14:solidFill>
              <w14:schemeClr w14:val="tx1"/>
            </w14:solidFill>
          </w14:textFill>
        </w:rPr>
      </w:pPr>
    </w:p>
    <w:p w14:paraId="33F20BF2">
      <w:pPr>
        <w:snapToGrid w:val="0"/>
        <w:spacing w:before="156" w:beforeLines="50" w:after="50" w:line="360" w:lineRule="exact"/>
        <w:rPr>
          <w:rFonts w:ascii="宋体" w:hAnsi="宋体" w:cs="宋体"/>
          <w:b/>
          <w:color w:val="000000" w:themeColor="text1"/>
          <w:szCs w:val="21"/>
          <w14:textFill>
            <w14:solidFill>
              <w14:schemeClr w14:val="tx1"/>
            </w14:solidFill>
          </w14:textFill>
        </w:rPr>
      </w:pPr>
    </w:p>
    <w:p w14:paraId="424D0D6D">
      <w:pPr>
        <w:snapToGrid w:val="0"/>
        <w:spacing w:before="156" w:beforeLines="50" w:after="50" w:line="360" w:lineRule="exact"/>
        <w:rPr>
          <w:rFonts w:ascii="宋体" w:hAnsi="宋体" w:cs="宋体"/>
          <w:b/>
          <w:color w:val="000000" w:themeColor="text1"/>
          <w:szCs w:val="21"/>
          <w14:textFill>
            <w14:solidFill>
              <w14:schemeClr w14:val="tx1"/>
            </w14:solidFill>
          </w14:textFill>
        </w:rPr>
      </w:pPr>
    </w:p>
    <w:p w14:paraId="5FA64F2F">
      <w:pPr>
        <w:snapToGrid w:val="0"/>
        <w:spacing w:before="156" w:beforeLines="50" w:after="50" w:line="360" w:lineRule="exact"/>
        <w:rPr>
          <w:rFonts w:ascii="宋体" w:hAnsi="宋体" w:cs="宋体"/>
          <w:b/>
          <w:color w:val="000000" w:themeColor="text1"/>
          <w:szCs w:val="21"/>
          <w14:textFill>
            <w14:solidFill>
              <w14:schemeClr w14:val="tx1"/>
            </w14:solidFill>
          </w14:textFill>
        </w:rPr>
      </w:pPr>
    </w:p>
    <w:p w14:paraId="3969B230">
      <w:pPr>
        <w:snapToGrid w:val="0"/>
        <w:spacing w:before="156" w:beforeLines="50" w:after="50" w:line="360" w:lineRule="exact"/>
        <w:rPr>
          <w:rFonts w:ascii="宋体" w:hAnsi="宋体" w:cs="宋体"/>
          <w:b/>
          <w:color w:val="000000" w:themeColor="text1"/>
          <w:szCs w:val="21"/>
          <w14:textFill>
            <w14:solidFill>
              <w14:schemeClr w14:val="tx1"/>
            </w14:solidFill>
          </w14:textFill>
        </w:rPr>
      </w:pPr>
    </w:p>
    <w:p w14:paraId="2D8F6F37">
      <w:pPr>
        <w:snapToGrid w:val="0"/>
        <w:spacing w:before="156" w:beforeLines="50" w:after="50" w:line="36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二）投标文件封面格式：</w:t>
      </w:r>
    </w:p>
    <w:p w14:paraId="1DD35813">
      <w:pPr>
        <w:snapToGrid w:val="0"/>
        <w:spacing w:before="156" w:beforeLines="50" w:after="50" w:line="360" w:lineRule="exact"/>
        <w:rPr>
          <w:rFonts w:ascii="宋体" w:hAnsi="宋体" w:cs="宋体"/>
          <w:color w:val="000000" w:themeColor="text1"/>
          <w:sz w:val="24"/>
          <w14:textFill>
            <w14:solidFill>
              <w14:schemeClr w14:val="tx1"/>
            </w14:solidFill>
          </w14:textFill>
        </w:rPr>
      </w:pPr>
    </w:p>
    <w:p w14:paraId="1FABF632">
      <w:pPr>
        <w:snapToGrid w:val="0"/>
        <w:spacing w:before="156" w:beforeLines="50" w:after="50" w:line="360" w:lineRule="exact"/>
        <w:rPr>
          <w:rFonts w:ascii="宋体" w:hAnsi="宋体" w:cs="宋体"/>
          <w:bCs/>
          <w:color w:val="000000" w:themeColor="text1"/>
          <w:sz w:val="24"/>
          <w14:textFill>
            <w14:solidFill>
              <w14:schemeClr w14:val="tx1"/>
            </w14:solidFill>
          </w14:textFill>
        </w:rPr>
      </w:pPr>
    </w:p>
    <w:p w14:paraId="7171BF9B">
      <w:pPr>
        <w:snapToGrid w:val="0"/>
        <w:spacing w:before="156" w:beforeLines="50" w:after="50" w:line="36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投标文件</w:t>
      </w:r>
    </w:p>
    <w:p w14:paraId="0EC5D0BE">
      <w:pPr>
        <w:snapToGrid w:val="0"/>
        <w:spacing w:before="156" w:beforeLines="50" w:after="50" w:line="360" w:lineRule="exact"/>
        <w:rPr>
          <w:rFonts w:ascii="宋体" w:hAnsi="宋体" w:cs="宋体"/>
          <w:bCs/>
          <w:color w:val="000000" w:themeColor="text1"/>
          <w:sz w:val="24"/>
          <w14:textFill>
            <w14:solidFill>
              <w14:schemeClr w14:val="tx1"/>
            </w14:solidFill>
          </w14:textFill>
        </w:rPr>
      </w:pPr>
    </w:p>
    <w:p w14:paraId="3B36E3C9">
      <w:pPr>
        <w:snapToGrid w:val="0"/>
        <w:spacing w:before="156" w:beforeLines="50" w:after="50" w:line="360" w:lineRule="exact"/>
        <w:ind w:firstLine="630" w:firstLineChars="3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w:t>
      </w:r>
    </w:p>
    <w:p w14:paraId="3681BE35">
      <w:pPr>
        <w:snapToGrid w:val="0"/>
        <w:spacing w:before="156" w:beforeLines="50" w:after="50" w:line="360" w:lineRule="exact"/>
        <w:ind w:firstLine="630" w:firstLineChars="3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项目编号：</w:t>
      </w:r>
    </w:p>
    <w:p w14:paraId="6ED8CD92">
      <w:pPr>
        <w:snapToGrid w:val="0"/>
        <w:spacing w:before="156" w:beforeLines="50" w:after="50" w:line="360" w:lineRule="exact"/>
        <w:ind w:firstLine="630" w:firstLineChars="3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所投分标：</w:t>
      </w:r>
    </w:p>
    <w:p w14:paraId="32C6F8CD">
      <w:pPr>
        <w:snapToGrid w:val="0"/>
        <w:spacing w:before="156" w:beforeLines="50" w:after="50" w:line="360" w:lineRule="exact"/>
        <w:ind w:firstLine="630" w:firstLineChars="3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投标人名称：（盖章）</w:t>
      </w:r>
    </w:p>
    <w:p w14:paraId="079F626E">
      <w:pPr>
        <w:snapToGrid w:val="0"/>
        <w:spacing w:before="156" w:beforeLines="50" w:after="50" w:line="360" w:lineRule="exact"/>
        <w:ind w:firstLine="630" w:firstLineChars="3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投标人地址：</w:t>
      </w:r>
    </w:p>
    <w:p w14:paraId="7B470318">
      <w:pPr>
        <w:snapToGrid w:val="0"/>
        <w:spacing w:before="156" w:beforeLines="50" w:after="50"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w:t>
      </w:r>
    </w:p>
    <w:p w14:paraId="1EB1E6E7">
      <w:pPr>
        <w:snapToGrid w:val="0"/>
        <w:spacing w:before="156" w:beforeLines="50" w:after="50" w:line="360" w:lineRule="exact"/>
        <w:jc w:val="center"/>
        <w:rPr>
          <w:rFonts w:ascii="宋体" w:hAnsi="宋体" w:cs="宋体"/>
          <w:bCs/>
          <w:color w:val="000000" w:themeColor="text1"/>
          <w:szCs w:val="21"/>
          <w14:textFill>
            <w14:solidFill>
              <w14:schemeClr w14:val="tx1"/>
            </w14:solidFill>
          </w14:textFill>
        </w:rPr>
      </w:pPr>
      <w:bookmarkStart w:id="49" w:name="_Toc254970698"/>
      <w:bookmarkStart w:id="50" w:name="_Toc254970557"/>
    </w:p>
    <w:p w14:paraId="478967CA">
      <w:pPr>
        <w:snapToGrid w:val="0"/>
        <w:spacing w:before="156" w:beforeLines="50" w:after="50" w:line="36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w:t>
      </w:r>
      <w:r>
        <w:rPr>
          <w:rFonts w:hint="eastAsia" w:ascii="宋体" w:hAnsi="宋体" w:cs="宋体"/>
          <w:color w:val="000000" w:themeColor="text1"/>
          <w:szCs w:val="21"/>
          <w14:textFill>
            <w14:solidFill>
              <w14:schemeClr w14:val="tx1"/>
            </w14:solidFill>
          </w14:textFill>
        </w:rPr>
        <w:t>投标文件由</w:t>
      </w:r>
      <w:r>
        <w:rPr>
          <w:rFonts w:hint="eastAsia" w:ascii="宋体" w:hAnsi="宋体" w:cs="宋体"/>
          <w:b/>
          <w:color w:val="000000" w:themeColor="text1"/>
          <w:szCs w:val="21"/>
          <w14:textFill>
            <w14:solidFill>
              <w14:schemeClr w14:val="tx1"/>
            </w14:solidFill>
          </w14:textFill>
        </w:rPr>
        <w:t>资格文件、资信及商务文件、技术文件、投标报价文件四部份组成，</w:t>
      </w:r>
      <w:r>
        <w:rPr>
          <w:rFonts w:hint="eastAsia" w:ascii="宋体" w:hAnsi="宋体" w:cs="宋体"/>
          <w:bCs/>
          <w:color w:val="000000" w:themeColor="text1"/>
          <w:szCs w:val="21"/>
          <w14:textFill>
            <w14:solidFill>
              <w14:schemeClr w14:val="tx1"/>
            </w14:solidFill>
          </w14:textFill>
        </w:rPr>
        <w:t>其中资信及商务文件、技术文件、报价文件部分分别用封面标记分隔]</w:t>
      </w:r>
    </w:p>
    <w:p w14:paraId="61E3F963">
      <w:pPr>
        <w:snapToGrid w:val="0"/>
        <w:spacing w:before="156" w:beforeLines="50" w:after="50" w:line="360" w:lineRule="exact"/>
        <w:jc w:val="center"/>
        <w:rPr>
          <w:rFonts w:ascii="宋体" w:hAnsi="宋体" w:cs="宋体"/>
          <w:bCs/>
          <w:color w:val="000000" w:themeColor="text1"/>
          <w:sz w:val="24"/>
          <w14:textFill>
            <w14:solidFill>
              <w14:schemeClr w14:val="tx1"/>
            </w14:solidFill>
          </w14:textFill>
        </w:rPr>
      </w:pPr>
    </w:p>
    <w:p w14:paraId="5003FD7E">
      <w:pPr>
        <w:snapToGrid w:val="0"/>
        <w:spacing w:before="156" w:beforeLines="50" w:after="50" w:line="360" w:lineRule="exact"/>
        <w:jc w:val="center"/>
        <w:rPr>
          <w:rFonts w:ascii="宋体" w:hAnsi="宋体" w:cs="宋体"/>
          <w:bCs/>
          <w:color w:val="000000" w:themeColor="text1"/>
          <w:sz w:val="32"/>
          <w:szCs w:val="32"/>
          <w14:textFill>
            <w14:solidFill>
              <w14:schemeClr w14:val="tx1"/>
            </w14:solidFill>
          </w14:textFill>
        </w:rPr>
      </w:pPr>
    </w:p>
    <w:p w14:paraId="1BD7E7D1">
      <w:pPr>
        <w:snapToGrid w:val="0"/>
        <w:spacing w:before="156" w:beforeLines="50" w:after="50" w:line="360" w:lineRule="exact"/>
        <w:jc w:val="center"/>
        <w:rPr>
          <w:rFonts w:ascii="宋体" w:hAnsi="宋体" w:cs="宋体"/>
          <w:bCs/>
          <w:color w:val="000000" w:themeColor="text1"/>
          <w:sz w:val="32"/>
          <w:szCs w:val="32"/>
          <w14:textFill>
            <w14:solidFill>
              <w14:schemeClr w14:val="tx1"/>
            </w14:solidFill>
          </w14:textFill>
        </w:rPr>
      </w:pPr>
    </w:p>
    <w:p w14:paraId="5B9852B9">
      <w:pPr>
        <w:snapToGrid w:val="0"/>
        <w:spacing w:before="156" w:beforeLines="50" w:after="50" w:line="360" w:lineRule="exact"/>
        <w:jc w:val="center"/>
        <w:rPr>
          <w:rFonts w:ascii="宋体" w:hAnsi="宋体" w:cs="宋体"/>
          <w:bCs/>
          <w:color w:val="000000" w:themeColor="text1"/>
          <w:sz w:val="32"/>
          <w:szCs w:val="32"/>
          <w14:textFill>
            <w14:solidFill>
              <w14:schemeClr w14:val="tx1"/>
            </w14:solidFill>
          </w14:textFill>
        </w:rPr>
      </w:pPr>
    </w:p>
    <w:p w14:paraId="6D738C75">
      <w:pPr>
        <w:snapToGrid w:val="0"/>
        <w:spacing w:before="156" w:beforeLines="50" w:after="50" w:line="360" w:lineRule="exact"/>
        <w:jc w:val="center"/>
        <w:rPr>
          <w:rFonts w:ascii="宋体" w:hAnsi="宋体" w:cs="宋体"/>
          <w:bCs/>
          <w:color w:val="000000" w:themeColor="text1"/>
          <w:sz w:val="32"/>
          <w:szCs w:val="32"/>
          <w14:textFill>
            <w14:solidFill>
              <w14:schemeClr w14:val="tx1"/>
            </w14:solidFill>
          </w14:textFill>
        </w:rPr>
      </w:pPr>
    </w:p>
    <w:p w14:paraId="707ACCDE">
      <w:pPr>
        <w:snapToGrid w:val="0"/>
        <w:spacing w:before="156" w:beforeLines="50" w:after="50" w:line="360" w:lineRule="exact"/>
        <w:jc w:val="center"/>
        <w:rPr>
          <w:rFonts w:ascii="宋体" w:hAnsi="宋体" w:cs="宋体"/>
          <w:bCs/>
          <w:color w:val="000000" w:themeColor="text1"/>
          <w:sz w:val="32"/>
          <w:szCs w:val="32"/>
          <w14:textFill>
            <w14:solidFill>
              <w14:schemeClr w14:val="tx1"/>
            </w14:solidFill>
          </w14:textFill>
        </w:rPr>
      </w:pPr>
    </w:p>
    <w:p w14:paraId="39E61D56">
      <w:pPr>
        <w:snapToGrid w:val="0"/>
        <w:spacing w:before="156" w:beforeLines="50" w:after="50" w:line="360" w:lineRule="exact"/>
        <w:jc w:val="center"/>
        <w:rPr>
          <w:rFonts w:ascii="宋体" w:hAnsi="宋体" w:cs="宋体"/>
          <w:bCs/>
          <w:color w:val="000000" w:themeColor="text1"/>
          <w:sz w:val="32"/>
          <w:szCs w:val="32"/>
          <w14:textFill>
            <w14:solidFill>
              <w14:schemeClr w14:val="tx1"/>
            </w14:solidFill>
          </w14:textFill>
        </w:rPr>
      </w:pPr>
    </w:p>
    <w:p w14:paraId="4C21B221">
      <w:pPr>
        <w:snapToGrid w:val="0"/>
        <w:spacing w:before="156" w:beforeLines="50" w:after="50" w:line="360" w:lineRule="exact"/>
        <w:jc w:val="center"/>
        <w:rPr>
          <w:rFonts w:ascii="宋体" w:hAnsi="宋体" w:cs="宋体"/>
          <w:bCs/>
          <w:color w:val="000000" w:themeColor="text1"/>
          <w:sz w:val="32"/>
          <w:szCs w:val="32"/>
          <w14:textFill>
            <w14:solidFill>
              <w14:schemeClr w14:val="tx1"/>
            </w14:solidFill>
          </w14:textFill>
        </w:rPr>
      </w:pPr>
    </w:p>
    <w:p w14:paraId="64A12C6A">
      <w:pPr>
        <w:snapToGrid w:val="0"/>
        <w:spacing w:before="156" w:beforeLines="50" w:after="50" w:line="360" w:lineRule="exact"/>
        <w:jc w:val="center"/>
        <w:rPr>
          <w:rFonts w:ascii="宋体" w:hAnsi="宋体" w:cs="宋体"/>
          <w:bCs/>
          <w:color w:val="000000" w:themeColor="text1"/>
          <w:sz w:val="32"/>
          <w:szCs w:val="32"/>
          <w14:textFill>
            <w14:solidFill>
              <w14:schemeClr w14:val="tx1"/>
            </w14:solidFill>
          </w14:textFill>
        </w:rPr>
      </w:pPr>
    </w:p>
    <w:p w14:paraId="668458BD">
      <w:pPr>
        <w:snapToGrid w:val="0"/>
        <w:spacing w:before="156" w:beforeLines="50" w:after="50" w:line="360" w:lineRule="exact"/>
        <w:jc w:val="both"/>
        <w:outlineLvl w:val="1"/>
        <w:rPr>
          <w:rFonts w:ascii="宋体" w:hAnsi="宋体" w:cs="宋体"/>
          <w:bCs/>
          <w:color w:val="000000" w:themeColor="text1"/>
          <w:sz w:val="32"/>
          <w:szCs w:val="32"/>
          <w14:textFill>
            <w14:solidFill>
              <w14:schemeClr w14:val="tx1"/>
            </w14:solidFill>
          </w14:textFill>
        </w:rPr>
      </w:pPr>
    </w:p>
    <w:p w14:paraId="17424FC3">
      <w:pPr>
        <w:snapToGrid w:val="0"/>
        <w:spacing w:before="156" w:beforeLines="50" w:after="50" w:line="360" w:lineRule="exact"/>
        <w:jc w:val="center"/>
        <w:outlineLvl w:val="1"/>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二、投标文件目录</w:t>
      </w:r>
    </w:p>
    <w:bookmarkEnd w:id="49"/>
    <w:bookmarkEnd w:id="50"/>
    <w:p w14:paraId="3F3C83F7">
      <w:pPr>
        <w:snapToGrid w:val="0"/>
        <w:spacing w:before="156" w:beforeLines="50" w:line="360" w:lineRule="exact"/>
        <w:ind w:firstLine="413" w:firstLineChars="196"/>
        <w:jc w:val="left"/>
        <w:outlineLvl w:val="1"/>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1.资格文件：</w:t>
      </w:r>
    </w:p>
    <w:p w14:paraId="12430D80">
      <w:pPr>
        <w:snapToGrid w:val="0"/>
        <w:spacing w:line="360" w:lineRule="exact"/>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北海市政府采购</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信用承诺函</w:t>
      </w:r>
      <w:r>
        <w:rPr>
          <w:rFonts w:hint="eastAsia" w:ascii="宋体" w:hAnsi="宋体" w:cs="宋体"/>
          <w:b/>
          <w:color w:val="000000" w:themeColor="text1"/>
          <w:szCs w:val="21"/>
          <w14:textFill>
            <w14:solidFill>
              <w14:schemeClr w14:val="tx1"/>
            </w14:solidFill>
          </w14:textFill>
        </w:rPr>
        <w:t>（格式见</w:t>
      </w:r>
      <w:r>
        <w:rPr>
          <w:rFonts w:hint="eastAsia" w:ascii="宋体" w:hAnsi="宋体" w:cs="宋体"/>
          <w:b/>
          <w:bCs/>
          <w:color w:val="000000" w:themeColor="text1"/>
          <w:szCs w:val="21"/>
          <w14:textFill>
            <w14:solidFill>
              <w14:schemeClr w14:val="tx1"/>
            </w14:solidFill>
          </w14:textFill>
        </w:rPr>
        <w:t>第六章</w:t>
      </w:r>
      <w:r>
        <w:rPr>
          <w:rFonts w:hint="eastAsia" w:ascii="宋体" w:hAnsi="宋体" w:cs="宋体"/>
          <w:b/>
          <w:color w:val="000000" w:themeColor="text1"/>
          <w:szCs w:val="21"/>
          <w14:textFill>
            <w14:solidFill>
              <w14:schemeClr w14:val="tx1"/>
            </w14:solidFill>
          </w14:textFill>
        </w:rPr>
        <w:t>，必须提供）。</w:t>
      </w:r>
    </w:p>
    <w:p w14:paraId="4AA57830">
      <w:pPr>
        <w:snapToGrid w:val="0"/>
        <w:spacing w:line="360" w:lineRule="exact"/>
        <w:ind w:firstLine="420" w:firstLineChars="20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（2）中小企业声明函（格式见第六章）</w:t>
      </w:r>
    </w:p>
    <w:p w14:paraId="69097437">
      <w:pPr>
        <w:snapToGrid w:val="0"/>
        <w:spacing w:line="36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（3）具备法律、行政法规规定的其他条件的证明材料(如有规定,则必须提供)。</w:t>
      </w:r>
    </w:p>
    <w:p w14:paraId="20D5C96F">
      <w:pPr>
        <w:tabs>
          <w:tab w:val="left" w:pos="426"/>
        </w:tabs>
        <w:snapToGrid w:val="0"/>
        <w:spacing w:line="360" w:lineRule="exact"/>
        <w:ind w:firstLine="417" w:firstLineChars="198"/>
        <w:jc w:val="left"/>
        <w:rPr>
          <w:rFonts w:ascii="宋体" w:hAnsi="宋体" w:cs="宋体"/>
          <w:color w:val="000000" w:themeColor="text1"/>
          <w:kern w:val="0"/>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2.资信及商务文件：</w:t>
      </w:r>
    </w:p>
    <w:p w14:paraId="3700F673">
      <w:pPr>
        <w:snapToGrid w:val="0"/>
        <w:spacing w:line="360" w:lineRule="exact"/>
        <w:ind w:firstLine="210" w:firstLineChars="100"/>
        <w:jc w:val="left"/>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▲（1）承诺函 </w:t>
      </w:r>
      <w:r>
        <w:rPr>
          <w:rFonts w:hint="eastAsia" w:ascii="宋体" w:hAnsi="宋体" w:cs="宋体"/>
          <w:b/>
          <w:bCs/>
          <w:color w:val="000000" w:themeColor="text1"/>
          <w:szCs w:val="21"/>
          <w14:textFill>
            <w14:solidFill>
              <w14:schemeClr w14:val="tx1"/>
            </w14:solidFill>
          </w14:textFill>
        </w:rPr>
        <w:t>（格式见第六章，必须提供）</w:t>
      </w:r>
    </w:p>
    <w:p w14:paraId="3A19231C">
      <w:pPr>
        <w:snapToGrid w:val="0"/>
        <w:spacing w:line="360" w:lineRule="exact"/>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▲（2）法定代表人（负责人）授权委托书和委托代理人身份证复印件</w:t>
      </w:r>
      <w:r>
        <w:rPr>
          <w:rFonts w:hint="eastAsia" w:ascii="宋体" w:hAnsi="宋体" w:cs="宋体"/>
          <w:b/>
          <w:bCs/>
          <w:color w:val="000000" w:themeColor="text1"/>
          <w:szCs w:val="21"/>
          <w14:textFill>
            <w14:solidFill>
              <w14:schemeClr w14:val="tx1"/>
            </w14:solidFill>
          </w14:textFill>
        </w:rPr>
        <w:t>（委托代理时必须提供，格式见第六章）</w:t>
      </w:r>
      <w:r>
        <w:rPr>
          <w:rFonts w:hint="eastAsia" w:ascii="宋体" w:hAnsi="宋体" w:cs="宋体"/>
          <w:color w:val="000000" w:themeColor="text1"/>
          <w:szCs w:val="21"/>
          <w14:textFill>
            <w14:solidFill>
              <w14:schemeClr w14:val="tx1"/>
            </w14:solidFill>
          </w14:textFill>
        </w:rPr>
        <w:t>；法定代表人（负责人）参加投标时，提供法定代表人（负责人）身份证明书和身份证复印件</w:t>
      </w:r>
      <w:r>
        <w:rPr>
          <w:rFonts w:hint="eastAsia" w:ascii="宋体" w:hAnsi="宋体" w:cs="宋体"/>
          <w:b/>
          <w:bCs/>
          <w:color w:val="000000" w:themeColor="text1"/>
          <w:szCs w:val="21"/>
          <w14:textFill>
            <w14:solidFill>
              <w14:schemeClr w14:val="tx1"/>
            </w14:solidFill>
          </w14:textFill>
        </w:rPr>
        <w:t>（必须提供，格式见第六章）</w:t>
      </w:r>
      <w:r>
        <w:rPr>
          <w:rFonts w:hint="eastAsia" w:ascii="宋体" w:hAnsi="宋体" w:cs="宋体"/>
          <w:color w:val="000000" w:themeColor="text1"/>
          <w:szCs w:val="21"/>
          <w14:textFill>
            <w14:solidFill>
              <w14:schemeClr w14:val="tx1"/>
            </w14:solidFill>
          </w14:textFill>
        </w:rPr>
        <w:t>；</w:t>
      </w:r>
    </w:p>
    <w:p w14:paraId="350F07E4">
      <w:pPr>
        <w:adjustRightInd w:val="0"/>
        <w:snapToGrid w:val="0"/>
        <w:spacing w:line="360" w:lineRule="exact"/>
        <w:ind w:firstLine="422"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可作为投标人资信评分的资质证明材料（可选）  </w:t>
      </w:r>
    </w:p>
    <w:p w14:paraId="1964B2B0">
      <w:pPr>
        <w:snapToGrid w:val="0"/>
        <w:spacing w:line="360" w:lineRule="exact"/>
        <w:ind w:left="41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（3）具备履行合同所必需的人员、设备和专业技术能力的证明材料</w:t>
      </w:r>
    </w:p>
    <w:p w14:paraId="42B96329">
      <w:pPr>
        <w:snapToGrid w:val="0"/>
        <w:spacing w:line="360" w:lineRule="exact"/>
        <w:ind w:left="41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（4）劳务派遣服务许可证；</w:t>
      </w:r>
    </w:p>
    <w:p w14:paraId="51E61BDA">
      <w:pPr>
        <w:snapToGrid w:val="0"/>
        <w:spacing w:line="360" w:lineRule="exact"/>
        <w:ind w:left="41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（5）质量管理体系认证证书；</w:t>
      </w:r>
    </w:p>
    <w:p w14:paraId="5A5056AD">
      <w:pPr>
        <w:snapToGrid w:val="0"/>
        <w:spacing w:line="360" w:lineRule="exact"/>
        <w:ind w:left="41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（6）环境管理体系认证证书；</w:t>
      </w:r>
    </w:p>
    <w:p w14:paraId="1CB0CEE3">
      <w:pPr>
        <w:snapToGrid w:val="0"/>
        <w:spacing w:line="360" w:lineRule="exact"/>
        <w:ind w:left="41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（7）职业健康安全管理体系认证证书；</w:t>
      </w:r>
    </w:p>
    <w:p w14:paraId="559C0F8E">
      <w:pPr>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（8）投标人2018年以来同类项目业绩【以中标通知或合同为准】复印件</w:t>
      </w:r>
      <w:r>
        <w:rPr>
          <w:rFonts w:hint="eastAsia" w:ascii="宋体" w:hAnsi="宋体" w:cs="宋体"/>
          <w:color w:val="000000" w:themeColor="text1"/>
          <w:szCs w:val="21"/>
          <w14:textFill>
            <w14:solidFill>
              <w14:schemeClr w14:val="tx1"/>
            </w14:solidFill>
          </w14:textFill>
        </w:rPr>
        <w:t>；</w:t>
      </w:r>
    </w:p>
    <w:p w14:paraId="7FECFEDB">
      <w:pPr>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（9）投标人情况介绍，投标人关于本单位债务纠纷、违法违规记录等方面的情况。</w:t>
      </w:r>
    </w:p>
    <w:p w14:paraId="2C6738A4">
      <w:pPr>
        <w:adjustRightInd w:val="0"/>
        <w:snapToGrid w:val="0"/>
        <w:spacing w:line="360" w:lineRule="exact"/>
        <w:ind w:firstLine="527" w:firstLineChars="250"/>
        <w:jc w:val="left"/>
        <w:outlineLvl w:val="1"/>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3.技术文件：</w:t>
      </w:r>
    </w:p>
    <w:p w14:paraId="1B69B09A">
      <w:pPr>
        <w:adjustRightInd w:val="0"/>
        <w:snapToGrid w:val="0"/>
        <w:spacing w:line="360" w:lineRule="exact"/>
        <w:ind w:firstLine="420" w:firstLineChars="200"/>
        <w:jc w:val="left"/>
        <w:outlineLvl w:val="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（1）服务响应表</w:t>
      </w:r>
      <w:r>
        <w:rPr>
          <w:rFonts w:hint="eastAsia" w:ascii="宋体" w:hAnsi="宋体" w:cs="宋体"/>
          <w:b/>
          <w:color w:val="000000" w:themeColor="text1"/>
          <w:szCs w:val="21"/>
          <w14:textFill>
            <w14:solidFill>
              <w14:schemeClr w14:val="tx1"/>
            </w14:solidFill>
          </w14:textFill>
        </w:rPr>
        <w:t>（必须提供）</w:t>
      </w:r>
      <w:r>
        <w:rPr>
          <w:rFonts w:hint="eastAsia" w:ascii="宋体" w:hAnsi="宋体" w:cs="宋体"/>
          <w:color w:val="000000" w:themeColor="text1"/>
          <w:szCs w:val="21"/>
          <w14:textFill>
            <w14:solidFill>
              <w14:schemeClr w14:val="tx1"/>
            </w14:solidFill>
          </w14:textFill>
        </w:rPr>
        <w:t>；</w:t>
      </w:r>
    </w:p>
    <w:p w14:paraId="058B950C">
      <w:pPr>
        <w:adjustRightInd w:val="0"/>
        <w:snapToGrid w:val="0"/>
        <w:spacing w:line="360" w:lineRule="exact"/>
        <w:ind w:firstLine="420" w:firstLineChars="200"/>
        <w:jc w:val="left"/>
        <w:outlineLvl w:val="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14:textFill>
            <w14:solidFill>
              <w14:schemeClr w14:val="tx1"/>
            </w14:solidFill>
          </w14:textFill>
        </w:rPr>
        <w:t>服务方案</w:t>
      </w:r>
      <w:r>
        <w:rPr>
          <w:rFonts w:hint="eastAsia" w:ascii="宋体" w:hAnsi="宋体" w:cs="宋体"/>
          <w:b/>
          <w:color w:val="000000" w:themeColor="text1"/>
          <w:szCs w:val="21"/>
          <w14:textFill>
            <w14:solidFill>
              <w14:schemeClr w14:val="tx1"/>
            </w14:solidFill>
          </w14:textFill>
        </w:rPr>
        <w:t>（格式自拟，必须提供）</w:t>
      </w:r>
      <w:r>
        <w:rPr>
          <w:rFonts w:hint="eastAsia" w:ascii="宋体" w:hAnsi="宋体" w:cs="宋体"/>
          <w:color w:val="000000" w:themeColor="text1"/>
          <w:szCs w:val="21"/>
          <w14:textFill>
            <w14:solidFill>
              <w14:schemeClr w14:val="tx1"/>
            </w14:solidFill>
          </w14:textFill>
        </w:rPr>
        <w:t>；</w:t>
      </w:r>
    </w:p>
    <w:p w14:paraId="767393EF">
      <w:pPr>
        <w:adjustRightInd w:val="0"/>
        <w:snapToGrid w:val="0"/>
        <w:spacing w:line="360" w:lineRule="exact"/>
        <w:ind w:firstLine="525" w:firstLineChars="2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（3）投标人拥有主要服务设施的情况和现状（格式自拟）及项目实施人员一览表； </w:t>
      </w:r>
    </w:p>
    <w:p w14:paraId="720D2EFE">
      <w:pPr>
        <w:adjustRightInd w:val="0"/>
        <w:snapToGrid w:val="0"/>
        <w:spacing w:line="360" w:lineRule="exact"/>
        <w:ind w:firstLine="525" w:firstLineChars="2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（4）优惠条件：投标人承诺给予招标人的各种优惠条件；</w:t>
      </w:r>
    </w:p>
    <w:p w14:paraId="2797E535">
      <w:pPr>
        <w:adjustRightInd w:val="0"/>
        <w:snapToGrid w:val="0"/>
        <w:spacing w:line="360" w:lineRule="exact"/>
        <w:ind w:firstLine="525" w:firstLineChars="2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（5）投标人对本项目的合理化建议和改进措施；</w:t>
      </w:r>
    </w:p>
    <w:p w14:paraId="2D830B29">
      <w:pPr>
        <w:adjustRightInd w:val="0"/>
        <w:snapToGrid w:val="0"/>
        <w:spacing w:line="360" w:lineRule="exact"/>
        <w:ind w:firstLine="525" w:firstLineChars="2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（6）投标人需要说明的其他文件和说明（格式略）；</w:t>
      </w:r>
    </w:p>
    <w:p w14:paraId="4F5B3584">
      <w:pPr>
        <w:snapToGrid w:val="0"/>
        <w:spacing w:line="360" w:lineRule="exact"/>
        <w:ind w:firstLine="422" w:firstLineChars="200"/>
        <w:jc w:val="left"/>
        <w:outlineLvl w:val="1"/>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4.报价文件：</w:t>
      </w:r>
    </w:p>
    <w:p w14:paraId="47D3B11F">
      <w:pPr>
        <w:tabs>
          <w:tab w:val="left" w:pos="3870"/>
          <w:tab w:val="left" w:pos="4085"/>
        </w:tabs>
        <w:snapToGrid w:val="0"/>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投标函（格式见第六章）；</w:t>
      </w:r>
      <w:r>
        <w:rPr>
          <w:rFonts w:hint="eastAsia" w:ascii="宋体" w:hAnsi="宋体" w:cs="宋体"/>
          <w:b/>
          <w:color w:val="000000" w:themeColor="text1"/>
          <w:szCs w:val="21"/>
          <w14:textFill>
            <w14:solidFill>
              <w14:schemeClr w14:val="tx1"/>
            </w14:solidFill>
          </w14:textFill>
        </w:rPr>
        <w:t>（必须提供）</w:t>
      </w:r>
    </w:p>
    <w:p w14:paraId="7834F755">
      <w:pPr>
        <w:tabs>
          <w:tab w:val="left" w:pos="3870"/>
          <w:tab w:val="left" w:pos="4085"/>
        </w:tabs>
        <w:snapToGrid w:val="0"/>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投标报价明细表（格式见第六章）；</w:t>
      </w:r>
      <w:r>
        <w:rPr>
          <w:rFonts w:hint="eastAsia" w:ascii="宋体" w:hAnsi="宋体" w:cs="宋体"/>
          <w:b/>
          <w:color w:val="000000" w:themeColor="text1"/>
          <w:szCs w:val="21"/>
          <w14:textFill>
            <w14:solidFill>
              <w14:schemeClr w14:val="tx1"/>
            </w14:solidFill>
          </w14:textFill>
        </w:rPr>
        <w:t>（必须提供）</w:t>
      </w:r>
    </w:p>
    <w:p w14:paraId="46BBAA16">
      <w:pPr>
        <w:tabs>
          <w:tab w:val="left" w:pos="3870"/>
          <w:tab w:val="left" w:pos="4085"/>
        </w:tabs>
        <w:snapToGrid w:val="0"/>
        <w:spacing w:line="360" w:lineRule="exact"/>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（3）投标人针对报价需要说明的其他文件和说明；（格式自拟）</w:t>
      </w:r>
    </w:p>
    <w:p w14:paraId="4BFC0C05">
      <w:pPr>
        <w:tabs>
          <w:tab w:val="left" w:pos="3870"/>
          <w:tab w:val="left" w:pos="4085"/>
        </w:tabs>
        <w:snapToGrid w:val="0"/>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开标一览表（单独封装递交，格式见第六章）</w:t>
      </w:r>
      <w:r>
        <w:rPr>
          <w:rFonts w:hint="eastAsia" w:ascii="宋体" w:hAnsi="宋体" w:cs="宋体"/>
          <w:b/>
          <w:color w:val="000000" w:themeColor="text1"/>
          <w:szCs w:val="21"/>
          <w14:textFill>
            <w14:solidFill>
              <w14:schemeClr w14:val="tx1"/>
            </w14:solidFill>
          </w14:textFill>
        </w:rPr>
        <w:t>（必须提供）</w:t>
      </w:r>
      <w:r>
        <w:rPr>
          <w:rFonts w:hint="eastAsia" w:ascii="宋体" w:hAnsi="宋体" w:cs="宋体"/>
          <w:color w:val="000000" w:themeColor="text1"/>
          <w:szCs w:val="21"/>
          <w14:textFill>
            <w14:solidFill>
              <w14:schemeClr w14:val="tx1"/>
            </w14:solidFill>
          </w14:textFill>
        </w:rPr>
        <w:t>。</w:t>
      </w:r>
    </w:p>
    <w:p w14:paraId="526D0926">
      <w:pPr>
        <w:pStyle w:val="48"/>
        <w:spacing w:line="360" w:lineRule="exact"/>
        <w:ind w:firstLine="422" w:firstLineChars="20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特别说明：</w:t>
      </w:r>
    </w:p>
    <w:p w14:paraId="3D8EEB0F">
      <w:pPr>
        <w:pStyle w:val="48"/>
        <w:spacing w:line="360" w:lineRule="exact"/>
        <w:ind w:firstLine="422" w:firstLineChars="20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1）法定代表人（负责人）授权委托书必须由法定代表人（负责人）和委托代理人签名并加盖单位公章；承诺函、投标函、开标一览表必须由法定代表人（负责人）或委托代理人签名并加盖单位公章。电子投标文件须加盖公章部分均采用CA签章。</w:t>
      </w:r>
    </w:p>
    <w:p w14:paraId="364EFF26">
      <w:pPr>
        <w:pStyle w:val="48"/>
        <w:spacing w:line="360" w:lineRule="exact"/>
        <w:ind w:firstLine="422" w:firstLineChars="200"/>
        <w:rPr>
          <w:rFonts w:ascii="宋体" w:hAnsi="宋体" w:cs="宋体"/>
          <w:bCs/>
          <w:color w:val="000000" w:themeColor="text1"/>
          <w:sz w:val="32"/>
          <w:szCs w:val="32"/>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（2）电子投标文件中所须加盖公章部分均采用CA签章。若招标文件中有专门标注的某关联点，并要求</w:t>
      </w:r>
      <w:r>
        <w:rPr>
          <w:rFonts w:hint="eastAsia" w:ascii="宋体" w:hAnsi="宋体" w:cs="宋体"/>
          <w:b/>
          <w:color w:val="000000" w:themeColor="text1"/>
          <w:sz w:val="21"/>
          <w:szCs w:val="21"/>
          <w:lang w:eastAsia="zh-CN"/>
          <w14:textFill>
            <w14:solidFill>
              <w14:schemeClr w14:val="tx1"/>
            </w14:solidFill>
          </w14:textFill>
        </w:rPr>
        <w:t>投标人</w:t>
      </w:r>
      <w:r>
        <w:rPr>
          <w:rFonts w:hint="eastAsia" w:ascii="宋体" w:hAnsi="宋体" w:cs="宋体"/>
          <w:b/>
          <w:color w:val="000000" w:themeColor="text1"/>
          <w:sz w:val="21"/>
          <w:szCs w:val="21"/>
          <w14:textFill>
            <w14:solidFill>
              <w14:schemeClr w14:val="tx1"/>
            </w14:solidFill>
          </w14:textFill>
        </w:rPr>
        <w:t>在电子投标系统中作出投标响应的，如</w:t>
      </w:r>
      <w:r>
        <w:rPr>
          <w:rFonts w:hint="eastAsia" w:ascii="宋体" w:hAnsi="宋体" w:cs="宋体"/>
          <w:b/>
          <w:color w:val="000000" w:themeColor="text1"/>
          <w:sz w:val="21"/>
          <w:szCs w:val="21"/>
          <w:lang w:eastAsia="zh-CN"/>
          <w14:textFill>
            <w14:solidFill>
              <w14:schemeClr w14:val="tx1"/>
            </w14:solidFill>
          </w14:textFill>
        </w:rPr>
        <w:t>投标人</w:t>
      </w:r>
      <w:r>
        <w:rPr>
          <w:rFonts w:hint="eastAsia" w:ascii="宋体" w:hAnsi="宋体" w:cs="宋体"/>
          <w:b/>
          <w:color w:val="000000" w:themeColor="text1"/>
          <w:sz w:val="21"/>
          <w:szCs w:val="21"/>
          <w14:textFill>
            <w14:solidFill>
              <w14:schemeClr w14:val="tx1"/>
            </w14:solidFill>
          </w14:textFill>
        </w:rPr>
        <w:t>未对关联点进行响应或者在投标文件其它内容进行描述，造成电子评审不能查询的责任由</w:t>
      </w:r>
      <w:r>
        <w:rPr>
          <w:rFonts w:hint="eastAsia" w:ascii="宋体" w:hAnsi="宋体" w:cs="宋体"/>
          <w:b/>
          <w:color w:val="000000" w:themeColor="text1"/>
          <w:sz w:val="21"/>
          <w:szCs w:val="21"/>
          <w:lang w:eastAsia="zh-CN"/>
          <w14:textFill>
            <w14:solidFill>
              <w14:schemeClr w14:val="tx1"/>
            </w14:solidFill>
          </w14:textFill>
        </w:rPr>
        <w:t>投标人</w:t>
      </w:r>
      <w:r>
        <w:rPr>
          <w:rFonts w:hint="eastAsia" w:ascii="宋体" w:hAnsi="宋体" w:cs="宋体"/>
          <w:b/>
          <w:color w:val="000000" w:themeColor="text1"/>
          <w:sz w:val="21"/>
          <w:szCs w:val="21"/>
          <w14:textFill>
            <w14:solidFill>
              <w14:schemeClr w14:val="tx1"/>
            </w14:solidFill>
          </w14:textFill>
        </w:rPr>
        <w:t>自行承担。</w:t>
      </w:r>
    </w:p>
    <w:p w14:paraId="2553AA84">
      <w:pPr>
        <w:snapToGrid w:val="0"/>
        <w:spacing w:before="50" w:after="156" w:afterLines="50" w:line="360" w:lineRule="exact"/>
        <w:jc w:val="center"/>
        <w:outlineLvl w:val="1"/>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三、投标文件格式</w:t>
      </w:r>
    </w:p>
    <w:p w14:paraId="7F03D821">
      <w:pPr>
        <w:snapToGrid w:val="0"/>
        <w:spacing w:before="50" w:after="156" w:afterLines="50" w:line="360" w:lineRule="exact"/>
        <w:jc w:val="left"/>
        <w:rPr>
          <w:rFonts w:ascii="宋体" w:hAnsi="宋体" w:cs="宋体"/>
          <w:b/>
          <w:color w:val="000000" w:themeColor="text1"/>
          <w:szCs w:val="21"/>
          <w14:textFill>
            <w14:solidFill>
              <w14:schemeClr w14:val="tx1"/>
            </w14:solidFill>
          </w14:textFill>
        </w:rPr>
      </w:pPr>
    </w:p>
    <w:p w14:paraId="004AB81E">
      <w:pPr>
        <w:snapToGrid w:val="0"/>
        <w:spacing w:before="50" w:after="156" w:afterLines="50" w:line="360" w:lineRule="exact"/>
        <w:jc w:val="left"/>
        <w:outlineLvl w:val="1"/>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w:t>
      </w:r>
      <w:r>
        <w:rPr>
          <w:rFonts w:hint="eastAsia" w:ascii="宋体" w:hAnsi="宋体" w:cs="宋体"/>
          <w:b/>
          <w:bCs/>
          <w:color w:val="000000" w:themeColor="text1"/>
          <w:szCs w:val="21"/>
          <w14:textFill>
            <w14:solidFill>
              <w14:schemeClr w14:val="tx1"/>
            </w14:solidFill>
          </w14:textFill>
        </w:rPr>
        <w:t>资格文件部分（格式）</w:t>
      </w:r>
    </w:p>
    <w:p w14:paraId="0911CDB2">
      <w:pPr>
        <w:snapToGrid w:val="0"/>
        <w:spacing w:line="360" w:lineRule="exact"/>
        <w:ind w:firstLine="210" w:firstLineChars="100"/>
        <w:jc w:val="left"/>
        <w:rPr>
          <w:rFonts w:ascii="宋体" w:hAnsi="宋体" w:cs="宋体"/>
          <w:b/>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北海市政府采购</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信用承诺函</w:t>
      </w:r>
      <w:r>
        <w:rPr>
          <w:rFonts w:hint="eastAsia" w:ascii="宋体" w:hAnsi="宋体" w:cs="宋体"/>
          <w:b/>
          <w:bCs/>
          <w:color w:val="000000" w:themeColor="text1"/>
          <w:szCs w:val="21"/>
          <w14:textFill>
            <w14:solidFill>
              <w14:schemeClr w14:val="tx1"/>
            </w14:solidFill>
          </w14:textFill>
        </w:rPr>
        <w:t>（格式见第六章，必须提供）</w:t>
      </w:r>
      <w:r>
        <w:rPr>
          <w:rFonts w:hint="eastAsia" w:ascii="宋体" w:hAnsi="宋体" w:cs="宋体"/>
          <w:b/>
          <w:color w:val="000000" w:themeColor="text1"/>
          <w:szCs w:val="21"/>
          <w14:textFill>
            <w14:solidFill>
              <w14:schemeClr w14:val="tx1"/>
            </w14:solidFill>
          </w14:textFill>
        </w:rPr>
        <w:t>。</w:t>
      </w:r>
    </w:p>
    <w:p w14:paraId="51438B70">
      <w:pPr>
        <w:widowControl/>
        <w:ind w:firstLine="420" w:firstLineChars="200"/>
        <w:jc w:val="left"/>
        <w:rPr>
          <w:rFonts w:ascii="宋体" w:hAnsi="宋体" w:cs="宋体"/>
          <w:color w:val="000000" w:themeColor="text1"/>
          <w:kern w:val="0"/>
          <w:szCs w:val="21"/>
          <w14:textFill>
            <w14:solidFill>
              <w14:schemeClr w14:val="tx1"/>
            </w14:solidFill>
          </w14:textFill>
        </w:rPr>
      </w:pPr>
    </w:p>
    <w:p w14:paraId="385DB84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北海市政府采购</w:t>
      </w: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信用承诺函（格式）</w:t>
      </w:r>
    </w:p>
    <w:p w14:paraId="38E235D5">
      <w:pPr>
        <w:widowControl/>
        <w:ind w:firstLine="420" w:firstLineChars="200"/>
        <w:jc w:val="left"/>
        <w:rPr>
          <w:rFonts w:ascii="宋体" w:hAnsi="宋体" w:cs="宋体"/>
          <w:color w:val="000000" w:themeColor="text1"/>
          <w:kern w:val="0"/>
          <w:szCs w:val="21"/>
          <w14:textFill>
            <w14:solidFill>
              <w14:schemeClr w14:val="tx1"/>
            </w14:solidFill>
          </w14:textFill>
        </w:rPr>
      </w:pPr>
    </w:p>
    <w:p w14:paraId="5F839F2C">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致（采购人或采购代理机构） ：</w:t>
      </w:r>
    </w:p>
    <w:p w14:paraId="52D33BEE">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名称：</w:t>
      </w:r>
    </w:p>
    <w:p w14:paraId="2D5C0737">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统一社会信用代码：</w:t>
      </w:r>
    </w:p>
    <w:p w14:paraId="22934DD4">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地址：</w:t>
      </w:r>
    </w:p>
    <w:p w14:paraId="3ED322E6">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5206DFC">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1.我单位具有符合采购文件资格要求独立承担民事责任的能力。</w:t>
      </w:r>
    </w:p>
    <w:p w14:paraId="0A1C6042">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2.我单位具有符合采购文件资格要求的财务状况报告。</w:t>
      </w:r>
    </w:p>
    <w:p w14:paraId="78A6B983">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3.我单位具有符合采购文件资格要求的依法缴纳税收和社会保障记录的良好记录。</w:t>
      </w:r>
    </w:p>
    <w:p w14:paraId="62FDD2F0">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4.我单位具有符合采购文件资格要求履行合同所必需的设备和专业技术能力。</w:t>
      </w:r>
    </w:p>
    <w:p w14:paraId="0D0C73B1">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5.参加政府采购活动前三年内，在经营活动中没有重大违法记录。</w:t>
      </w:r>
    </w:p>
    <w:p w14:paraId="5288C188">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若我单位承诺不实，自愿承担提供虚假材料谋取中标、成交的法律责任。</w:t>
      </w:r>
    </w:p>
    <w:p w14:paraId="5E535062">
      <w:pPr>
        <w:widowControl/>
        <w:ind w:firstLine="420" w:firstLineChars="200"/>
        <w:jc w:val="left"/>
        <w:rPr>
          <w:rFonts w:ascii="宋体" w:hAnsi="宋体" w:cs="宋体"/>
          <w:color w:val="000000" w:themeColor="text1"/>
          <w:kern w:val="0"/>
          <w:szCs w:val="21"/>
          <w14:textFill>
            <w14:solidFill>
              <w14:schemeClr w14:val="tx1"/>
            </w14:solidFill>
          </w14:textFill>
        </w:rPr>
      </w:pPr>
    </w:p>
    <w:p w14:paraId="184538F8">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名称（公章）：</w:t>
      </w:r>
    </w:p>
    <w:p w14:paraId="00762443">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法定代表人或授权代表(签名)：</w:t>
      </w:r>
    </w:p>
    <w:p w14:paraId="03BA662E">
      <w:pPr>
        <w:widowControl/>
        <w:ind w:firstLine="420" w:firstLineChars="200"/>
        <w:jc w:val="left"/>
        <w:rPr>
          <w:rFonts w:ascii="宋体" w:hAnsi="宋体" w:cs="宋体"/>
          <w:color w:val="000000" w:themeColor="text1"/>
          <w:kern w:val="0"/>
          <w:szCs w:val="21"/>
          <w14:textFill>
            <w14:solidFill>
              <w14:schemeClr w14:val="tx1"/>
            </w14:solidFill>
          </w14:textFill>
        </w:rPr>
      </w:pPr>
    </w:p>
    <w:p w14:paraId="5A38923A">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日期： 年 月 日</w:t>
      </w:r>
    </w:p>
    <w:p w14:paraId="66C14528">
      <w:pPr>
        <w:widowControl/>
        <w:ind w:firstLine="420" w:firstLineChars="200"/>
        <w:jc w:val="left"/>
        <w:rPr>
          <w:rFonts w:ascii="宋体" w:hAnsi="宋体" w:cs="宋体"/>
          <w:color w:val="000000" w:themeColor="text1"/>
          <w:kern w:val="0"/>
          <w:szCs w:val="21"/>
          <w14:textFill>
            <w14:solidFill>
              <w14:schemeClr w14:val="tx1"/>
            </w14:solidFill>
          </w14:textFill>
        </w:rPr>
      </w:pPr>
    </w:p>
    <w:p w14:paraId="54A72652">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注：1.</w:t>
      </w: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须在投标（响应）文件中按此模板提供承诺函，未提供视为未实质性响应招标（采购）文件要求，按无效投标（响应）处理。</w:t>
      </w:r>
    </w:p>
    <w:p w14:paraId="1C66BAB9">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的法定代表人（其他组织的为负责人）或者授权代表的签名或盖章应真实、有效，如由授权代表签名或盖章的，应提供“法定代表人授权书”。</w:t>
      </w:r>
    </w:p>
    <w:p w14:paraId="12FB042F">
      <w:pPr>
        <w:snapToGrid w:val="0"/>
        <w:spacing w:line="360" w:lineRule="exact"/>
        <w:jc w:val="left"/>
        <w:rPr>
          <w:rFonts w:ascii="宋体" w:hAnsi="宋体" w:cs="宋体"/>
          <w:color w:val="000000" w:themeColor="text1"/>
          <w:kern w:val="0"/>
          <w:szCs w:val="21"/>
          <w14:textFill>
            <w14:solidFill>
              <w14:schemeClr w14:val="tx1"/>
            </w14:solidFill>
          </w14:textFill>
        </w:rPr>
      </w:pPr>
    </w:p>
    <w:p w14:paraId="417A857E">
      <w:pPr>
        <w:snapToGrid w:val="0"/>
        <w:spacing w:line="360" w:lineRule="exact"/>
        <w:jc w:val="left"/>
        <w:rPr>
          <w:rFonts w:ascii="宋体" w:hAnsi="宋体" w:cs="宋体"/>
          <w:color w:val="000000" w:themeColor="text1"/>
          <w:szCs w:val="21"/>
          <w14:textFill>
            <w14:solidFill>
              <w14:schemeClr w14:val="tx1"/>
            </w14:solidFill>
          </w14:textFill>
        </w:rPr>
      </w:pPr>
    </w:p>
    <w:p w14:paraId="28F3306A">
      <w:pPr>
        <w:snapToGrid w:val="0"/>
        <w:spacing w:line="360" w:lineRule="exact"/>
        <w:ind w:firstLine="210" w:firstLineChars="10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（2）中小企业声明函（格式见第六章）</w:t>
      </w:r>
    </w:p>
    <w:p w14:paraId="3DA2551E">
      <w:pPr>
        <w:snapToGrid w:val="0"/>
        <w:spacing w:line="360" w:lineRule="exact"/>
        <w:ind w:firstLine="205" w:firstLineChars="98"/>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（3）具备法律、行政法规规定的其他条件的证明材料(如有规定,则必须提供)。</w:t>
      </w:r>
    </w:p>
    <w:p w14:paraId="15DFF262">
      <w:pPr>
        <w:snapToGrid w:val="0"/>
        <w:spacing w:line="360" w:lineRule="exact"/>
        <w:jc w:val="left"/>
        <w:rPr>
          <w:rFonts w:ascii="宋体" w:hAnsi="宋体" w:cs="宋体"/>
          <w:color w:val="000000" w:themeColor="text1"/>
          <w:szCs w:val="21"/>
          <w14:textFill>
            <w14:solidFill>
              <w14:schemeClr w14:val="tx1"/>
            </w14:solidFill>
          </w14:textFill>
        </w:rPr>
      </w:pPr>
    </w:p>
    <w:p w14:paraId="4DCB55A4">
      <w:pPr>
        <w:snapToGrid w:val="0"/>
        <w:spacing w:line="360" w:lineRule="exact"/>
        <w:jc w:val="left"/>
        <w:rPr>
          <w:rFonts w:ascii="宋体" w:hAnsi="宋体" w:cs="宋体"/>
          <w:color w:val="000000" w:themeColor="text1"/>
          <w:szCs w:val="21"/>
          <w14:textFill>
            <w14:solidFill>
              <w14:schemeClr w14:val="tx1"/>
            </w14:solidFill>
          </w14:textFill>
        </w:rPr>
      </w:pPr>
    </w:p>
    <w:p w14:paraId="06ECF568">
      <w:pPr>
        <w:snapToGrid w:val="0"/>
        <w:spacing w:line="360" w:lineRule="exact"/>
        <w:jc w:val="left"/>
        <w:rPr>
          <w:rFonts w:ascii="宋体" w:hAnsi="宋体" w:cs="宋体"/>
          <w:color w:val="000000" w:themeColor="text1"/>
          <w:szCs w:val="21"/>
          <w14:textFill>
            <w14:solidFill>
              <w14:schemeClr w14:val="tx1"/>
            </w14:solidFill>
          </w14:textFill>
        </w:rPr>
      </w:pPr>
    </w:p>
    <w:p w14:paraId="50274D64">
      <w:pPr>
        <w:snapToGrid w:val="0"/>
        <w:spacing w:line="360" w:lineRule="exact"/>
        <w:jc w:val="left"/>
        <w:rPr>
          <w:rFonts w:ascii="宋体" w:hAnsi="宋体" w:cs="宋体"/>
          <w:color w:val="000000" w:themeColor="text1"/>
          <w:szCs w:val="21"/>
          <w14:textFill>
            <w14:solidFill>
              <w14:schemeClr w14:val="tx1"/>
            </w14:solidFill>
          </w14:textFill>
        </w:rPr>
      </w:pPr>
    </w:p>
    <w:p w14:paraId="5278FEFD">
      <w:pPr>
        <w:snapToGrid w:val="0"/>
        <w:spacing w:line="360" w:lineRule="exact"/>
        <w:jc w:val="left"/>
        <w:rPr>
          <w:rFonts w:ascii="宋体" w:hAnsi="宋体" w:cs="宋体"/>
          <w:color w:val="000000" w:themeColor="text1"/>
          <w:szCs w:val="21"/>
          <w14:textFill>
            <w14:solidFill>
              <w14:schemeClr w14:val="tx1"/>
            </w14:solidFill>
          </w14:textFill>
        </w:rPr>
      </w:pPr>
    </w:p>
    <w:p w14:paraId="65B313B7">
      <w:pPr>
        <w:snapToGrid w:val="0"/>
        <w:spacing w:line="360" w:lineRule="exact"/>
        <w:jc w:val="left"/>
        <w:rPr>
          <w:rFonts w:ascii="宋体" w:hAnsi="宋体" w:cs="宋体"/>
          <w:color w:val="000000" w:themeColor="text1"/>
          <w:szCs w:val="21"/>
          <w14:textFill>
            <w14:solidFill>
              <w14:schemeClr w14:val="tx1"/>
            </w14:solidFill>
          </w14:textFill>
        </w:rPr>
      </w:pPr>
    </w:p>
    <w:p w14:paraId="30F9AEFA">
      <w:pPr>
        <w:snapToGrid w:val="0"/>
        <w:spacing w:line="360" w:lineRule="exact"/>
        <w:jc w:val="left"/>
        <w:rPr>
          <w:rFonts w:ascii="宋体" w:hAnsi="宋体" w:cs="宋体"/>
          <w:color w:val="000000" w:themeColor="text1"/>
          <w:szCs w:val="21"/>
          <w14:textFill>
            <w14:solidFill>
              <w14:schemeClr w14:val="tx1"/>
            </w14:solidFill>
          </w14:textFill>
        </w:rPr>
      </w:pPr>
    </w:p>
    <w:p w14:paraId="3562D6E8">
      <w:pPr>
        <w:snapToGrid w:val="0"/>
        <w:spacing w:line="360" w:lineRule="exact"/>
        <w:jc w:val="left"/>
        <w:rPr>
          <w:rFonts w:ascii="宋体" w:hAnsi="宋体" w:cs="宋体"/>
          <w:color w:val="000000" w:themeColor="text1"/>
          <w:szCs w:val="21"/>
          <w14:textFill>
            <w14:solidFill>
              <w14:schemeClr w14:val="tx1"/>
            </w14:solidFill>
          </w14:textFill>
        </w:rPr>
      </w:pPr>
    </w:p>
    <w:p w14:paraId="3500BF64">
      <w:pPr>
        <w:snapToGrid w:val="0"/>
        <w:spacing w:before="50" w:after="156" w:afterLines="50" w:line="360" w:lineRule="exact"/>
        <w:jc w:val="left"/>
        <w:outlineLvl w:val="1"/>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w:t>
      </w:r>
      <w:r>
        <w:rPr>
          <w:rFonts w:hint="eastAsia" w:ascii="宋体" w:hAnsi="宋体" w:cs="宋体"/>
          <w:b/>
          <w:bCs/>
          <w:color w:val="000000" w:themeColor="text1"/>
          <w:szCs w:val="21"/>
          <w14:textFill>
            <w14:solidFill>
              <w14:schemeClr w14:val="tx1"/>
            </w14:solidFill>
          </w14:textFill>
        </w:rPr>
        <w:t>资信及商务文件部分（格式）</w:t>
      </w:r>
    </w:p>
    <w:p w14:paraId="59CBB7DE">
      <w:pPr>
        <w:snapToGrid w:val="0"/>
        <w:spacing w:before="50" w:after="156" w:afterLines="50" w:line="36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（1）承诺函格式：（必须提供）</w:t>
      </w:r>
    </w:p>
    <w:p w14:paraId="29413A95">
      <w:pPr>
        <w:ind w:firstLine="640" w:firstLineChars="200"/>
        <w:jc w:val="center"/>
        <w:rPr>
          <w:rFonts w:ascii="宋体" w:hAnsi="宋体" w:cs="宋体"/>
          <w:color w:val="000000" w:themeColor="text1"/>
          <w:kern w:val="0"/>
          <w:sz w:val="32"/>
          <w:szCs w:val="21"/>
          <w14:textFill>
            <w14:solidFill>
              <w14:schemeClr w14:val="tx1"/>
            </w14:solidFill>
          </w14:textFill>
        </w:rPr>
      </w:pPr>
    </w:p>
    <w:p w14:paraId="103BB2CA">
      <w:pPr>
        <w:ind w:firstLine="640" w:firstLineChars="200"/>
        <w:jc w:val="center"/>
        <w:rPr>
          <w:rFonts w:ascii="宋体" w:hAnsi="宋体" w:cs="宋体"/>
          <w:color w:val="000000" w:themeColor="text1"/>
          <w:kern w:val="0"/>
          <w:sz w:val="32"/>
          <w:szCs w:val="21"/>
          <w14:textFill>
            <w14:solidFill>
              <w14:schemeClr w14:val="tx1"/>
            </w14:solidFill>
          </w14:textFill>
        </w:rPr>
      </w:pPr>
      <w:r>
        <w:rPr>
          <w:rFonts w:hint="eastAsia" w:ascii="宋体" w:hAnsi="宋体" w:cs="宋体"/>
          <w:color w:val="000000" w:themeColor="text1"/>
          <w:kern w:val="0"/>
          <w:sz w:val="32"/>
          <w:szCs w:val="21"/>
          <w14:textFill>
            <w14:solidFill>
              <w14:schemeClr w14:val="tx1"/>
            </w14:solidFill>
          </w14:textFill>
        </w:rPr>
        <w:t>承诺函（格式）</w:t>
      </w:r>
    </w:p>
    <w:p w14:paraId="740C989A">
      <w:pPr>
        <w:widowControl/>
        <w:ind w:firstLine="640" w:firstLineChars="200"/>
        <w:jc w:val="left"/>
        <w:rPr>
          <w:rFonts w:ascii="宋体" w:hAnsi="宋体" w:cs="宋体"/>
          <w:color w:val="000000" w:themeColor="text1"/>
          <w:kern w:val="0"/>
          <w:sz w:val="32"/>
          <w:szCs w:val="21"/>
          <w14:textFill>
            <w14:solidFill>
              <w14:schemeClr w14:val="tx1"/>
            </w14:solidFill>
          </w14:textFill>
        </w:rPr>
      </w:pPr>
    </w:p>
    <w:p w14:paraId="58D50EB3">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北海市政府采购中心：</w:t>
      </w:r>
    </w:p>
    <w:p w14:paraId="62248B72">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我方作为本次采购项目的投标人，根据招标文件要求，现郑重承诺如下：</w:t>
      </w:r>
    </w:p>
    <w:p w14:paraId="5B380085">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一、我方已认真阅读并接受本项目招标文件第二章的全部实质性要求，如对招标文件有异议，已依法进行维权救济，不存在对招标文件有异议的同时又参加投标以求侥幸中标或者为实现其他非法目的的行为。</w:t>
      </w:r>
    </w:p>
    <w:p w14:paraId="76931FD4">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二、参加本次招标采购活动，不存在与单位负责人为同一人或者存在直接控股、管理关系的其他</w:t>
      </w: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参与同一合同项下的政府采购活动的行为。</w:t>
      </w:r>
    </w:p>
    <w:p w14:paraId="28578045">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三、为采购项目提供整体设计、规范编制或者项目管理、监理、检测等服务的</w:t>
      </w: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，不得再参加该采购项目的其他采购活动，我方承诺不属于此类禁止参加本项目的</w:t>
      </w: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w:t>
      </w:r>
    </w:p>
    <w:p w14:paraId="031AD465">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四、参加本次招标采购活动，不存在和其他</w:t>
      </w: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在同一合同项下的采购项目中，同时委托同一个自然人、同一家庭的人员、同一单位的人员作为代理人的行为。</w:t>
      </w:r>
    </w:p>
    <w:p w14:paraId="30EC4A88">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五、投标文件中提供的能够给予我方带来优惠、好处的任何材料资料和技术、服务、商务、响应产品等响应承诺情况都是真实的、有效的、合法的。</w:t>
      </w:r>
    </w:p>
    <w:p w14:paraId="7136B252">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0CB64A1C">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七、国家或行业主管部门对采购产品的技术标准、质量标准和资格资质条件等有强制性规定的，我方承诺符合其要求。</w:t>
      </w:r>
    </w:p>
    <w:p w14:paraId="15BEF1ED">
      <w:pPr>
        <w:widowControl/>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八、参加本次招标采购活动，我方完全同意招标文件第二章关于“投标费用”、“合同分包”、“合同转包”、“履约保证金”的实质性要求，并承诺严格按照招标文件要求履行。</w:t>
      </w:r>
    </w:p>
    <w:p w14:paraId="71C0F291">
      <w:pPr>
        <w:widowControl/>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九、我方承诺，下属全资子公司参与本项目的，子公司的人员资质、工作经验、业绩、施工资质均视为我方所有，子公司的工作质量、安全责任由我方全权承担，我方已提供全资控股证明材料，真实有效。</w:t>
      </w:r>
    </w:p>
    <w:p w14:paraId="303956EE">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十</w:t>
      </w:r>
      <w:r>
        <w:rPr>
          <w:rFonts w:hint="eastAsia" w:ascii="宋体" w:hAnsi="宋体" w:cs="宋体"/>
          <w:color w:val="000000" w:themeColor="text1"/>
          <w:kern w:val="0"/>
          <w:szCs w:val="21"/>
          <w14:textFill>
            <w14:solidFill>
              <w14:schemeClr w14:val="tx1"/>
            </w14:solidFill>
          </w14:textFill>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6F405845">
      <w:pPr>
        <w:widowControl/>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我方对上述承诺的内容事项真实性负责。如经查实上述承诺的内容事项存在虚假，我方愿意接受以提供虚假材料谋取中标追究法律责任。</w:t>
      </w:r>
    </w:p>
    <w:p w14:paraId="5B8BAACB">
      <w:pPr>
        <w:widowControl/>
        <w:ind w:firstLine="420" w:firstLineChars="200"/>
        <w:jc w:val="left"/>
        <w:rPr>
          <w:rFonts w:ascii="宋体" w:hAnsi="宋体" w:cs="宋体"/>
          <w:color w:val="000000" w:themeColor="text1"/>
          <w:kern w:val="0"/>
          <w:szCs w:val="21"/>
          <w14:textFill>
            <w14:solidFill>
              <w14:schemeClr w14:val="tx1"/>
            </w14:solidFill>
          </w14:textFill>
        </w:rPr>
      </w:pPr>
    </w:p>
    <w:p w14:paraId="7B80DEC9">
      <w:pPr>
        <w:widowControl/>
        <w:ind w:firstLine="7245" w:firstLineChars="345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投标人（公章）：</w:t>
      </w:r>
    </w:p>
    <w:p w14:paraId="3E9AFC49">
      <w:pPr>
        <w:widowControl/>
        <w:ind w:firstLine="4515" w:firstLineChars="215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法定代表人（负责人）或委托代理人（签名）：</w:t>
      </w:r>
    </w:p>
    <w:p w14:paraId="2E4E5FAC">
      <w:pPr>
        <w:widowControl/>
        <w:ind w:firstLine="8295" w:firstLineChars="395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日期：</w:t>
      </w:r>
    </w:p>
    <w:p w14:paraId="4E1B5688">
      <w:pPr>
        <w:snapToGrid w:val="0"/>
        <w:spacing w:line="360" w:lineRule="exact"/>
        <w:ind w:firstLine="211" w:firstLineChars="100"/>
        <w:jc w:val="left"/>
        <w:rPr>
          <w:rFonts w:ascii="宋体" w:hAnsi="宋体" w:cs="宋体"/>
          <w:b/>
          <w:color w:val="000000" w:themeColor="text1"/>
          <w:szCs w:val="21"/>
          <w14:textFill>
            <w14:solidFill>
              <w14:schemeClr w14:val="tx1"/>
            </w14:solidFill>
          </w14:textFill>
        </w:rPr>
      </w:pPr>
    </w:p>
    <w:p w14:paraId="392E372A">
      <w:pPr>
        <w:snapToGrid w:val="0"/>
        <w:spacing w:line="360" w:lineRule="exact"/>
        <w:ind w:firstLine="211" w:firstLineChars="100"/>
        <w:jc w:val="left"/>
        <w:rPr>
          <w:rFonts w:ascii="宋体" w:hAnsi="宋体" w:cs="宋体"/>
          <w:b/>
          <w:color w:val="000000" w:themeColor="text1"/>
          <w:szCs w:val="21"/>
          <w14:textFill>
            <w14:solidFill>
              <w14:schemeClr w14:val="tx1"/>
            </w14:solidFill>
          </w14:textFill>
        </w:rPr>
      </w:pPr>
    </w:p>
    <w:p w14:paraId="2EC9F4FE">
      <w:pPr>
        <w:snapToGrid w:val="0"/>
        <w:spacing w:line="360" w:lineRule="exact"/>
        <w:ind w:firstLine="211" w:firstLineChars="100"/>
        <w:jc w:val="left"/>
        <w:rPr>
          <w:rFonts w:ascii="宋体" w:hAnsi="宋体" w:cs="宋体"/>
          <w:b/>
          <w:color w:val="000000" w:themeColor="text1"/>
          <w:szCs w:val="21"/>
          <w14:textFill>
            <w14:solidFill>
              <w14:schemeClr w14:val="tx1"/>
            </w14:solidFill>
          </w14:textFill>
        </w:rPr>
      </w:pPr>
    </w:p>
    <w:p w14:paraId="0FF5D4DB">
      <w:pPr>
        <w:snapToGrid w:val="0"/>
        <w:spacing w:line="360" w:lineRule="exact"/>
        <w:ind w:firstLine="211"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法定代表人（负责人）授权委托书和委托代理人身份证复印件</w:t>
      </w:r>
      <w:r>
        <w:rPr>
          <w:rFonts w:hint="eastAsia" w:ascii="宋体" w:hAnsi="宋体" w:cs="宋体"/>
          <w:b/>
          <w:color w:val="000000" w:themeColor="text1"/>
          <w:szCs w:val="21"/>
          <w14:textFill>
            <w14:solidFill>
              <w14:schemeClr w14:val="tx1"/>
            </w14:solidFill>
          </w14:textFill>
        </w:rPr>
        <w:t>（委托代理时必须提供，格式见第六章）</w:t>
      </w:r>
      <w:r>
        <w:rPr>
          <w:rFonts w:hint="eastAsia" w:ascii="宋体" w:hAnsi="宋体" w:cs="宋体"/>
          <w:color w:val="000000" w:themeColor="text1"/>
          <w:szCs w:val="21"/>
          <w14:textFill>
            <w14:solidFill>
              <w14:schemeClr w14:val="tx1"/>
            </w14:solidFill>
          </w14:textFill>
        </w:rPr>
        <w:t>；法定代表人（负责人）参加投标时，提供法定代表人（负责人）身份证明书和身份证复印件</w:t>
      </w:r>
      <w:r>
        <w:rPr>
          <w:rFonts w:hint="eastAsia" w:ascii="宋体" w:hAnsi="宋体" w:cs="宋体"/>
          <w:b/>
          <w:color w:val="000000" w:themeColor="text1"/>
          <w:szCs w:val="21"/>
          <w14:textFill>
            <w14:solidFill>
              <w14:schemeClr w14:val="tx1"/>
            </w14:solidFill>
          </w14:textFill>
        </w:rPr>
        <w:t>（必须提供，格式见第六章）。</w:t>
      </w:r>
    </w:p>
    <w:p w14:paraId="5B8B8C58">
      <w:pPr>
        <w:snapToGrid w:val="0"/>
        <w:spacing w:before="156" w:beforeLines="50" w:after="50" w:line="3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法定代表人（负责人）授权委托书</w:t>
      </w:r>
    </w:p>
    <w:p w14:paraId="07D3FE00">
      <w:pPr>
        <w:snapToGrid w:val="0"/>
        <w:spacing w:before="156" w:beforeLines="50" w:after="50" w:line="340" w:lineRule="exact"/>
        <w:rPr>
          <w:rFonts w:ascii="宋体" w:hAnsi="宋体" w:cs="宋体"/>
          <w:b/>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北海市政府采购中心</w:t>
      </w:r>
      <w:r>
        <w:rPr>
          <w:rFonts w:hint="eastAsia" w:ascii="宋体" w:hAnsi="宋体" w:cs="宋体"/>
          <w:color w:val="000000" w:themeColor="text1"/>
          <w:szCs w:val="21"/>
          <w14:textFill>
            <w14:solidFill>
              <w14:schemeClr w14:val="tx1"/>
            </w14:solidFill>
          </w14:textFill>
        </w:rPr>
        <w:t>：</w:t>
      </w:r>
    </w:p>
    <w:p w14:paraId="30A75FEE">
      <w:pPr>
        <w:snapToGrid w:val="0"/>
        <w:spacing w:before="156" w:beforeLines="50" w:after="50" w:line="340" w:lineRule="exact"/>
        <w:ind w:firstLine="630" w:firstLineChars="3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姓名）系（投标人名称）的法定代表人（负责人），现授权委托本单位在职职工（姓名）以我方的名义参加项目的投标活动，并代表我方全权办理针对上述项目的投标、开标、评标、签约等具体事务和签署相关文件。</w:t>
      </w:r>
    </w:p>
    <w:p w14:paraId="64BC727B">
      <w:pPr>
        <w:snapToGrid w:val="0"/>
        <w:spacing w:before="156" w:beforeLines="50" w:after="50"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我方对被授权人的签名事项负全部责任。</w:t>
      </w:r>
    </w:p>
    <w:p w14:paraId="79B87E62">
      <w:pPr>
        <w:snapToGrid w:val="0"/>
        <w:spacing w:before="156" w:beforeLines="50" w:after="50" w:line="340" w:lineRule="exact"/>
        <w:ind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在撤销授权的书面通知以前，本授权书一直有效。</w:t>
      </w:r>
      <w:r>
        <w:rPr>
          <w:rFonts w:hint="eastAsia" w:ascii="宋体" w:hAnsi="宋体" w:cs="宋体"/>
          <w:color w:val="000000" w:themeColor="text1"/>
          <w:szCs w:val="21"/>
          <w14:textFill>
            <w14:solidFill>
              <w14:schemeClr w14:val="tx1"/>
            </w14:solidFill>
          </w14:textFill>
        </w:rPr>
        <w:t>被授权人在授权书有效期内签署的所有文件不因授权的撤销而失效。</w:t>
      </w:r>
    </w:p>
    <w:p w14:paraId="1296002B">
      <w:pPr>
        <w:snapToGrid w:val="0"/>
        <w:spacing w:before="156" w:beforeLines="50" w:after="50" w:line="340" w:lineRule="exact"/>
        <w:ind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被授权人无转委托权，特此委托。</w:t>
      </w:r>
    </w:p>
    <w:p w14:paraId="5FCE3B06">
      <w:pPr>
        <w:snapToGrid w:val="0"/>
        <w:spacing w:before="156" w:beforeLines="50" w:after="50" w:line="34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被授权人签名：法定代表人（负责人）签名：</w:t>
      </w:r>
    </w:p>
    <w:p w14:paraId="301C5622">
      <w:pPr>
        <w:snapToGrid w:val="0"/>
        <w:spacing w:before="156" w:beforeLines="50" w:after="50"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所在部门职务：职务：</w:t>
      </w:r>
    </w:p>
    <w:p w14:paraId="0D5DB11D">
      <w:pPr>
        <w:snapToGrid w:val="0"/>
        <w:spacing w:before="156" w:beforeLines="50" w:after="50"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被授权人身份证号码：</w:t>
      </w:r>
    </w:p>
    <w:p w14:paraId="744AAF6C">
      <w:pPr>
        <w:snapToGrid w:val="0"/>
        <w:spacing w:before="156" w:beforeLines="50" w:after="50"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贴附“委托代理人身份证复印件”（正反两面）</w:t>
      </w:r>
    </w:p>
    <w:p w14:paraId="2D0DF7D9">
      <w:pPr>
        <w:snapToGrid w:val="0"/>
        <w:spacing w:before="156" w:beforeLines="50" w:after="50" w:line="340" w:lineRule="exact"/>
        <w:ind w:firstLine="4620" w:firstLineChars="2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投标人公章：</w:t>
      </w:r>
    </w:p>
    <w:p w14:paraId="240CCCA3">
      <w:pPr>
        <w:snapToGrid w:val="0"/>
        <w:spacing w:before="156" w:beforeLines="50" w:after="50"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年月日</w:t>
      </w:r>
    </w:p>
    <w:p w14:paraId="7749C95D">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bl>
      <w:tblPr>
        <w:tblStyle w:val="58"/>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7BD6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C3DE596">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贴附“身份证复印件”（正反两面）</w:t>
            </w:r>
          </w:p>
        </w:tc>
      </w:tr>
      <w:tr w14:paraId="7ECB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9124" w:type="dxa"/>
          </w:tcPr>
          <w:p w14:paraId="2FC80107">
            <w:pPr>
              <w:snapToGrid w:val="0"/>
              <w:spacing w:line="360" w:lineRule="exact"/>
              <w:rPr>
                <w:rFonts w:ascii="宋体" w:hAnsi="宋体" w:cs="宋体"/>
                <w:color w:val="000000" w:themeColor="text1"/>
                <w:szCs w:val="21"/>
                <w14:textFill>
                  <w14:solidFill>
                    <w14:schemeClr w14:val="tx1"/>
                  </w14:solidFill>
                </w14:textFill>
              </w:rPr>
            </w:pPr>
          </w:p>
          <w:p w14:paraId="3F0898EC">
            <w:pPr>
              <w:snapToGrid w:val="0"/>
              <w:spacing w:line="360" w:lineRule="exact"/>
              <w:rPr>
                <w:rFonts w:ascii="宋体" w:hAnsi="宋体" w:cs="宋体"/>
                <w:color w:val="000000" w:themeColor="text1"/>
                <w:szCs w:val="21"/>
                <w14:textFill>
                  <w14:solidFill>
                    <w14:schemeClr w14:val="tx1"/>
                  </w14:solidFill>
                </w14:textFill>
              </w:rPr>
            </w:pPr>
          </w:p>
          <w:p w14:paraId="5A9C2045">
            <w:pPr>
              <w:snapToGrid w:val="0"/>
              <w:spacing w:line="360" w:lineRule="exact"/>
              <w:rPr>
                <w:rFonts w:ascii="宋体" w:hAnsi="宋体" w:cs="宋体"/>
                <w:color w:val="000000" w:themeColor="text1"/>
                <w:szCs w:val="21"/>
                <w14:textFill>
                  <w14:solidFill>
                    <w14:schemeClr w14:val="tx1"/>
                  </w14:solidFill>
                </w14:textFill>
              </w:rPr>
            </w:pPr>
          </w:p>
        </w:tc>
      </w:tr>
    </w:tbl>
    <w:p w14:paraId="7C0846F0">
      <w:pPr>
        <w:snapToGrid w:val="0"/>
        <w:spacing w:before="156" w:beforeLines="50" w:after="50" w:line="600" w:lineRule="exact"/>
        <w:jc w:val="center"/>
        <w:rPr>
          <w:rFonts w:ascii="宋体" w:hAnsi="宋体" w:cs="宋体"/>
          <w:b/>
          <w:color w:val="000000" w:themeColor="text1"/>
          <w:sz w:val="30"/>
          <w:szCs w:val="30"/>
          <w14:textFill>
            <w14:solidFill>
              <w14:schemeClr w14:val="tx1"/>
            </w14:solidFill>
          </w14:textFill>
        </w:rPr>
      </w:pPr>
    </w:p>
    <w:p w14:paraId="39FFF300">
      <w:pPr>
        <w:snapToGrid w:val="0"/>
        <w:spacing w:before="156" w:beforeLines="50" w:after="50" w:line="600" w:lineRule="exact"/>
        <w:jc w:val="center"/>
        <w:rPr>
          <w:rFonts w:ascii="宋体" w:hAnsi="宋体" w:cs="宋体"/>
          <w:b/>
          <w:color w:val="000000" w:themeColor="text1"/>
          <w:sz w:val="30"/>
          <w:szCs w:val="30"/>
          <w14:textFill>
            <w14:solidFill>
              <w14:schemeClr w14:val="tx1"/>
            </w14:solidFill>
          </w14:textFill>
        </w:rPr>
      </w:pPr>
    </w:p>
    <w:p w14:paraId="3CB72F98">
      <w:pPr>
        <w:snapToGrid w:val="0"/>
        <w:spacing w:before="156" w:beforeLines="50" w:after="50" w:line="600" w:lineRule="exact"/>
        <w:jc w:val="center"/>
        <w:rPr>
          <w:rFonts w:ascii="宋体" w:hAnsi="宋体" w:cs="宋体"/>
          <w:b/>
          <w:color w:val="000000" w:themeColor="text1"/>
          <w:sz w:val="30"/>
          <w:szCs w:val="30"/>
          <w14:textFill>
            <w14:solidFill>
              <w14:schemeClr w14:val="tx1"/>
            </w14:solidFill>
          </w14:textFill>
        </w:rPr>
      </w:pPr>
    </w:p>
    <w:p w14:paraId="258A7E45">
      <w:pPr>
        <w:snapToGrid w:val="0"/>
        <w:spacing w:before="156" w:beforeLines="50" w:after="50" w:line="600" w:lineRule="exact"/>
        <w:jc w:val="center"/>
        <w:rPr>
          <w:rFonts w:ascii="宋体" w:hAnsi="宋体" w:cs="宋体"/>
          <w:b/>
          <w:color w:val="000000" w:themeColor="text1"/>
          <w:sz w:val="30"/>
          <w:szCs w:val="30"/>
          <w14:textFill>
            <w14:solidFill>
              <w14:schemeClr w14:val="tx1"/>
            </w14:solidFill>
          </w14:textFill>
        </w:rPr>
      </w:pPr>
    </w:p>
    <w:p w14:paraId="45525135">
      <w:pPr>
        <w:snapToGrid w:val="0"/>
        <w:spacing w:before="156" w:beforeLines="50" w:after="50" w:line="60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法定代表人</w:t>
      </w:r>
      <w:r>
        <w:rPr>
          <w:rFonts w:hint="eastAsia" w:ascii="宋体" w:hAnsi="宋体" w:cs="宋体"/>
          <w:b/>
          <w:color w:val="000000" w:themeColor="text1"/>
          <w:sz w:val="32"/>
          <w:szCs w:val="32"/>
          <w14:textFill>
            <w14:solidFill>
              <w14:schemeClr w14:val="tx1"/>
            </w14:solidFill>
          </w14:textFill>
        </w:rPr>
        <w:t>（负责人）</w:t>
      </w:r>
      <w:r>
        <w:rPr>
          <w:rFonts w:hint="eastAsia" w:ascii="宋体" w:hAnsi="宋体" w:cs="宋体"/>
          <w:b/>
          <w:color w:val="000000" w:themeColor="text1"/>
          <w:sz w:val="30"/>
          <w:szCs w:val="30"/>
          <w14:textFill>
            <w14:solidFill>
              <w14:schemeClr w14:val="tx1"/>
            </w14:solidFill>
          </w14:textFill>
        </w:rPr>
        <w:t>身份证明书</w:t>
      </w:r>
    </w:p>
    <w:p w14:paraId="0C5221A5">
      <w:pPr>
        <w:adjustRightInd w:val="0"/>
        <w:snapToGrid w:val="0"/>
        <w:spacing w:line="276" w:lineRule="auto"/>
        <w:ind w:firstLine="960" w:firstLineChars="400"/>
        <w:rPr>
          <w:rFonts w:ascii="宋体" w:hAnsi="宋体" w:cs="宋体"/>
          <w:color w:val="000000" w:themeColor="text1"/>
          <w:sz w:val="24"/>
          <w:u w:val="single"/>
          <w14:textFill>
            <w14:solidFill>
              <w14:schemeClr w14:val="tx1"/>
            </w14:solidFill>
          </w14:textFill>
        </w:rPr>
      </w:pPr>
    </w:p>
    <w:p w14:paraId="556F9391">
      <w:pPr>
        <w:adjustRightInd w:val="0"/>
        <w:snapToGrid w:val="0"/>
        <w:spacing w:line="720" w:lineRule="exact"/>
        <w:ind w:firstLine="840" w:firstLineChars="4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在我任职务，是我公司的法定代表人。</w:t>
      </w:r>
    </w:p>
    <w:p w14:paraId="21396709">
      <w:pPr>
        <w:adjustRightInd w:val="0"/>
        <w:snapToGrid w:val="0"/>
        <w:spacing w:line="720" w:lineRule="exact"/>
        <w:ind w:firstLine="735" w:firstLineChars="3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特此证明。</w:t>
      </w:r>
    </w:p>
    <w:p w14:paraId="052A98DA">
      <w:pPr>
        <w:adjustRightInd w:val="0"/>
        <w:snapToGrid w:val="0"/>
        <w:spacing w:line="276" w:lineRule="auto"/>
        <w:rPr>
          <w:rFonts w:ascii="宋体" w:hAnsi="宋体" w:cs="宋体"/>
          <w:color w:val="000000" w:themeColor="text1"/>
          <w:szCs w:val="21"/>
          <w14:textFill>
            <w14:solidFill>
              <w14:schemeClr w14:val="tx1"/>
            </w14:solidFill>
          </w14:textFill>
        </w:rPr>
      </w:pPr>
    </w:p>
    <w:p w14:paraId="278021E3">
      <w:pPr>
        <w:adjustRightInd w:val="0"/>
        <w:snapToGrid w:val="0"/>
        <w:spacing w:line="276" w:lineRule="auto"/>
        <w:rPr>
          <w:rFonts w:ascii="宋体" w:hAnsi="宋体" w:cs="宋体"/>
          <w:color w:val="000000" w:themeColor="text1"/>
          <w:szCs w:val="21"/>
          <w14:textFill>
            <w14:solidFill>
              <w14:schemeClr w14:val="tx1"/>
            </w14:solidFill>
          </w14:textFill>
        </w:rPr>
      </w:pPr>
    </w:p>
    <w:p w14:paraId="67BC4E94">
      <w:pPr>
        <w:adjustRightInd w:val="0"/>
        <w:snapToGrid w:val="0"/>
        <w:spacing w:line="276" w:lineRule="auto"/>
        <w:ind w:firstLine="2940" w:firstLineChars="14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单位名称：</w:t>
      </w:r>
    </w:p>
    <w:p w14:paraId="5854CAF6">
      <w:pPr>
        <w:adjustRightInd w:val="0"/>
        <w:snapToGrid w:val="0"/>
        <w:spacing w:line="276"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（单位公章）</w:t>
      </w:r>
    </w:p>
    <w:p w14:paraId="53C3E704">
      <w:pPr>
        <w:adjustRightInd w:val="0"/>
        <w:snapToGrid w:val="0"/>
        <w:spacing w:line="276" w:lineRule="auto"/>
        <w:rPr>
          <w:rFonts w:ascii="宋体" w:hAnsi="宋体" w:cs="宋体"/>
          <w:color w:val="000000" w:themeColor="text1"/>
          <w:szCs w:val="21"/>
          <w14:textFill>
            <w14:solidFill>
              <w14:schemeClr w14:val="tx1"/>
            </w14:solidFill>
          </w14:textFill>
        </w:rPr>
      </w:pPr>
    </w:p>
    <w:p w14:paraId="5F5F023E">
      <w:pPr>
        <w:adjustRightInd w:val="0"/>
        <w:snapToGrid w:val="0"/>
        <w:spacing w:line="276"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年月日</w:t>
      </w:r>
    </w:p>
    <w:p w14:paraId="204D63B5">
      <w:pPr>
        <w:adjustRightInd w:val="0"/>
        <w:snapToGrid w:val="0"/>
        <w:spacing w:line="276" w:lineRule="auto"/>
        <w:rPr>
          <w:rFonts w:ascii="宋体" w:hAnsi="宋体" w:cs="宋体"/>
          <w:color w:val="000000" w:themeColor="text1"/>
          <w:szCs w:val="21"/>
          <w14:textFill>
            <w14:solidFill>
              <w14:schemeClr w14:val="tx1"/>
            </w14:solidFill>
          </w14:textFill>
        </w:rPr>
      </w:pPr>
    </w:p>
    <w:p w14:paraId="1418CDAB">
      <w:pPr>
        <w:adjustRightInd w:val="0"/>
        <w:snapToGrid w:val="0"/>
        <w:spacing w:line="276" w:lineRule="auto"/>
        <w:ind w:firstLine="315" w:firstLineChars="150"/>
        <w:rPr>
          <w:rFonts w:ascii="宋体" w:hAnsi="宋体" w:cs="宋体"/>
          <w:color w:val="000000" w:themeColor="text1"/>
          <w:szCs w:val="21"/>
          <w14:textFill>
            <w14:solidFill>
              <w14:schemeClr w14:val="tx1"/>
            </w14:solidFill>
          </w14:textFill>
        </w:rPr>
      </w:pPr>
    </w:p>
    <w:p w14:paraId="76723AFD">
      <w:pPr>
        <w:adjustRightInd w:val="0"/>
        <w:snapToGrid w:val="0"/>
        <w:spacing w:line="276"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住址：</w:t>
      </w:r>
    </w:p>
    <w:p w14:paraId="773A7326">
      <w:pPr>
        <w:adjustRightInd w:val="0"/>
        <w:snapToGrid w:val="0"/>
        <w:spacing w:line="276" w:lineRule="auto"/>
        <w:ind w:firstLine="315" w:firstLineChars="150"/>
        <w:rPr>
          <w:rFonts w:ascii="宋体" w:hAnsi="宋体" w:cs="宋体"/>
          <w:color w:val="000000" w:themeColor="text1"/>
          <w:szCs w:val="21"/>
          <w14:textFill>
            <w14:solidFill>
              <w14:schemeClr w14:val="tx1"/>
            </w14:solidFill>
          </w14:textFill>
        </w:rPr>
      </w:pPr>
    </w:p>
    <w:p w14:paraId="69093BDD">
      <w:pPr>
        <w:pStyle w:val="29"/>
        <w:adjustRightInd w:val="0"/>
        <w:snapToGrid w:val="0"/>
        <w:spacing w:line="276" w:lineRule="auto"/>
        <w:ind w:firstLine="315" w:firstLineChars="15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联系电话：</w:t>
      </w:r>
    </w:p>
    <w:p w14:paraId="51C80ACD">
      <w:pPr>
        <w:pStyle w:val="29"/>
        <w:adjustRightInd w:val="0"/>
        <w:snapToGrid w:val="0"/>
        <w:spacing w:line="276" w:lineRule="auto"/>
        <w:ind w:firstLine="315" w:firstLineChars="150"/>
        <w:rPr>
          <w:rFonts w:hAnsi="宋体" w:cs="宋体"/>
          <w:color w:val="000000" w:themeColor="text1"/>
          <w:sz w:val="21"/>
          <w14:textFill>
            <w14:solidFill>
              <w14:schemeClr w14:val="tx1"/>
            </w14:solidFill>
          </w14:textFill>
        </w:rPr>
      </w:pPr>
    </w:p>
    <w:tbl>
      <w:tblPr>
        <w:tblStyle w:val="58"/>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01C1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6BC3D39D">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贴附“身份证复印件”（正反两面）</w:t>
            </w:r>
          </w:p>
        </w:tc>
      </w:tr>
      <w:tr w14:paraId="5213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9124" w:type="dxa"/>
          </w:tcPr>
          <w:p w14:paraId="03D4E1CB">
            <w:pPr>
              <w:snapToGrid w:val="0"/>
              <w:spacing w:line="360" w:lineRule="exact"/>
              <w:rPr>
                <w:rFonts w:ascii="宋体" w:hAnsi="宋体" w:cs="宋体"/>
                <w:color w:val="000000" w:themeColor="text1"/>
                <w:szCs w:val="21"/>
                <w14:textFill>
                  <w14:solidFill>
                    <w14:schemeClr w14:val="tx1"/>
                  </w14:solidFill>
                </w14:textFill>
              </w:rPr>
            </w:pPr>
          </w:p>
          <w:p w14:paraId="231A3D2D">
            <w:pPr>
              <w:snapToGrid w:val="0"/>
              <w:spacing w:line="360" w:lineRule="exact"/>
              <w:rPr>
                <w:rFonts w:ascii="宋体" w:hAnsi="宋体" w:cs="宋体"/>
                <w:color w:val="000000" w:themeColor="text1"/>
                <w:szCs w:val="21"/>
                <w14:textFill>
                  <w14:solidFill>
                    <w14:schemeClr w14:val="tx1"/>
                  </w14:solidFill>
                </w14:textFill>
              </w:rPr>
            </w:pPr>
          </w:p>
          <w:p w14:paraId="7CCF0DDB">
            <w:pPr>
              <w:snapToGrid w:val="0"/>
              <w:spacing w:line="360" w:lineRule="exact"/>
              <w:rPr>
                <w:rFonts w:ascii="宋体" w:hAnsi="宋体" w:cs="宋体"/>
                <w:color w:val="000000" w:themeColor="text1"/>
                <w:szCs w:val="21"/>
                <w14:textFill>
                  <w14:solidFill>
                    <w14:schemeClr w14:val="tx1"/>
                  </w14:solidFill>
                </w14:textFill>
              </w:rPr>
            </w:pPr>
          </w:p>
        </w:tc>
      </w:tr>
    </w:tbl>
    <w:p w14:paraId="6EB43742">
      <w:pPr>
        <w:snapToGrid w:val="0"/>
        <w:spacing w:before="156" w:beforeLines="50" w:after="50" w:line="360" w:lineRule="exact"/>
        <w:jc w:val="center"/>
        <w:rPr>
          <w:rFonts w:ascii="宋体" w:hAnsi="宋体" w:cs="宋体"/>
          <w:bCs/>
          <w:color w:val="000000" w:themeColor="text1"/>
          <w:sz w:val="24"/>
          <w14:textFill>
            <w14:solidFill>
              <w14:schemeClr w14:val="tx1"/>
            </w14:solidFill>
          </w14:textFill>
        </w:rPr>
      </w:pPr>
    </w:p>
    <w:p w14:paraId="31CEB4C7">
      <w:pPr>
        <w:snapToGrid w:val="0"/>
        <w:spacing w:before="50" w:line="36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商务响应表格式：</w:t>
      </w:r>
    </w:p>
    <w:p w14:paraId="2A0C1CCA">
      <w:pPr>
        <w:snapToGrid w:val="0"/>
        <w:spacing w:before="50" w:line="360" w:lineRule="exact"/>
        <w:jc w:val="left"/>
        <w:rPr>
          <w:rFonts w:ascii="宋体" w:hAnsi="宋体" w:cs="宋体"/>
          <w:b/>
          <w:color w:val="000000" w:themeColor="text1"/>
          <w:szCs w:val="21"/>
          <w14:textFill>
            <w14:solidFill>
              <w14:schemeClr w14:val="tx1"/>
            </w14:solidFill>
          </w14:textFill>
        </w:rPr>
      </w:pPr>
    </w:p>
    <w:p w14:paraId="5819973B">
      <w:pPr>
        <w:snapToGrid w:val="0"/>
        <w:spacing w:before="50" w:line="36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商务响应表</w:t>
      </w:r>
    </w:p>
    <w:p w14:paraId="539FCB45">
      <w:pPr>
        <w:snapToGrid w:val="0"/>
        <w:spacing w:before="50" w:line="360" w:lineRule="exact"/>
        <w:jc w:val="center"/>
        <w:rPr>
          <w:rFonts w:hint="eastAsia" w:ascii="宋体" w:hAnsi="宋体" w:cs="宋体"/>
          <w:b/>
          <w:color w:val="000000" w:themeColor="text1"/>
          <w:szCs w:val="21"/>
          <w14:textFill>
            <w14:solidFill>
              <w14:schemeClr w14:val="tx1"/>
            </w14:solidFill>
          </w14:textFill>
        </w:rPr>
      </w:pPr>
    </w:p>
    <w:tbl>
      <w:tblPr>
        <w:tblStyle w:val="5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14:paraId="51E9B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14:paraId="3E23AFF2">
            <w:pPr>
              <w:snapToGrid w:val="0"/>
              <w:spacing w:before="156" w:beforeLines="50"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p>
        </w:tc>
        <w:tc>
          <w:tcPr>
            <w:tcW w:w="3600" w:type="dxa"/>
            <w:tcBorders>
              <w:top w:val="single" w:color="auto" w:sz="4" w:space="0"/>
              <w:left w:val="single" w:color="auto" w:sz="4" w:space="0"/>
              <w:bottom w:val="single" w:color="auto" w:sz="4" w:space="0"/>
              <w:right w:val="single" w:color="auto" w:sz="4" w:space="0"/>
            </w:tcBorders>
          </w:tcPr>
          <w:p w14:paraId="3A69D84B">
            <w:pPr>
              <w:snapToGrid w:val="0"/>
              <w:spacing w:before="156" w:beforeLines="50"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招标文件要求</w:t>
            </w:r>
          </w:p>
        </w:tc>
        <w:tc>
          <w:tcPr>
            <w:tcW w:w="1440" w:type="dxa"/>
            <w:tcBorders>
              <w:top w:val="single" w:color="auto" w:sz="4" w:space="0"/>
              <w:left w:val="single" w:color="auto" w:sz="4" w:space="0"/>
              <w:bottom w:val="single" w:color="auto" w:sz="4" w:space="0"/>
              <w:right w:val="single" w:color="auto" w:sz="4" w:space="0"/>
            </w:tcBorders>
          </w:tcPr>
          <w:p w14:paraId="2C6C1202">
            <w:pPr>
              <w:snapToGrid w:val="0"/>
              <w:spacing w:before="156" w:beforeLines="50"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是否响应</w:t>
            </w:r>
          </w:p>
        </w:tc>
        <w:tc>
          <w:tcPr>
            <w:tcW w:w="2880" w:type="dxa"/>
            <w:tcBorders>
              <w:top w:val="single" w:color="auto" w:sz="4" w:space="0"/>
              <w:left w:val="single" w:color="auto" w:sz="4" w:space="0"/>
              <w:bottom w:val="single" w:color="auto" w:sz="4" w:space="0"/>
              <w:right w:val="single" w:color="auto" w:sz="4" w:space="0"/>
            </w:tcBorders>
          </w:tcPr>
          <w:p w14:paraId="6B0D617C">
            <w:pPr>
              <w:snapToGrid w:val="0"/>
              <w:spacing w:before="156" w:beforeLines="50"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投标人的承诺或说明</w:t>
            </w:r>
          </w:p>
        </w:tc>
      </w:tr>
      <w:tr w14:paraId="53D56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14:paraId="701B2C2B">
            <w:pPr>
              <w:snapToGrid w:val="0"/>
              <w:spacing w:before="156" w:beforeLine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服务期</w:t>
            </w:r>
          </w:p>
        </w:tc>
        <w:tc>
          <w:tcPr>
            <w:tcW w:w="3600" w:type="dxa"/>
            <w:tcBorders>
              <w:top w:val="single" w:color="auto" w:sz="4" w:space="0"/>
              <w:left w:val="single" w:color="auto" w:sz="4" w:space="0"/>
              <w:bottom w:val="single" w:color="auto" w:sz="4" w:space="0"/>
              <w:right w:val="single" w:color="auto" w:sz="4" w:space="0"/>
            </w:tcBorders>
          </w:tcPr>
          <w:p w14:paraId="3CA507E7">
            <w:pPr>
              <w:snapToGrid w:val="0"/>
              <w:spacing w:before="156" w:beforeLines="50" w:line="36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7565A14">
            <w:pPr>
              <w:snapToGrid w:val="0"/>
              <w:spacing w:before="156" w:beforeLines="50" w:line="360" w:lineRule="exact"/>
              <w:rPr>
                <w:rFonts w:ascii="宋体" w:hAnsi="宋体" w:cs="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14:paraId="5268E999">
            <w:pPr>
              <w:snapToGrid w:val="0"/>
              <w:spacing w:before="156" w:beforeLines="50" w:line="360" w:lineRule="exact"/>
              <w:rPr>
                <w:rFonts w:ascii="宋体" w:hAnsi="宋体" w:cs="宋体"/>
                <w:color w:val="000000" w:themeColor="text1"/>
                <w:szCs w:val="21"/>
                <w14:textFill>
                  <w14:solidFill>
                    <w14:schemeClr w14:val="tx1"/>
                  </w14:solidFill>
                </w14:textFill>
              </w:rPr>
            </w:pPr>
          </w:p>
        </w:tc>
      </w:tr>
      <w:tr w14:paraId="1131A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vAlign w:val="center"/>
          </w:tcPr>
          <w:p w14:paraId="55A0E3BC">
            <w:pPr>
              <w:snapToGrid w:val="0"/>
              <w:spacing w:before="156" w:beforeLine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3600" w:type="dxa"/>
            <w:tcBorders>
              <w:top w:val="single" w:color="auto" w:sz="4" w:space="0"/>
              <w:left w:val="single" w:color="auto" w:sz="4" w:space="0"/>
              <w:bottom w:val="single" w:color="auto" w:sz="4" w:space="0"/>
              <w:right w:val="single" w:color="auto" w:sz="4" w:space="0"/>
            </w:tcBorders>
          </w:tcPr>
          <w:p w14:paraId="0DEE2948">
            <w:pPr>
              <w:snapToGrid w:val="0"/>
              <w:spacing w:before="156" w:beforeLines="50" w:line="36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0D336BA">
            <w:pPr>
              <w:snapToGrid w:val="0"/>
              <w:spacing w:before="156" w:beforeLines="50" w:line="360" w:lineRule="exact"/>
              <w:rPr>
                <w:rFonts w:ascii="宋体" w:hAnsi="宋体" w:cs="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14:paraId="29E9BE3D">
            <w:pPr>
              <w:snapToGrid w:val="0"/>
              <w:spacing w:before="156" w:beforeLines="50" w:line="360" w:lineRule="exact"/>
              <w:rPr>
                <w:rFonts w:ascii="宋体" w:hAnsi="宋体" w:cs="宋体"/>
                <w:color w:val="000000" w:themeColor="text1"/>
                <w:szCs w:val="21"/>
                <w14:textFill>
                  <w14:solidFill>
                    <w14:schemeClr w14:val="tx1"/>
                  </w14:solidFill>
                </w14:textFill>
              </w:rPr>
            </w:pPr>
          </w:p>
        </w:tc>
      </w:tr>
      <w:tr w14:paraId="3903E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8" w:type="dxa"/>
            <w:tcBorders>
              <w:top w:val="single" w:color="auto" w:sz="4" w:space="0"/>
              <w:left w:val="single" w:color="auto" w:sz="4" w:space="0"/>
              <w:bottom w:val="single" w:color="auto" w:sz="4" w:space="0"/>
              <w:right w:val="single" w:color="auto" w:sz="4" w:space="0"/>
            </w:tcBorders>
            <w:vAlign w:val="center"/>
          </w:tcPr>
          <w:p w14:paraId="6A91408F">
            <w:pPr>
              <w:snapToGrid w:val="0"/>
              <w:spacing w:before="156" w:beforeLine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服务开始时间及地点</w:t>
            </w:r>
          </w:p>
        </w:tc>
        <w:tc>
          <w:tcPr>
            <w:tcW w:w="3600" w:type="dxa"/>
            <w:tcBorders>
              <w:top w:val="single" w:color="auto" w:sz="4" w:space="0"/>
              <w:left w:val="single" w:color="auto" w:sz="4" w:space="0"/>
              <w:bottom w:val="single" w:color="auto" w:sz="4" w:space="0"/>
              <w:right w:val="single" w:color="auto" w:sz="4" w:space="0"/>
            </w:tcBorders>
          </w:tcPr>
          <w:p w14:paraId="4BA3C3FF">
            <w:pPr>
              <w:snapToGrid w:val="0"/>
              <w:spacing w:before="156" w:beforeLines="50" w:line="36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6EC53B2">
            <w:pPr>
              <w:snapToGrid w:val="0"/>
              <w:spacing w:before="156" w:beforeLines="50" w:line="360" w:lineRule="exact"/>
              <w:ind w:left="43"/>
              <w:rPr>
                <w:rFonts w:ascii="宋体" w:hAnsi="宋体" w:cs="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14:paraId="41BDEB46">
            <w:pPr>
              <w:snapToGrid w:val="0"/>
              <w:spacing w:before="156" w:beforeLines="50" w:line="360" w:lineRule="exact"/>
              <w:ind w:left="43"/>
              <w:rPr>
                <w:rFonts w:ascii="宋体" w:hAnsi="宋体" w:cs="宋体"/>
                <w:color w:val="000000" w:themeColor="text1"/>
                <w:szCs w:val="21"/>
                <w14:textFill>
                  <w14:solidFill>
                    <w14:schemeClr w14:val="tx1"/>
                  </w14:solidFill>
                </w14:textFill>
              </w:rPr>
            </w:pPr>
          </w:p>
        </w:tc>
      </w:tr>
      <w:tr w14:paraId="10BF2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vAlign w:val="center"/>
          </w:tcPr>
          <w:p w14:paraId="5573C8D2">
            <w:pPr>
              <w:snapToGrid w:val="0"/>
              <w:spacing w:before="156" w:beforeLine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付款条件</w:t>
            </w:r>
          </w:p>
        </w:tc>
        <w:tc>
          <w:tcPr>
            <w:tcW w:w="3600" w:type="dxa"/>
            <w:tcBorders>
              <w:top w:val="single" w:color="auto" w:sz="4" w:space="0"/>
              <w:left w:val="single" w:color="auto" w:sz="4" w:space="0"/>
              <w:bottom w:val="single" w:color="auto" w:sz="4" w:space="0"/>
              <w:right w:val="single" w:color="auto" w:sz="4" w:space="0"/>
            </w:tcBorders>
          </w:tcPr>
          <w:p w14:paraId="54A08700">
            <w:pPr>
              <w:snapToGrid w:val="0"/>
              <w:spacing w:before="156" w:beforeLines="50" w:line="360" w:lineRule="exact"/>
              <w:ind w:left="105" w:hanging="105" w:hangingChars="50"/>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4AD30EB">
            <w:pPr>
              <w:snapToGrid w:val="0"/>
              <w:spacing w:before="156" w:beforeLines="50" w:line="360" w:lineRule="exact"/>
              <w:rPr>
                <w:rFonts w:ascii="宋体" w:hAnsi="宋体" w:cs="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14:paraId="66FE6E78">
            <w:pPr>
              <w:snapToGrid w:val="0"/>
              <w:spacing w:before="156" w:beforeLines="50" w:line="360" w:lineRule="exact"/>
              <w:rPr>
                <w:rFonts w:ascii="宋体" w:hAnsi="宋体" w:cs="宋体"/>
                <w:color w:val="000000" w:themeColor="text1"/>
                <w:szCs w:val="21"/>
                <w14:textFill>
                  <w14:solidFill>
                    <w14:schemeClr w14:val="tx1"/>
                  </w14:solidFill>
                </w14:textFill>
              </w:rPr>
            </w:pPr>
          </w:p>
        </w:tc>
      </w:tr>
      <w:tr w14:paraId="2F133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14:paraId="540EC724">
            <w:pPr>
              <w:snapToGrid w:val="0"/>
              <w:spacing w:before="156" w:beforeLines="50"/>
              <w:jc w:val="center"/>
              <w:rPr>
                <w:rFonts w:ascii="宋体" w:hAnsi="宋体" w:cs="宋体"/>
                <w:color w:val="000000" w:themeColor="text1"/>
                <w:szCs w:val="21"/>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tcPr>
          <w:p w14:paraId="08AEB969">
            <w:pPr>
              <w:snapToGrid w:val="0"/>
              <w:spacing w:before="156" w:beforeLines="50" w:line="36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A7CC12B">
            <w:pPr>
              <w:snapToGrid w:val="0"/>
              <w:spacing w:before="156" w:beforeLines="50" w:line="360" w:lineRule="exact"/>
              <w:rPr>
                <w:rFonts w:ascii="宋体" w:hAnsi="宋体" w:cs="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14:paraId="5BC17F1B">
            <w:pPr>
              <w:snapToGrid w:val="0"/>
              <w:spacing w:before="156" w:beforeLines="50" w:line="360" w:lineRule="exact"/>
              <w:rPr>
                <w:rFonts w:ascii="宋体" w:hAnsi="宋体" w:cs="宋体"/>
                <w:color w:val="000000" w:themeColor="text1"/>
                <w:szCs w:val="21"/>
                <w14:textFill>
                  <w14:solidFill>
                    <w14:schemeClr w14:val="tx1"/>
                  </w14:solidFill>
                </w14:textFill>
              </w:rPr>
            </w:pPr>
          </w:p>
        </w:tc>
      </w:tr>
      <w:tr w14:paraId="0FEE6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14:paraId="03C0E4F6">
            <w:pPr>
              <w:snapToGrid w:val="0"/>
              <w:spacing w:before="156" w:beforeLines="50"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tcPr>
          <w:p w14:paraId="78470EA3">
            <w:pPr>
              <w:snapToGrid w:val="0"/>
              <w:spacing w:before="156" w:beforeLines="50" w:line="36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D5A0139">
            <w:pPr>
              <w:snapToGrid w:val="0"/>
              <w:spacing w:before="156" w:beforeLines="50" w:line="360" w:lineRule="exact"/>
              <w:rPr>
                <w:rFonts w:ascii="宋体" w:hAnsi="宋体" w:cs="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14:paraId="145D29EC">
            <w:pPr>
              <w:snapToGrid w:val="0"/>
              <w:spacing w:before="156" w:beforeLines="50" w:line="360" w:lineRule="exact"/>
              <w:rPr>
                <w:rFonts w:ascii="宋体" w:hAnsi="宋体" w:cs="宋体"/>
                <w:color w:val="000000" w:themeColor="text1"/>
                <w:szCs w:val="21"/>
                <w14:textFill>
                  <w14:solidFill>
                    <w14:schemeClr w14:val="tx1"/>
                  </w14:solidFill>
                </w14:textFill>
              </w:rPr>
            </w:pPr>
          </w:p>
        </w:tc>
      </w:tr>
    </w:tbl>
    <w:p w14:paraId="49EBEC65">
      <w:pPr>
        <w:snapToGrid w:val="0"/>
        <w:spacing w:before="50" w:after="50" w:line="360" w:lineRule="exact"/>
        <w:rPr>
          <w:rFonts w:ascii="宋体" w:hAnsi="宋体" w:cs="宋体"/>
          <w:color w:val="000000" w:themeColor="text1"/>
          <w:spacing w:val="20"/>
          <w:szCs w:val="21"/>
          <w14:textFill>
            <w14:solidFill>
              <w14:schemeClr w14:val="tx1"/>
            </w14:solidFill>
          </w14:textFill>
        </w:rPr>
      </w:pPr>
    </w:p>
    <w:p w14:paraId="2E0A5BE3">
      <w:pPr>
        <w:snapToGrid w:val="0"/>
        <w:spacing w:before="50" w:after="50" w:line="360" w:lineRule="exact"/>
        <w:ind w:firstLine="210" w:firstLineChars="100"/>
        <w:rPr>
          <w:rFonts w:ascii="宋体" w:hAnsi="宋体" w:cs="宋体"/>
          <w:color w:val="000000" w:themeColor="text1"/>
          <w:spacing w:val="20"/>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法定代表人（负责人）或委托代理人签名</w:t>
      </w:r>
      <w:r>
        <w:rPr>
          <w:rFonts w:hint="eastAsia" w:ascii="宋体" w:hAnsi="宋体" w:cs="宋体"/>
          <w:color w:val="000000" w:themeColor="text1"/>
          <w:spacing w:val="20"/>
          <w:szCs w:val="21"/>
          <w14:textFill>
            <w14:solidFill>
              <w14:schemeClr w14:val="tx1"/>
            </w14:solidFill>
          </w14:textFill>
        </w:rPr>
        <w:t>：</w:t>
      </w:r>
      <w:r>
        <w:rPr>
          <w:rFonts w:hint="eastAsia" w:ascii="宋体" w:hAnsi="宋体" w:cs="宋体"/>
          <w:color w:val="000000" w:themeColor="text1"/>
          <w:spacing w:val="20"/>
          <w:szCs w:val="21"/>
          <w:u w:val="single"/>
          <w14:textFill>
            <w14:solidFill>
              <w14:schemeClr w14:val="tx1"/>
            </w14:solidFill>
          </w14:textFill>
        </w:rPr>
        <w:t xml:space="preserve">             </w:t>
      </w:r>
    </w:p>
    <w:p w14:paraId="37CF81FF">
      <w:pPr>
        <w:snapToGrid w:val="0"/>
        <w:spacing w:line="360" w:lineRule="exact"/>
        <w:ind w:firstLine="245" w:firstLineChars="98"/>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pacing w:val="20"/>
          <w:szCs w:val="21"/>
          <w14:textFill>
            <w14:solidFill>
              <w14:schemeClr w14:val="tx1"/>
            </w14:solidFill>
          </w14:textFill>
        </w:rPr>
        <w:t>投标人盖章：</w:t>
      </w:r>
      <w:r>
        <w:rPr>
          <w:rFonts w:hint="eastAsia" w:ascii="宋体" w:hAnsi="宋体" w:cs="宋体"/>
          <w:color w:val="000000" w:themeColor="text1"/>
          <w:spacing w:val="20"/>
          <w:szCs w:val="21"/>
          <w:u w:val="single"/>
          <w14:textFill>
            <w14:solidFill>
              <w14:schemeClr w14:val="tx1"/>
            </w14:solidFill>
          </w14:textFill>
        </w:rPr>
        <w:t xml:space="preserve">            </w:t>
      </w:r>
      <w:r>
        <w:rPr>
          <w:rFonts w:hint="eastAsia" w:ascii="宋体" w:hAnsi="宋体" w:cs="宋体"/>
          <w:color w:val="000000" w:themeColor="text1"/>
          <w:spacing w:val="20"/>
          <w:szCs w:val="21"/>
          <w14:textFill>
            <w14:solidFill>
              <w14:schemeClr w14:val="tx1"/>
            </w14:solidFill>
          </w14:textFill>
        </w:rPr>
        <w:t xml:space="preserve">              日 期：</w:t>
      </w:r>
      <w:r>
        <w:rPr>
          <w:rFonts w:hint="eastAsia" w:ascii="宋体" w:hAnsi="宋体" w:cs="宋体"/>
          <w:color w:val="000000" w:themeColor="text1"/>
          <w:spacing w:val="20"/>
          <w:szCs w:val="21"/>
          <w:u w:val="single"/>
          <w14:textFill>
            <w14:solidFill>
              <w14:schemeClr w14:val="tx1"/>
            </w14:solidFill>
          </w14:textFill>
        </w:rPr>
        <w:t xml:space="preserve">          </w:t>
      </w:r>
    </w:p>
    <w:p w14:paraId="683E7A98">
      <w:pPr>
        <w:adjustRightInd w:val="0"/>
        <w:snapToGrid w:val="0"/>
        <w:spacing w:line="360" w:lineRule="exact"/>
        <w:jc w:val="left"/>
        <w:rPr>
          <w:rFonts w:ascii="宋体" w:hAnsi="宋体" w:cs="宋体"/>
          <w:color w:val="000000" w:themeColor="text1"/>
          <w:szCs w:val="21"/>
          <w14:textFill>
            <w14:solidFill>
              <w14:schemeClr w14:val="tx1"/>
            </w14:solidFill>
          </w14:textFill>
        </w:rPr>
      </w:pPr>
    </w:p>
    <w:p w14:paraId="46D1A797">
      <w:pPr>
        <w:snapToGrid w:val="0"/>
        <w:spacing w:line="360" w:lineRule="exact"/>
        <w:ind w:firstLine="630" w:firstLineChars="3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（4）劳务派遣服务许可证；</w:t>
      </w:r>
    </w:p>
    <w:p w14:paraId="34A188C3">
      <w:pPr>
        <w:snapToGrid w:val="0"/>
        <w:spacing w:line="360" w:lineRule="exact"/>
        <w:ind w:firstLine="630" w:firstLineChars="3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（5）质量管理体系认证证书；</w:t>
      </w:r>
    </w:p>
    <w:p w14:paraId="21F9BF2F">
      <w:pPr>
        <w:snapToGrid w:val="0"/>
        <w:spacing w:line="360" w:lineRule="exact"/>
        <w:ind w:firstLine="630" w:firstLineChars="3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（6）环境管理体系认证证书；</w:t>
      </w:r>
    </w:p>
    <w:p w14:paraId="74780AAA">
      <w:pPr>
        <w:snapToGrid w:val="0"/>
        <w:spacing w:line="360" w:lineRule="exact"/>
        <w:ind w:firstLine="630" w:firstLineChars="3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（7）职业健康安全管理体系认证证书；</w:t>
      </w:r>
    </w:p>
    <w:p w14:paraId="4345C9DC">
      <w:pPr>
        <w:snapToGrid w:val="0"/>
        <w:spacing w:line="360" w:lineRule="exact"/>
        <w:ind w:firstLine="630" w:firstLineChars="3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（8）投标人2018年以来同类项目业绩【以中标通知或合同为准】复印件；</w:t>
      </w:r>
    </w:p>
    <w:p w14:paraId="1E862777">
      <w:pPr>
        <w:pStyle w:val="40"/>
        <w:snapToGrid w:val="0"/>
        <w:spacing w:line="260" w:lineRule="exact"/>
        <w:ind w:left="97" w:leftChars="46" w:firstLine="1050" w:firstLineChars="500"/>
        <w:rPr>
          <w:rFonts w:ascii="宋体" w:hAnsi="宋体" w:cs="宋体"/>
          <w:color w:val="000000" w:themeColor="text1"/>
          <w:sz w:val="21"/>
          <w:szCs w:val="21"/>
          <w14:textFill>
            <w14:solidFill>
              <w14:schemeClr w14:val="tx1"/>
            </w14:solidFill>
          </w14:textFill>
        </w:rPr>
      </w:pPr>
    </w:p>
    <w:p w14:paraId="5FDE7157">
      <w:pPr>
        <w:pStyle w:val="40"/>
        <w:snapToGrid w:val="0"/>
        <w:spacing w:line="260" w:lineRule="exact"/>
        <w:ind w:left="420" w:leftChars="200" w:firstLine="1050" w:firstLineChars="5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投标人同类项目实施情况一览表格式：（投标人同类项目的中标通知书或合同复印件） </w:t>
      </w:r>
    </w:p>
    <w:tbl>
      <w:tblPr>
        <w:tblStyle w:val="5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760"/>
      </w:tblGrid>
      <w:tr w14:paraId="69EA2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5AF214EC">
            <w:pPr>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636F4721">
            <w:pPr>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14:paraId="54602487">
            <w:pPr>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01D9D4AF">
            <w:pPr>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325D744B">
            <w:pPr>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613881AF">
            <w:pPr>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附件页码</w:t>
            </w:r>
          </w:p>
        </w:tc>
        <w:tc>
          <w:tcPr>
            <w:tcW w:w="1760" w:type="dxa"/>
            <w:vMerge w:val="restart"/>
            <w:tcBorders>
              <w:top w:val="single" w:color="auto" w:sz="4" w:space="0"/>
              <w:left w:val="single" w:color="auto" w:sz="4" w:space="0"/>
              <w:bottom w:val="single" w:color="auto" w:sz="4" w:space="0"/>
              <w:right w:val="single" w:color="auto" w:sz="4" w:space="0"/>
            </w:tcBorders>
            <w:vAlign w:val="center"/>
          </w:tcPr>
          <w:p w14:paraId="11205AAB">
            <w:pPr>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采购单位联系人及</w:t>
            </w:r>
          </w:p>
          <w:p w14:paraId="69B3B060">
            <w:pPr>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r>
      <w:tr w14:paraId="7919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108B524">
            <w:pPr>
              <w:widowControl/>
              <w:spacing w:line="360" w:lineRule="exact"/>
              <w:jc w:val="left"/>
              <w:rPr>
                <w:rFonts w:ascii="宋体" w:hAnsi="宋体" w:cs="宋体"/>
                <w:color w:val="000000" w:themeColor="text1"/>
                <w:szCs w:val="21"/>
                <w14:textFill>
                  <w14:solidFill>
                    <w14:schemeClr w14:val="tx1"/>
                  </w14:solidFill>
                </w14:textFill>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339F6D56">
            <w:pPr>
              <w:widowControl/>
              <w:spacing w:line="360" w:lineRule="exact"/>
              <w:jc w:val="left"/>
              <w:rPr>
                <w:rFonts w:ascii="宋体" w:hAnsi="宋体" w:cs="宋体"/>
                <w:color w:val="000000" w:themeColor="text1"/>
                <w:szCs w:val="21"/>
                <w14:textFill>
                  <w14:solidFill>
                    <w14:schemeClr w14:val="tx1"/>
                  </w14:solidFill>
                </w14:textFill>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76F7CB7">
            <w:pPr>
              <w:widowControl/>
              <w:spacing w:line="360" w:lineRule="exact"/>
              <w:jc w:val="left"/>
              <w:rPr>
                <w:rFonts w:ascii="宋体" w:hAnsi="宋体" w:cs="宋体"/>
                <w:color w:val="000000" w:themeColor="text1"/>
                <w:szCs w:val="21"/>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6587F62D">
            <w:pPr>
              <w:widowControl/>
              <w:spacing w:line="360" w:lineRule="exact"/>
              <w:jc w:val="left"/>
              <w:rPr>
                <w:rFonts w:ascii="宋体" w:hAnsi="宋体" w:cs="宋体"/>
                <w:color w:val="000000" w:themeColor="text1"/>
                <w:szCs w:val="21"/>
                <w14:textFill>
                  <w14:solidFill>
                    <w14:schemeClr w14:val="tx1"/>
                  </w14:solidFill>
                </w14:textFill>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E577470">
            <w:pPr>
              <w:widowControl/>
              <w:spacing w:line="360" w:lineRule="exact"/>
              <w:jc w:val="left"/>
              <w:rPr>
                <w:rFonts w:ascii="宋体" w:hAnsi="宋体" w:cs="宋体"/>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vAlign w:val="center"/>
          </w:tcPr>
          <w:p w14:paraId="004FFA71">
            <w:pPr>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6BB9E85A">
            <w:pPr>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14:paraId="59087F12">
            <w:pPr>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用户评价</w:t>
            </w:r>
          </w:p>
        </w:tc>
        <w:tc>
          <w:tcPr>
            <w:tcW w:w="1760" w:type="dxa"/>
            <w:vMerge w:val="continue"/>
            <w:tcBorders>
              <w:top w:val="single" w:color="auto" w:sz="4" w:space="0"/>
              <w:left w:val="single" w:color="auto" w:sz="4" w:space="0"/>
              <w:bottom w:val="single" w:color="auto" w:sz="4" w:space="0"/>
              <w:right w:val="single" w:color="auto" w:sz="4" w:space="0"/>
            </w:tcBorders>
            <w:vAlign w:val="center"/>
          </w:tcPr>
          <w:p w14:paraId="087749ED">
            <w:pPr>
              <w:widowControl/>
              <w:spacing w:line="360" w:lineRule="exact"/>
              <w:jc w:val="left"/>
              <w:rPr>
                <w:rFonts w:ascii="宋体" w:hAnsi="宋体" w:cs="宋体"/>
                <w:color w:val="000000" w:themeColor="text1"/>
                <w:szCs w:val="21"/>
                <w14:textFill>
                  <w14:solidFill>
                    <w14:schemeClr w14:val="tx1"/>
                  </w14:solidFill>
                </w14:textFill>
              </w:rPr>
            </w:pPr>
          </w:p>
        </w:tc>
      </w:tr>
      <w:tr w14:paraId="37A3D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080" w:type="dxa"/>
            <w:tcBorders>
              <w:top w:val="single" w:color="auto" w:sz="4" w:space="0"/>
              <w:left w:val="single" w:color="auto" w:sz="4" w:space="0"/>
              <w:bottom w:val="single" w:color="auto" w:sz="4" w:space="0"/>
              <w:right w:val="single" w:color="auto" w:sz="4" w:space="0"/>
            </w:tcBorders>
          </w:tcPr>
          <w:p w14:paraId="61F81FEC">
            <w:pPr>
              <w:snapToGrid w:val="0"/>
              <w:spacing w:line="360" w:lineRule="exact"/>
              <w:jc w:val="left"/>
              <w:rPr>
                <w:rFonts w:ascii="宋体" w:hAnsi="宋体" w:cs="宋体"/>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tcPr>
          <w:p w14:paraId="35E2DA24">
            <w:pPr>
              <w:snapToGrid w:val="0"/>
              <w:spacing w:line="360" w:lineRule="exact"/>
              <w:jc w:val="left"/>
              <w:rPr>
                <w:rFonts w:ascii="宋体" w:hAnsi="宋体" w:cs="宋体"/>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24591139">
            <w:pPr>
              <w:snapToGrid w:val="0"/>
              <w:spacing w:line="360" w:lineRule="exact"/>
              <w:jc w:val="left"/>
              <w:rPr>
                <w:rFonts w:ascii="宋体" w:hAnsi="宋体" w:cs="宋体"/>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6B95A622">
            <w:pPr>
              <w:snapToGrid w:val="0"/>
              <w:spacing w:line="360" w:lineRule="exact"/>
              <w:jc w:val="left"/>
              <w:rPr>
                <w:rFonts w:ascii="宋体" w:hAnsi="宋体" w:cs="宋体"/>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tcPr>
          <w:p w14:paraId="5367D692">
            <w:pPr>
              <w:snapToGrid w:val="0"/>
              <w:spacing w:line="360" w:lineRule="exact"/>
              <w:jc w:val="left"/>
              <w:rPr>
                <w:rFonts w:ascii="宋体" w:hAnsi="宋体" w:cs="宋体"/>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tcPr>
          <w:p w14:paraId="46011527">
            <w:pPr>
              <w:snapToGrid w:val="0"/>
              <w:spacing w:line="360" w:lineRule="exact"/>
              <w:jc w:val="left"/>
              <w:rPr>
                <w:rFonts w:ascii="宋体" w:hAnsi="宋体" w:cs="宋体"/>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6D88DC7B">
            <w:pPr>
              <w:snapToGrid w:val="0"/>
              <w:spacing w:line="360" w:lineRule="exact"/>
              <w:jc w:val="left"/>
              <w:rPr>
                <w:rFonts w:ascii="宋体" w:hAnsi="宋体" w:cs="宋体"/>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EAF0FC7">
            <w:pPr>
              <w:snapToGrid w:val="0"/>
              <w:spacing w:line="360" w:lineRule="exact"/>
              <w:jc w:val="left"/>
              <w:rPr>
                <w:rFonts w:ascii="宋体" w:hAnsi="宋体" w:cs="宋体"/>
                <w:color w:val="000000" w:themeColor="text1"/>
                <w:szCs w:val="21"/>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tcPr>
          <w:p w14:paraId="3AD73591">
            <w:pPr>
              <w:snapToGrid w:val="0"/>
              <w:spacing w:line="360" w:lineRule="exact"/>
              <w:jc w:val="left"/>
              <w:rPr>
                <w:rFonts w:ascii="宋体" w:hAnsi="宋体" w:cs="宋体"/>
                <w:color w:val="000000" w:themeColor="text1"/>
                <w:szCs w:val="21"/>
                <w14:textFill>
                  <w14:solidFill>
                    <w14:schemeClr w14:val="tx1"/>
                  </w14:solidFill>
                </w14:textFill>
              </w:rPr>
            </w:pPr>
          </w:p>
        </w:tc>
      </w:tr>
      <w:tr w14:paraId="259CF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tcPr>
          <w:p w14:paraId="2524114D">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tcPr>
          <w:p w14:paraId="78183EAE">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2D7DA683">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91B2F4F">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tcPr>
          <w:p w14:paraId="7C97E4D8">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tcPr>
          <w:p w14:paraId="3620029B">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3B50CCF7">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70E25A3">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tcPr>
          <w:p w14:paraId="592A7BB1">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r>
      <w:tr w14:paraId="16BBC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080" w:type="dxa"/>
            <w:tcBorders>
              <w:top w:val="single" w:color="auto" w:sz="4" w:space="0"/>
              <w:left w:val="single" w:color="auto" w:sz="4" w:space="0"/>
              <w:bottom w:val="single" w:color="auto" w:sz="4" w:space="0"/>
              <w:right w:val="single" w:color="auto" w:sz="4" w:space="0"/>
            </w:tcBorders>
          </w:tcPr>
          <w:p w14:paraId="79FF9FD7">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tcPr>
          <w:p w14:paraId="5FFA622B">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53DC2EEA">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24898D3E">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tcPr>
          <w:p w14:paraId="69B6DCAC">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tcPr>
          <w:p w14:paraId="21430F4F">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2E2A5BFC">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6B95A86D">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tcPr>
          <w:p w14:paraId="22C57DCB">
            <w:pPr>
              <w:snapToGrid w:val="0"/>
              <w:spacing w:before="50" w:after="156" w:afterLines="50" w:line="360" w:lineRule="exact"/>
              <w:jc w:val="left"/>
              <w:rPr>
                <w:rFonts w:ascii="宋体" w:hAnsi="宋体" w:cs="宋体"/>
                <w:color w:val="000000" w:themeColor="text1"/>
                <w:szCs w:val="21"/>
                <w14:textFill>
                  <w14:solidFill>
                    <w14:schemeClr w14:val="tx1"/>
                  </w14:solidFill>
                </w14:textFill>
              </w:rPr>
            </w:pPr>
          </w:p>
        </w:tc>
      </w:tr>
    </w:tbl>
    <w:p w14:paraId="53513D07">
      <w:pPr>
        <w:pStyle w:val="40"/>
        <w:snapToGrid w:val="0"/>
        <w:spacing w:line="260" w:lineRule="exact"/>
        <w:ind w:left="97" w:leftChars="46" w:firstLine="420" w:firstLineChars="200"/>
        <w:rPr>
          <w:rFonts w:ascii="宋体" w:hAnsi="宋体" w:cs="宋体"/>
          <w:color w:val="000000" w:themeColor="text1"/>
          <w:sz w:val="21"/>
          <w:szCs w:val="21"/>
          <w14:textFill>
            <w14:solidFill>
              <w14:schemeClr w14:val="tx1"/>
            </w14:solidFill>
          </w14:textFill>
        </w:rPr>
      </w:pPr>
    </w:p>
    <w:p w14:paraId="3E2A06C0">
      <w:pPr>
        <w:pStyle w:val="15"/>
        <w:snapToGrid w:val="0"/>
        <w:spacing w:before="0" w:after="0" w:line="360" w:lineRule="exact"/>
        <w:rPr>
          <w:rFonts w:ascii="宋体" w:hAnsi="宋体" w:eastAsia="宋体" w:cs="宋体"/>
          <w:color w:val="000000" w:themeColor="text1"/>
          <w:sz w:val="21"/>
          <w:szCs w:val="21"/>
          <w14:textFill>
            <w14:solidFill>
              <w14:schemeClr w14:val="tx1"/>
            </w14:solidFill>
          </w14:textFill>
        </w:rPr>
      </w:pPr>
    </w:p>
    <w:p w14:paraId="59E066A1">
      <w:pPr>
        <w:pStyle w:val="15"/>
        <w:snapToGrid w:val="0"/>
        <w:spacing w:line="360" w:lineRule="exact"/>
        <w:rPr>
          <w:rFonts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法定代表人（负责人）或委托代理人签名：</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2553CA2">
      <w:pPr>
        <w:snapToGrid w:val="0"/>
        <w:spacing w:before="50"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投标人公章：</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年    月    日</w:t>
      </w:r>
    </w:p>
    <w:p w14:paraId="43057923">
      <w:pPr>
        <w:adjustRightInd w:val="0"/>
        <w:snapToGrid w:val="0"/>
        <w:spacing w:line="360" w:lineRule="exact"/>
        <w:jc w:val="left"/>
        <w:rPr>
          <w:rFonts w:ascii="宋体" w:hAnsi="宋体" w:cs="宋体"/>
          <w:color w:val="000000" w:themeColor="text1"/>
          <w:szCs w:val="21"/>
          <w14:textFill>
            <w14:solidFill>
              <w14:schemeClr w14:val="tx1"/>
            </w14:solidFill>
          </w14:textFill>
        </w:rPr>
      </w:pPr>
    </w:p>
    <w:p w14:paraId="4F9EC677">
      <w:pPr>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（9）投标人情况介绍，投标人关于本单位债务纠纷、违法违规记录等方面的情况。</w:t>
      </w:r>
    </w:p>
    <w:p w14:paraId="088BDEAC">
      <w:pPr>
        <w:snapToGrid w:val="0"/>
        <w:spacing w:line="360" w:lineRule="exact"/>
        <w:jc w:val="left"/>
        <w:rPr>
          <w:rFonts w:ascii="宋体" w:hAnsi="宋体" w:cs="宋体"/>
          <w:b/>
          <w:color w:val="000000" w:themeColor="text1"/>
          <w:szCs w:val="21"/>
          <w14:textFill>
            <w14:solidFill>
              <w14:schemeClr w14:val="tx1"/>
            </w14:solidFill>
          </w14:textFill>
        </w:rPr>
      </w:pPr>
    </w:p>
    <w:p w14:paraId="49A9FA32">
      <w:pPr>
        <w:snapToGrid w:val="0"/>
        <w:spacing w:line="360" w:lineRule="exact"/>
        <w:ind w:firstLine="519" w:firstLineChars="246"/>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三）、技术文件部分（格式）</w:t>
      </w:r>
    </w:p>
    <w:p w14:paraId="60E67E67">
      <w:pPr>
        <w:adjustRightInd w:val="0"/>
        <w:snapToGrid w:val="0"/>
        <w:spacing w:line="360" w:lineRule="exact"/>
        <w:ind w:firstLine="420" w:firstLineChars="200"/>
        <w:jc w:val="left"/>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（1）服务响应表格式：</w:t>
      </w:r>
    </w:p>
    <w:p w14:paraId="649DF1AE">
      <w:pPr>
        <w:adjustRightInd w:val="0"/>
        <w:snapToGrid w:val="0"/>
        <w:spacing w:line="360" w:lineRule="exact"/>
        <w:ind w:firstLine="422" w:firstLineChars="200"/>
        <w:jc w:val="left"/>
        <w:rPr>
          <w:rFonts w:ascii="宋体" w:hAnsi="宋体" w:cs="宋体"/>
          <w:b/>
          <w:color w:val="000000" w:themeColor="text1"/>
          <w:szCs w:val="21"/>
          <w14:textFill>
            <w14:solidFill>
              <w14:schemeClr w14:val="tx1"/>
            </w14:solidFill>
          </w14:textFill>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14:paraId="6F4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3F8E8482">
            <w:pPr>
              <w:pStyle w:val="29"/>
              <w:spacing w:line="400" w:lineRule="exact"/>
              <w:jc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项号</w:t>
            </w:r>
          </w:p>
        </w:tc>
        <w:tc>
          <w:tcPr>
            <w:tcW w:w="3600" w:type="dxa"/>
            <w:tcBorders>
              <w:top w:val="single" w:color="auto" w:sz="4" w:space="0"/>
              <w:left w:val="single" w:color="auto" w:sz="4" w:space="0"/>
              <w:bottom w:val="single" w:color="auto" w:sz="4" w:space="0"/>
              <w:right w:val="single" w:color="auto" w:sz="4" w:space="0"/>
            </w:tcBorders>
            <w:vAlign w:val="center"/>
          </w:tcPr>
          <w:p w14:paraId="4636B86F">
            <w:pPr>
              <w:pStyle w:val="29"/>
              <w:spacing w:line="400" w:lineRule="exact"/>
              <w:jc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14:paraId="327DE7B6">
            <w:pPr>
              <w:pStyle w:val="29"/>
              <w:spacing w:line="400" w:lineRule="exact"/>
              <w:jc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14:paraId="17AD0C37">
            <w:pPr>
              <w:pStyle w:val="29"/>
              <w:spacing w:line="400" w:lineRule="exact"/>
              <w:jc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说明</w:t>
            </w:r>
          </w:p>
        </w:tc>
      </w:tr>
      <w:tr w14:paraId="77F0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6C191F54">
            <w:pPr>
              <w:keepNext w:val="0"/>
              <w:keepLines w:val="0"/>
              <w:widowControl/>
              <w:suppressLineNumbers w:val="0"/>
              <w:bidi w:val="0"/>
              <w:spacing w:before="0" w:beforeAutospacing="0" w:after="0" w:afterAutospacing="0" w:line="360" w:lineRule="atLeast"/>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vAlign w:val="center"/>
          </w:tcPr>
          <w:p w14:paraId="26C9DE32">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服务期限：2026.5-2026.12，收到通知 24 小时内书面确认</w:t>
            </w:r>
          </w:p>
        </w:tc>
        <w:tc>
          <w:tcPr>
            <w:tcW w:w="3600" w:type="dxa"/>
            <w:tcBorders>
              <w:top w:val="single" w:color="auto" w:sz="4" w:space="0"/>
              <w:left w:val="single" w:color="auto" w:sz="4" w:space="0"/>
              <w:bottom w:val="single" w:color="auto" w:sz="4" w:space="0"/>
              <w:right w:val="single" w:color="auto" w:sz="4" w:space="0"/>
            </w:tcBorders>
            <w:vAlign w:val="center"/>
          </w:tcPr>
          <w:p w14:paraId="0DC02FB5">
            <w:pPr>
              <w:pStyle w:val="29"/>
              <w:spacing w:line="600" w:lineRule="exact"/>
              <w:ind w:left="5250"/>
              <w:jc w:val="center"/>
              <w:rPr>
                <w:rFonts w:hAnsi="宋体" w:cs="宋体"/>
                <w:color w:val="000000" w:themeColor="text1"/>
                <w:kern w:val="2"/>
                <w:sz w:val="21"/>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vAlign w:val="center"/>
          </w:tcPr>
          <w:p w14:paraId="7F8D7FB4">
            <w:pPr>
              <w:pStyle w:val="29"/>
              <w:spacing w:line="600" w:lineRule="exact"/>
              <w:ind w:left="5250"/>
              <w:jc w:val="center"/>
              <w:rPr>
                <w:rFonts w:hAnsi="宋体" w:cs="宋体"/>
                <w:color w:val="000000" w:themeColor="text1"/>
                <w:kern w:val="2"/>
                <w:sz w:val="21"/>
                <w14:textFill>
                  <w14:solidFill>
                    <w14:schemeClr w14:val="tx1"/>
                  </w14:solidFill>
                </w14:textFill>
              </w:rPr>
            </w:pPr>
          </w:p>
        </w:tc>
      </w:tr>
      <w:tr w14:paraId="433B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2F3D3DA5">
            <w:pPr>
              <w:keepNext w:val="0"/>
              <w:keepLines w:val="0"/>
              <w:widowControl/>
              <w:suppressLineNumbers w:val="0"/>
              <w:bidi w:val="0"/>
              <w:spacing w:before="0" w:beforeAutospacing="0" w:after="0" w:afterAutospacing="0" w:line="360" w:lineRule="atLeast"/>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vAlign w:val="center"/>
          </w:tcPr>
          <w:p w14:paraId="46A4CFB7">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合同生效后 30 日内提交细化实施方案，调整需提前 10 个工作日书面报备</w:t>
            </w:r>
          </w:p>
        </w:tc>
        <w:tc>
          <w:tcPr>
            <w:tcW w:w="3600" w:type="dxa"/>
            <w:tcBorders>
              <w:top w:val="single" w:color="auto" w:sz="4" w:space="0"/>
              <w:left w:val="single" w:color="auto" w:sz="4" w:space="0"/>
              <w:bottom w:val="single" w:color="auto" w:sz="4" w:space="0"/>
              <w:right w:val="single" w:color="auto" w:sz="4" w:space="0"/>
            </w:tcBorders>
          </w:tcPr>
          <w:p w14:paraId="0B7E71AC">
            <w:pPr>
              <w:pStyle w:val="29"/>
              <w:spacing w:line="600" w:lineRule="exact"/>
              <w:ind w:left="5250"/>
              <w:rPr>
                <w:rFonts w:hAnsi="宋体" w:cs="宋体"/>
                <w:color w:val="000000" w:themeColor="text1"/>
                <w:kern w:val="2"/>
                <w:sz w:val="21"/>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0EDE5D4F">
            <w:pPr>
              <w:pStyle w:val="29"/>
              <w:spacing w:line="600" w:lineRule="exact"/>
              <w:ind w:left="5250"/>
              <w:rPr>
                <w:rFonts w:hAnsi="宋体" w:cs="宋体"/>
                <w:color w:val="000000" w:themeColor="text1"/>
                <w:kern w:val="2"/>
                <w:sz w:val="21"/>
                <w14:textFill>
                  <w14:solidFill>
                    <w14:schemeClr w14:val="tx1"/>
                  </w14:solidFill>
                </w14:textFill>
              </w:rPr>
            </w:pPr>
          </w:p>
        </w:tc>
      </w:tr>
      <w:tr w14:paraId="1251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725A0A2B">
            <w:pPr>
              <w:keepNext w:val="0"/>
              <w:keepLines w:val="0"/>
              <w:widowControl/>
              <w:suppressLineNumbers w:val="0"/>
              <w:bidi w:val="0"/>
              <w:spacing w:before="0" w:beforeAutospacing="0" w:after="0" w:afterAutospacing="0" w:line="360" w:lineRule="atLeast"/>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vAlign w:val="center"/>
          </w:tcPr>
          <w:p w14:paraId="79532820">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合同生效后 15 日内提交安全 / 应急方案，经审核通过后实施</w:t>
            </w:r>
          </w:p>
        </w:tc>
        <w:tc>
          <w:tcPr>
            <w:tcW w:w="3600" w:type="dxa"/>
            <w:tcBorders>
              <w:top w:val="single" w:color="auto" w:sz="4" w:space="0"/>
              <w:left w:val="single" w:color="auto" w:sz="4" w:space="0"/>
              <w:bottom w:val="single" w:color="auto" w:sz="4" w:space="0"/>
              <w:right w:val="single" w:color="auto" w:sz="4" w:space="0"/>
            </w:tcBorders>
          </w:tcPr>
          <w:p w14:paraId="735E5685">
            <w:pPr>
              <w:pStyle w:val="29"/>
              <w:spacing w:line="600" w:lineRule="exact"/>
              <w:ind w:left="5250"/>
              <w:rPr>
                <w:rFonts w:hAnsi="宋体" w:cs="宋体"/>
                <w:color w:val="000000" w:themeColor="text1"/>
                <w:kern w:val="2"/>
                <w:sz w:val="21"/>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3D523D07">
            <w:pPr>
              <w:pStyle w:val="29"/>
              <w:spacing w:line="600" w:lineRule="exact"/>
              <w:ind w:left="5250"/>
              <w:rPr>
                <w:rFonts w:hAnsi="宋体" w:cs="宋体"/>
                <w:color w:val="000000" w:themeColor="text1"/>
                <w:kern w:val="2"/>
                <w:sz w:val="21"/>
                <w14:textFill>
                  <w14:solidFill>
                    <w14:schemeClr w14:val="tx1"/>
                  </w14:solidFill>
                </w14:textFill>
              </w:rPr>
            </w:pPr>
          </w:p>
        </w:tc>
      </w:tr>
      <w:tr w14:paraId="7E2B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7A9EDF91">
            <w:pPr>
              <w:keepNext w:val="0"/>
              <w:keepLines w:val="0"/>
              <w:widowControl/>
              <w:suppressLineNumbers w:val="0"/>
              <w:bidi w:val="0"/>
              <w:spacing w:before="0" w:beforeAutospacing="0" w:after="0" w:afterAutospacing="0" w:line="360" w:lineRule="atLeast"/>
              <w:ind w:left="0" w:leftChars="0" w:right="0" w:righ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w:t>
            </w:r>
          </w:p>
        </w:tc>
        <w:tc>
          <w:tcPr>
            <w:tcW w:w="3600" w:type="dxa"/>
            <w:tcBorders>
              <w:top w:val="single" w:color="auto" w:sz="4" w:space="0"/>
              <w:left w:val="single" w:color="auto" w:sz="4" w:space="0"/>
              <w:bottom w:val="single" w:color="auto" w:sz="4" w:space="0"/>
              <w:right w:val="single" w:color="auto" w:sz="4" w:space="0"/>
            </w:tcBorders>
            <w:vAlign w:val="center"/>
          </w:tcPr>
          <w:p w14:paraId="2A940577">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合同生效后 10 日内提交项目人员名单，未经同意不得更换核心人员</w:t>
            </w:r>
          </w:p>
        </w:tc>
        <w:tc>
          <w:tcPr>
            <w:tcW w:w="3600" w:type="dxa"/>
            <w:tcBorders>
              <w:top w:val="single" w:color="auto" w:sz="4" w:space="0"/>
              <w:left w:val="single" w:color="auto" w:sz="4" w:space="0"/>
              <w:bottom w:val="single" w:color="auto" w:sz="4" w:space="0"/>
              <w:right w:val="single" w:color="auto" w:sz="4" w:space="0"/>
            </w:tcBorders>
          </w:tcPr>
          <w:p w14:paraId="40B79599">
            <w:pPr>
              <w:pStyle w:val="29"/>
              <w:spacing w:line="600" w:lineRule="exact"/>
              <w:ind w:left="5250"/>
              <w:rPr>
                <w:rFonts w:hAnsi="宋体" w:cs="宋体"/>
                <w:color w:val="000000" w:themeColor="text1"/>
                <w:kern w:val="2"/>
                <w:sz w:val="21"/>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46285482">
            <w:pPr>
              <w:pStyle w:val="29"/>
              <w:spacing w:line="600" w:lineRule="exact"/>
              <w:ind w:left="5250"/>
              <w:rPr>
                <w:rFonts w:hAnsi="宋体" w:cs="宋体"/>
                <w:color w:val="000000" w:themeColor="text1"/>
                <w:kern w:val="2"/>
                <w:sz w:val="21"/>
                <w14:textFill>
                  <w14:solidFill>
                    <w14:schemeClr w14:val="tx1"/>
                  </w14:solidFill>
                </w14:textFill>
              </w:rPr>
            </w:pPr>
          </w:p>
        </w:tc>
      </w:tr>
      <w:tr w14:paraId="7E4D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3569C5E2">
            <w:pPr>
              <w:pStyle w:val="29"/>
              <w:spacing w:line="240" w:lineRule="auto"/>
              <w:ind w:lef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w:t>
            </w:r>
          </w:p>
        </w:tc>
        <w:tc>
          <w:tcPr>
            <w:tcW w:w="3600" w:type="dxa"/>
            <w:tcBorders>
              <w:top w:val="single" w:color="auto" w:sz="4" w:space="0"/>
              <w:left w:val="single" w:color="auto" w:sz="4" w:space="0"/>
              <w:bottom w:val="single" w:color="auto" w:sz="4" w:space="0"/>
              <w:right w:val="single" w:color="auto" w:sz="4" w:space="0"/>
            </w:tcBorders>
            <w:vAlign w:val="center"/>
          </w:tcPr>
          <w:p w14:paraId="23AF3667">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首次排练前完成人员保险购买，保额≥</w:t>
            </w:r>
            <w:r>
              <w:rPr>
                <w:rFonts w:hint="eastAsia" w:ascii="宋体" w:hAnsi="宋体" w:cs="宋体"/>
                <w:color w:val="000000" w:themeColor="text1"/>
                <w:kern w:val="2"/>
                <w:sz w:val="21"/>
                <w:szCs w:val="21"/>
                <w:lang w:val="en-US" w:eastAsia="zh-CN" w:bidi="ar-SA"/>
                <w14:textFill>
                  <w14:solidFill>
                    <w14:schemeClr w14:val="tx1"/>
                  </w14:solidFill>
                </w14:textFill>
              </w:rPr>
              <w:t>20万</w:t>
            </w:r>
            <w:r>
              <w:rPr>
                <w:rFonts w:hint="eastAsia" w:ascii="宋体" w:hAnsi="宋体" w:eastAsia="宋体" w:cs="宋体"/>
                <w:color w:val="000000" w:themeColor="text1"/>
                <w:kern w:val="2"/>
                <w:sz w:val="21"/>
                <w:szCs w:val="21"/>
                <w:lang w:val="en-US" w:eastAsia="zh-CN" w:bidi="ar-SA"/>
                <w14:textFill>
                  <w14:solidFill>
                    <w14:schemeClr w14:val="tx1"/>
                  </w14:solidFill>
                </w14:textFill>
              </w:rPr>
              <w:t>/人，提交保单备案</w:t>
            </w:r>
          </w:p>
        </w:tc>
        <w:tc>
          <w:tcPr>
            <w:tcW w:w="3600" w:type="dxa"/>
            <w:tcBorders>
              <w:top w:val="single" w:color="auto" w:sz="4" w:space="0"/>
              <w:left w:val="single" w:color="auto" w:sz="4" w:space="0"/>
              <w:bottom w:val="single" w:color="auto" w:sz="4" w:space="0"/>
              <w:right w:val="single" w:color="auto" w:sz="4" w:space="0"/>
            </w:tcBorders>
          </w:tcPr>
          <w:p w14:paraId="5C21D20A">
            <w:pPr>
              <w:pStyle w:val="29"/>
              <w:spacing w:line="600" w:lineRule="exact"/>
              <w:ind w:left="5250"/>
              <w:rPr>
                <w:rFonts w:hAnsi="宋体" w:cs="宋体"/>
                <w:color w:val="000000" w:themeColor="text1"/>
                <w:kern w:val="2"/>
                <w:sz w:val="21"/>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27753645">
            <w:pPr>
              <w:pStyle w:val="29"/>
              <w:spacing w:line="600" w:lineRule="exact"/>
              <w:ind w:left="5250"/>
              <w:rPr>
                <w:rFonts w:hAnsi="宋体" w:cs="宋体"/>
                <w:color w:val="000000" w:themeColor="text1"/>
                <w:kern w:val="2"/>
                <w:sz w:val="21"/>
                <w14:textFill>
                  <w14:solidFill>
                    <w14:schemeClr w14:val="tx1"/>
                  </w14:solidFill>
                </w14:textFill>
              </w:rPr>
            </w:pPr>
          </w:p>
        </w:tc>
      </w:tr>
      <w:tr w14:paraId="5320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4E155DF6">
            <w:pPr>
              <w:pStyle w:val="29"/>
              <w:spacing w:line="240" w:lineRule="auto"/>
              <w:ind w:lef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w:t>
            </w:r>
          </w:p>
        </w:tc>
        <w:tc>
          <w:tcPr>
            <w:tcW w:w="3600" w:type="dxa"/>
            <w:tcBorders>
              <w:top w:val="single" w:color="auto" w:sz="4" w:space="0"/>
              <w:left w:val="single" w:color="auto" w:sz="4" w:space="0"/>
              <w:bottom w:val="single" w:color="auto" w:sz="4" w:space="0"/>
              <w:right w:val="single" w:color="auto" w:sz="4" w:space="0"/>
            </w:tcBorders>
            <w:vAlign w:val="center"/>
          </w:tcPr>
          <w:p w14:paraId="7747C806">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分包需提前 15 个工作日书面申请，经甲方同意后方可实施</w:t>
            </w:r>
          </w:p>
        </w:tc>
        <w:tc>
          <w:tcPr>
            <w:tcW w:w="3600" w:type="dxa"/>
            <w:tcBorders>
              <w:top w:val="single" w:color="auto" w:sz="4" w:space="0"/>
              <w:left w:val="single" w:color="auto" w:sz="4" w:space="0"/>
              <w:bottom w:val="single" w:color="auto" w:sz="4" w:space="0"/>
              <w:right w:val="single" w:color="auto" w:sz="4" w:space="0"/>
            </w:tcBorders>
          </w:tcPr>
          <w:p w14:paraId="0857FB9E">
            <w:pPr>
              <w:pStyle w:val="29"/>
              <w:spacing w:line="600" w:lineRule="exact"/>
              <w:ind w:left="5250"/>
              <w:rPr>
                <w:rFonts w:hAnsi="宋体" w:cs="宋体"/>
                <w:color w:val="000000" w:themeColor="text1"/>
                <w:kern w:val="2"/>
                <w:sz w:val="21"/>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193969CC">
            <w:pPr>
              <w:pStyle w:val="29"/>
              <w:spacing w:line="600" w:lineRule="exact"/>
              <w:ind w:left="5250"/>
              <w:rPr>
                <w:rFonts w:hAnsi="宋体" w:cs="宋体"/>
                <w:color w:val="000000" w:themeColor="text1"/>
                <w:kern w:val="2"/>
                <w:sz w:val="21"/>
                <w14:textFill>
                  <w14:solidFill>
                    <w14:schemeClr w14:val="tx1"/>
                  </w14:solidFill>
                </w14:textFill>
              </w:rPr>
            </w:pPr>
          </w:p>
        </w:tc>
      </w:tr>
      <w:tr w14:paraId="2E9E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218ABD8A">
            <w:pPr>
              <w:pStyle w:val="29"/>
              <w:spacing w:line="240" w:lineRule="auto"/>
              <w:ind w:left="0"/>
              <w:jc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7</w:t>
            </w:r>
          </w:p>
        </w:tc>
        <w:tc>
          <w:tcPr>
            <w:tcW w:w="3600" w:type="dxa"/>
            <w:tcBorders>
              <w:top w:val="single" w:color="auto" w:sz="4" w:space="0"/>
              <w:left w:val="single" w:color="auto" w:sz="4" w:space="0"/>
              <w:bottom w:val="single" w:color="auto" w:sz="4" w:space="0"/>
              <w:right w:val="single" w:color="auto" w:sz="4" w:space="0"/>
            </w:tcBorders>
            <w:vAlign w:val="center"/>
          </w:tcPr>
          <w:p w14:paraId="09DF3F3C">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知识产权归甲方独家所有，含著作权、商标权、专利权等</w:t>
            </w:r>
          </w:p>
        </w:tc>
        <w:tc>
          <w:tcPr>
            <w:tcW w:w="3600" w:type="dxa"/>
            <w:tcBorders>
              <w:top w:val="single" w:color="auto" w:sz="4" w:space="0"/>
              <w:left w:val="single" w:color="auto" w:sz="4" w:space="0"/>
              <w:bottom w:val="single" w:color="auto" w:sz="4" w:space="0"/>
              <w:right w:val="single" w:color="auto" w:sz="4" w:space="0"/>
            </w:tcBorders>
          </w:tcPr>
          <w:p w14:paraId="2B30DD38">
            <w:pPr>
              <w:pStyle w:val="29"/>
              <w:spacing w:line="600" w:lineRule="exact"/>
              <w:ind w:left="5250"/>
              <w:rPr>
                <w:rFonts w:hAnsi="宋体" w:cs="宋体"/>
                <w:color w:val="000000" w:themeColor="text1"/>
                <w:kern w:val="2"/>
                <w:sz w:val="21"/>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7B6D84A7">
            <w:pPr>
              <w:pStyle w:val="29"/>
              <w:spacing w:line="600" w:lineRule="exact"/>
              <w:ind w:left="5250"/>
              <w:rPr>
                <w:rFonts w:hAnsi="宋体" w:cs="宋体"/>
                <w:color w:val="000000" w:themeColor="text1"/>
                <w:kern w:val="2"/>
                <w:sz w:val="21"/>
                <w14:textFill>
                  <w14:solidFill>
                    <w14:schemeClr w14:val="tx1"/>
                  </w14:solidFill>
                </w14:textFill>
              </w:rPr>
            </w:pPr>
          </w:p>
        </w:tc>
      </w:tr>
      <w:tr w14:paraId="795F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795BD952">
            <w:pPr>
              <w:pStyle w:val="29"/>
              <w:spacing w:line="240" w:lineRule="auto"/>
              <w:ind w:left="0"/>
              <w:jc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8</w:t>
            </w:r>
          </w:p>
        </w:tc>
        <w:tc>
          <w:tcPr>
            <w:tcW w:w="3600" w:type="dxa"/>
            <w:tcBorders>
              <w:top w:val="single" w:color="auto" w:sz="4" w:space="0"/>
              <w:left w:val="single" w:color="auto" w:sz="4" w:space="0"/>
              <w:bottom w:val="single" w:color="auto" w:sz="4" w:space="0"/>
              <w:right w:val="single" w:color="auto" w:sz="4" w:space="0"/>
            </w:tcBorders>
            <w:vAlign w:val="center"/>
          </w:tcPr>
          <w:p w14:paraId="41F85DF7">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残运会闭幕式撤场后 5 个工作日内提交验收申请，不合格 10 日内整改</w:t>
            </w:r>
          </w:p>
        </w:tc>
        <w:tc>
          <w:tcPr>
            <w:tcW w:w="3600" w:type="dxa"/>
            <w:tcBorders>
              <w:top w:val="single" w:color="auto" w:sz="4" w:space="0"/>
              <w:left w:val="single" w:color="auto" w:sz="4" w:space="0"/>
              <w:bottom w:val="single" w:color="auto" w:sz="4" w:space="0"/>
              <w:right w:val="single" w:color="auto" w:sz="4" w:space="0"/>
            </w:tcBorders>
          </w:tcPr>
          <w:p w14:paraId="0ABFC8B1">
            <w:pPr>
              <w:pStyle w:val="29"/>
              <w:spacing w:line="600" w:lineRule="exact"/>
              <w:ind w:left="5250"/>
              <w:rPr>
                <w:rFonts w:hAnsi="宋体" w:cs="宋体"/>
                <w:color w:val="000000" w:themeColor="text1"/>
                <w:kern w:val="2"/>
                <w:sz w:val="21"/>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2364FAFD">
            <w:pPr>
              <w:pStyle w:val="29"/>
              <w:spacing w:line="600" w:lineRule="exact"/>
              <w:ind w:left="5250"/>
              <w:rPr>
                <w:rFonts w:hAnsi="宋体" w:cs="宋体"/>
                <w:color w:val="000000" w:themeColor="text1"/>
                <w:kern w:val="2"/>
                <w:sz w:val="21"/>
                <w14:textFill>
                  <w14:solidFill>
                    <w14:schemeClr w14:val="tx1"/>
                  </w14:solidFill>
                </w14:textFill>
              </w:rPr>
            </w:pPr>
          </w:p>
        </w:tc>
      </w:tr>
      <w:tr w14:paraId="4505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44D5392A">
            <w:pPr>
              <w:pStyle w:val="29"/>
              <w:spacing w:line="240" w:lineRule="auto"/>
              <w:ind w:left="0"/>
              <w:jc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9</w:t>
            </w:r>
          </w:p>
        </w:tc>
        <w:tc>
          <w:tcPr>
            <w:tcW w:w="3600" w:type="dxa"/>
            <w:tcBorders>
              <w:top w:val="single" w:color="auto" w:sz="4" w:space="0"/>
              <w:left w:val="single" w:color="auto" w:sz="4" w:space="0"/>
              <w:bottom w:val="single" w:color="auto" w:sz="4" w:space="0"/>
              <w:right w:val="single" w:color="auto" w:sz="4" w:space="0"/>
            </w:tcBorders>
            <w:vAlign w:val="center"/>
          </w:tcPr>
          <w:p w14:paraId="70C252CE">
            <w:pPr>
              <w:keepNext w:val="0"/>
              <w:keepLines w:val="0"/>
              <w:widowControl/>
              <w:suppressLineNumbers w:val="0"/>
              <w:bidi w:val="0"/>
              <w:spacing w:before="0" w:beforeAutospacing="0" w:after="0" w:afterAutospacing="0" w:line="360" w:lineRule="atLeast"/>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开具增值税专用发票，甲方凭票付款</w:t>
            </w:r>
          </w:p>
        </w:tc>
        <w:tc>
          <w:tcPr>
            <w:tcW w:w="3600" w:type="dxa"/>
            <w:tcBorders>
              <w:top w:val="single" w:color="auto" w:sz="4" w:space="0"/>
              <w:left w:val="single" w:color="auto" w:sz="4" w:space="0"/>
              <w:bottom w:val="single" w:color="auto" w:sz="4" w:space="0"/>
              <w:right w:val="single" w:color="auto" w:sz="4" w:space="0"/>
            </w:tcBorders>
          </w:tcPr>
          <w:p w14:paraId="5A2EAC77">
            <w:pPr>
              <w:pStyle w:val="29"/>
              <w:spacing w:line="600" w:lineRule="exact"/>
              <w:ind w:left="5250"/>
              <w:rPr>
                <w:rFonts w:hAnsi="宋体" w:cs="宋体"/>
                <w:color w:val="000000" w:themeColor="text1"/>
                <w:kern w:val="2"/>
                <w:sz w:val="21"/>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1B54BEAC">
            <w:pPr>
              <w:pStyle w:val="29"/>
              <w:spacing w:line="600" w:lineRule="exact"/>
              <w:ind w:left="5250"/>
              <w:rPr>
                <w:rFonts w:hAnsi="宋体" w:cs="宋体"/>
                <w:color w:val="000000" w:themeColor="text1"/>
                <w:kern w:val="2"/>
                <w:sz w:val="21"/>
                <w14:textFill>
                  <w14:solidFill>
                    <w14:schemeClr w14:val="tx1"/>
                  </w14:solidFill>
                </w14:textFill>
              </w:rPr>
            </w:pPr>
          </w:p>
        </w:tc>
      </w:tr>
      <w:tr w14:paraId="1417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25E8B0F8">
            <w:pPr>
              <w:pStyle w:val="29"/>
              <w:spacing w:line="240" w:lineRule="auto"/>
              <w:ind w:left="0"/>
              <w:jc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10</w:t>
            </w:r>
          </w:p>
        </w:tc>
        <w:tc>
          <w:tcPr>
            <w:tcW w:w="3600" w:type="dxa"/>
            <w:tcBorders>
              <w:top w:val="single" w:color="auto" w:sz="4" w:space="0"/>
              <w:left w:val="single" w:color="auto" w:sz="4" w:space="0"/>
              <w:bottom w:val="single" w:color="auto" w:sz="4" w:space="0"/>
              <w:right w:val="single" w:color="auto" w:sz="4" w:space="0"/>
            </w:tcBorders>
            <w:vAlign w:val="center"/>
          </w:tcPr>
          <w:p w14:paraId="76088F8E">
            <w:pPr>
              <w:keepNext w:val="0"/>
              <w:keepLines w:val="0"/>
              <w:widowControl/>
              <w:suppressLineNumbers w:val="0"/>
              <w:bidi w:val="0"/>
              <w:spacing w:before="0" w:beforeAutospacing="0" w:after="0" w:afterAutospacing="0" w:line="360" w:lineRule="atLeast"/>
              <w:ind w:left="0" w:leftChars="0" w:right="0" w:rightChars="0"/>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其他招标要求....</w:t>
            </w:r>
          </w:p>
        </w:tc>
        <w:tc>
          <w:tcPr>
            <w:tcW w:w="3600" w:type="dxa"/>
            <w:tcBorders>
              <w:top w:val="single" w:color="auto" w:sz="4" w:space="0"/>
              <w:left w:val="single" w:color="auto" w:sz="4" w:space="0"/>
              <w:bottom w:val="single" w:color="auto" w:sz="4" w:space="0"/>
              <w:right w:val="single" w:color="auto" w:sz="4" w:space="0"/>
            </w:tcBorders>
          </w:tcPr>
          <w:p w14:paraId="058E0A16">
            <w:pPr>
              <w:pStyle w:val="29"/>
              <w:spacing w:line="600" w:lineRule="exact"/>
              <w:ind w:left="5250"/>
              <w:rPr>
                <w:rFonts w:hAnsi="宋体" w:cs="宋体"/>
                <w:color w:val="000000" w:themeColor="text1"/>
                <w:kern w:val="2"/>
                <w:sz w:val="21"/>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tcPr>
          <w:p w14:paraId="7B3FCAC6">
            <w:pPr>
              <w:pStyle w:val="29"/>
              <w:spacing w:line="600" w:lineRule="exact"/>
              <w:ind w:left="5250"/>
              <w:rPr>
                <w:rFonts w:hAnsi="宋体" w:cs="宋体"/>
                <w:color w:val="000000" w:themeColor="text1"/>
                <w:kern w:val="2"/>
                <w:sz w:val="21"/>
                <w14:textFill>
                  <w14:solidFill>
                    <w14:schemeClr w14:val="tx1"/>
                  </w14:solidFill>
                </w14:textFill>
              </w:rPr>
            </w:pPr>
          </w:p>
        </w:tc>
      </w:tr>
    </w:tbl>
    <w:p w14:paraId="0D63806E">
      <w:pPr>
        <w:pStyle w:val="20"/>
        <w:spacing w:line="360" w:lineRule="exact"/>
        <w:ind w:firstLine="422"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注：投标人应根据所提供的服务、对照招标文件要求在服务响应表中详细列明招标要求及投标所提供的服务的响应情况，并填写表格。</w:t>
      </w:r>
    </w:p>
    <w:p w14:paraId="7131E561">
      <w:pPr>
        <w:snapToGrid w:val="0"/>
        <w:spacing w:before="50" w:after="50" w:line="360" w:lineRule="exact"/>
        <w:rPr>
          <w:rFonts w:ascii="宋体" w:hAnsi="宋体" w:cs="宋体"/>
          <w:color w:val="000000" w:themeColor="text1"/>
          <w:spacing w:val="20"/>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法定代表人（负责人）或委托代理人签名</w:t>
      </w:r>
      <w:r>
        <w:rPr>
          <w:rFonts w:hint="eastAsia" w:ascii="宋体" w:hAnsi="宋体" w:cs="宋体"/>
          <w:color w:val="000000" w:themeColor="text1"/>
          <w:spacing w:val="20"/>
          <w:szCs w:val="21"/>
          <w14:textFill>
            <w14:solidFill>
              <w14:schemeClr w14:val="tx1"/>
            </w14:solidFill>
          </w14:textFill>
        </w:rPr>
        <w:t>：</w:t>
      </w:r>
      <w:r>
        <w:rPr>
          <w:rFonts w:hint="eastAsia" w:ascii="宋体" w:hAnsi="宋体" w:cs="宋体"/>
          <w:color w:val="000000" w:themeColor="text1"/>
          <w:spacing w:val="20"/>
          <w:szCs w:val="21"/>
          <w:u w:val="single"/>
          <w14:textFill>
            <w14:solidFill>
              <w14:schemeClr w14:val="tx1"/>
            </w14:solidFill>
          </w14:textFill>
        </w:rPr>
        <w:t xml:space="preserve">         </w:t>
      </w:r>
    </w:p>
    <w:p w14:paraId="64AC44BC">
      <w:pPr>
        <w:snapToGrid w:val="0"/>
        <w:spacing w:before="50" w:after="50" w:line="360" w:lineRule="exact"/>
        <w:rPr>
          <w:rFonts w:ascii="宋体" w:hAnsi="宋体" w:cs="宋体"/>
          <w:color w:val="000000" w:themeColor="text1"/>
          <w:spacing w:val="20"/>
          <w:szCs w:val="21"/>
          <w:u w:val="single"/>
          <w14:textFill>
            <w14:solidFill>
              <w14:schemeClr w14:val="tx1"/>
            </w14:solidFill>
          </w14:textFill>
        </w:rPr>
      </w:pPr>
      <w:r>
        <w:rPr>
          <w:rFonts w:hint="eastAsia" w:ascii="宋体" w:hAnsi="宋体" w:cs="宋体"/>
          <w:color w:val="000000" w:themeColor="text1"/>
          <w:spacing w:val="20"/>
          <w:szCs w:val="21"/>
          <w14:textFill>
            <w14:solidFill>
              <w14:schemeClr w14:val="tx1"/>
            </w14:solidFill>
          </w14:textFill>
        </w:rPr>
        <w:t>投标人盖章：</w:t>
      </w:r>
      <w:r>
        <w:rPr>
          <w:rFonts w:hint="eastAsia" w:ascii="宋体" w:hAnsi="宋体" w:cs="宋体"/>
          <w:color w:val="000000" w:themeColor="text1"/>
          <w:spacing w:val="20"/>
          <w:szCs w:val="21"/>
          <w:u w:val="single"/>
          <w14:textFill>
            <w14:solidFill>
              <w14:schemeClr w14:val="tx1"/>
            </w14:solidFill>
          </w14:textFill>
        </w:rPr>
        <w:t xml:space="preserve">            </w:t>
      </w:r>
      <w:r>
        <w:rPr>
          <w:rFonts w:hint="eastAsia" w:ascii="宋体" w:hAnsi="宋体" w:cs="宋体"/>
          <w:color w:val="000000" w:themeColor="text1"/>
          <w:spacing w:val="20"/>
          <w:szCs w:val="21"/>
          <w14:textFill>
            <w14:solidFill>
              <w14:schemeClr w14:val="tx1"/>
            </w14:solidFill>
          </w14:textFill>
        </w:rPr>
        <w:t xml:space="preserve">              日 期：</w:t>
      </w:r>
      <w:r>
        <w:rPr>
          <w:rFonts w:hint="eastAsia" w:ascii="宋体" w:hAnsi="宋体" w:cs="宋体"/>
          <w:color w:val="000000" w:themeColor="text1"/>
          <w:spacing w:val="20"/>
          <w:szCs w:val="21"/>
          <w:u w:val="single"/>
          <w14:textFill>
            <w14:solidFill>
              <w14:schemeClr w14:val="tx1"/>
            </w14:solidFill>
          </w14:textFill>
        </w:rPr>
        <w:t xml:space="preserve">            </w:t>
      </w:r>
    </w:p>
    <w:p w14:paraId="1A2AA486">
      <w:pPr>
        <w:adjustRightInd w:val="0"/>
        <w:snapToGrid w:val="0"/>
        <w:spacing w:line="360" w:lineRule="exact"/>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14:textFill>
            <w14:solidFill>
              <w14:schemeClr w14:val="tx1"/>
            </w14:solidFill>
          </w14:textFill>
        </w:rPr>
        <w:t>服务方案</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（格式自拟，必须提供）</w:t>
      </w:r>
    </w:p>
    <w:p w14:paraId="3412362F">
      <w:pPr>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（3）投标人拥有主要服务设施的情况和现状（格式自拟）及项目实施人员一览表； </w:t>
      </w:r>
    </w:p>
    <w:p w14:paraId="7F277F39">
      <w:pPr>
        <w:adjustRightInd w:val="0"/>
        <w:snapToGrid w:val="0"/>
        <w:spacing w:line="360" w:lineRule="exact"/>
        <w:jc w:val="left"/>
        <w:rPr>
          <w:rFonts w:ascii="宋体" w:hAnsi="宋体" w:cs="宋体"/>
          <w:color w:val="000000" w:themeColor="text1"/>
          <w:szCs w:val="21"/>
          <w14:textFill>
            <w14:solidFill>
              <w14:schemeClr w14:val="tx1"/>
            </w14:solidFill>
          </w14:textFill>
        </w:rPr>
      </w:pPr>
    </w:p>
    <w:p w14:paraId="2D4B3085">
      <w:pPr>
        <w:snapToGrid w:val="0"/>
        <w:spacing w:before="156" w:beforeLines="50" w:after="50"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项目实施人员（主要从业人员及其技术资格）一览表</w:t>
      </w:r>
    </w:p>
    <w:p w14:paraId="3D684EF0">
      <w:pPr>
        <w:snapToGrid w:val="0"/>
        <w:spacing w:before="156" w:beforeLines="50" w:after="50" w:line="360" w:lineRule="exact"/>
        <w:jc w:val="center"/>
        <w:rPr>
          <w:rFonts w:ascii="宋体" w:hAnsi="宋体" w:cs="宋体"/>
          <w:color w:val="000000" w:themeColor="text1"/>
          <w:sz w:val="30"/>
          <w:szCs w:val="30"/>
          <w14:textFill>
            <w14:solidFill>
              <w14:schemeClr w14:val="tx1"/>
            </w14:solidFill>
          </w14:textFill>
        </w:rPr>
      </w:pPr>
    </w:p>
    <w:tbl>
      <w:tblPr>
        <w:tblStyle w:val="5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865"/>
        <w:gridCol w:w="2060"/>
        <w:gridCol w:w="1449"/>
        <w:gridCol w:w="1988"/>
        <w:gridCol w:w="1889"/>
      </w:tblGrid>
      <w:tr w14:paraId="51CD1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left w:val="single" w:color="auto" w:sz="4" w:space="0"/>
              <w:bottom w:val="single" w:color="auto" w:sz="4" w:space="0"/>
              <w:right w:val="single" w:color="auto" w:sz="4" w:space="0"/>
            </w:tcBorders>
            <w:vAlign w:val="center"/>
          </w:tcPr>
          <w:p w14:paraId="38B351A0">
            <w:pPr>
              <w:snapToGrid w:val="0"/>
              <w:spacing w:before="156" w:beforeLines="50" w:after="50"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865" w:type="dxa"/>
            <w:tcBorders>
              <w:top w:val="single" w:color="auto" w:sz="4" w:space="0"/>
              <w:left w:val="single" w:color="auto" w:sz="4" w:space="0"/>
              <w:bottom w:val="single" w:color="auto" w:sz="4" w:space="0"/>
              <w:right w:val="single" w:color="auto" w:sz="4" w:space="0"/>
            </w:tcBorders>
            <w:vAlign w:val="center"/>
          </w:tcPr>
          <w:p w14:paraId="6D916ED2">
            <w:pPr>
              <w:snapToGrid w:val="0"/>
              <w:spacing w:before="156" w:beforeLines="50" w:after="50"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2060" w:type="dxa"/>
            <w:tcBorders>
              <w:top w:val="single" w:color="auto" w:sz="4" w:space="0"/>
              <w:left w:val="single" w:color="auto" w:sz="4" w:space="0"/>
              <w:bottom w:val="single" w:color="auto" w:sz="4" w:space="0"/>
              <w:right w:val="single" w:color="auto" w:sz="4" w:space="0"/>
            </w:tcBorders>
            <w:vAlign w:val="center"/>
          </w:tcPr>
          <w:p w14:paraId="7C0987C7">
            <w:pPr>
              <w:snapToGrid w:val="0"/>
              <w:spacing w:before="156" w:beforeLines="50" w:after="50"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专业技术资格</w:t>
            </w:r>
          </w:p>
        </w:tc>
        <w:tc>
          <w:tcPr>
            <w:tcW w:w="1449" w:type="dxa"/>
            <w:tcBorders>
              <w:top w:val="single" w:color="auto" w:sz="4" w:space="0"/>
              <w:left w:val="single" w:color="auto" w:sz="4" w:space="0"/>
              <w:bottom w:val="single" w:color="auto" w:sz="4" w:space="0"/>
              <w:right w:val="single" w:color="auto" w:sz="4" w:space="0"/>
            </w:tcBorders>
            <w:vAlign w:val="center"/>
          </w:tcPr>
          <w:p w14:paraId="2D7B7BBA">
            <w:pPr>
              <w:snapToGrid w:val="0"/>
              <w:spacing w:before="156" w:beforeLines="50" w:after="50"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证书编号</w:t>
            </w:r>
          </w:p>
        </w:tc>
        <w:tc>
          <w:tcPr>
            <w:tcW w:w="1988" w:type="dxa"/>
            <w:tcBorders>
              <w:top w:val="single" w:color="auto" w:sz="4" w:space="0"/>
              <w:left w:val="single" w:color="auto" w:sz="4" w:space="0"/>
              <w:bottom w:val="single" w:color="auto" w:sz="4" w:space="0"/>
              <w:right w:val="single" w:color="auto" w:sz="4" w:space="0"/>
            </w:tcBorders>
            <w:vAlign w:val="center"/>
          </w:tcPr>
          <w:p w14:paraId="7B3EB9D7">
            <w:pPr>
              <w:snapToGrid w:val="0"/>
              <w:spacing w:before="156" w:beforeLines="50" w:after="50" w:line="3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参加本单位</w:t>
            </w:r>
          </w:p>
          <w:p w14:paraId="218C786D">
            <w:pPr>
              <w:snapToGrid w:val="0"/>
              <w:spacing w:before="156" w:beforeLines="50" w:after="50" w:line="3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工作时间</w:t>
            </w:r>
          </w:p>
        </w:tc>
        <w:tc>
          <w:tcPr>
            <w:tcW w:w="1889" w:type="dxa"/>
            <w:tcBorders>
              <w:top w:val="single" w:color="auto" w:sz="4" w:space="0"/>
              <w:left w:val="single" w:color="auto" w:sz="4" w:space="0"/>
              <w:bottom w:val="single" w:color="auto" w:sz="4" w:space="0"/>
              <w:right w:val="single" w:color="auto" w:sz="4" w:space="0"/>
            </w:tcBorders>
            <w:vAlign w:val="center"/>
          </w:tcPr>
          <w:p w14:paraId="07A27941">
            <w:pPr>
              <w:snapToGrid w:val="0"/>
              <w:spacing w:before="156" w:beforeLines="50" w:after="50" w:line="3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劳动合同编号</w:t>
            </w:r>
          </w:p>
        </w:tc>
      </w:tr>
      <w:tr w14:paraId="560C9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left w:val="single" w:color="auto" w:sz="4" w:space="0"/>
              <w:bottom w:val="single" w:color="auto" w:sz="4" w:space="0"/>
              <w:right w:val="single" w:color="auto" w:sz="4" w:space="0"/>
            </w:tcBorders>
          </w:tcPr>
          <w:p w14:paraId="54FDE063">
            <w:pPr>
              <w:snapToGrid w:val="0"/>
              <w:spacing w:before="156" w:beforeLines="50" w:after="50" w:line="360" w:lineRule="exact"/>
              <w:rPr>
                <w:rFonts w:ascii="宋体" w:hAnsi="宋体" w:cs="宋体"/>
                <w:color w:val="000000" w:themeColor="text1"/>
                <w:szCs w:val="21"/>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3408EDF8">
            <w:pPr>
              <w:snapToGrid w:val="0"/>
              <w:spacing w:before="156" w:beforeLines="50" w:after="50" w:line="360" w:lineRule="exact"/>
              <w:rPr>
                <w:rFonts w:ascii="宋体" w:hAnsi="宋体" w:cs="宋体"/>
                <w:color w:val="000000" w:themeColor="text1"/>
                <w:szCs w:val="21"/>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tcPr>
          <w:p w14:paraId="66EC6FE7">
            <w:pPr>
              <w:snapToGrid w:val="0"/>
              <w:spacing w:before="156" w:beforeLines="50" w:after="50" w:line="360" w:lineRule="exact"/>
              <w:rPr>
                <w:rFonts w:ascii="宋体" w:hAnsi="宋体" w:cs="宋体"/>
                <w:color w:val="000000" w:themeColor="text1"/>
                <w:szCs w:val="21"/>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tcPr>
          <w:p w14:paraId="58E51A88">
            <w:pPr>
              <w:snapToGrid w:val="0"/>
              <w:spacing w:before="156" w:beforeLines="50" w:after="50" w:line="360" w:lineRule="exact"/>
              <w:rPr>
                <w:rFonts w:ascii="宋体" w:hAnsi="宋体" w:cs="宋体"/>
                <w:color w:val="000000" w:themeColor="text1"/>
                <w:szCs w:val="21"/>
                <w14:textFill>
                  <w14:solidFill>
                    <w14:schemeClr w14:val="tx1"/>
                  </w14:solidFill>
                </w14:textFill>
              </w:rPr>
            </w:pPr>
          </w:p>
        </w:tc>
        <w:tc>
          <w:tcPr>
            <w:tcW w:w="1988" w:type="dxa"/>
            <w:tcBorders>
              <w:top w:val="single" w:color="auto" w:sz="4" w:space="0"/>
              <w:left w:val="single" w:color="auto" w:sz="4" w:space="0"/>
              <w:bottom w:val="single" w:color="auto" w:sz="4" w:space="0"/>
              <w:right w:val="single" w:color="auto" w:sz="4" w:space="0"/>
            </w:tcBorders>
          </w:tcPr>
          <w:p w14:paraId="0D229BD3">
            <w:pPr>
              <w:snapToGrid w:val="0"/>
              <w:spacing w:before="156" w:beforeLines="50" w:after="50" w:line="360" w:lineRule="exact"/>
              <w:rPr>
                <w:rFonts w:ascii="宋体" w:hAnsi="宋体" w:cs="宋体"/>
                <w:color w:val="000000" w:themeColor="text1"/>
                <w:szCs w:val="21"/>
                <w14:textFill>
                  <w14:solidFill>
                    <w14:schemeClr w14:val="tx1"/>
                  </w14:solidFill>
                </w14:textFill>
              </w:rPr>
            </w:pPr>
          </w:p>
        </w:tc>
        <w:tc>
          <w:tcPr>
            <w:tcW w:w="1889" w:type="dxa"/>
            <w:tcBorders>
              <w:top w:val="single" w:color="auto" w:sz="4" w:space="0"/>
              <w:left w:val="single" w:color="auto" w:sz="4" w:space="0"/>
              <w:bottom w:val="single" w:color="auto" w:sz="4" w:space="0"/>
              <w:right w:val="single" w:color="auto" w:sz="4" w:space="0"/>
            </w:tcBorders>
          </w:tcPr>
          <w:p w14:paraId="5FD9F6AA">
            <w:pPr>
              <w:snapToGrid w:val="0"/>
              <w:spacing w:before="156" w:beforeLines="50" w:after="50" w:line="360" w:lineRule="exact"/>
              <w:rPr>
                <w:rFonts w:ascii="宋体" w:hAnsi="宋体" w:cs="宋体"/>
                <w:color w:val="000000" w:themeColor="text1"/>
                <w:szCs w:val="21"/>
                <w14:textFill>
                  <w14:solidFill>
                    <w14:schemeClr w14:val="tx1"/>
                  </w14:solidFill>
                </w14:textFill>
              </w:rPr>
            </w:pPr>
          </w:p>
        </w:tc>
      </w:tr>
      <w:tr w14:paraId="4E96D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left w:val="single" w:color="auto" w:sz="4" w:space="0"/>
              <w:bottom w:val="single" w:color="auto" w:sz="4" w:space="0"/>
              <w:right w:val="single" w:color="auto" w:sz="4" w:space="0"/>
            </w:tcBorders>
          </w:tcPr>
          <w:p w14:paraId="29805521">
            <w:pPr>
              <w:snapToGrid w:val="0"/>
              <w:spacing w:before="156" w:beforeLines="50" w:after="50" w:line="360" w:lineRule="exact"/>
              <w:rPr>
                <w:rFonts w:ascii="宋体" w:hAnsi="宋体" w:cs="宋体"/>
                <w:color w:val="000000" w:themeColor="text1"/>
                <w:szCs w:val="21"/>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68BFD847">
            <w:pPr>
              <w:snapToGrid w:val="0"/>
              <w:spacing w:before="156" w:beforeLines="50" w:after="50" w:line="360" w:lineRule="exact"/>
              <w:rPr>
                <w:rFonts w:ascii="宋体" w:hAnsi="宋体" w:cs="宋体"/>
                <w:color w:val="000000" w:themeColor="text1"/>
                <w:szCs w:val="21"/>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tcPr>
          <w:p w14:paraId="47A812B6">
            <w:pPr>
              <w:snapToGrid w:val="0"/>
              <w:spacing w:before="156" w:beforeLines="50" w:after="50" w:line="360" w:lineRule="exact"/>
              <w:rPr>
                <w:rFonts w:ascii="宋体" w:hAnsi="宋体" w:cs="宋体"/>
                <w:color w:val="000000" w:themeColor="text1"/>
                <w:szCs w:val="21"/>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tcPr>
          <w:p w14:paraId="1E5B9897">
            <w:pPr>
              <w:snapToGrid w:val="0"/>
              <w:spacing w:before="156" w:beforeLines="50" w:after="50" w:line="360" w:lineRule="exact"/>
              <w:rPr>
                <w:rFonts w:ascii="宋体" w:hAnsi="宋体" w:cs="宋体"/>
                <w:color w:val="000000" w:themeColor="text1"/>
                <w:szCs w:val="21"/>
                <w14:textFill>
                  <w14:solidFill>
                    <w14:schemeClr w14:val="tx1"/>
                  </w14:solidFill>
                </w14:textFill>
              </w:rPr>
            </w:pPr>
          </w:p>
        </w:tc>
        <w:tc>
          <w:tcPr>
            <w:tcW w:w="1988" w:type="dxa"/>
            <w:tcBorders>
              <w:top w:val="single" w:color="auto" w:sz="4" w:space="0"/>
              <w:left w:val="single" w:color="auto" w:sz="4" w:space="0"/>
              <w:bottom w:val="single" w:color="auto" w:sz="4" w:space="0"/>
              <w:right w:val="single" w:color="auto" w:sz="4" w:space="0"/>
            </w:tcBorders>
          </w:tcPr>
          <w:p w14:paraId="0D3E9AD3">
            <w:pPr>
              <w:snapToGrid w:val="0"/>
              <w:spacing w:before="156" w:beforeLines="50" w:after="50" w:line="360" w:lineRule="exact"/>
              <w:rPr>
                <w:rFonts w:ascii="宋体" w:hAnsi="宋体" w:cs="宋体"/>
                <w:color w:val="000000" w:themeColor="text1"/>
                <w:szCs w:val="21"/>
                <w14:textFill>
                  <w14:solidFill>
                    <w14:schemeClr w14:val="tx1"/>
                  </w14:solidFill>
                </w14:textFill>
              </w:rPr>
            </w:pPr>
          </w:p>
        </w:tc>
        <w:tc>
          <w:tcPr>
            <w:tcW w:w="1889" w:type="dxa"/>
            <w:tcBorders>
              <w:top w:val="single" w:color="auto" w:sz="4" w:space="0"/>
              <w:left w:val="single" w:color="auto" w:sz="4" w:space="0"/>
              <w:bottom w:val="single" w:color="auto" w:sz="4" w:space="0"/>
              <w:right w:val="single" w:color="auto" w:sz="4" w:space="0"/>
            </w:tcBorders>
          </w:tcPr>
          <w:p w14:paraId="2508A674">
            <w:pPr>
              <w:snapToGrid w:val="0"/>
              <w:spacing w:before="156" w:beforeLines="50" w:after="50" w:line="360" w:lineRule="exact"/>
              <w:rPr>
                <w:rFonts w:ascii="宋体" w:hAnsi="宋体" w:cs="宋体"/>
                <w:color w:val="000000" w:themeColor="text1"/>
                <w:szCs w:val="21"/>
                <w14:textFill>
                  <w14:solidFill>
                    <w14:schemeClr w14:val="tx1"/>
                  </w14:solidFill>
                </w14:textFill>
              </w:rPr>
            </w:pPr>
          </w:p>
        </w:tc>
      </w:tr>
    </w:tbl>
    <w:p w14:paraId="424D5B77">
      <w:pPr>
        <w:snapToGrid w:val="0"/>
        <w:spacing w:before="50" w:after="50" w:line="360" w:lineRule="exact"/>
        <w:rPr>
          <w:rFonts w:ascii="宋体" w:hAnsi="宋体" w:cs="宋体"/>
          <w:color w:val="000000" w:themeColor="text1"/>
          <w:spacing w:val="20"/>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法定代表人（负责人）或委托代理人签名：</w:t>
      </w:r>
      <w:r>
        <w:rPr>
          <w:rFonts w:hint="eastAsia" w:ascii="宋体" w:hAnsi="宋体" w:cs="宋体"/>
          <w:color w:val="000000" w:themeColor="text1"/>
          <w:spacing w:val="20"/>
          <w:szCs w:val="21"/>
          <w:u w:val="single"/>
          <w14:textFill>
            <w14:solidFill>
              <w14:schemeClr w14:val="tx1"/>
            </w14:solidFill>
          </w14:textFill>
        </w:rPr>
        <w:t xml:space="preserve">                  </w:t>
      </w:r>
    </w:p>
    <w:p w14:paraId="2035E2D9">
      <w:pPr>
        <w:snapToGrid w:val="0"/>
        <w:spacing w:before="50" w:after="50"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20"/>
          <w:szCs w:val="21"/>
          <w14:textFill>
            <w14:solidFill>
              <w14:schemeClr w14:val="tx1"/>
            </w14:solidFill>
          </w14:textFill>
        </w:rPr>
        <w:t>投标人盖章：</w:t>
      </w:r>
      <w:r>
        <w:rPr>
          <w:rFonts w:hint="eastAsia" w:ascii="宋体" w:hAnsi="宋体" w:cs="宋体"/>
          <w:color w:val="000000" w:themeColor="text1"/>
          <w:spacing w:val="20"/>
          <w:szCs w:val="21"/>
          <w:u w:val="single"/>
          <w14:textFill>
            <w14:solidFill>
              <w14:schemeClr w14:val="tx1"/>
            </w14:solidFill>
          </w14:textFill>
        </w:rPr>
        <w:t xml:space="preserve">            </w:t>
      </w:r>
      <w:r>
        <w:rPr>
          <w:rFonts w:hint="eastAsia" w:ascii="宋体" w:hAnsi="宋体" w:cs="宋体"/>
          <w:color w:val="000000" w:themeColor="text1"/>
          <w:spacing w:val="20"/>
          <w:szCs w:val="21"/>
          <w14:textFill>
            <w14:solidFill>
              <w14:schemeClr w14:val="tx1"/>
            </w14:solidFill>
          </w14:textFill>
        </w:rPr>
        <w:t xml:space="preserve">            日 期：</w:t>
      </w:r>
      <w:r>
        <w:rPr>
          <w:rFonts w:hint="eastAsia" w:ascii="宋体" w:hAnsi="宋体" w:cs="宋体"/>
          <w:color w:val="000000" w:themeColor="text1"/>
          <w:spacing w:val="20"/>
          <w:szCs w:val="21"/>
          <w:u w:val="single"/>
          <w14:textFill>
            <w14:solidFill>
              <w14:schemeClr w14:val="tx1"/>
            </w14:solidFill>
          </w14:textFill>
        </w:rPr>
        <w:t xml:space="preserve">            </w:t>
      </w:r>
    </w:p>
    <w:p w14:paraId="0281AF41">
      <w:pPr>
        <w:adjustRightInd w:val="0"/>
        <w:snapToGrid w:val="0"/>
        <w:spacing w:line="360" w:lineRule="exact"/>
        <w:jc w:val="left"/>
        <w:rPr>
          <w:rFonts w:ascii="宋体" w:hAnsi="宋体" w:cs="宋体"/>
          <w:color w:val="000000" w:themeColor="text1"/>
          <w:szCs w:val="21"/>
          <w14:textFill>
            <w14:solidFill>
              <w14:schemeClr w14:val="tx1"/>
            </w14:solidFill>
          </w14:textFill>
        </w:rPr>
      </w:pPr>
    </w:p>
    <w:p w14:paraId="3813EE54">
      <w:pPr>
        <w:adjustRightInd w:val="0"/>
        <w:snapToGrid w:val="0"/>
        <w:spacing w:line="360" w:lineRule="exact"/>
        <w:jc w:val="left"/>
        <w:rPr>
          <w:rFonts w:ascii="宋体" w:hAnsi="宋体" w:cs="宋体"/>
          <w:color w:val="000000" w:themeColor="text1"/>
          <w:szCs w:val="21"/>
          <w14:textFill>
            <w14:solidFill>
              <w14:schemeClr w14:val="tx1"/>
            </w14:solidFill>
          </w14:textFill>
        </w:rPr>
      </w:pPr>
    </w:p>
    <w:p w14:paraId="11346969">
      <w:pPr>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（4）优惠条件：投标人承诺给予招标人的各种优惠条件；</w:t>
      </w:r>
    </w:p>
    <w:p w14:paraId="420F656B">
      <w:pPr>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p>
    <w:tbl>
      <w:tblPr>
        <w:tblStyle w:val="5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1"/>
        <w:gridCol w:w="3125"/>
        <w:gridCol w:w="1667"/>
        <w:gridCol w:w="1771"/>
        <w:gridCol w:w="1771"/>
      </w:tblGrid>
      <w:tr w14:paraId="6C5B9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6" w:hRule="atLeast"/>
          <w:jc w:val="center"/>
        </w:trPr>
        <w:tc>
          <w:tcPr>
            <w:tcW w:w="8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A6F9A5">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序号</w:t>
            </w:r>
          </w:p>
        </w:tc>
        <w:tc>
          <w:tcPr>
            <w:tcW w:w="3125" w:type="dxa"/>
            <w:tcBorders>
              <w:top w:val="single" w:color="auto" w:sz="4" w:space="0"/>
              <w:left w:val="single" w:color="auto" w:sz="4" w:space="0"/>
              <w:bottom w:val="single" w:color="auto" w:sz="2" w:space="0"/>
              <w:right w:val="single" w:color="auto" w:sz="4" w:space="0"/>
            </w:tcBorders>
            <w:vAlign w:val="center"/>
          </w:tcPr>
          <w:p w14:paraId="4C432878">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优惠内容</w:t>
            </w:r>
          </w:p>
        </w:tc>
        <w:tc>
          <w:tcPr>
            <w:tcW w:w="1667"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45BDF0EA">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单价</w:t>
            </w:r>
          </w:p>
        </w:tc>
        <w:tc>
          <w:tcPr>
            <w:tcW w:w="1771" w:type="dxa"/>
            <w:tcBorders>
              <w:top w:val="single" w:color="auto" w:sz="4" w:space="0"/>
              <w:left w:val="single" w:color="auto" w:sz="4" w:space="0"/>
              <w:bottom w:val="single" w:color="auto" w:sz="2" w:space="0"/>
              <w:right w:val="single" w:color="auto" w:sz="4" w:space="0"/>
            </w:tcBorders>
            <w:vAlign w:val="center"/>
          </w:tcPr>
          <w:p w14:paraId="73117FA8">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比投标报价优惠率</w:t>
            </w:r>
          </w:p>
        </w:tc>
        <w:tc>
          <w:tcPr>
            <w:tcW w:w="1771" w:type="dxa"/>
            <w:tcBorders>
              <w:top w:val="single" w:color="auto" w:sz="4" w:space="0"/>
              <w:left w:val="single" w:color="auto" w:sz="4" w:space="0"/>
              <w:bottom w:val="single" w:color="auto" w:sz="2" w:space="0"/>
              <w:right w:val="single" w:color="auto" w:sz="4" w:space="0"/>
            </w:tcBorders>
            <w:vAlign w:val="center"/>
          </w:tcPr>
          <w:p w14:paraId="1CBAAEAE">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比招标要求提供更优售后服务</w:t>
            </w:r>
          </w:p>
        </w:tc>
      </w:tr>
      <w:tr w14:paraId="204F4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8" w:hRule="atLeast"/>
          <w:jc w:val="center"/>
        </w:trPr>
        <w:tc>
          <w:tcPr>
            <w:tcW w:w="851"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CE863BF">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p>
        </w:tc>
        <w:tc>
          <w:tcPr>
            <w:tcW w:w="3125" w:type="dxa"/>
            <w:tcBorders>
              <w:top w:val="single" w:color="auto" w:sz="2" w:space="0"/>
              <w:left w:val="single" w:color="auto" w:sz="2" w:space="0"/>
              <w:bottom w:val="single" w:color="auto" w:sz="6" w:space="0"/>
              <w:right w:val="single" w:color="auto" w:sz="4" w:space="0"/>
            </w:tcBorders>
            <w:vAlign w:val="center"/>
          </w:tcPr>
          <w:p w14:paraId="3550B3EF">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p>
        </w:tc>
        <w:tc>
          <w:tcPr>
            <w:tcW w:w="1667"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A9F7F94">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p>
        </w:tc>
        <w:tc>
          <w:tcPr>
            <w:tcW w:w="1771" w:type="dxa"/>
            <w:tcBorders>
              <w:top w:val="single" w:color="auto" w:sz="2" w:space="0"/>
              <w:left w:val="single" w:color="auto" w:sz="6" w:space="0"/>
              <w:bottom w:val="single" w:color="auto" w:sz="6" w:space="0"/>
              <w:right w:val="single" w:color="auto" w:sz="2" w:space="0"/>
            </w:tcBorders>
            <w:vAlign w:val="center"/>
          </w:tcPr>
          <w:p w14:paraId="5027CA15">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u w:val="single"/>
                <w14:textFill>
                  <w14:solidFill>
                    <w14:schemeClr w14:val="tx1"/>
                  </w14:solidFill>
                </w14:textFill>
              </w:rPr>
              <w:t xml:space="preserve">            </w:t>
            </w:r>
            <w:r>
              <w:rPr>
                <w:rFonts w:hint="eastAsia" w:hAnsi="宋体" w:cs="宋体"/>
                <w:color w:val="000000" w:themeColor="text1"/>
                <w:kern w:val="2"/>
                <w:sz w:val="21"/>
                <w14:textFill>
                  <w14:solidFill>
                    <w14:schemeClr w14:val="tx1"/>
                  </w14:solidFill>
                </w14:textFill>
              </w:rPr>
              <w:t>%</w:t>
            </w:r>
          </w:p>
        </w:tc>
        <w:tc>
          <w:tcPr>
            <w:tcW w:w="1771" w:type="dxa"/>
            <w:tcBorders>
              <w:top w:val="single" w:color="auto" w:sz="2" w:space="0"/>
              <w:left w:val="single" w:color="auto" w:sz="6" w:space="0"/>
              <w:bottom w:val="single" w:color="auto" w:sz="6" w:space="0"/>
              <w:right w:val="single" w:color="auto" w:sz="2" w:space="0"/>
            </w:tcBorders>
            <w:vAlign w:val="center"/>
          </w:tcPr>
          <w:p w14:paraId="6565D578">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p>
        </w:tc>
      </w:tr>
      <w:tr w14:paraId="23D17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jc w:val="center"/>
        </w:trPr>
        <w:tc>
          <w:tcPr>
            <w:tcW w:w="851"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32F7019">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p>
        </w:tc>
        <w:tc>
          <w:tcPr>
            <w:tcW w:w="3125" w:type="dxa"/>
            <w:tcBorders>
              <w:top w:val="single" w:color="auto" w:sz="6" w:space="0"/>
              <w:left w:val="single" w:color="auto" w:sz="2" w:space="0"/>
              <w:bottom w:val="single" w:color="auto" w:sz="6" w:space="0"/>
              <w:right w:val="single" w:color="auto" w:sz="4" w:space="0"/>
            </w:tcBorders>
            <w:vAlign w:val="center"/>
          </w:tcPr>
          <w:p w14:paraId="731E847F">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82BE3A0">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p>
        </w:tc>
        <w:tc>
          <w:tcPr>
            <w:tcW w:w="1771" w:type="dxa"/>
            <w:tcBorders>
              <w:top w:val="single" w:color="auto" w:sz="6" w:space="0"/>
              <w:left w:val="single" w:color="auto" w:sz="6" w:space="0"/>
              <w:bottom w:val="single" w:color="auto" w:sz="6" w:space="0"/>
              <w:right w:val="single" w:color="auto" w:sz="2" w:space="0"/>
            </w:tcBorders>
            <w:vAlign w:val="center"/>
          </w:tcPr>
          <w:p w14:paraId="3645359C">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u w:val="single"/>
                <w14:textFill>
                  <w14:solidFill>
                    <w14:schemeClr w14:val="tx1"/>
                  </w14:solidFill>
                </w14:textFill>
              </w:rPr>
              <w:t xml:space="preserve">            </w:t>
            </w:r>
            <w:r>
              <w:rPr>
                <w:rFonts w:hint="eastAsia" w:hAnsi="宋体" w:cs="宋体"/>
                <w:color w:val="000000" w:themeColor="text1"/>
                <w:kern w:val="2"/>
                <w:sz w:val="21"/>
                <w14:textFill>
                  <w14:solidFill>
                    <w14:schemeClr w14:val="tx1"/>
                  </w14:solidFill>
                </w14:textFill>
              </w:rPr>
              <w:t>%</w:t>
            </w:r>
          </w:p>
        </w:tc>
        <w:tc>
          <w:tcPr>
            <w:tcW w:w="1771" w:type="dxa"/>
            <w:tcBorders>
              <w:top w:val="single" w:color="auto" w:sz="6" w:space="0"/>
              <w:left w:val="single" w:color="auto" w:sz="6" w:space="0"/>
              <w:bottom w:val="single" w:color="auto" w:sz="6" w:space="0"/>
              <w:right w:val="single" w:color="auto" w:sz="2" w:space="0"/>
            </w:tcBorders>
            <w:vAlign w:val="center"/>
          </w:tcPr>
          <w:p w14:paraId="12D5900A">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p>
        </w:tc>
      </w:tr>
      <w:tr w14:paraId="5E37F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215F949">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p>
        </w:tc>
        <w:tc>
          <w:tcPr>
            <w:tcW w:w="3125" w:type="dxa"/>
            <w:tcBorders>
              <w:top w:val="single" w:color="auto" w:sz="6" w:space="0"/>
              <w:left w:val="single" w:color="auto" w:sz="2" w:space="0"/>
              <w:bottom w:val="single" w:color="auto" w:sz="6" w:space="0"/>
              <w:right w:val="single" w:color="auto" w:sz="4" w:space="0"/>
            </w:tcBorders>
            <w:vAlign w:val="center"/>
          </w:tcPr>
          <w:p w14:paraId="2217617F">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4E0830F">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p>
        </w:tc>
        <w:tc>
          <w:tcPr>
            <w:tcW w:w="1771" w:type="dxa"/>
            <w:tcBorders>
              <w:top w:val="single" w:color="auto" w:sz="6" w:space="0"/>
              <w:left w:val="single" w:color="auto" w:sz="6" w:space="0"/>
              <w:bottom w:val="single" w:color="auto" w:sz="6" w:space="0"/>
              <w:right w:val="single" w:color="auto" w:sz="2" w:space="0"/>
            </w:tcBorders>
            <w:vAlign w:val="center"/>
          </w:tcPr>
          <w:p w14:paraId="766A4189">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u w:val="single"/>
                <w14:textFill>
                  <w14:solidFill>
                    <w14:schemeClr w14:val="tx1"/>
                  </w14:solidFill>
                </w14:textFill>
              </w:rPr>
              <w:t xml:space="preserve">            </w:t>
            </w:r>
            <w:r>
              <w:rPr>
                <w:rFonts w:hint="eastAsia" w:hAnsi="宋体" w:cs="宋体"/>
                <w:color w:val="000000" w:themeColor="text1"/>
                <w:kern w:val="2"/>
                <w:sz w:val="21"/>
                <w14:textFill>
                  <w14:solidFill>
                    <w14:schemeClr w14:val="tx1"/>
                  </w14:solidFill>
                </w14:textFill>
              </w:rPr>
              <w:t>%</w:t>
            </w:r>
          </w:p>
        </w:tc>
        <w:tc>
          <w:tcPr>
            <w:tcW w:w="1771" w:type="dxa"/>
            <w:tcBorders>
              <w:top w:val="single" w:color="auto" w:sz="6" w:space="0"/>
              <w:left w:val="single" w:color="auto" w:sz="6" w:space="0"/>
              <w:bottom w:val="single" w:color="auto" w:sz="6" w:space="0"/>
              <w:right w:val="single" w:color="auto" w:sz="2" w:space="0"/>
            </w:tcBorders>
            <w:vAlign w:val="center"/>
          </w:tcPr>
          <w:p w14:paraId="369C61AB">
            <w:pPr>
              <w:pStyle w:val="29"/>
              <w:snapToGrid w:val="0"/>
              <w:spacing w:before="295" w:after="295" w:line="360" w:lineRule="exact"/>
              <w:jc w:val="center"/>
              <w:rPr>
                <w:rFonts w:hAnsi="宋体" w:cs="宋体"/>
                <w:color w:val="000000" w:themeColor="text1"/>
                <w:kern w:val="2"/>
                <w:sz w:val="21"/>
                <w14:textFill>
                  <w14:solidFill>
                    <w14:schemeClr w14:val="tx1"/>
                  </w14:solidFill>
                </w14:textFill>
              </w:rPr>
            </w:pPr>
          </w:p>
        </w:tc>
      </w:tr>
    </w:tbl>
    <w:p w14:paraId="48F46557">
      <w:pPr>
        <w:snapToGrid w:val="0"/>
        <w:spacing w:before="50" w:after="50" w:line="360" w:lineRule="exact"/>
        <w:rPr>
          <w:rFonts w:ascii="宋体" w:hAnsi="宋体" w:cs="宋体"/>
          <w:color w:val="000000" w:themeColor="text1"/>
          <w:spacing w:val="20"/>
          <w:szCs w:val="21"/>
          <w14:textFill>
            <w14:solidFill>
              <w14:schemeClr w14:val="tx1"/>
            </w14:solidFill>
          </w14:textFill>
        </w:rPr>
      </w:pPr>
    </w:p>
    <w:p w14:paraId="6417CDD0">
      <w:pPr>
        <w:snapToGrid w:val="0"/>
        <w:spacing w:before="50" w:after="50" w:line="360" w:lineRule="exact"/>
        <w:rPr>
          <w:rFonts w:ascii="宋体" w:hAnsi="宋体" w:cs="宋体"/>
          <w:color w:val="000000" w:themeColor="text1"/>
          <w:spacing w:val="20"/>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法定代表人（负责人）或委托代理人签名：</w:t>
      </w:r>
      <w:r>
        <w:rPr>
          <w:rFonts w:hint="eastAsia" w:ascii="宋体" w:hAnsi="宋体" w:cs="宋体"/>
          <w:color w:val="000000" w:themeColor="text1"/>
          <w:spacing w:val="20"/>
          <w:szCs w:val="21"/>
          <w:u w:val="single"/>
          <w14:textFill>
            <w14:solidFill>
              <w14:schemeClr w14:val="tx1"/>
            </w14:solidFill>
          </w14:textFill>
        </w:rPr>
        <w:t xml:space="preserve">            </w:t>
      </w:r>
    </w:p>
    <w:p w14:paraId="3BE4006C">
      <w:pPr>
        <w:snapToGrid w:val="0"/>
        <w:spacing w:before="50" w:after="50"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20"/>
          <w:szCs w:val="21"/>
          <w14:textFill>
            <w14:solidFill>
              <w14:schemeClr w14:val="tx1"/>
            </w14:solidFill>
          </w14:textFill>
        </w:rPr>
        <w:t>投标人盖章：</w:t>
      </w:r>
      <w:r>
        <w:rPr>
          <w:rFonts w:hint="eastAsia" w:ascii="宋体" w:hAnsi="宋体" w:cs="宋体"/>
          <w:color w:val="000000" w:themeColor="text1"/>
          <w:spacing w:val="20"/>
          <w:szCs w:val="21"/>
          <w:u w:val="single"/>
          <w14:textFill>
            <w14:solidFill>
              <w14:schemeClr w14:val="tx1"/>
            </w14:solidFill>
          </w14:textFill>
        </w:rPr>
        <w:t xml:space="preserve">            </w:t>
      </w:r>
      <w:r>
        <w:rPr>
          <w:rFonts w:hint="eastAsia" w:ascii="宋体" w:hAnsi="宋体" w:cs="宋体"/>
          <w:color w:val="000000" w:themeColor="text1"/>
          <w:spacing w:val="20"/>
          <w:szCs w:val="21"/>
          <w14:textFill>
            <w14:solidFill>
              <w14:schemeClr w14:val="tx1"/>
            </w14:solidFill>
          </w14:textFill>
        </w:rPr>
        <w:t xml:space="preserve">            日 期：</w:t>
      </w:r>
      <w:r>
        <w:rPr>
          <w:rFonts w:hint="eastAsia" w:ascii="宋体" w:hAnsi="宋体" w:cs="宋体"/>
          <w:color w:val="000000" w:themeColor="text1"/>
          <w:spacing w:val="20"/>
          <w:szCs w:val="21"/>
          <w:u w:val="single"/>
          <w14:textFill>
            <w14:solidFill>
              <w14:schemeClr w14:val="tx1"/>
            </w14:solidFill>
          </w14:textFill>
        </w:rPr>
        <w:t xml:space="preserve">            </w:t>
      </w:r>
    </w:p>
    <w:p w14:paraId="282BA974">
      <w:pPr>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（5）投标人对本项目的合理化建议和改进措施；</w:t>
      </w:r>
    </w:p>
    <w:p w14:paraId="243BA529">
      <w:pPr>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（6）投标人需要说明的其他文件和说明（格式略）；</w:t>
      </w:r>
    </w:p>
    <w:p w14:paraId="25AF919A">
      <w:pPr>
        <w:snapToGrid w:val="0"/>
        <w:spacing w:before="156" w:beforeLines="50" w:after="50" w:line="360" w:lineRule="exact"/>
        <w:rPr>
          <w:rFonts w:ascii="宋体" w:hAnsi="宋体" w:cs="宋体"/>
          <w:b/>
          <w:color w:val="000000" w:themeColor="text1"/>
          <w:szCs w:val="21"/>
          <w14:textFill>
            <w14:solidFill>
              <w14:schemeClr w14:val="tx1"/>
            </w14:solidFill>
          </w14:textFill>
        </w:rPr>
      </w:pPr>
    </w:p>
    <w:p w14:paraId="74282522">
      <w:pPr>
        <w:snapToGrid w:val="0"/>
        <w:spacing w:before="156" w:beforeLines="50" w:after="50" w:line="360" w:lineRule="exact"/>
        <w:rPr>
          <w:rFonts w:ascii="宋体" w:hAnsi="宋体" w:cs="宋体"/>
          <w:b/>
          <w:color w:val="000000" w:themeColor="text1"/>
          <w:szCs w:val="21"/>
          <w14:textFill>
            <w14:solidFill>
              <w14:schemeClr w14:val="tx1"/>
            </w14:solidFill>
          </w14:textFill>
        </w:rPr>
      </w:pPr>
    </w:p>
    <w:p w14:paraId="57B3C19C">
      <w:pPr>
        <w:snapToGrid w:val="0"/>
        <w:spacing w:before="156" w:beforeLines="50" w:after="50" w:line="36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四）报价文件部分 （格式）</w:t>
      </w:r>
    </w:p>
    <w:p w14:paraId="010550F8">
      <w:pPr>
        <w:tabs>
          <w:tab w:val="left" w:pos="3870"/>
          <w:tab w:val="left" w:pos="4085"/>
        </w:tabs>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▲（1）投标函格式： </w:t>
      </w:r>
    </w:p>
    <w:p w14:paraId="5EEABA63">
      <w:pPr>
        <w:snapToGrid w:val="0"/>
        <w:spacing w:before="156" w:beforeLines="50" w:after="50" w:line="360" w:lineRule="exact"/>
        <w:jc w:val="center"/>
        <w:rPr>
          <w:rFonts w:ascii="宋体" w:hAnsi="宋体" w:cs="宋体"/>
          <w:b/>
          <w:color w:val="000000" w:themeColor="text1"/>
          <w:sz w:val="24"/>
          <w14:textFill>
            <w14:solidFill>
              <w14:schemeClr w14:val="tx1"/>
            </w14:solidFill>
          </w14:textFill>
        </w:rPr>
      </w:pPr>
    </w:p>
    <w:p w14:paraId="27D8BD3A">
      <w:pPr>
        <w:snapToGrid w:val="0"/>
        <w:spacing w:before="156" w:beforeLines="50" w:after="50"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 标 函</w:t>
      </w:r>
    </w:p>
    <w:p w14:paraId="133623FC">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u w:val="single"/>
          <w14:textFill>
            <w14:solidFill>
              <w14:schemeClr w14:val="tx1"/>
            </w14:solidFill>
          </w14:textFill>
        </w:rPr>
        <w:t>北海市政府采购中心</w:t>
      </w:r>
      <w:r>
        <w:rPr>
          <w:rFonts w:hint="eastAsia" w:ascii="宋体" w:hAnsi="宋体" w:cs="宋体"/>
          <w:color w:val="000000" w:themeColor="text1"/>
          <w:szCs w:val="21"/>
          <w14:textFill>
            <w14:solidFill>
              <w14:schemeClr w14:val="tx1"/>
            </w14:solidFill>
          </w14:textFill>
        </w:rPr>
        <w:t>：</w:t>
      </w:r>
    </w:p>
    <w:p w14:paraId="508F30B8">
      <w:pPr>
        <w:snapToGrid w:val="0"/>
        <w:spacing w:line="360" w:lineRule="exact"/>
        <w:ind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根据贵方为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项目的招标公告（项目编号：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），签字代表</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（全名）经正式授权并代表投标人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（投标人名称）提交投标文件</w:t>
      </w:r>
      <w:r>
        <w:rPr>
          <w:rFonts w:hint="eastAsia" w:ascii="宋体" w:hAnsi="宋体" w:cs="宋体"/>
          <w:b/>
          <w:color w:val="000000" w:themeColor="text1"/>
          <w:szCs w:val="21"/>
          <w14:textFill>
            <w14:solidFill>
              <w14:schemeClr w14:val="tx1"/>
            </w14:solidFill>
          </w14:textFill>
        </w:rPr>
        <w:t>(其中资格文件一份；资信及商务文件、技术文件、投标报价文件一份)</w:t>
      </w:r>
      <w:r>
        <w:rPr>
          <w:rFonts w:hint="eastAsia" w:ascii="宋体" w:hAnsi="宋体" w:cs="宋体"/>
          <w:color w:val="000000" w:themeColor="text1"/>
          <w:szCs w:val="21"/>
          <w14:textFill>
            <w14:solidFill>
              <w14:schemeClr w14:val="tx1"/>
            </w14:solidFill>
          </w14:textFill>
        </w:rPr>
        <w:t>。</w:t>
      </w:r>
    </w:p>
    <w:p w14:paraId="73869D53">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据此函，签字代表宣布同意如下：</w:t>
      </w:r>
    </w:p>
    <w:p w14:paraId="7841715C">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1.投标人已详细审查全部“招标文件”，包括修改文件（如有的话）以及全部参考资料和有关附件，已经了解我方对于招标文件、采购过程、采购结果有依法进行询问、质疑、投诉的权利及相关渠道和要求。</w:t>
      </w:r>
    </w:p>
    <w:p w14:paraId="2D2CCD09">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2.投标人在投标之前已经与贵方进行了充分的沟通，完全理解并接受招标文件的各项规定和要求，对招标文件的合理性、合法性不再有异议。</w:t>
      </w:r>
    </w:p>
    <w:p w14:paraId="197CC98D">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3.本投标有效期自开标日起 ______个</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日（自然日）。</w:t>
      </w:r>
    </w:p>
    <w:p w14:paraId="32F38ABE">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4.如中标，本投标文件至本项目合同履行完毕止均保持有效，本投标人将按“招标文件”及政府采购法律、法规的规定履行合同责任和义务。</w:t>
      </w:r>
    </w:p>
    <w:p w14:paraId="47D818FE">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5.投标人同意按照贵方要求提供与投标有关的一切数据或资料。</w:t>
      </w:r>
    </w:p>
    <w:p w14:paraId="7D51D31E">
      <w:pPr>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6.与本投标有关的一切正式往来信函请寄：</w:t>
      </w:r>
    </w:p>
    <w:p w14:paraId="73784495">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邮编：__________   电话：______________</w:t>
      </w:r>
    </w:p>
    <w:p w14:paraId="23F45B78">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传真：______________投标人代表姓名 ___________  职务：</w:t>
      </w:r>
      <w:r>
        <w:rPr>
          <w:rFonts w:hint="eastAsia" w:ascii="宋体" w:hAnsi="宋体" w:cs="宋体"/>
          <w:color w:val="000000" w:themeColor="text1"/>
          <w:szCs w:val="21"/>
          <w:u w:val="single"/>
          <w14:textFill>
            <w14:solidFill>
              <w14:schemeClr w14:val="tx1"/>
            </w14:solidFill>
          </w14:textFill>
        </w:rPr>
        <w:t xml:space="preserve">            </w:t>
      </w:r>
    </w:p>
    <w:p w14:paraId="70303137">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投标人名称(公章):___________________</w:t>
      </w:r>
    </w:p>
    <w:p w14:paraId="6ACE7D0E">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银行帐号：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14:paraId="703A313E">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法定代表人（负责人）或委托代理人签名:___________              </w:t>
      </w:r>
    </w:p>
    <w:p w14:paraId="745BAF57">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日期:_____年___月___日</w:t>
      </w:r>
    </w:p>
    <w:p w14:paraId="0281597E">
      <w:pPr>
        <w:pStyle w:val="29"/>
        <w:snapToGrid w:val="0"/>
        <w:spacing w:before="295" w:after="295" w:line="360" w:lineRule="exact"/>
        <w:ind w:firstLine="6300" w:firstLineChars="315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(公章)</w:t>
      </w:r>
    </w:p>
    <w:p w14:paraId="3697FF88">
      <w:pPr>
        <w:pStyle w:val="29"/>
        <w:snapToGrid w:val="0"/>
        <w:spacing w:before="295" w:after="295" w:line="360" w:lineRule="exact"/>
        <w:ind w:firstLine="7200" w:firstLineChars="36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年___月___日</w:t>
      </w:r>
    </w:p>
    <w:p w14:paraId="5F38D10F">
      <w:pPr>
        <w:pStyle w:val="29"/>
        <w:snapToGrid w:val="0"/>
        <w:spacing w:before="295" w:after="295" w:line="360" w:lineRule="exact"/>
        <w:rPr>
          <w:rFonts w:hAnsi="宋体" w:cs="宋体"/>
          <w:color w:val="000000" w:themeColor="text1"/>
          <w14:textFill>
            <w14:solidFill>
              <w14:schemeClr w14:val="tx1"/>
            </w14:solidFill>
          </w14:textFill>
        </w:rPr>
      </w:pPr>
    </w:p>
    <w:p w14:paraId="2B054A05">
      <w:pPr>
        <w:rPr>
          <w:rFonts w:ascii="宋体" w:hAnsi="宋体" w:cs="宋体"/>
          <w:color w:val="000000" w:themeColor="text1"/>
          <w14:textFill>
            <w14:solidFill>
              <w14:schemeClr w14:val="tx1"/>
            </w14:solidFill>
          </w14:textFill>
        </w:rPr>
      </w:pPr>
    </w:p>
    <w:p w14:paraId="7594A65C">
      <w:pPr>
        <w:rPr>
          <w:rFonts w:ascii="宋体" w:hAnsi="宋体" w:cs="宋体"/>
          <w:color w:val="000000" w:themeColor="text1"/>
          <w14:textFill>
            <w14:solidFill>
              <w14:schemeClr w14:val="tx1"/>
            </w14:solidFill>
          </w14:textFill>
        </w:rPr>
      </w:pPr>
    </w:p>
    <w:p w14:paraId="326C0313">
      <w:pPr>
        <w:rPr>
          <w:rFonts w:ascii="宋体" w:hAnsi="宋体" w:cs="宋体"/>
          <w:color w:val="000000" w:themeColor="text1"/>
          <w14:textFill>
            <w14:solidFill>
              <w14:schemeClr w14:val="tx1"/>
            </w14:solidFill>
          </w14:textFill>
        </w:rPr>
      </w:pPr>
    </w:p>
    <w:p w14:paraId="145E3E72">
      <w:pPr>
        <w:tabs>
          <w:tab w:val="left" w:pos="3870"/>
          <w:tab w:val="left" w:pos="4085"/>
        </w:tabs>
        <w:adjustRightInd w:val="0"/>
        <w:snapToGrid w:val="0"/>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▲（2）投标报价明细表格式：</w:t>
      </w:r>
    </w:p>
    <w:p w14:paraId="2EE8618D">
      <w:pPr>
        <w:jc w:val="center"/>
        <w:rPr>
          <w:rFonts w:ascii="宋体" w:hAnsi="宋体" w:cs="宋体"/>
          <w:b/>
          <w:color w:val="000000" w:themeColor="text1"/>
          <w:sz w:val="3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b/>
          <w:color w:val="000000" w:themeColor="text1"/>
          <w:sz w:val="32"/>
          <w:szCs w:val="21"/>
          <w14:textFill>
            <w14:solidFill>
              <w14:schemeClr w14:val="tx1"/>
            </w14:solidFill>
          </w14:textFill>
        </w:rPr>
        <w:t>报价表（格式）</w:t>
      </w:r>
    </w:p>
    <w:p w14:paraId="2896CB56">
      <w:pPr>
        <w:spacing w:line="5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u w:val="single"/>
          <w14:textFill>
            <w14:solidFill>
              <w14:schemeClr w14:val="tx1"/>
            </w14:solidFill>
          </w14:textFill>
        </w:rPr>
        <w:t xml:space="preserve">                 </w:t>
      </w:r>
    </w:p>
    <w:p w14:paraId="4D92A04E">
      <w:pPr>
        <w:spacing w:line="5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14:paraId="28F838A7">
      <w:pPr>
        <w:tabs>
          <w:tab w:val="left" w:pos="3870"/>
          <w:tab w:val="left" w:pos="4085"/>
        </w:tabs>
        <w:adjustRightInd w:val="0"/>
        <w:snapToGrid w:val="0"/>
        <w:spacing w:line="360" w:lineRule="exact"/>
        <w:ind w:firstLine="7035" w:firstLineChars="335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金额单位：人民币（元）</w:t>
      </w:r>
      <w:r>
        <w:rPr>
          <w:rFonts w:hint="eastAsia" w:ascii="宋体" w:hAnsi="宋体" w:cs="宋体"/>
          <w:color w:val="000000" w:themeColor="text1"/>
          <w:szCs w:val="21"/>
          <w14:textFill>
            <w14:solidFill>
              <w14:schemeClr w14:val="tx1"/>
            </w14:solidFill>
          </w14:textFill>
        </w:rPr>
        <w:t xml:space="preserve"> </w:t>
      </w:r>
    </w:p>
    <w:p w14:paraId="6287EB23">
      <w:pPr>
        <w:spacing w:line="500" w:lineRule="exact"/>
        <w:rPr>
          <w:rFonts w:ascii="宋体" w:hAnsi="宋体" w:cs="宋体"/>
          <w:color w:val="000000" w:themeColor="text1"/>
          <w:szCs w:val="21"/>
          <w14:textFill>
            <w14:solidFill>
              <w14:schemeClr w14:val="tx1"/>
            </w14:solidFill>
          </w14:textFill>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205"/>
        <w:gridCol w:w="863"/>
        <w:gridCol w:w="863"/>
        <w:gridCol w:w="2719"/>
        <w:gridCol w:w="2004"/>
      </w:tblGrid>
      <w:tr w14:paraId="053B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761C605E">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205" w:type="dxa"/>
            <w:tcBorders>
              <w:top w:val="single" w:color="auto" w:sz="4" w:space="0"/>
              <w:left w:val="single" w:color="auto" w:sz="4" w:space="0"/>
              <w:bottom w:val="single" w:color="auto" w:sz="4" w:space="0"/>
              <w:right w:val="single" w:color="auto" w:sz="4" w:space="0"/>
            </w:tcBorders>
            <w:vAlign w:val="center"/>
          </w:tcPr>
          <w:p w14:paraId="543CFD5B">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服务内容</w:t>
            </w:r>
          </w:p>
        </w:tc>
        <w:tc>
          <w:tcPr>
            <w:tcW w:w="863" w:type="dxa"/>
            <w:tcBorders>
              <w:top w:val="single" w:color="auto" w:sz="4" w:space="0"/>
              <w:left w:val="single" w:color="auto" w:sz="4" w:space="0"/>
              <w:bottom w:val="single" w:color="auto" w:sz="4" w:space="0"/>
              <w:right w:val="single" w:color="auto" w:sz="4" w:space="0"/>
            </w:tcBorders>
            <w:vAlign w:val="center"/>
          </w:tcPr>
          <w:p w14:paraId="47727871">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  量</w:t>
            </w:r>
          </w:p>
        </w:tc>
        <w:tc>
          <w:tcPr>
            <w:tcW w:w="863" w:type="dxa"/>
            <w:tcBorders>
              <w:top w:val="single" w:color="auto" w:sz="4" w:space="0"/>
              <w:left w:val="single" w:color="auto" w:sz="4" w:space="0"/>
              <w:bottom w:val="single" w:color="auto" w:sz="4" w:space="0"/>
              <w:right w:val="single" w:color="auto" w:sz="4" w:space="0"/>
            </w:tcBorders>
            <w:vAlign w:val="center"/>
          </w:tcPr>
          <w:p w14:paraId="50EF44B5">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w:t>
            </w:r>
          </w:p>
        </w:tc>
        <w:tc>
          <w:tcPr>
            <w:tcW w:w="2719" w:type="dxa"/>
            <w:tcBorders>
              <w:top w:val="single" w:color="auto" w:sz="4" w:space="0"/>
              <w:left w:val="single" w:color="auto" w:sz="4" w:space="0"/>
              <w:bottom w:val="single" w:color="auto" w:sz="4" w:space="0"/>
              <w:right w:val="single" w:color="auto" w:sz="4" w:space="0"/>
            </w:tcBorders>
            <w:vAlign w:val="center"/>
          </w:tcPr>
          <w:p w14:paraId="3CE013E8">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  额</w:t>
            </w:r>
          </w:p>
          <w:p w14:paraId="08DB8E74">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（元）</w:t>
            </w:r>
          </w:p>
        </w:tc>
        <w:tc>
          <w:tcPr>
            <w:tcW w:w="2004" w:type="dxa"/>
            <w:tcBorders>
              <w:top w:val="single" w:color="auto" w:sz="4" w:space="0"/>
              <w:left w:val="single" w:color="auto" w:sz="4" w:space="0"/>
              <w:bottom w:val="single" w:color="auto" w:sz="4" w:space="0"/>
              <w:right w:val="single" w:color="auto" w:sz="4" w:space="0"/>
            </w:tcBorders>
            <w:vAlign w:val="center"/>
          </w:tcPr>
          <w:p w14:paraId="3F22672D">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说      明</w:t>
            </w:r>
          </w:p>
        </w:tc>
      </w:tr>
      <w:tr w14:paraId="277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62C0C6AB">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205" w:type="dxa"/>
            <w:tcBorders>
              <w:top w:val="single" w:color="auto" w:sz="4" w:space="0"/>
              <w:left w:val="single" w:color="auto" w:sz="4" w:space="0"/>
              <w:bottom w:val="single" w:color="auto" w:sz="4" w:space="0"/>
              <w:right w:val="single" w:color="auto" w:sz="4" w:space="0"/>
            </w:tcBorders>
            <w:vAlign w:val="center"/>
          </w:tcPr>
          <w:p w14:paraId="13E750AE">
            <w:pPr>
              <w:snapToGrid w:val="0"/>
              <w:spacing w:line="400" w:lineRule="exact"/>
              <w:jc w:val="center"/>
              <w:rPr>
                <w:rFonts w:ascii="宋体" w:hAnsi="宋体" w:cs="宋体"/>
                <w:color w:val="000000" w:themeColor="text1"/>
                <w:szCs w:val="21"/>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3833FC1F">
            <w:pPr>
              <w:snapToGrid w:val="0"/>
              <w:spacing w:line="400" w:lineRule="exact"/>
              <w:jc w:val="center"/>
              <w:rPr>
                <w:rFonts w:ascii="宋体" w:hAnsi="宋体" w:cs="宋体"/>
                <w:color w:val="000000" w:themeColor="text1"/>
                <w:szCs w:val="21"/>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3BFE085E">
            <w:pPr>
              <w:snapToGrid w:val="0"/>
              <w:spacing w:line="400" w:lineRule="exact"/>
              <w:jc w:val="center"/>
              <w:rPr>
                <w:rFonts w:ascii="宋体" w:hAnsi="宋体" w:cs="宋体"/>
                <w:color w:val="000000" w:themeColor="text1"/>
                <w:szCs w:val="2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vAlign w:val="center"/>
          </w:tcPr>
          <w:p w14:paraId="09B68B9A">
            <w:pPr>
              <w:snapToGrid w:val="0"/>
              <w:spacing w:line="400" w:lineRule="exact"/>
              <w:jc w:val="center"/>
              <w:rPr>
                <w:rFonts w:ascii="宋体" w:hAnsi="宋体" w:cs="宋体"/>
                <w:color w:val="000000" w:themeColor="text1"/>
                <w:szCs w:val="21"/>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tcPr>
          <w:p w14:paraId="1552B7F0">
            <w:pPr>
              <w:snapToGrid w:val="0"/>
              <w:spacing w:line="400" w:lineRule="exact"/>
              <w:jc w:val="center"/>
              <w:rPr>
                <w:rFonts w:ascii="宋体" w:hAnsi="宋体" w:cs="宋体"/>
                <w:color w:val="000000" w:themeColor="text1"/>
                <w:szCs w:val="21"/>
                <w14:textFill>
                  <w14:solidFill>
                    <w14:schemeClr w14:val="tx1"/>
                  </w14:solidFill>
                </w14:textFill>
              </w:rPr>
            </w:pPr>
          </w:p>
        </w:tc>
      </w:tr>
      <w:tr w14:paraId="4A15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153E942F">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205" w:type="dxa"/>
            <w:tcBorders>
              <w:top w:val="single" w:color="auto" w:sz="4" w:space="0"/>
              <w:left w:val="single" w:color="auto" w:sz="4" w:space="0"/>
              <w:bottom w:val="single" w:color="auto" w:sz="4" w:space="0"/>
              <w:right w:val="single" w:color="auto" w:sz="4" w:space="0"/>
            </w:tcBorders>
            <w:vAlign w:val="center"/>
          </w:tcPr>
          <w:p w14:paraId="116F3D98">
            <w:pPr>
              <w:snapToGrid w:val="0"/>
              <w:spacing w:line="400" w:lineRule="exact"/>
              <w:jc w:val="center"/>
              <w:rPr>
                <w:rFonts w:ascii="宋体" w:hAnsi="宋体" w:cs="宋体"/>
                <w:color w:val="000000" w:themeColor="text1"/>
                <w:szCs w:val="21"/>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030C2BDF">
            <w:pPr>
              <w:snapToGrid w:val="0"/>
              <w:spacing w:line="400" w:lineRule="exact"/>
              <w:jc w:val="center"/>
              <w:rPr>
                <w:rFonts w:ascii="宋体" w:hAnsi="宋体" w:cs="宋体"/>
                <w:color w:val="000000" w:themeColor="text1"/>
                <w:szCs w:val="21"/>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137D87DA">
            <w:pPr>
              <w:snapToGrid w:val="0"/>
              <w:spacing w:line="400" w:lineRule="exact"/>
              <w:jc w:val="center"/>
              <w:rPr>
                <w:rFonts w:ascii="宋体" w:hAnsi="宋体" w:cs="宋体"/>
                <w:color w:val="000000" w:themeColor="text1"/>
                <w:szCs w:val="2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vAlign w:val="center"/>
          </w:tcPr>
          <w:p w14:paraId="7090E98F">
            <w:pPr>
              <w:snapToGrid w:val="0"/>
              <w:spacing w:line="400" w:lineRule="exact"/>
              <w:jc w:val="center"/>
              <w:rPr>
                <w:rFonts w:ascii="宋体" w:hAnsi="宋体" w:cs="宋体"/>
                <w:color w:val="000000" w:themeColor="text1"/>
                <w:szCs w:val="21"/>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tcPr>
          <w:p w14:paraId="5EE347A0">
            <w:pPr>
              <w:snapToGrid w:val="0"/>
              <w:spacing w:line="400" w:lineRule="exact"/>
              <w:jc w:val="center"/>
              <w:rPr>
                <w:rFonts w:ascii="宋体" w:hAnsi="宋体" w:cs="宋体"/>
                <w:color w:val="000000" w:themeColor="text1"/>
                <w:szCs w:val="21"/>
                <w14:textFill>
                  <w14:solidFill>
                    <w14:schemeClr w14:val="tx1"/>
                  </w14:solidFill>
                </w14:textFill>
              </w:rPr>
            </w:pPr>
          </w:p>
        </w:tc>
      </w:tr>
      <w:tr w14:paraId="570E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71EB97FC">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205" w:type="dxa"/>
            <w:tcBorders>
              <w:top w:val="single" w:color="auto" w:sz="4" w:space="0"/>
              <w:left w:val="single" w:color="auto" w:sz="4" w:space="0"/>
              <w:bottom w:val="single" w:color="auto" w:sz="4" w:space="0"/>
              <w:right w:val="single" w:color="auto" w:sz="4" w:space="0"/>
            </w:tcBorders>
            <w:vAlign w:val="center"/>
          </w:tcPr>
          <w:p w14:paraId="381AA2F4">
            <w:pPr>
              <w:snapToGrid w:val="0"/>
              <w:spacing w:line="400" w:lineRule="exact"/>
              <w:jc w:val="center"/>
              <w:rPr>
                <w:rFonts w:ascii="宋体" w:hAnsi="宋体" w:cs="宋体"/>
                <w:color w:val="000000" w:themeColor="text1"/>
                <w:szCs w:val="21"/>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600FD9FC">
            <w:pPr>
              <w:snapToGrid w:val="0"/>
              <w:spacing w:line="400" w:lineRule="exact"/>
              <w:jc w:val="center"/>
              <w:rPr>
                <w:rFonts w:ascii="宋体" w:hAnsi="宋体" w:cs="宋体"/>
                <w:color w:val="000000" w:themeColor="text1"/>
                <w:szCs w:val="21"/>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45CE6740">
            <w:pPr>
              <w:snapToGrid w:val="0"/>
              <w:spacing w:line="400" w:lineRule="exact"/>
              <w:jc w:val="center"/>
              <w:rPr>
                <w:rFonts w:ascii="宋体" w:hAnsi="宋体" w:cs="宋体"/>
                <w:color w:val="000000" w:themeColor="text1"/>
                <w:szCs w:val="2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vAlign w:val="center"/>
          </w:tcPr>
          <w:p w14:paraId="0AE9525D">
            <w:pPr>
              <w:snapToGrid w:val="0"/>
              <w:spacing w:line="400" w:lineRule="exact"/>
              <w:jc w:val="center"/>
              <w:rPr>
                <w:rFonts w:ascii="宋体" w:hAnsi="宋体" w:cs="宋体"/>
                <w:color w:val="000000" w:themeColor="text1"/>
                <w:szCs w:val="21"/>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tcPr>
          <w:p w14:paraId="6360655B">
            <w:pPr>
              <w:snapToGrid w:val="0"/>
              <w:spacing w:line="400" w:lineRule="exact"/>
              <w:jc w:val="center"/>
              <w:rPr>
                <w:rFonts w:ascii="宋体" w:hAnsi="宋体" w:cs="宋体"/>
                <w:color w:val="000000" w:themeColor="text1"/>
                <w:szCs w:val="21"/>
                <w14:textFill>
                  <w14:solidFill>
                    <w14:schemeClr w14:val="tx1"/>
                  </w14:solidFill>
                </w14:textFill>
              </w:rPr>
            </w:pPr>
          </w:p>
        </w:tc>
      </w:tr>
      <w:tr w14:paraId="7E58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9185" w:type="dxa"/>
            <w:gridSpan w:val="6"/>
            <w:tcBorders>
              <w:top w:val="single" w:color="auto" w:sz="4" w:space="0"/>
              <w:left w:val="single" w:color="auto" w:sz="4" w:space="0"/>
              <w:bottom w:val="single" w:color="auto" w:sz="4" w:space="0"/>
              <w:right w:val="single" w:color="auto" w:sz="4" w:space="0"/>
            </w:tcBorders>
            <w:vAlign w:val="center"/>
          </w:tcPr>
          <w:p w14:paraId="0A3C38F2">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人民币合计金额（大写）：                                 小写金额：</w:t>
            </w:r>
          </w:p>
        </w:tc>
      </w:tr>
    </w:tbl>
    <w:p w14:paraId="1E5CE887">
      <w:pP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14:textFill>
            <w14:solidFill>
              <w14:schemeClr w14:val="tx1"/>
            </w14:solidFill>
          </w14:textFill>
        </w:rPr>
        <w:t>1.所有价格均用人民币表示，单位为元，精确到个数位</w:t>
      </w:r>
    </w:p>
    <w:p w14:paraId="4A05027C">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报价指完成本项目所有成本、费用的总和。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w:t>
      </w:r>
    </w:p>
    <w:p w14:paraId="5FBE4793">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 投标报价属于本招标文件规定的政府采购异常低价情形之一，投标人应当按照评标委员会的要求提供书面说明、证明材料。投标人不能提供书面说明、证明材料，或者提供的书面说明、证明材料不能证明其报价合理性的，投标无效。</w:t>
      </w:r>
    </w:p>
    <w:p w14:paraId="54CA2B03">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投标人投标报价应为所投项目的最终报价，包括一切税费、投标人应自行增加合法运行及使用所必须但招标文件没有包含的所有有关服务、硬件设备、材料、使用授权、版权、专利等一切费用，如果投标人在中标并签署合同后，发生任何遗漏，均由中标人免费提供，甲方不再支付任何费用。</w:t>
      </w:r>
    </w:p>
    <w:p w14:paraId="2BC3182D">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5.投标人文件中至少包含暖场表演、开幕仪式、文体</w:t>
      </w:r>
      <w:r>
        <w:rPr>
          <w:rFonts w:hint="eastAsia"/>
          <w:color w:val="000000" w:themeColor="text1"/>
          <w:lang w:eastAsia="zh-CN"/>
          <w14:textFill>
            <w14:solidFill>
              <w14:schemeClr w14:val="tx1"/>
            </w14:solidFill>
          </w14:textFill>
        </w:rPr>
        <w:t>演出</w:t>
      </w:r>
      <w:r>
        <w:rPr>
          <w:rFonts w:hint="eastAsia"/>
          <w:color w:val="000000" w:themeColor="text1"/>
          <w14:textFill>
            <w14:solidFill>
              <w14:schemeClr w14:val="tx1"/>
            </w14:solidFill>
          </w14:textFill>
        </w:rPr>
        <w:t>、闭幕式等相关环节的费用，如舞美、音乐、服装、道具、特种设备、主创人员劳务费、专业演员排练演出交通食宿和补助、工作人员后勤保障等详细经费报价清单，清单应包括数量、品牌、单价等。暖场表演、开幕仪式、文体</w:t>
      </w:r>
      <w:r>
        <w:rPr>
          <w:rFonts w:hint="eastAsia"/>
          <w:color w:val="000000" w:themeColor="text1"/>
          <w:lang w:eastAsia="zh-CN"/>
          <w14:textFill>
            <w14:solidFill>
              <w14:schemeClr w14:val="tx1"/>
            </w14:solidFill>
          </w14:textFill>
        </w:rPr>
        <w:t>演出</w:t>
      </w:r>
      <w:r>
        <w:rPr>
          <w:rFonts w:hint="eastAsia"/>
          <w:color w:val="000000" w:themeColor="text1"/>
          <w14:textFill>
            <w14:solidFill>
              <w14:schemeClr w14:val="tx1"/>
            </w14:solidFill>
          </w14:textFill>
        </w:rPr>
        <w:t>、闭幕仪式经费分开列明。</w:t>
      </w:r>
    </w:p>
    <w:p w14:paraId="1BB273BF">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6.在实施方案确定后，如采购人提出为了优化舞台效果而增加相应设备和服务（包括但不限于：实施团队、参演演员及团队、视频制作、服装、化妆、道具、音乐制作、舞台搭建、现场置景、LED租赁</w:t>
      </w:r>
      <w:r>
        <w:rPr>
          <w:rFonts w:hint="eastAsia"/>
          <w:color w:val="000000" w:themeColor="text1"/>
          <w:lang w:eastAsia="zh-CN"/>
          <w14:textFill>
            <w14:solidFill>
              <w14:schemeClr w14:val="tx1"/>
            </w14:solidFill>
          </w14:textFill>
        </w:rPr>
        <w:t>、灯光租赁、音响租赁、激光投影</w:t>
      </w:r>
      <w:r>
        <w:rPr>
          <w:rFonts w:hint="eastAsia"/>
          <w:color w:val="000000" w:themeColor="text1"/>
          <w14:textFill>
            <w14:solidFill>
              <w14:schemeClr w14:val="tx1"/>
            </w14:solidFill>
          </w14:textFill>
        </w:rPr>
        <w:t>、烟花、无人机、雾森、摄影、节目单制作、后勤保障、保险、所有演职员补助及交通食宿、主席台搭建、草皮盖板铺设、场地输配电保障（双路供电由场地运营方和供电公司负责）、旗杆吹飘器、闭幕式舞台搭建、闭幕仪式流程等）要求，其所需经费均由中标方承担，采购人不额外支付任何费用。（投标人应自行考虑上述风险因素作出投标及报价）。</w:t>
      </w:r>
    </w:p>
    <w:p w14:paraId="69338F1A">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7.本项目报价不得超过预算价（最高限价）。</w:t>
      </w:r>
    </w:p>
    <w:p w14:paraId="04F52462">
      <w:pPr>
        <w:spacing w:line="500" w:lineRule="exact"/>
        <w:ind w:firstLine="422" w:firstLineChars="200"/>
        <w:rPr>
          <w:rFonts w:ascii="宋体" w:hAnsi="宋体" w:cs="宋体"/>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特别提醒：投标人应根据国家收费标准并结合市场实际进行报价，总价包干。</w:t>
      </w:r>
    </w:p>
    <w:p w14:paraId="6DC8D88B">
      <w:pPr>
        <w:spacing w:line="5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r>
        <w:rPr>
          <w:rFonts w:hint="eastAsia" w:ascii="宋体" w:hAnsi="宋体" w:cs="宋体"/>
          <w:color w:val="000000" w:themeColor="text1"/>
          <w14:textFill>
            <w14:solidFill>
              <w14:schemeClr w14:val="tx1"/>
            </w14:solidFill>
          </w14:textFill>
        </w:rPr>
        <w:t>（负责人）</w:t>
      </w:r>
      <w:r>
        <w:rPr>
          <w:rFonts w:hint="eastAsia" w:ascii="宋体" w:hAnsi="宋体" w:cs="宋体"/>
          <w:color w:val="000000" w:themeColor="text1"/>
          <w:szCs w:val="21"/>
          <w14:textFill>
            <w14:solidFill>
              <w14:schemeClr w14:val="tx1"/>
            </w14:solidFill>
          </w14:textFill>
        </w:rPr>
        <w:t>或委托代理人签名:</w:t>
      </w:r>
      <w:r>
        <w:rPr>
          <w:rFonts w:hint="eastAsia" w:ascii="宋体" w:hAnsi="宋体" w:cs="宋体"/>
          <w:color w:val="000000" w:themeColor="text1"/>
          <w:szCs w:val="21"/>
          <w:u w:val="single"/>
          <w14:textFill>
            <w14:solidFill>
              <w14:schemeClr w14:val="tx1"/>
            </w14:solidFill>
          </w14:textFill>
        </w:rPr>
        <w:t xml:space="preserve">              </w:t>
      </w:r>
    </w:p>
    <w:p w14:paraId="15A7D59A">
      <w:pPr>
        <w:spacing w:line="5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名称（盖章）：</w:t>
      </w:r>
      <w:r>
        <w:rPr>
          <w:rFonts w:hint="eastAsia" w:ascii="宋体" w:hAnsi="宋体" w:cs="宋体"/>
          <w:color w:val="000000" w:themeColor="text1"/>
          <w:szCs w:val="21"/>
          <w:u w:val="single"/>
          <w14:textFill>
            <w14:solidFill>
              <w14:schemeClr w14:val="tx1"/>
            </w14:solidFill>
          </w14:textFill>
        </w:rPr>
        <w:t xml:space="preserve">       </w:t>
      </w:r>
    </w:p>
    <w:p w14:paraId="578528BE">
      <w:pPr>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报价时间：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w:t>
      </w:r>
    </w:p>
    <w:p w14:paraId="0748E570">
      <w:pPr>
        <w:tabs>
          <w:tab w:val="left" w:pos="3870"/>
          <w:tab w:val="left" w:pos="4085"/>
        </w:tabs>
        <w:adjustRightInd w:val="0"/>
        <w:snapToGrid w:val="0"/>
        <w:spacing w:line="360" w:lineRule="exact"/>
        <w:jc w:val="left"/>
        <w:rPr>
          <w:rFonts w:ascii="宋体" w:hAnsi="宋体" w:cs="宋体"/>
          <w:color w:val="000000" w:themeColor="text1"/>
          <w:szCs w:val="21"/>
          <w14:textFill>
            <w14:solidFill>
              <w14:schemeClr w14:val="tx1"/>
            </w14:solidFill>
          </w14:textFill>
        </w:rPr>
      </w:pPr>
    </w:p>
    <w:p w14:paraId="4E21A180">
      <w:pPr>
        <w:tabs>
          <w:tab w:val="left" w:pos="3870"/>
          <w:tab w:val="left" w:pos="4085"/>
        </w:tabs>
        <w:adjustRightInd w:val="0"/>
        <w:snapToGrid w:val="0"/>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（3）投标人针对报价需要说明的其他文件和说明；（格式自拟）</w:t>
      </w:r>
    </w:p>
    <w:p w14:paraId="53E10286">
      <w:pPr>
        <w:tabs>
          <w:tab w:val="left" w:pos="3870"/>
          <w:tab w:val="left" w:pos="4085"/>
        </w:tabs>
        <w:adjustRightInd w:val="0"/>
        <w:snapToGrid w:val="0"/>
        <w:spacing w:line="360" w:lineRule="exact"/>
        <w:jc w:val="left"/>
        <w:rPr>
          <w:rFonts w:ascii="宋体" w:hAnsi="宋体" w:cs="宋体"/>
          <w:color w:val="000000" w:themeColor="text1"/>
          <w:szCs w:val="21"/>
          <w14:textFill>
            <w14:solidFill>
              <w14:schemeClr w14:val="tx1"/>
            </w14:solidFill>
          </w14:textFill>
        </w:rPr>
      </w:pPr>
    </w:p>
    <w:p w14:paraId="7267EA8E">
      <w:pPr>
        <w:tabs>
          <w:tab w:val="left" w:pos="3870"/>
          <w:tab w:val="left" w:pos="4085"/>
        </w:tabs>
        <w:adjustRightInd w:val="0"/>
        <w:snapToGrid w:val="0"/>
        <w:spacing w:line="360" w:lineRule="exact"/>
        <w:jc w:val="left"/>
        <w:rPr>
          <w:rFonts w:hint="eastAsia" w:ascii="宋体" w:hAnsi="宋体" w:cs="宋体"/>
          <w:color w:val="000000" w:themeColor="text1"/>
          <w:szCs w:val="21"/>
          <w14:textFill>
            <w14:solidFill>
              <w14:schemeClr w14:val="tx1"/>
            </w14:solidFill>
          </w14:textFill>
        </w:rPr>
      </w:pPr>
    </w:p>
    <w:p w14:paraId="7F22DD11">
      <w:pPr>
        <w:tabs>
          <w:tab w:val="left" w:pos="3870"/>
          <w:tab w:val="left" w:pos="4085"/>
        </w:tabs>
        <w:adjustRightInd w:val="0"/>
        <w:snapToGrid w:val="0"/>
        <w:spacing w:line="360" w:lineRule="exact"/>
        <w:jc w:val="left"/>
        <w:rPr>
          <w:rFonts w:hint="eastAsia" w:ascii="宋体" w:hAnsi="宋体" w:cs="宋体"/>
          <w:color w:val="000000" w:themeColor="text1"/>
          <w:szCs w:val="21"/>
          <w14:textFill>
            <w14:solidFill>
              <w14:schemeClr w14:val="tx1"/>
            </w14:solidFill>
          </w14:textFill>
        </w:rPr>
      </w:pPr>
    </w:p>
    <w:p w14:paraId="28DE3434">
      <w:pPr>
        <w:tabs>
          <w:tab w:val="left" w:pos="3870"/>
          <w:tab w:val="left" w:pos="4085"/>
        </w:tabs>
        <w:adjustRightInd w:val="0"/>
        <w:snapToGrid w:val="0"/>
        <w:spacing w:line="360" w:lineRule="exact"/>
        <w:jc w:val="left"/>
        <w:rPr>
          <w:rFonts w:hint="eastAsia" w:ascii="宋体" w:hAnsi="宋体" w:cs="宋体"/>
          <w:color w:val="000000" w:themeColor="text1"/>
          <w:szCs w:val="21"/>
          <w14:textFill>
            <w14:solidFill>
              <w14:schemeClr w14:val="tx1"/>
            </w14:solidFill>
          </w14:textFill>
        </w:rPr>
      </w:pPr>
    </w:p>
    <w:p w14:paraId="79496260">
      <w:pPr>
        <w:tabs>
          <w:tab w:val="left" w:pos="3870"/>
          <w:tab w:val="left" w:pos="4085"/>
        </w:tabs>
        <w:adjustRightInd w:val="0"/>
        <w:snapToGrid w:val="0"/>
        <w:spacing w:line="360" w:lineRule="exact"/>
        <w:jc w:val="left"/>
        <w:rPr>
          <w:rFonts w:hint="eastAsia" w:ascii="宋体" w:hAnsi="宋体" w:cs="宋体"/>
          <w:color w:val="000000" w:themeColor="text1"/>
          <w:szCs w:val="21"/>
          <w14:textFill>
            <w14:solidFill>
              <w14:schemeClr w14:val="tx1"/>
            </w14:solidFill>
          </w14:textFill>
        </w:rPr>
      </w:pPr>
    </w:p>
    <w:p w14:paraId="51D47824">
      <w:pPr>
        <w:tabs>
          <w:tab w:val="left" w:pos="3870"/>
          <w:tab w:val="left" w:pos="4085"/>
        </w:tabs>
        <w:adjustRightInd w:val="0"/>
        <w:snapToGrid w:val="0"/>
        <w:spacing w:line="360" w:lineRule="exact"/>
        <w:jc w:val="left"/>
        <w:rPr>
          <w:rFonts w:hint="eastAsia" w:ascii="宋体" w:hAnsi="宋体" w:cs="宋体"/>
          <w:color w:val="000000" w:themeColor="text1"/>
          <w:szCs w:val="21"/>
          <w14:textFill>
            <w14:solidFill>
              <w14:schemeClr w14:val="tx1"/>
            </w14:solidFill>
          </w14:textFill>
        </w:rPr>
      </w:pPr>
    </w:p>
    <w:p w14:paraId="7BB5A511">
      <w:pPr>
        <w:tabs>
          <w:tab w:val="left" w:pos="3870"/>
          <w:tab w:val="left" w:pos="4085"/>
        </w:tabs>
        <w:adjustRightInd w:val="0"/>
        <w:snapToGrid w:val="0"/>
        <w:spacing w:line="360" w:lineRule="exact"/>
        <w:jc w:val="left"/>
        <w:rPr>
          <w:rFonts w:hint="eastAsia" w:ascii="宋体" w:hAnsi="宋体" w:cs="宋体"/>
          <w:color w:val="000000" w:themeColor="text1"/>
          <w:szCs w:val="21"/>
          <w14:textFill>
            <w14:solidFill>
              <w14:schemeClr w14:val="tx1"/>
            </w14:solidFill>
          </w14:textFill>
        </w:rPr>
      </w:pPr>
    </w:p>
    <w:p w14:paraId="5019419B">
      <w:pPr>
        <w:tabs>
          <w:tab w:val="left" w:pos="3870"/>
          <w:tab w:val="left" w:pos="4085"/>
        </w:tabs>
        <w:adjustRightInd w:val="0"/>
        <w:snapToGrid w:val="0"/>
        <w:spacing w:line="360" w:lineRule="exact"/>
        <w:jc w:val="left"/>
        <w:rPr>
          <w:rFonts w:hint="eastAsia" w:ascii="宋体" w:hAnsi="宋体" w:cs="宋体"/>
          <w:color w:val="000000" w:themeColor="text1"/>
          <w:szCs w:val="21"/>
          <w14:textFill>
            <w14:solidFill>
              <w14:schemeClr w14:val="tx1"/>
            </w14:solidFill>
          </w14:textFill>
        </w:rPr>
      </w:pPr>
    </w:p>
    <w:p w14:paraId="7CB50833">
      <w:pPr>
        <w:tabs>
          <w:tab w:val="left" w:pos="3870"/>
          <w:tab w:val="left" w:pos="4085"/>
        </w:tabs>
        <w:adjustRightInd w:val="0"/>
        <w:snapToGrid w:val="0"/>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▲（4）开标一览表格式：</w:t>
      </w:r>
    </w:p>
    <w:p w14:paraId="6FD6CF8A">
      <w:pPr>
        <w:snapToGrid w:val="0"/>
        <w:spacing w:line="600" w:lineRule="exact"/>
        <w:jc w:val="center"/>
        <w:rPr>
          <w:rFonts w:hint="eastAsia" w:ascii="宋体" w:hAnsi="宋体" w:cs="宋体"/>
          <w:color w:val="000000" w:themeColor="text1"/>
          <w:sz w:val="30"/>
          <w:szCs w:val="30"/>
          <w14:textFill>
            <w14:solidFill>
              <w14:schemeClr w14:val="tx1"/>
            </w14:solidFill>
          </w14:textFill>
        </w:rPr>
      </w:pPr>
    </w:p>
    <w:p w14:paraId="452E821E">
      <w:pPr>
        <w:snapToGrid w:val="0"/>
        <w:spacing w:line="600" w:lineRule="exact"/>
        <w:jc w:val="center"/>
        <w:rPr>
          <w:rFonts w:hint="eastAsia" w:ascii="宋体" w:hAnsi="宋体" w:cs="宋体"/>
          <w:color w:val="000000" w:themeColor="text1"/>
          <w:sz w:val="30"/>
          <w:szCs w:val="30"/>
          <w14:textFill>
            <w14:solidFill>
              <w14:schemeClr w14:val="tx1"/>
            </w14:solidFill>
          </w14:textFill>
        </w:rPr>
      </w:pPr>
    </w:p>
    <w:p w14:paraId="7E292026">
      <w:pPr>
        <w:snapToGrid w:val="0"/>
        <w:spacing w:line="600" w:lineRule="exact"/>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开标一览表</w:t>
      </w:r>
    </w:p>
    <w:p w14:paraId="1C054724">
      <w:pPr>
        <w:jc w:val="center"/>
        <w:rPr>
          <w:rFonts w:ascii="宋体" w:hAnsi="宋体" w:cs="宋体"/>
          <w:b/>
          <w:color w:val="000000" w:themeColor="text1"/>
          <w:sz w:val="3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b/>
          <w:color w:val="000000" w:themeColor="text1"/>
          <w:sz w:val="32"/>
          <w:szCs w:val="21"/>
          <w14:textFill>
            <w14:solidFill>
              <w14:schemeClr w14:val="tx1"/>
            </w14:solidFill>
          </w14:textFill>
        </w:rPr>
        <w:t>报价表（格式）</w:t>
      </w:r>
    </w:p>
    <w:p w14:paraId="2AC700A3">
      <w:pPr>
        <w:spacing w:line="5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u w:val="single"/>
          <w14:textFill>
            <w14:solidFill>
              <w14:schemeClr w14:val="tx1"/>
            </w14:solidFill>
          </w14:textFill>
        </w:rPr>
        <w:t xml:space="preserve">                 </w:t>
      </w:r>
    </w:p>
    <w:p w14:paraId="5E469E57">
      <w:pPr>
        <w:spacing w:line="5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14:paraId="2181E804">
      <w:pPr>
        <w:tabs>
          <w:tab w:val="left" w:pos="3870"/>
          <w:tab w:val="left" w:pos="4085"/>
        </w:tabs>
        <w:adjustRightInd w:val="0"/>
        <w:snapToGrid w:val="0"/>
        <w:spacing w:line="360" w:lineRule="exact"/>
        <w:ind w:firstLine="7035" w:firstLineChars="335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金额单位：人民币（元）</w:t>
      </w:r>
      <w:r>
        <w:rPr>
          <w:rFonts w:hint="eastAsia" w:ascii="宋体" w:hAnsi="宋体" w:cs="宋体"/>
          <w:color w:val="000000" w:themeColor="text1"/>
          <w:szCs w:val="21"/>
          <w14:textFill>
            <w14:solidFill>
              <w14:schemeClr w14:val="tx1"/>
            </w14:solidFill>
          </w14:textFill>
        </w:rPr>
        <w:t xml:space="preserve"> </w:t>
      </w:r>
    </w:p>
    <w:p w14:paraId="70C77D88">
      <w:pPr>
        <w:spacing w:line="500" w:lineRule="exact"/>
        <w:rPr>
          <w:rFonts w:ascii="宋体" w:hAnsi="宋体" w:cs="宋体"/>
          <w:color w:val="000000" w:themeColor="text1"/>
          <w:szCs w:val="21"/>
          <w14:textFill>
            <w14:solidFill>
              <w14:schemeClr w14:val="tx1"/>
            </w14:solidFill>
          </w14:textFill>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205"/>
        <w:gridCol w:w="863"/>
        <w:gridCol w:w="863"/>
        <w:gridCol w:w="2719"/>
        <w:gridCol w:w="2004"/>
      </w:tblGrid>
      <w:tr w14:paraId="0C53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588A542B">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205" w:type="dxa"/>
            <w:tcBorders>
              <w:top w:val="single" w:color="auto" w:sz="4" w:space="0"/>
              <w:left w:val="single" w:color="auto" w:sz="4" w:space="0"/>
              <w:bottom w:val="single" w:color="auto" w:sz="4" w:space="0"/>
              <w:right w:val="single" w:color="auto" w:sz="4" w:space="0"/>
            </w:tcBorders>
            <w:vAlign w:val="center"/>
          </w:tcPr>
          <w:p w14:paraId="304D0E02">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服务内容</w:t>
            </w:r>
          </w:p>
        </w:tc>
        <w:tc>
          <w:tcPr>
            <w:tcW w:w="863" w:type="dxa"/>
            <w:tcBorders>
              <w:top w:val="single" w:color="auto" w:sz="4" w:space="0"/>
              <w:left w:val="single" w:color="auto" w:sz="4" w:space="0"/>
              <w:bottom w:val="single" w:color="auto" w:sz="4" w:space="0"/>
              <w:right w:val="single" w:color="auto" w:sz="4" w:space="0"/>
            </w:tcBorders>
            <w:vAlign w:val="center"/>
          </w:tcPr>
          <w:p w14:paraId="35883162">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  量</w:t>
            </w:r>
          </w:p>
        </w:tc>
        <w:tc>
          <w:tcPr>
            <w:tcW w:w="863" w:type="dxa"/>
            <w:tcBorders>
              <w:top w:val="single" w:color="auto" w:sz="4" w:space="0"/>
              <w:left w:val="single" w:color="auto" w:sz="4" w:space="0"/>
              <w:bottom w:val="single" w:color="auto" w:sz="4" w:space="0"/>
              <w:right w:val="single" w:color="auto" w:sz="4" w:space="0"/>
            </w:tcBorders>
            <w:vAlign w:val="center"/>
          </w:tcPr>
          <w:p w14:paraId="6720F966">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w:t>
            </w:r>
          </w:p>
        </w:tc>
        <w:tc>
          <w:tcPr>
            <w:tcW w:w="2719" w:type="dxa"/>
            <w:tcBorders>
              <w:top w:val="single" w:color="auto" w:sz="4" w:space="0"/>
              <w:left w:val="single" w:color="auto" w:sz="4" w:space="0"/>
              <w:bottom w:val="single" w:color="auto" w:sz="4" w:space="0"/>
              <w:right w:val="single" w:color="auto" w:sz="4" w:space="0"/>
            </w:tcBorders>
            <w:vAlign w:val="center"/>
          </w:tcPr>
          <w:p w14:paraId="588FEEE9">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  额</w:t>
            </w:r>
          </w:p>
          <w:p w14:paraId="09D79BD0">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（元）</w:t>
            </w:r>
          </w:p>
        </w:tc>
        <w:tc>
          <w:tcPr>
            <w:tcW w:w="2004" w:type="dxa"/>
            <w:tcBorders>
              <w:top w:val="single" w:color="auto" w:sz="4" w:space="0"/>
              <w:left w:val="single" w:color="auto" w:sz="4" w:space="0"/>
              <w:bottom w:val="single" w:color="auto" w:sz="4" w:space="0"/>
              <w:right w:val="single" w:color="auto" w:sz="4" w:space="0"/>
            </w:tcBorders>
            <w:vAlign w:val="center"/>
          </w:tcPr>
          <w:p w14:paraId="05384DF6">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说      明</w:t>
            </w:r>
          </w:p>
        </w:tc>
      </w:tr>
      <w:tr w14:paraId="2896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4CFFAA77">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205" w:type="dxa"/>
            <w:tcBorders>
              <w:top w:val="single" w:color="auto" w:sz="4" w:space="0"/>
              <w:left w:val="single" w:color="auto" w:sz="4" w:space="0"/>
              <w:bottom w:val="single" w:color="auto" w:sz="4" w:space="0"/>
              <w:right w:val="single" w:color="auto" w:sz="4" w:space="0"/>
            </w:tcBorders>
            <w:vAlign w:val="center"/>
          </w:tcPr>
          <w:p w14:paraId="6B4C5635">
            <w:pPr>
              <w:snapToGrid w:val="0"/>
              <w:spacing w:line="400" w:lineRule="exact"/>
              <w:jc w:val="center"/>
              <w:rPr>
                <w:rFonts w:ascii="宋体" w:hAnsi="宋体" w:cs="宋体"/>
                <w:color w:val="000000" w:themeColor="text1"/>
                <w:szCs w:val="21"/>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019E44F4">
            <w:pPr>
              <w:snapToGrid w:val="0"/>
              <w:spacing w:line="400" w:lineRule="exact"/>
              <w:jc w:val="center"/>
              <w:rPr>
                <w:rFonts w:ascii="宋体" w:hAnsi="宋体" w:cs="宋体"/>
                <w:color w:val="000000" w:themeColor="text1"/>
                <w:szCs w:val="21"/>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660A3D27">
            <w:pPr>
              <w:snapToGrid w:val="0"/>
              <w:spacing w:line="400" w:lineRule="exact"/>
              <w:jc w:val="center"/>
              <w:rPr>
                <w:rFonts w:ascii="宋体" w:hAnsi="宋体" w:cs="宋体"/>
                <w:color w:val="000000" w:themeColor="text1"/>
                <w:szCs w:val="2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vAlign w:val="center"/>
          </w:tcPr>
          <w:p w14:paraId="58109253">
            <w:pPr>
              <w:snapToGrid w:val="0"/>
              <w:spacing w:line="400" w:lineRule="exact"/>
              <w:jc w:val="center"/>
              <w:rPr>
                <w:rFonts w:ascii="宋体" w:hAnsi="宋体" w:cs="宋体"/>
                <w:color w:val="000000" w:themeColor="text1"/>
                <w:szCs w:val="21"/>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tcPr>
          <w:p w14:paraId="6A2A2D49">
            <w:pPr>
              <w:snapToGrid w:val="0"/>
              <w:spacing w:line="400" w:lineRule="exact"/>
              <w:jc w:val="center"/>
              <w:rPr>
                <w:rFonts w:ascii="宋体" w:hAnsi="宋体" w:cs="宋体"/>
                <w:color w:val="000000" w:themeColor="text1"/>
                <w:szCs w:val="21"/>
                <w14:textFill>
                  <w14:solidFill>
                    <w14:schemeClr w14:val="tx1"/>
                  </w14:solidFill>
                </w14:textFill>
              </w:rPr>
            </w:pPr>
          </w:p>
        </w:tc>
      </w:tr>
      <w:tr w14:paraId="1B36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295699DF">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205" w:type="dxa"/>
            <w:tcBorders>
              <w:top w:val="single" w:color="auto" w:sz="4" w:space="0"/>
              <w:left w:val="single" w:color="auto" w:sz="4" w:space="0"/>
              <w:bottom w:val="single" w:color="auto" w:sz="4" w:space="0"/>
              <w:right w:val="single" w:color="auto" w:sz="4" w:space="0"/>
            </w:tcBorders>
            <w:vAlign w:val="center"/>
          </w:tcPr>
          <w:p w14:paraId="2D267552">
            <w:pPr>
              <w:snapToGrid w:val="0"/>
              <w:spacing w:line="400" w:lineRule="exact"/>
              <w:jc w:val="center"/>
              <w:rPr>
                <w:rFonts w:ascii="宋体" w:hAnsi="宋体" w:cs="宋体"/>
                <w:color w:val="000000" w:themeColor="text1"/>
                <w:szCs w:val="21"/>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1700033E">
            <w:pPr>
              <w:snapToGrid w:val="0"/>
              <w:spacing w:line="400" w:lineRule="exact"/>
              <w:jc w:val="center"/>
              <w:rPr>
                <w:rFonts w:ascii="宋体" w:hAnsi="宋体" w:cs="宋体"/>
                <w:color w:val="000000" w:themeColor="text1"/>
                <w:szCs w:val="21"/>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048BBE25">
            <w:pPr>
              <w:snapToGrid w:val="0"/>
              <w:spacing w:line="400" w:lineRule="exact"/>
              <w:jc w:val="center"/>
              <w:rPr>
                <w:rFonts w:ascii="宋体" w:hAnsi="宋体" w:cs="宋体"/>
                <w:color w:val="000000" w:themeColor="text1"/>
                <w:szCs w:val="2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vAlign w:val="center"/>
          </w:tcPr>
          <w:p w14:paraId="564CE2F3">
            <w:pPr>
              <w:snapToGrid w:val="0"/>
              <w:spacing w:line="400" w:lineRule="exact"/>
              <w:jc w:val="center"/>
              <w:rPr>
                <w:rFonts w:ascii="宋体" w:hAnsi="宋体" w:cs="宋体"/>
                <w:color w:val="000000" w:themeColor="text1"/>
                <w:szCs w:val="21"/>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tcPr>
          <w:p w14:paraId="0B05151D">
            <w:pPr>
              <w:snapToGrid w:val="0"/>
              <w:spacing w:line="400" w:lineRule="exact"/>
              <w:jc w:val="center"/>
              <w:rPr>
                <w:rFonts w:ascii="宋体" w:hAnsi="宋体" w:cs="宋体"/>
                <w:color w:val="000000" w:themeColor="text1"/>
                <w:szCs w:val="21"/>
                <w14:textFill>
                  <w14:solidFill>
                    <w14:schemeClr w14:val="tx1"/>
                  </w14:solidFill>
                </w14:textFill>
              </w:rPr>
            </w:pPr>
          </w:p>
        </w:tc>
      </w:tr>
      <w:tr w14:paraId="2349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60269185">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205" w:type="dxa"/>
            <w:tcBorders>
              <w:top w:val="single" w:color="auto" w:sz="4" w:space="0"/>
              <w:left w:val="single" w:color="auto" w:sz="4" w:space="0"/>
              <w:bottom w:val="single" w:color="auto" w:sz="4" w:space="0"/>
              <w:right w:val="single" w:color="auto" w:sz="4" w:space="0"/>
            </w:tcBorders>
            <w:vAlign w:val="center"/>
          </w:tcPr>
          <w:p w14:paraId="1EDC338C">
            <w:pPr>
              <w:snapToGrid w:val="0"/>
              <w:spacing w:line="400" w:lineRule="exact"/>
              <w:jc w:val="center"/>
              <w:rPr>
                <w:rFonts w:ascii="宋体" w:hAnsi="宋体" w:cs="宋体"/>
                <w:color w:val="000000" w:themeColor="text1"/>
                <w:szCs w:val="21"/>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15F5845B">
            <w:pPr>
              <w:snapToGrid w:val="0"/>
              <w:spacing w:line="400" w:lineRule="exact"/>
              <w:jc w:val="center"/>
              <w:rPr>
                <w:rFonts w:ascii="宋体" w:hAnsi="宋体" w:cs="宋体"/>
                <w:color w:val="000000" w:themeColor="text1"/>
                <w:szCs w:val="21"/>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5A964F2E">
            <w:pPr>
              <w:snapToGrid w:val="0"/>
              <w:spacing w:line="400" w:lineRule="exact"/>
              <w:jc w:val="center"/>
              <w:rPr>
                <w:rFonts w:ascii="宋体" w:hAnsi="宋体" w:cs="宋体"/>
                <w:color w:val="000000" w:themeColor="text1"/>
                <w:szCs w:val="2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vAlign w:val="center"/>
          </w:tcPr>
          <w:p w14:paraId="6C174F04">
            <w:pPr>
              <w:snapToGrid w:val="0"/>
              <w:spacing w:line="400" w:lineRule="exact"/>
              <w:jc w:val="center"/>
              <w:rPr>
                <w:rFonts w:ascii="宋体" w:hAnsi="宋体" w:cs="宋体"/>
                <w:color w:val="000000" w:themeColor="text1"/>
                <w:szCs w:val="21"/>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tcPr>
          <w:p w14:paraId="378CB995">
            <w:pPr>
              <w:snapToGrid w:val="0"/>
              <w:spacing w:line="400" w:lineRule="exact"/>
              <w:jc w:val="center"/>
              <w:rPr>
                <w:rFonts w:ascii="宋体" w:hAnsi="宋体" w:cs="宋体"/>
                <w:color w:val="000000" w:themeColor="text1"/>
                <w:szCs w:val="21"/>
                <w14:textFill>
                  <w14:solidFill>
                    <w14:schemeClr w14:val="tx1"/>
                  </w14:solidFill>
                </w14:textFill>
              </w:rPr>
            </w:pPr>
          </w:p>
        </w:tc>
      </w:tr>
      <w:tr w14:paraId="7E84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9185" w:type="dxa"/>
            <w:gridSpan w:val="6"/>
            <w:tcBorders>
              <w:top w:val="single" w:color="auto" w:sz="4" w:space="0"/>
              <w:left w:val="single" w:color="auto" w:sz="4" w:space="0"/>
              <w:bottom w:val="single" w:color="auto" w:sz="4" w:space="0"/>
              <w:right w:val="single" w:color="auto" w:sz="4" w:space="0"/>
            </w:tcBorders>
            <w:vAlign w:val="center"/>
          </w:tcPr>
          <w:p w14:paraId="3F8E0AE0">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人民币合计金额（大写）：                                 小写金额：</w:t>
            </w:r>
          </w:p>
        </w:tc>
      </w:tr>
    </w:tbl>
    <w:p w14:paraId="223BF323">
      <w:pPr>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所有价格均用人民币表示，单位为元，精确到个数位</w:t>
      </w:r>
    </w:p>
    <w:p w14:paraId="2F6986F3">
      <w:pPr>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w:t>
      </w:r>
      <w:r>
        <w:rPr>
          <w:rFonts w:hint="eastAsia" w:ascii="宋体" w:hAnsi="宋体" w:cs="宋体"/>
          <w:bCs/>
          <w:color w:val="000000" w:themeColor="text1"/>
          <w:lang w:val="en-US" w:eastAsia="zh-CN"/>
          <w14:textFill>
            <w14:solidFill>
              <w14:schemeClr w14:val="tx1"/>
            </w14:solidFill>
          </w14:textFill>
        </w:rPr>
        <w:t>.</w:t>
      </w:r>
      <w:r>
        <w:rPr>
          <w:rFonts w:hint="eastAsia" w:ascii="宋体" w:hAnsi="宋体" w:cs="宋体"/>
          <w:bCs/>
          <w:color w:val="000000" w:themeColor="text1"/>
          <w14:textFill>
            <w14:solidFill>
              <w14:schemeClr w14:val="tx1"/>
            </w14:solidFill>
          </w14:textFill>
        </w:rPr>
        <w:t>报价指完成本项目所有成本、费用的总和</w:t>
      </w:r>
      <w:r>
        <w:rPr>
          <w:rFonts w:hint="eastAsia" w:ascii="宋体" w:hAnsi="宋体" w:cs="宋体"/>
          <w:color w:val="000000" w:themeColor="text1"/>
          <w:szCs w:val="21"/>
          <w14:textFill>
            <w14:solidFill>
              <w14:schemeClr w14:val="tx1"/>
            </w14:solidFill>
          </w14:textFill>
        </w:rPr>
        <w:t>。</w:t>
      </w:r>
      <w:r>
        <w:rPr>
          <w:rFonts w:hint="eastAsia" w:ascii="宋体" w:hAnsi="宋体" w:cs="宋体"/>
          <w:bCs/>
          <w:color w:val="000000" w:themeColor="text1"/>
          <w14:textFill>
            <w14:solidFill>
              <w14:schemeClr w14:val="tx1"/>
            </w14:solidFill>
          </w14:textFill>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w:t>
      </w:r>
    </w:p>
    <w:p w14:paraId="3EA84D39">
      <w:pPr>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w:t>
      </w:r>
      <w:r>
        <w:rPr>
          <w:rFonts w:hint="eastAsia" w:ascii="宋体" w:hAnsi="宋体" w:cs="宋体"/>
          <w:bCs/>
          <w:color w:val="000000" w:themeColor="text1"/>
          <w:lang w:val="en-US" w:eastAsia="zh-CN"/>
          <w14:textFill>
            <w14:solidFill>
              <w14:schemeClr w14:val="tx1"/>
            </w14:solidFill>
          </w14:textFill>
        </w:rPr>
        <w:t>.</w:t>
      </w:r>
      <w:r>
        <w:rPr>
          <w:rFonts w:hint="eastAsia" w:ascii="宋体" w:hAnsi="宋体" w:cs="宋体"/>
          <w:bCs/>
          <w:color w:val="000000" w:themeColor="text1"/>
          <w14:textFill>
            <w14:solidFill>
              <w14:schemeClr w14:val="tx1"/>
            </w14:solidFill>
          </w14:textFill>
        </w:rPr>
        <w:t>投标报价属于本招标文件规定的政府采购异常低价情形之一，投标人应当按照评标委员会的要求提供书面说明、证明材料。投标人不能提供书面说明、证明材料，或者提供的书面说明、证明材料不能证明其报价合理性的，投标无效。</w:t>
      </w:r>
    </w:p>
    <w:p w14:paraId="69A47508">
      <w:pPr>
        <w:snapToGrid w:val="0"/>
        <w:spacing w:line="32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4.以上报价应与“</w:t>
      </w:r>
      <w:r>
        <w:rPr>
          <w:rFonts w:hint="eastAsia" w:ascii="宋体" w:hAnsi="宋体" w:cs="宋体"/>
          <w:b/>
          <w:color w:val="000000" w:themeColor="text1"/>
          <w:szCs w:val="21"/>
          <w14:textFill>
            <w14:solidFill>
              <w14:schemeClr w14:val="tx1"/>
            </w14:solidFill>
          </w14:textFill>
        </w:rPr>
        <w:t>投标报价明细表</w:t>
      </w:r>
      <w:r>
        <w:rPr>
          <w:rFonts w:hint="eastAsia" w:ascii="宋体" w:hAnsi="宋体" w:cs="宋体"/>
          <w:color w:val="000000" w:themeColor="text1"/>
          <w:szCs w:val="21"/>
          <w14:textFill>
            <w14:solidFill>
              <w14:schemeClr w14:val="tx1"/>
            </w14:solidFill>
          </w14:textFill>
        </w:rPr>
        <w:t>”中的“投标总价”相一致。</w:t>
      </w:r>
    </w:p>
    <w:p w14:paraId="35A8C635">
      <w:pPr>
        <w:snapToGrid w:val="0"/>
        <w:spacing w:line="32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5.本项目投标报价不得超过预算金额，否则作无效投标处理。</w:t>
      </w:r>
    </w:p>
    <w:p w14:paraId="75CD0208">
      <w:pPr>
        <w:spacing w:line="5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r>
        <w:rPr>
          <w:rFonts w:hint="eastAsia" w:ascii="宋体" w:hAnsi="宋体" w:cs="宋体"/>
          <w:color w:val="000000" w:themeColor="text1"/>
          <w14:textFill>
            <w14:solidFill>
              <w14:schemeClr w14:val="tx1"/>
            </w14:solidFill>
          </w14:textFill>
        </w:rPr>
        <w:t>（负责人）</w:t>
      </w:r>
      <w:r>
        <w:rPr>
          <w:rFonts w:hint="eastAsia" w:ascii="宋体" w:hAnsi="宋体" w:cs="宋体"/>
          <w:color w:val="000000" w:themeColor="text1"/>
          <w:szCs w:val="21"/>
          <w14:textFill>
            <w14:solidFill>
              <w14:schemeClr w14:val="tx1"/>
            </w14:solidFill>
          </w14:textFill>
        </w:rPr>
        <w:t>或委托代理人签名:</w:t>
      </w:r>
      <w:r>
        <w:rPr>
          <w:rFonts w:hint="eastAsia" w:ascii="宋体" w:hAnsi="宋体" w:cs="宋体"/>
          <w:color w:val="000000" w:themeColor="text1"/>
          <w:szCs w:val="21"/>
          <w:u w:val="single"/>
          <w14:textFill>
            <w14:solidFill>
              <w14:schemeClr w14:val="tx1"/>
            </w14:solidFill>
          </w14:textFill>
        </w:rPr>
        <w:t xml:space="preserve">              </w:t>
      </w:r>
    </w:p>
    <w:p w14:paraId="31965FBA">
      <w:pPr>
        <w:spacing w:line="5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名称（盖章）：</w:t>
      </w:r>
      <w:r>
        <w:rPr>
          <w:rFonts w:hint="eastAsia" w:ascii="宋体" w:hAnsi="宋体" w:cs="宋体"/>
          <w:color w:val="000000" w:themeColor="text1"/>
          <w:szCs w:val="21"/>
          <w:u w:val="single"/>
          <w14:textFill>
            <w14:solidFill>
              <w14:schemeClr w14:val="tx1"/>
            </w14:solidFill>
          </w14:textFill>
        </w:rPr>
        <w:t xml:space="preserve">       </w:t>
      </w:r>
    </w:p>
    <w:p w14:paraId="4AADE58F">
      <w:pPr>
        <w:spacing w:line="5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报价时间：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w:t>
      </w:r>
    </w:p>
    <w:p w14:paraId="5C58EE19">
      <w:pPr>
        <w:pStyle w:val="317"/>
        <w:ind w:firstLine="0" w:firstLineChars="0"/>
        <w:jc w:val="center"/>
        <w:outlineLvl w:val="1"/>
        <w:rPr>
          <w:rFonts w:cs="宋体"/>
          <w:color w:val="000000" w:themeColor="text1"/>
          <w14:textFill>
            <w14:solidFill>
              <w14:schemeClr w14:val="tx1"/>
            </w14:solidFill>
          </w14:textFill>
        </w:rPr>
      </w:pPr>
    </w:p>
    <w:p w14:paraId="5A019804">
      <w:pPr>
        <w:pStyle w:val="317"/>
        <w:ind w:firstLine="0" w:firstLineChars="0"/>
        <w:jc w:val="center"/>
        <w:outlineLvl w:val="1"/>
        <w:rPr>
          <w:rFonts w:cs="宋体"/>
          <w:color w:val="000000" w:themeColor="text1"/>
          <w14:textFill>
            <w14:solidFill>
              <w14:schemeClr w14:val="tx1"/>
            </w14:solidFill>
          </w14:textFill>
        </w:rPr>
      </w:pPr>
    </w:p>
    <w:p w14:paraId="3AE9B0B9">
      <w:pPr>
        <w:pStyle w:val="317"/>
        <w:ind w:firstLine="0" w:firstLineChars="0"/>
        <w:jc w:val="center"/>
        <w:outlineLvl w:val="1"/>
        <w:rPr>
          <w:rFonts w:cs="宋体"/>
          <w:color w:val="000000" w:themeColor="text1"/>
          <w14:textFill>
            <w14:solidFill>
              <w14:schemeClr w14:val="tx1"/>
            </w14:solidFill>
          </w14:textFill>
        </w:rPr>
      </w:pPr>
    </w:p>
    <w:p w14:paraId="6FB15130">
      <w:pPr>
        <w:pStyle w:val="317"/>
        <w:ind w:firstLine="0" w:firstLineChars="0"/>
        <w:jc w:val="center"/>
        <w:outlineLvl w:val="1"/>
        <w:rPr>
          <w:rFonts w:cs="宋体"/>
          <w:color w:val="000000" w:themeColor="text1"/>
          <w14:textFill>
            <w14:solidFill>
              <w14:schemeClr w14:val="tx1"/>
            </w14:solidFill>
          </w14:textFill>
        </w:rPr>
      </w:pPr>
    </w:p>
    <w:p w14:paraId="22AA79F2">
      <w:pPr>
        <w:pStyle w:val="317"/>
        <w:ind w:firstLine="0" w:firstLineChars="0"/>
        <w:jc w:val="center"/>
        <w:outlineLvl w:val="1"/>
        <w:rPr>
          <w:rFonts w:cs="宋体"/>
          <w:color w:val="000000" w:themeColor="text1"/>
          <w14:textFill>
            <w14:solidFill>
              <w14:schemeClr w14:val="tx1"/>
            </w14:solidFill>
          </w14:textFill>
        </w:rPr>
      </w:pPr>
    </w:p>
    <w:p w14:paraId="67BE12FB">
      <w:pPr>
        <w:pStyle w:val="317"/>
        <w:ind w:firstLine="0" w:firstLineChars="0"/>
        <w:jc w:val="center"/>
        <w:outlineLvl w:val="1"/>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四、其他文书、文件格式</w:t>
      </w:r>
    </w:p>
    <w:p w14:paraId="29F9D392">
      <w:pPr>
        <w:pStyle w:val="7"/>
        <w:overflowPunct w:val="0"/>
        <w:spacing w:line="360" w:lineRule="exact"/>
        <w:rPr>
          <w:rFonts w:ascii="宋体" w:hAnsi="宋体" w:cs="宋体"/>
          <w:color w:val="000000" w:themeColor="text1"/>
          <w:spacing w:val="20"/>
          <w:sz w:val="21"/>
          <w:szCs w:val="21"/>
          <w14:textFill>
            <w14:solidFill>
              <w14:schemeClr w14:val="tx1"/>
            </w14:solidFill>
          </w14:textFill>
        </w:rPr>
      </w:pPr>
    </w:p>
    <w:p w14:paraId="54EB2221">
      <w:pPr>
        <w:snapToGrid w:val="0"/>
        <w:spacing w:line="360" w:lineRule="auto"/>
        <w:rPr>
          <w:rFonts w:ascii="宋体" w:hAnsi="宋体" w:cs="宋体"/>
          <w:color w:val="000000" w:themeColor="text1"/>
          <w:spacing w:val="20"/>
          <w:szCs w:val="21"/>
          <w14:textFill>
            <w14:solidFill>
              <w14:schemeClr w14:val="tx1"/>
            </w14:solidFill>
          </w14:textFill>
        </w:rPr>
      </w:pPr>
      <w:bookmarkStart w:id="51" w:name="OLE_LINK13"/>
      <w:bookmarkStart w:id="52" w:name="OLE_LINK14"/>
      <w:r>
        <w:rPr>
          <w:rFonts w:hint="eastAsia" w:ascii="宋体" w:hAnsi="宋体" w:cs="宋体"/>
          <w:color w:val="000000" w:themeColor="text1"/>
          <w:spacing w:val="20"/>
          <w:sz w:val="28"/>
          <w:szCs w:val="28"/>
          <w14:textFill>
            <w14:solidFill>
              <w14:schemeClr w14:val="tx1"/>
            </w14:solidFill>
          </w14:textFill>
        </w:rPr>
        <w:t>（一）中小企业声明函格式：</w:t>
      </w:r>
    </w:p>
    <w:bookmarkEnd w:id="51"/>
    <w:bookmarkEnd w:id="52"/>
    <w:p w14:paraId="53218A13">
      <w:pPr>
        <w:widowControl/>
        <w:spacing w:after="262" w:line="38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中小企业声明函（服务）</w:t>
      </w:r>
    </w:p>
    <w:p w14:paraId="6B9627E9">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i/>
          <w:color w:val="000000" w:themeColor="text1"/>
          <w:szCs w:val="21"/>
          <w:u w:val="single"/>
          <w14:textFill>
            <w14:solidFill>
              <w14:schemeClr w14:val="tx1"/>
            </w14:solidFill>
          </w14:textFill>
        </w:rPr>
        <w:t>（单位名称）</w:t>
      </w:r>
      <w:r>
        <w:rPr>
          <w:rFonts w:hint="eastAsia" w:ascii="宋体" w:hAnsi="宋体" w:cs="宋体"/>
          <w:color w:val="000000" w:themeColor="text1"/>
          <w:szCs w:val="21"/>
          <w14:textFill>
            <w14:solidFill>
              <w14:schemeClr w14:val="tx1"/>
            </w14:solidFill>
          </w14:textFill>
        </w:rPr>
        <w:t>的</w:t>
      </w:r>
      <w:r>
        <w:rPr>
          <w:rFonts w:hint="eastAsia" w:ascii="宋体" w:hAnsi="宋体" w:cs="宋体"/>
          <w:i/>
          <w:color w:val="000000" w:themeColor="text1"/>
          <w:szCs w:val="21"/>
          <w:u w:val="single"/>
          <w14:textFill>
            <w14:solidFill>
              <w14:schemeClr w14:val="tx1"/>
            </w14:solidFill>
          </w14:textFill>
        </w:rPr>
        <w:t>（项目名称）</w:t>
      </w:r>
      <w:r>
        <w:rPr>
          <w:rFonts w:hint="eastAsia" w:ascii="宋体" w:hAnsi="宋体" w:cs="宋体"/>
          <w:color w:val="000000" w:themeColor="text1"/>
          <w:szCs w:val="21"/>
          <w14:textFill>
            <w14:solidFill>
              <w14:schemeClr w14:val="tx1"/>
            </w14:solidFill>
          </w14:textFill>
        </w:rPr>
        <w:t>采购活动，服务全部由符合政策要求的中小企业承接。相关企业（含联合体中的中小企业、签订分包意向协议的中小企业）的具体情况如下：</w:t>
      </w:r>
    </w:p>
    <w:p w14:paraId="5B81B465">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i/>
          <w:color w:val="000000" w:themeColor="text1"/>
          <w:szCs w:val="21"/>
          <w:u w:val="single"/>
          <w14:textFill>
            <w14:solidFill>
              <w14:schemeClr w14:val="tx1"/>
            </w14:solidFill>
          </w14:textFill>
        </w:rPr>
        <w:t>（标的名称）</w:t>
      </w:r>
      <w:r>
        <w:rPr>
          <w:rFonts w:hint="eastAsia" w:ascii="宋体" w:hAnsi="宋体" w:cs="宋体"/>
          <w:color w:val="000000" w:themeColor="text1"/>
          <w:szCs w:val="21"/>
          <w14:textFill>
            <w14:solidFill>
              <w14:schemeClr w14:val="tx1"/>
            </w14:solidFill>
          </w14:textFill>
        </w:rPr>
        <w:t>，属于</w:t>
      </w:r>
      <w:r>
        <w:rPr>
          <w:rFonts w:hint="eastAsia" w:ascii="宋体" w:hAnsi="宋体" w:cs="宋体"/>
          <w:i/>
          <w:color w:val="000000" w:themeColor="text1"/>
          <w:szCs w:val="21"/>
          <w:u w:val="single"/>
          <w14:textFill>
            <w14:solidFill>
              <w14:schemeClr w14:val="tx1"/>
            </w14:solidFill>
          </w14:textFill>
        </w:rPr>
        <w:t>其他未列明行业</w:t>
      </w:r>
      <w:r>
        <w:rPr>
          <w:rFonts w:hint="eastAsia" w:ascii="宋体" w:hAnsi="宋体" w:cs="宋体"/>
          <w:color w:val="000000" w:themeColor="text1"/>
          <w:szCs w:val="21"/>
          <w14:textFill>
            <w14:solidFill>
              <w14:schemeClr w14:val="tx1"/>
            </w14:solidFill>
          </w14:textFill>
        </w:rPr>
        <w:t>行业；承接企业为</w:t>
      </w:r>
      <w:r>
        <w:rPr>
          <w:rFonts w:hint="eastAsia" w:ascii="宋体" w:hAnsi="宋体" w:cs="宋体"/>
          <w:i/>
          <w:color w:val="000000" w:themeColor="text1"/>
          <w:szCs w:val="21"/>
          <w:u w:val="single"/>
          <w14:textFill>
            <w14:solidFill>
              <w14:schemeClr w14:val="tx1"/>
            </w14:solidFill>
          </w14:textFill>
        </w:rPr>
        <w:t>（企业名称）</w:t>
      </w:r>
      <w:r>
        <w:rPr>
          <w:rFonts w:hint="eastAsia" w:ascii="宋体" w:hAnsi="宋体" w:cs="宋体"/>
          <w:color w:val="000000" w:themeColor="text1"/>
          <w:szCs w:val="21"/>
          <w14:textFill>
            <w14:solidFill>
              <w14:schemeClr w14:val="tx1"/>
            </w14:solidFill>
          </w14:textFill>
        </w:rPr>
        <w:t>，从业人员________人，营业收入为_________万元，资产总额为________万元，属于</w:t>
      </w:r>
      <w:r>
        <w:rPr>
          <w:rFonts w:hint="eastAsia" w:ascii="宋体" w:hAnsi="宋体" w:cs="宋体"/>
          <w:i/>
          <w:color w:val="000000" w:themeColor="text1"/>
          <w:szCs w:val="21"/>
          <w:u w:val="single"/>
          <w14:textFill>
            <w14:solidFill>
              <w14:schemeClr w14:val="tx1"/>
            </w14:solidFill>
          </w14:textFill>
        </w:rPr>
        <w:t>(中型企业、小型企业、微型企业)</w:t>
      </w:r>
      <w:r>
        <w:rPr>
          <w:rFonts w:hint="eastAsia" w:ascii="宋体" w:hAnsi="宋体" w:cs="宋体"/>
          <w:color w:val="000000" w:themeColor="text1"/>
          <w:szCs w:val="21"/>
          <w14:textFill>
            <w14:solidFill>
              <w14:schemeClr w14:val="tx1"/>
            </w14:solidFill>
          </w14:textFill>
        </w:rPr>
        <w:t>；</w:t>
      </w:r>
    </w:p>
    <w:p w14:paraId="178F80EC">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i/>
          <w:color w:val="000000" w:themeColor="text1"/>
          <w:szCs w:val="21"/>
          <w:u w:val="single"/>
          <w14:textFill>
            <w14:solidFill>
              <w14:schemeClr w14:val="tx1"/>
            </w14:solidFill>
          </w14:textFill>
        </w:rPr>
        <w:t xml:space="preserve"> （标的名称）</w:t>
      </w:r>
      <w:r>
        <w:rPr>
          <w:rFonts w:hint="eastAsia" w:ascii="宋体" w:hAnsi="宋体" w:cs="宋体"/>
          <w:color w:val="000000" w:themeColor="text1"/>
          <w:szCs w:val="21"/>
          <w14:textFill>
            <w14:solidFill>
              <w14:schemeClr w14:val="tx1"/>
            </w14:solidFill>
          </w14:textFill>
        </w:rPr>
        <w:t>，属于</w:t>
      </w:r>
      <w:r>
        <w:rPr>
          <w:rFonts w:hint="eastAsia" w:ascii="宋体" w:hAnsi="宋体" w:cs="宋体"/>
          <w:i/>
          <w:color w:val="000000" w:themeColor="text1"/>
          <w:szCs w:val="21"/>
          <w:u w:val="single"/>
          <w14:textFill>
            <w14:solidFill>
              <w14:schemeClr w14:val="tx1"/>
            </w14:solidFill>
          </w14:textFill>
        </w:rPr>
        <w:t>（采购文件中明确的所属行业）</w:t>
      </w:r>
      <w:r>
        <w:rPr>
          <w:rFonts w:hint="eastAsia" w:ascii="宋体" w:hAnsi="宋体" w:cs="宋体"/>
          <w:color w:val="000000" w:themeColor="text1"/>
          <w:szCs w:val="21"/>
          <w14:textFill>
            <w14:solidFill>
              <w14:schemeClr w14:val="tx1"/>
            </w14:solidFill>
          </w14:textFill>
        </w:rPr>
        <w:t>行业；承接企业为</w:t>
      </w:r>
      <w:r>
        <w:rPr>
          <w:rFonts w:hint="eastAsia" w:ascii="宋体" w:hAnsi="宋体" w:cs="宋体"/>
          <w:i/>
          <w:color w:val="000000" w:themeColor="text1"/>
          <w:szCs w:val="21"/>
          <w:u w:val="single"/>
          <w14:textFill>
            <w14:solidFill>
              <w14:schemeClr w14:val="tx1"/>
            </w14:solidFill>
          </w14:textFill>
        </w:rPr>
        <w:t>（企业名称）</w:t>
      </w:r>
      <w:r>
        <w:rPr>
          <w:rFonts w:hint="eastAsia" w:ascii="宋体" w:hAnsi="宋体" w:cs="宋体"/>
          <w:color w:val="000000" w:themeColor="text1"/>
          <w:szCs w:val="21"/>
          <w14:textFill>
            <w14:solidFill>
              <w14:schemeClr w14:val="tx1"/>
            </w14:solidFill>
          </w14:textFill>
        </w:rPr>
        <w:t>，从业人员________人，营业收入为_________万元，资产总额为________万元，属于</w:t>
      </w:r>
      <w:r>
        <w:rPr>
          <w:rFonts w:hint="eastAsia" w:ascii="宋体" w:hAnsi="宋体" w:cs="宋体"/>
          <w:i/>
          <w:color w:val="000000" w:themeColor="text1"/>
          <w:szCs w:val="21"/>
          <w:u w:val="single"/>
          <w14:textFill>
            <w14:solidFill>
              <w14:schemeClr w14:val="tx1"/>
            </w14:solidFill>
          </w14:textFill>
        </w:rPr>
        <w:t>(中型企业、小型企业、微型企业)</w:t>
      </w:r>
      <w:r>
        <w:rPr>
          <w:rFonts w:hint="eastAsia" w:ascii="宋体" w:hAnsi="宋体" w:cs="宋体"/>
          <w:color w:val="000000" w:themeColor="text1"/>
          <w:szCs w:val="21"/>
          <w14:textFill>
            <w14:solidFill>
              <w14:schemeClr w14:val="tx1"/>
            </w14:solidFill>
          </w14:textFill>
        </w:rPr>
        <w:t>；</w:t>
      </w:r>
    </w:p>
    <w:p w14:paraId="45013FAD">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14:paraId="09986E2C">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14:paraId="7DFF4BA3">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本企业对上述声明内容的真实性负责。如有虚假，将依法承担相应责任。</w:t>
      </w:r>
    </w:p>
    <w:p w14:paraId="279D187D">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企业名称（盖章）：</w:t>
      </w:r>
    </w:p>
    <w:p w14:paraId="35DB3DDE">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日    期：</w:t>
      </w:r>
    </w:p>
    <w:p w14:paraId="0B76F87D">
      <w:pPr>
        <w:widowControl/>
        <w:spacing w:line="360" w:lineRule="auto"/>
        <w:ind w:firstLine="420" w:firstLineChars="200"/>
        <w:rPr>
          <w:rFonts w:ascii="宋体" w:hAnsi="宋体" w:cs="宋体"/>
          <w:color w:val="000000" w:themeColor="text1"/>
          <w14:textFill>
            <w14:solidFill>
              <w14:schemeClr w14:val="tx1"/>
            </w14:solidFill>
          </w14:textFill>
        </w:rPr>
      </w:pPr>
    </w:p>
    <w:p w14:paraId="4916542D">
      <w:pPr>
        <w:widowControl/>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填写注意事项：</w:t>
      </w:r>
    </w:p>
    <w:p w14:paraId="27B7A5ED">
      <w:pPr>
        <w:widowControl/>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（1）从业人员、营业收入、资产总额填报上一年度数据，无上一年度数据的新成立企业可不填报。</w:t>
      </w:r>
    </w:p>
    <w:p w14:paraId="66770F50">
      <w:pPr>
        <w:widowControl/>
        <w:spacing w:line="360" w:lineRule="auto"/>
        <w:ind w:firstLine="420" w:firstLineChars="200"/>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（2）</w:t>
      </w:r>
      <w:r>
        <w:rPr>
          <w:rFonts w:hint="eastAsia" w:ascii="宋体" w:hAnsi="宋体" w:cs="宋体"/>
          <w:color w:val="000000" w:themeColor="text1"/>
          <w:shd w:val="clear" w:color="auto" w:fill="FFFFFF"/>
          <w:lang w:eastAsia="zh-CN"/>
          <w14:textFill>
            <w14:solidFill>
              <w14:schemeClr w14:val="tx1"/>
            </w14:solidFill>
          </w14:textFill>
        </w:rPr>
        <w:t>投标人</w:t>
      </w:r>
      <w:r>
        <w:rPr>
          <w:rFonts w:hint="eastAsia" w:ascii="宋体" w:hAnsi="宋体" w:cs="宋体"/>
          <w:color w:val="000000" w:themeColor="text1"/>
          <w:shd w:val="clear" w:color="auto" w:fill="FFFFFF"/>
          <w14:textFill>
            <w14:solidFill>
              <w14:schemeClr w14:val="tx1"/>
            </w14:solidFill>
          </w14:textFill>
        </w:rPr>
        <w:t>按照本办法规定提供声明函内容不实的，属于提供虚假材料谋取中标、成交，依照《中华人民共和国政府采购法》等国家有关规定追究相应责任。</w:t>
      </w:r>
    </w:p>
    <w:p w14:paraId="48BDA30F">
      <w:pPr>
        <w:widowControl/>
        <w:spacing w:line="360" w:lineRule="auto"/>
        <w:ind w:firstLine="420" w:firstLineChars="200"/>
        <w:rPr>
          <w:rFonts w:ascii="宋体" w:hAnsi="宋体" w:cs="宋体"/>
          <w:bCs/>
          <w:color w:val="000000" w:themeColor="text1"/>
          <w:sz w:val="32"/>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（3）政府采购监督检查、投诉处理及政府采购行政处罚中对中小企业的认定，由货物制造商或者工程、服务</w:t>
      </w:r>
      <w:r>
        <w:rPr>
          <w:rFonts w:hint="eastAsia" w:ascii="宋体" w:hAnsi="宋体" w:cs="宋体"/>
          <w:color w:val="000000" w:themeColor="text1"/>
          <w:shd w:val="clear" w:color="auto" w:fill="FFFFFF"/>
          <w:lang w:eastAsia="zh-CN"/>
          <w14:textFill>
            <w14:solidFill>
              <w14:schemeClr w14:val="tx1"/>
            </w14:solidFill>
          </w14:textFill>
        </w:rPr>
        <w:t>投标人</w:t>
      </w:r>
      <w:r>
        <w:rPr>
          <w:rFonts w:hint="eastAsia" w:ascii="宋体" w:hAnsi="宋体" w:cs="宋体"/>
          <w:color w:val="000000" w:themeColor="text1"/>
          <w:shd w:val="clear" w:color="auto" w:fill="FFFFFF"/>
          <w14:textFill>
            <w14:solidFill>
              <w14:schemeClr w14:val="tx1"/>
            </w14:solidFill>
          </w14:textFill>
        </w:rPr>
        <w:t>注册登记所在地的县级以上人民政府中小企业主管部门负责。</w:t>
      </w:r>
    </w:p>
    <w:p w14:paraId="1B2932F6">
      <w:pPr>
        <w:pStyle w:val="7"/>
        <w:overflowPunct w:val="0"/>
        <w:spacing w:line="360" w:lineRule="exact"/>
        <w:ind w:firstLine="0"/>
        <w:rPr>
          <w:rFonts w:ascii="宋体" w:hAnsi="宋体" w:cs="宋体"/>
          <w:color w:val="000000" w:themeColor="text1"/>
          <w:sz w:val="28"/>
          <w:szCs w:val="28"/>
          <w14:textFill>
            <w14:solidFill>
              <w14:schemeClr w14:val="tx1"/>
            </w14:solidFill>
          </w14:textFill>
        </w:rPr>
      </w:pPr>
    </w:p>
    <w:p w14:paraId="288783F8">
      <w:pPr>
        <w:pStyle w:val="7"/>
        <w:overflowPunct w:val="0"/>
        <w:spacing w:line="360" w:lineRule="exact"/>
        <w:ind w:firstLine="0"/>
        <w:rPr>
          <w:rFonts w:hint="eastAsia" w:ascii="宋体" w:hAnsi="宋体" w:cs="宋体"/>
          <w:color w:val="000000" w:themeColor="text1"/>
          <w:sz w:val="28"/>
          <w:szCs w:val="28"/>
          <w14:textFill>
            <w14:solidFill>
              <w14:schemeClr w14:val="tx1"/>
            </w14:solidFill>
          </w14:textFill>
        </w:rPr>
      </w:pPr>
    </w:p>
    <w:p w14:paraId="34675AE6">
      <w:pPr>
        <w:pStyle w:val="7"/>
        <w:overflowPunct w:val="0"/>
        <w:spacing w:line="360" w:lineRule="exact"/>
        <w:ind w:firstLine="0"/>
        <w:rPr>
          <w:rFonts w:hint="eastAsia" w:ascii="宋体" w:hAnsi="宋体" w:cs="宋体"/>
          <w:color w:val="000000" w:themeColor="text1"/>
          <w:sz w:val="28"/>
          <w:szCs w:val="28"/>
          <w14:textFill>
            <w14:solidFill>
              <w14:schemeClr w14:val="tx1"/>
            </w14:solidFill>
          </w14:textFill>
        </w:rPr>
      </w:pPr>
    </w:p>
    <w:p w14:paraId="62A3269E">
      <w:pPr>
        <w:pStyle w:val="7"/>
        <w:overflowPunct w:val="0"/>
        <w:spacing w:line="360" w:lineRule="exact"/>
        <w:ind w:firstLine="0"/>
        <w:rPr>
          <w:rFonts w:hint="eastAsia" w:ascii="宋体" w:hAnsi="宋体" w:cs="宋体"/>
          <w:color w:val="000000" w:themeColor="text1"/>
          <w:sz w:val="28"/>
          <w:szCs w:val="28"/>
          <w14:textFill>
            <w14:solidFill>
              <w14:schemeClr w14:val="tx1"/>
            </w14:solidFill>
          </w14:textFill>
        </w:rPr>
      </w:pPr>
    </w:p>
    <w:p w14:paraId="3087A677">
      <w:pPr>
        <w:pStyle w:val="7"/>
        <w:overflowPunct w:val="0"/>
        <w:spacing w:line="360" w:lineRule="exact"/>
        <w:ind w:firstLine="0"/>
        <w:rPr>
          <w:rFonts w:hint="eastAsia" w:ascii="宋体" w:hAnsi="宋体" w:cs="宋体"/>
          <w:color w:val="000000" w:themeColor="text1"/>
          <w:sz w:val="28"/>
          <w:szCs w:val="28"/>
          <w14:textFill>
            <w14:solidFill>
              <w14:schemeClr w14:val="tx1"/>
            </w14:solidFill>
          </w14:textFill>
        </w:rPr>
      </w:pPr>
    </w:p>
    <w:p w14:paraId="217EC600">
      <w:pPr>
        <w:pStyle w:val="7"/>
        <w:overflowPunct w:val="0"/>
        <w:spacing w:line="360" w:lineRule="exact"/>
        <w:ind w:firstLine="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（二）残疾人福利性单位声明函格式：</w:t>
      </w:r>
    </w:p>
    <w:p w14:paraId="544567C4">
      <w:pPr>
        <w:spacing w:line="560" w:lineRule="exact"/>
        <w:jc w:val="center"/>
        <w:rPr>
          <w:rFonts w:ascii="宋体" w:hAnsi="宋体" w:cs="宋体"/>
          <w:color w:val="000000" w:themeColor="text1"/>
          <w:szCs w:val="21"/>
          <w14:textFill>
            <w14:solidFill>
              <w14:schemeClr w14:val="tx1"/>
            </w14:solidFill>
          </w14:textFill>
        </w:rPr>
      </w:pPr>
    </w:p>
    <w:p w14:paraId="3D07EDC8">
      <w:pPr>
        <w:spacing w:line="560" w:lineRule="exact"/>
        <w:jc w:val="center"/>
        <w:rPr>
          <w:rFonts w:ascii="宋体" w:hAnsi="宋体" w:cs="宋体"/>
          <w:b/>
          <w:color w:val="000000" w:themeColor="text1"/>
          <w:spacing w:val="6"/>
          <w:sz w:val="30"/>
          <w:szCs w:val="30"/>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残疾人福利性单位声明函</w:t>
      </w:r>
    </w:p>
    <w:p w14:paraId="129C1727">
      <w:pPr>
        <w:spacing w:line="560" w:lineRule="exact"/>
        <w:ind w:firstLine="444"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14:textFill>
            <w14:solidFill>
              <w14:schemeClr w14:val="tx1"/>
            </w14:solidFill>
          </w14:textFill>
        </w:rPr>
        <w:t>〔2017〕 141</w:t>
      </w:r>
      <w:r>
        <w:rPr>
          <w:rFonts w:hint="eastAsia" w:ascii="宋体" w:hAnsi="宋体" w:cs="宋体"/>
          <w:color w:val="000000" w:themeColor="text1"/>
          <w:spacing w:val="6"/>
          <w:szCs w:val="21"/>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C25D217">
      <w:pPr>
        <w:spacing w:line="560" w:lineRule="exact"/>
        <w:ind w:firstLine="444"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本单位对上述声明的真实性负责。如有虚假，将依法承担相应责任。</w:t>
      </w:r>
    </w:p>
    <w:p w14:paraId="1AA88E0F">
      <w:pPr>
        <w:spacing w:line="560" w:lineRule="exact"/>
        <w:ind w:firstLine="444" w:firstLineChars="200"/>
        <w:rPr>
          <w:rFonts w:ascii="宋体" w:hAnsi="宋体" w:cs="宋体"/>
          <w:color w:val="000000" w:themeColor="text1"/>
          <w:spacing w:val="6"/>
          <w:szCs w:val="21"/>
          <w14:textFill>
            <w14:solidFill>
              <w14:schemeClr w14:val="tx1"/>
            </w14:solidFill>
          </w14:textFill>
        </w:rPr>
      </w:pPr>
    </w:p>
    <w:p w14:paraId="62DE0520">
      <w:pPr>
        <w:spacing w:line="560" w:lineRule="exact"/>
        <w:ind w:firstLine="444" w:firstLineChars="200"/>
        <w:rPr>
          <w:rFonts w:ascii="宋体" w:hAnsi="宋体" w:cs="宋体"/>
          <w:color w:val="000000" w:themeColor="text1"/>
          <w:spacing w:val="6"/>
          <w:szCs w:val="21"/>
          <w14:textFill>
            <w14:solidFill>
              <w14:schemeClr w14:val="tx1"/>
            </w14:solidFill>
          </w14:textFill>
        </w:rPr>
      </w:pPr>
    </w:p>
    <w:p w14:paraId="406D3EF7">
      <w:pPr>
        <w:tabs>
          <w:tab w:val="left" w:pos="4860"/>
        </w:tabs>
        <w:spacing w:line="560" w:lineRule="exact"/>
        <w:ind w:right="1560" w:firstLine="444" w:firstLineChars="200"/>
        <w:jc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               单位名称（盖章）：</w:t>
      </w:r>
    </w:p>
    <w:p w14:paraId="4563EA25">
      <w:pPr>
        <w:widowControl/>
        <w:spacing w:before="100" w:beforeAutospacing="1" w:after="100" w:afterAutospacing="1" w:line="560" w:lineRule="exact"/>
        <w:jc w:val="left"/>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                                   日  期：</w:t>
      </w:r>
    </w:p>
    <w:p w14:paraId="74394E92">
      <w:pPr>
        <w:widowControl/>
        <w:spacing w:line="560" w:lineRule="exact"/>
        <w:ind w:firstLine="413" w:firstLineChars="196"/>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说明：符合条件的残疾人福利性单位在参加政府采购活动时，应当提供本通知规定的《残疾人福利性单位声明函》，并对声明的真实性负责。</w:t>
      </w:r>
    </w:p>
    <w:p w14:paraId="14AD2242">
      <w:pPr>
        <w:widowControl/>
        <w:spacing w:line="560" w:lineRule="exact"/>
        <w:ind w:firstLine="413" w:firstLineChars="196"/>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中标、成交</w:t>
      </w:r>
      <w:r>
        <w:rPr>
          <w:rFonts w:hint="eastAsia" w:ascii="宋体" w:hAnsi="宋体" w:cs="宋体"/>
          <w:b/>
          <w:color w:val="000000" w:themeColor="text1"/>
          <w:kern w:val="0"/>
          <w:szCs w:val="21"/>
          <w:lang w:eastAsia="zh-CN"/>
          <w14:textFill>
            <w14:solidFill>
              <w14:schemeClr w14:val="tx1"/>
            </w14:solidFill>
          </w14:textFill>
        </w:rPr>
        <w:t>投标人</w:t>
      </w:r>
      <w:r>
        <w:rPr>
          <w:rFonts w:hint="eastAsia" w:ascii="宋体" w:hAnsi="宋体" w:cs="宋体"/>
          <w:b/>
          <w:color w:val="000000" w:themeColor="text1"/>
          <w:kern w:val="0"/>
          <w:szCs w:val="21"/>
          <w14:textFill>
            <w14:solidFill>
              <w14:schemeClr w14:val="tx1"/>
            </w14:solidFill>
          </w14:textFill>
        </w:rPr>
        <w:t>为残疾人福利性单位的，采购人或者其委托的采购代理机构应当随中标、成交结果同时公告其《残疾人福利性单位声明函》，接受社会监督。</w:t>
      </w:r>
    </w:p>
    <w:p w14:paraId="30BAE691">
      <w:pPr>
        <w:widowControl/>
        <w:spacing w:line="560" w:lineRule="exact"/>
        <w:ind w:firstLine="413" w:firstLineChars="196"/>
        <w:jc w:val="left"/>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kern w:val="0"/>
          <w:szCs w:val="21"/>
          <w:lang w:eastAsia="zh-CN"/>
          <w14:textFill>
            <w14:solidFill>
              <w14:schemeClr w14:val="tx1"/>
            </w14:solidFill>
          </w14:textFill>
        </w:rPr>
        <w:t>投标人</w:t>
      </w:r>
      <w:r>
        <w:rPr>
          <w:rFonts w:hint="eastAsia" w:ascii="宋体" w:hAnsi="宋体" w:cs="宋体"/>
          <w:b/>
          <w:color w:val="000000" w:themeColor="text1"/>
          <w:kern w:val="0"/>
          <w:szCs w:val="21"/>
          <w14:textFill>
            <w14:solidFill>
              <w14:schemeClr w14:val="tx1"/>
            </w14:solidFill>
          </w14:textFill>
        </w:rPr>
        <w:t>提供的《残疾人福利性单位声明函》与事实不符的，依照《政府采购法》第七十七条第一款的规定追究法律责任。</w:t>
      </w:r>
    </w:p>
    <w:p w14:paraId="7F26C2E5">
      <w:pPr>
        <w:spacing w:line="360" w:lineRule="auto"/>
        <w:jc w:val="center"/>
        <w:rPr>
          <w:rFonts w:ascii="宋体" w:hAnsi="宋体" w:cs="宋体"/>
          <w:b/>
          <w:color w:val="000000" w:themeColor="text1"/>
          <w:spacing w:val="6"/>
          <w:sz w:val="32"/>
          <w:szCs w:val="32"/>
          <w14:textFill>
            <w14:solidFill>
              <w14:schemeClr w14:val="tx1"/>
            </w14:solidFill>
          </w14:textFill>
        </w:rPr>
      </w:pPr>
    </w:p>
    <w:p w14:paraId="4F976B06">
      <w:pPr>
        <w:spacing w:line="360" w:lineRule="auto"/>
        <w:rPr>
          <w:rFonts w:ascii="宋体" w:hAnsi="宋体" w:cs="宋体"/>
          <w:b/>
          <w:color w:val="000000" w:themeColor="text1"/>
          <w:spacing w:val="6"/>
          <w:sz w:val="32"/>
          <w:szCs w:val="32"/>
          <w14:textFill>
            <w14:solidFill>
              <w14:schemeClr w14:val="tx1"/>
            </w14:solidFill>
          </w14:textFill>
        </w:rPr>
      </w:pPr>
    </w:p>
    <w:p w14:paraId="4B024967">
      <w:pPr>
        <w:spacing w:line="360" w:lineRule="auto"/>
        <w:rPr>
          <w:rFonts w:ascii="宋体" w:hAnsi="宋体" w:cs="宋体"/>
          <w:b/>
          <w:color w:val="000000" w:themeColor="text1"/>
          <w:spacing w:val="6"/>
          <w:sz w:val="32"/>
          <w:szCs w:val="32"/>
          <w14:textFill>
            <w14:solidFill>
              <w14:schemeClr w14:val="tx1"/>
            </w14:solidFill>
          </w14:textFill>
        </w:rPr>
      </w:pPr>
    </w:p>
    <w:p w14:paraId="560D002C">
      <w:pPr>
        <w:spacing w:line="360" w:lineRule="auto"/>
        <w:rPr>
          <w:rFonts w:ascii="宋体" w:hAnsi="宋体" w:cs="宋体"/>
          <w:b/>
          <w:color w:val="000000" w:themeColor="text1"/>
          <w:spacing w:val="6"/>
          <w:sz w:val="28"/>
          <w:szCs w:val="28"/>
          <w14:textFill>
            <w14:solidFill>
              <w14:schemeClr w14:val="tx1"/>
            </w14:solidFill>
          </w14:textFill>
        </w:rPr>
      </w:pPr>
    </w:p>
    <w:p w14:paraId="516BF4BF">
      <w:pPr>
        <w:spacing w:line="360" w:lineRule="auto"/>
        <w:rPr>
          <w:rFonts w:ascii="宋体" w:hAnsi="宋体" w:cs="宋体"/>
          <w:b/>
          <w:color w:val="000000" w:themeColor="text1"/>
          <w:spacing w:val="6"/>
          <w:sz w:val="28"/>
          <w:szCs w:val="28"/>
          <w14:textFill>
            <w14:solidFill>
              <w14:schemeClr w14:val="tx1"/>
            </w14:solidFill>
          </w14:textFill>
        </w:rPr>
      </w:pPr>
      <w:r>
        <w:rPr>
          <w:rFonts w:hint="eastAsia" w:ascii="宋体" w:hAnsi="宋体" w:cs="宋体"/>
          <w:b/>
          <w:color w:val="000000" w:themeColor="text1"/>
          <w:spacing w:val="6"/>
          <w:sz w:val="28"/>
          <w:szCs w:val="28"/>
          <w14:textFill>
            <w14:solidFill>
              <w14:schemeClr w14:val="tx1"/>
            </w14:solidFill>
          </w14:textFill>
        </w:rPr>
        <w:t>（三）质疑函范本格式：</w:t>
      </w:r>
    </w:p>
    <w:p w14:paraId="118D772D">
      <w:pPr>
        <w:spacing w:line="360" w:lineRule="auto"/>
        <w:jc w:val="center"/>
        <w:rPr>
          <w:rFonts w:ascii="宋体" w:hAnsi="宋体" w:cs="宋体"/>
          <w:b/>
          <w:color w:val="000000" w:themeColor="text1"/>
          <w:spacing w:val="6"/>
          <w:szCs w:val="21"/>
          <w14:textFill>
            <w14:solidFill>
              <w14:schemeClr w14:val="tx1"/>
            </w14:solidFill>
          </w14:textFill>
        </w:rPr>
      </w:pPr>
      <w:r>
        <w:rPr>
          <w:rFonts w:hint="eastAsia" w:ascii="宋体" w:hAnsi="宋体" w:cs="宋体"/>
          <w:b/>
          <w:color w:val="000000" w:themeColor="text1"/>
          <w:spacing w:val="6"/>
          <w:szCs w:val="21"/>
          <w14:textFill>
            <w14:solidFill>
              <w14:schemeClr w14:val="tx1"/>
            </w14:solidFill>
          </w14:textFill>
        </w:rPr>
        <w:t>质疑函范本</w:t>
      </w:r>
    </w:p>
    <w:p w14:paraId="49501E2A">
      <w:pPr>
        <w:keepNext w:val="0"/>
        <w:keepLines w:val="0"/>
        <w:pageBreakBefore w:val="0"/>
        <w:kinsoku/>
        <w:wordWrap/>
        <w:overflowPunct/>
        <w:topLinePunct w:val="0"/>
        <w:autoSpaceDE/>
        <w:autoSpaceDN/>
        <w:bidi w:val="0"/>
        <w:adjustRightInd w:val="0"/>
        <w:snapToGrid w:val="0"/>
        <w:spacing w:before="312" w:beforeLines="100" w:line="360" w:lineRule="exact"/>
        <w:textAlignment w:val="auto"/>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一、质疑</w:t>
      </w:r>
      <w:r>
        <w:rPr>
          <w:rFonts w:hint="eastAsia" w:ascii="宋体" w:hAnsi="宋体" w:cs="宋体"/>
          <w:bCs/>
          <w:color w:val="000000" w:themeColor="text1"/>
          <w:sz w:val="21"/>
          <w:szCs w:val="21"/>
          <w:lang w:eastAsia="zh-CN"/>
          <w14:textFill>
            <w14:solidFill>
              <w14:schemeClr w14:val="tx1"/>
            </w14:solidFill>
          </w14:textFill>
        </w:rPr>
        <w:t>投标人</w:t>
      </w:r>
      <w:r>
        <w:rPr>
          <w:rFonts w:hint="eastAsia" w:ascii="宋体" w:hAnsi="宋体" w:cs="宋体"/>
          <w:bCs/>
          <w:color w:val="000000" w:themeColor="text1"/>
          <w:sz w:val="21"/>
          <w:szCs w:val="21"/>
          <w14:textFill>
            <w14:solidFill>
              <w14:schemeClr w14:val="tx1"/>
            </w14:solidFill>
          </w14:textFill>
        </w:rPr>
        <w:t>基本信息</w:t>
      </w:r>
    </w:p>
    <w:p w14:paraId="27891850">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质疑</w:t>
      </w:r>
      <w:r>
        <w:rPr>
          <w:rFonts w:hint="eastAsia" w:ascii="宋体" w:hAnsi="宋体" w:cs="宋体"/>
          <w:color w:val="000000" w:themeColor="text1"/>
          <w:sz w:val="21"/>
          <w:szCs w:val="21"/>
          <w:lang w:eastAsia="zh-CN"/>
          <w14:textFill>
            <w14:solidFill>
              <w14:schemeClr w14:val="tx1"/>
            </w14:solidFill>
          </w14:textFill>
        </w:rPr>
        <w:t>投标人</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u w:val="dotted"/>
          <w14:textFill>
            <w14:solidFill>
              <w14:schemeClr w14:val="tx1"/>
            </w14:solidFill>
          </w14:textFill>
        </w:rPr>
        <w:t xml:space="preserve">                                        </w:t>
      </w:r>
    </w:p>
    <w:p w14:paraId="258ECB53">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地址：</w:t>
      </w:r>
      <w:r>
        <w:rPr>
          <w:rFonts w:hint="eastAsia" w:ascii="宋体" w:hAnsi="宋体" w:cs="宋体"/>
          <w:color w:val="000000" w:themeColor="text1"/>
          <w:sz w:val="21"/>
          <w:szCs w:val="21"/>
          <w:u w:val="dotted"/>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邮编：</w:t>
      </w:r>
      <w:r>
        <w:rPr>
          <w:rFonts w:hint="eastAsia" w:ascii="宋体" w:hAnsi="宋体" w:cs="宋体"/>
          <w:color w:val="000000" w:themeColor="text1"/>
          <w:sz w:val="21"/>
          <w:szCs w:val="21"/>
          <w:u w:val="dotted"/>
          <w14:textFill>
            <w14:solidFill>
              <w14:schemeClr w14:val="tx1"/>
            </w14:solidFill>
          </w14:textFill>
        </w:rPr>
        <w:t xml:space="preserve">                                                   </w:t>
      </w:r>
    </w:p>
    <w:p w14:paraId="30FC0AC3">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联系人：</w:t>
      </w:r>
      <w:r>
        <w:rPr>
          <w:rFonts w:hint="eastAsia" w:ascii="宋体" w:hAnsi="宋体" w:cs="宋体"/>
          <w:color w:val="000000" w:themeColor="text1"/>
          <w:sz w:val="21"/>
          <w:szCs w:val="21"/>
          <w:u w:val="dotted"/>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联系电话：</w:t>
      </w:r>
      <w:r>
        <w:rPr>
          <w:rFonts w:hint="eastAsia" w:ascii="宋体" w:hAnsi="宋体" w:cs="宋体"/>
          <w:color w:val="000000" w:themeColor="text1"/>
          <w:sz w:val="21"/>
          <w:szCs w:val="21"/>
          <w:u w:val="dotted"/>
          <w14:textFill>
            <w14:solidFill>
              <w14:schemeClr w14:val="tx1"/>
            </w14:solidFill>
          </w14:textFill>
        </w:rPr>
        <w:t xml:space="preserve">                              </w:t>
      </w:r>
    </w:p>
    <w:p w14:paraId="14E3F050">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授权代表：</w:t>
      </w:r>
      <w:r>
        <w:rPr>
          <w:rFonts w:hint="eastAsia" w:ascii="宋体" w:hAnsi="宋体" w:cs="宋体"/>
          <w:color w:val="000000" w:themeColor="text1"/>
          <w:sz w:val="21"/>
          <w:szCs w:val="21"/>
          <w:u w:val="dotted"/>
          <w14:textFill>
            <w14:solidFill>
              <w14:schemeClr w14:val="tx1"/>
            </w14:solidFill>
          </w14:textFill>
        </w:rPr>
        <w:t xml:space="preserve">                                          </w:t>
      </w:r>
    </w:p>
    <w:p w14:paraId="1CD59DE2">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联系电话：</w:t>
      </w:r>
      <w:r>
        <w:rPr>
          <w:rFonts w:hint="eastAsia" w:ascii="宋体" w:hAnsi="宋体" w:cs="宋体"/>
          <w:color w:val="000000" w:themeColor="text1"/>
          <w:sz w:val="21"/>
          <w:szCs w:val="21"/>
          <w:u w:val="dotted"/>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w:t>
      </w:r>
    </w:p>
    <w:p w14:paraId="5B83B597">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地址： </w:t>
      </w:r>
      <w:r>
        <w:rPr>
          <w:rFonts w:hint="eastAsia" w:ascii="宋体" w:hAnsi="宋体" w:cs="宋体"/>
          <w:color w:val="000000" w:themeColor="text1"/>
          <w:sz w:val="21"/>
          <w:szCs w:val="21"/>
          <w:u w:val="dotted"/>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邮编：</w:t>
      </w:r>
      <w:r>
        <w:rPr>
          <w:rFonts w:hint="eastAsia" w:ascii="宋体" w:hAnsi="宋体" w:cs="宋体"/>
          <w:color w:val="000000" w:themeColor="text1"/>
          <w:sz w:val="21"/>
          <w:szCs w:val="21"/>
          <w:u w:val="dotted"/>
          <w14:textFill>
            <w14:solidFill>
              <w14:schemeClr w14:val="tx1"/>
            </w14:solidFill>
          </w14:textFill>
        </w:rPr>
        <w:t xml:space="preserve">                                                </w:t>
      </w:r>
    </w:p>
    <w:p w14:paraId="330C6069">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二、质疑项目基本情况</w:t>
      </w:r>
    </w:p>
    <w:p w14:paraId="083AB11D">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质疑项目的名称：</w:t>
      </w:r>
      <w:r>
        <w:rPr>
          <w:rFonts w:hint="eastAsia" w:ascii="宋体" w:hAnsi="宋体" w:cs="宋体"/>
          <w:color w:val="000000" w:themeColor="text1"/>
          <w:sz w:val="21"/>
          <w:szCs w:val="21"/>
          <w:u w:val="dotted"/>
          <w14:textFill>
            <w14:solidFill>
              <w14:schemeClr w14:val="tx1"/>
            </w14:solidFill>
          </w14:textFill>
        </w:rPr>
        <w:t xml:space="preserve">                                      </w:t>
      </w:r>
    </w:p>
    <w:p w14:paraId="40BD0382">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质疑项目的编号：</w:t>
      </w:r>
      <w:r>
        <w:rPr>
          <w:rFonts w:hint="eastAsia" w:ascii="宋体" w:hAnsi="宋体" w:cs="宋体"/>
          <w:color w:val="000000" w:themeColor="text1"/>
          <w:sz w:val="21"/>
          <w:szCs w:val="21"/>
          <w:u w:val="dotted"/>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包号：</w:t>
      </w:r>
      <w:r>
        <w:rPr>
          <w:rFonts w:hint="eastAsia" w:ascii="宋体" w:hAnsi="宋体" w:cs="宋体"/>
          <w:color w:val="000000" w:themeColor="text1"/>
          <w:sz w:val="21"/>
          <w:szCs w:val="21"/>
          <w:u w:val="dotted"/>
          <w14:textFill>
            <w14:solidFill>
              <w14:schemeClr w14:val="tx1"/>
            </w14:solidFill>
          </w14:textFill>
        </w:rPr>
        <w:t xml:space="preserve">                 </w:t>
      </w:r>
    </w:p>
    <w:p w14:paraId="2A669640">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采购人名称：</w:t>
      </w:r>
      <w:r>
        <w:rPr>
          <w:rFonts w:hint="eastAsia" w:ascii="宋体" w:hAnsi="宋体" w:cs="宋体"/>
          <w:color w:val="000000" w:themeColor="text1"/>
          <w:sz w:val="21"/>
          <w:szCs w:val="21"/>
          <w:u w:val="dotted"/>
          <w14:textFill>
            <w14:solidFill>
              <w14:schemeClr w14:val="tx1"/>
            </w14:solidFill>
          </w14:textFill>
        </w:rPr>
        <w:t xml:space="preserve">                                         </w:t>
      </w:r>
    </w:p>
    <w:p w14:paraId="1FF5E3CF">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采购文件获取日期：</w:t>
      </w:r>
      <w:r>
        <w:rPr>
          <w:rFonts w:hint="eastAsia" w:ascii="宋体" w:hAnsi="宋体" w:cs="宋体"/>
          <w:color w:val="000000" w:themeColor="text1"/>
          <w:sz w:val="21"/>
          <w:szCs w:val="21"/>
          <w:u w:val="dotted"/>
          <w14:textFill>
            <w14:solidFill>
              <w14:schemeClr w14:val="tx1"/>
            </w14:solidFill>
          </w14:textFill>
        </w:rPr>
        <w:t xml:space="preserve">                                           </w:t>
      </w:r>
    </w:p>
    <w:p w14:paraId="5EFCF438">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三、质疑事项具体内容</w:t>
      </w:r>
    </w:p>
    <w:p w14:paraId="34CEE837">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质疑事项1：</w:t>
      </w:r>
      <w:r>
        <w:rPr>
          <w:rFonts w:hint="eastAsia" w:ascii="宋体" w:hAnsi="宋体" w:cs="宋体"/>
          <w:color w:val="000000" w:themeColor="text1"/>
          <w:sz w:val="21"/>
          <w:szCs w:val="21"/>
          <w:u w:val="dotted"/>
          <w14:textFill>
            <w14:solidFill>
              <w14:schemeClr w14:val="tx1"/>
            </w14:solidFill>
          </w14:textFill>
        </w:rPr>
        <w:t xml:space="preserve">                                         </w:t>
      </w:r>
    </w:p>
    <w:p w14:paraId="1242C8F4">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事实依据：</w:t>
      </w:r>
      <w:r>
        <w:rPr>
          <w:rFonts w:hint="eastAsia" w:ascii="宋体" w:hAnsi="宋体" w:cs="宋体"/>
          <w:color w:val="000000" w:themeColor="text1"/>
          <w:sz w:val="21"/>
          <w:szCs w:val="21"/>
          <w:u w:val="dotted"/>
          <w14:textFill>
            <w14:solidFill>
              <w14:schemeClr w14:val="tx1"/>
            </w14:solidFill>
          </w14:textFill>
        </w:rPr>
        <w:t xml:space="preserve">                                          </w:t>
      </w:r>
    </w:p>
    <w:p w14:paraId="37A7899B">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u w:val="dotted"/>
          <w14:textFill>
            <w14:solidFill>
              <w14:schemeClr w14:val="tx1"/>
            </w14:solidFill>
          </w14:textFill>
        </w:rPr>
        <w:t xml:space="preserve">                                                       </w:t>
      </w:r>
    </w:p>
    <w:p w14:paraId="68372E10">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法律依据：</w:t>
      </w:r>
      <w:r>
        <w:rPr>
          <w:rFonts w:hint="eastAsia" w:ascii="宋体" w:hAnsi="宋体" w:cs="宋体"/>
          <w:color w:val="000000" w:themeColor="text1"/>
          <w:sz w:val="21"/>
          <w:szCs w:val="21"/>
          <w:u w:val="dotted"/>
          <w14:textFill>
            <w14:solidFill>
              <w14:schemeClr w14:val="tx1"/>
            </w14:solidFill>
          </w14:textFill>
        </w:rPr>
        <w:t xml:space="preserve">                                          </w:t>
      </w:r>
    </w:p>
    <w:p w14:paraId="5CB940C1">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u w:val="dotted"/>
          <w14:textFill>
            <w14:solidFill>
              <w14:schemeClr w14:val="tx1"/>
            </w14:solidFill>
          </w14:textFill>
        </w:rPr>
        <w:t xml:space="preserve">                                                     </w:t>
      </w:r>
    </w:p>
    <w:p w14:paraId="2A1F31A0">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质疑事项2</w:t>
      </w:r>
    </w:p>
    <w:p w14:paraId="4FDE092A">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p>
    <w:p w14:paraId="47A34908">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四、与质疑事项相关的质疑请求</w:t>
      </w:r>
    </w:p>
    <w:p w14:paraId="0FC528C0">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u w:val="dotted"/>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请求：</w:t>
      </w:r>
      <w:r>
        <w:rPr>
          <w:rFonts w:hint="eastAsia" w:ascii="宋体" w:hAnsi="宋体" w:cs="宋体"/>
          <w:color w:val="000000" w:themeColor="text1"/>
          <w:sz w:val="21"/>
          <w:szCs w:val="21"/>
          <w:u w:val="dotted"/>
          <w14:textFill>
            <w14:solidFill>
              <w14:schemeClr w14:val="tx1"/>
            </w14:solidFill>
          </w14:textFill>
        </w:rPr>
        <w:t xml:space="preserve">                                               </w:t>
      </w:r>
    </w:p>
    <w:p w14:paraId="03A35FE9">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签字(签章)：                   公章：                      </w:t>
      </w:r>
    </w:p>
    <w:p w14:paraId="7A7CFA5A">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宋体"/>
          <w:b/>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日期：    </w:t>
      </w:r>
    </w:p>
    <w:p w14:paraId="0F6813B4">
      <w:pPr>
        <w:keepNext w:val="0"/>
        <w:keepLines w:val="0"/>
        <w:pageBreakBefore w:val="0"/>
        <w:kinsoku/>
        <w:wordWrap/>
        <w:overflowPunct/>
        <w:topLinePunct w:val="0"/>
        <w:autoSpaceDE/>
        <w:autoSpaceDN/>
        <w:bidi w:val="0"/>
        <w:spacing w:line="360" w:lineRule="exact"/>
        <w:textAlignment w:val="auto"/>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质疑函制作说明：</w:t>
      </w:r>
    </w:p>
    <w:p w14:paraId="4318A49B">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质疑供应商</w:t>
      </w:r>
      <w:r>
        <w:rPr>
          <w:rFonts w:hint="eastAsia" w:ascii="宋体" w:hAnsi="宋体" w:cs="宋体"/>
          <w:color w:val="000000" w:themeColor="text1"/>
          <w:sz w:val="21"/>
          <w:szCs w:val="21"/>
          <w14:textFill>
            <w14:solidFill>
              <w14:schemeClr w14:val="tx1"/>
            </w14:solidFill>
          </w14:textFill>
        </w:rPr>
        <w:t>提出质疑时，应提交质疑函和必要的证明材料。</w:t>
      </w:r>
    </w:p>
    <w:p w14:paraId="43DA28A2">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2.质疑</w:t>
      </w:r>
      <w:r>
        <w:rPr>
          <w:rFonts w:hint="eastAsia" w:ascii="宋体" w:hAnsi="宋体" w:cs="宋体"/>
          <w:color w:val="000000" w:themeColor="text1"/>
          <w:sz w:val="21"/>
          <w:szCs w:val="21"/>
          <w:lang w:val="en-US" w:eastAsia="zh-CN"/>
          <w14:textFill>
            <w14:solidFill>
              <w14:schemeClr w14:val="tx1"/>
            </w14:solidFill>
          </w14:textFill>
        </w:rPr>
        <w:t>供应商</w:t>
      </w:r>
      <w:r>
        <w:rPr>
          <w:rFonts w:hint="eastAsia" w:ascii="宋体" w:hAnsi="宋体" w:cs="宋体"/>
          <w:color w:val="000000" w:themeColor="text1"/>
          <w:sz w:val="21"/>
          <w:szCs w:val="21"/>
          <w14:textFill>
            <w14:solidFill>
              <w14:schemeClr w14:val="tx1"/>
            </w14:solidFill>
          </w14:textFill>
        </w:rPr>
        <w:t>若委托代理人进行质疑的，质疑函应按要求列明“授权代表”的有关内容，并在附件中提交由质疑</w:t>
      </w:r>
      <w:r>
        <w:rPr>
          <w:rFonts w:hint="eastAsia" w:ascii="宋体" w:hAnsi="宋体" w:cs="宋体"/>
          <w:color w:val="000000" w:themeColor="text1"/>
          <w:sz w:val="21"/>
          <w:szCs w:val="21"/>
          <w:lang w:val="en-US" w:eastAsia="zh-CN"/>
          <w14:textFill>
            <w14:solidFill>
              <w14:schemeClr w14:val="tx1"/>
            </w14:solidFill>
          </w14:textFill>
        </w:rPr>
        <w:t>供应商</w:t>
      </w:r>
      <w:r>
        <w:rPr>
          <w:rFonts w:hint="eastAsia" w:ascii="宋体" w:hAnsi="宋体" w:cs="宋体"/>
          <w:color w:val="000000" w:themeColor="text1"/>
          <w:kern w:val="0"/>
          <w:sz w:val="21"/>
          <w:szCs w:val="21"/>
          <w14:textFill>
            <w14:solidFill>
              <w14:schemeClr w14:val="tx1"/>
            </w14:solidFill>
          </w14:textFill>
        </w:rPr>
        <w:t>签署的授权委托书。授权委托书应载明代理人的姓名或者名称、代理事项、具体权限、期限和相关事项。</w:t>
      </w:r>
    </w:p>
    <w:p w14:paraId="7FB1AE00">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3.质疑</w:t>
      </w:r>
      <w:r>
        <w:rPr>
          <w:rFonts w:hint="eastAsia" w:ascii="宋体" w:hAnsi="宋体" w:cs="宋体"/>
          <w:color w:val="000000" w:themeColor="text1"/>
          <w:sz w:val="21"/>
          <w:szCs w:val="21"/>
          <w:lang w:val="en-US" w:eastAsia="zh-CN"/>
          <w14:textFill>
            <w14:solidFill>
              <w14:schemeClr w14:val="tx1"/>
            </w14:solidFill>
          </w14:textFill>
        </w:rPr>
        <w:t>供应商</w:t>
      </w:r>
      <w:r>
        <w:rPr>
          <w:rFonts w:hint="eastAsia" w:ascii="宋体" w:hAnsi="宋体" w:cs="宋体"/>
          <w:color w:val="000000" w:themeColor="text1"/>
          <w:sz w:val="21"/>
          <w:szCs w:val="21"/>
          <w14:textFill>
            <w14:solidFill>
              <w14:schemeClr w14:val="tx1"/>
            </w14:solidFill>
          </w14:textFill>
        </w:rPr>
        <w:t>若对项目的某一分包进行质疑，质疑函中应列明具体分包号。</w:t>
      </w:r>
    </w:p>
    <w:p w14:paraId="148CCBD4">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4.质疑函的质疑事项应具体、明确，并有必要的事实依据和法律依据。</w:t>
      </w:r>
    </w:p>
    <w:p w14:paraId="06A3815D">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5.质疑函的质疑请求应与质疑事项相关。</w:t>
      </w:r>
    </w:p>
    <w:p w14:paraId="5054BD6B">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b/>
          <w:color w:val="000000" w:themeColor="text1"/>
          <w:spacing w:val="6"/>
          <w:sz w:val="28"/>
          <w:szCs w:val="28"/>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6.质疑</w:t>
      </w:r>
      <w:r>
        <w:rPr>
          <w:rFonts w:hint="eastAsia" w:ascii="宋体" w:hAnsi="宋体" w:cs="宋体"/>
          <w:color w:val="000000" w:themeColor="text1"/>
          <w:sz w:val="21"/>
          <w:szCs w:val="21"/>
          <w:lang w:val="en-US" w:eastAsia="zh-CN"/>
          <w14:textFill>
            <w14:solidFill>
              <w14:schemeClr w14:val="tx1"/>
            </w14:solidFill>
          </w14:textFill>
        </w:rPr>
        <w:t>供应商</w:t>
      </w:r>
      <w:r>
        <w:rPr>
          <w:rFonts w:hint="eastAsia" w:ascii="宋体" w:hAnsi="宋体" w:cs="宋体"/>
          <w:color w:val="000000" w:themeColor="text1"/>
          <w:sz w:val="21"/>
          <w:szCs w:val="21"/>
          <w14:textFill>
            <w14:solidFill>
              <w14:schemeClr w14:val="tx1"/>
            </w14:solidFill>
          </w14:textFill>
        </w:rPr>
        <w:t>为自然人的，质疑函应由本人签字；质疑</w:t>
      </w:r>
      <w:r>
        <w:rPr>
          <w:rFonts w:hint="eastAsia" w:ascii="宋体" w:hAnsi="宋体" w:cs="宋体"/>
          <w:color w:val="000000" w:themeColor="text1"/>
          <w:sz w:val="21"/>
          <w:szCs w:val="21"/>
          <w:lang w:val="en-US" w:eastAsia="zh-CN"/>
          <w14:textFill>
            <w14:solidFill>
              <w14:schemeClr w14:val="tx1"/>
            </w14:solidFill>
          </w14:textFill>
        </w:rPr>
        <w:t>供应商</w:t>
      </w:r>
      <w:r>
        <w:rPr>
          <w:rFonts w:hint="eastAsia" w:ascii="宋体" w:hAnsi="宋体" w:cs="宋体"/>
          <w:color w:val="000000" w:themeColor="text1"/>
          <w:sz w:val="21"/>
          <w:szCs w:val="21"/>
          <w14:textFill>
            <w14:solidFill>
              <w14:schemeClr w14:val="tx1"/>
            </w14:solidFill>
          </w14:textFill>
        </w:rPr>
        <w:t>为法人或者其他组织的，质疑函应由法定代表人、主要负责人，或者其授权代表签字或者盖章，并加盖公章。</w:t>
      </w:r>
    </w:p>
    <w:p w14:paraId="500F9A28">
      <w:pPr>
        <w:spacing w:line="360" w:lineRule="auto"/>
        <w:rPr>
          <w:rFonts w:ascii="宋体" w:hAnsi="宋体" w:cs="宋体"/>
          <w:b/>
          <w:color w:val="000000" w:themeColor="text1"/>
          <w:spacing w:val="6"/>
          <w:sz w:val="28"/>
          <w:szCs w:val="28"/>
          <w14:textFill>
            <w14:solidFill>
              <w14:schemeClr w14:val="tx1"/>
            </w14:solidFill>
          </w14:textFill>
        </w:rPr>
      </w:pPr>
      <w:r>
        <w:rPr>
          <w:rFonts w:hint="eastAsia" w:ascii="宋体" w:hAnsi="宋体" w:cs="宋体"/>
          <w:b/>
          <w:color w:val="000000" w:themeColor="text1"/>
          <w:spacing w:val="6"/>
          <w:sz w:val="28"/>
          <w:szCs w:val="28"/>
          <w14:textFill>
            <w14:solidFill>
              <w14:schemeClr w14:val="tx1"/>
            </w14:solidFill>
          </w14:textFill>
        </w:rPr>
        <w:t>（四）投诉书范本格式：</w:t>
      </w:r>
    </w:p>
    <w:p w14:paraId="2BFE8BA9">
      <w:pPr>
        <w:pStyle w:val="29"/>
        <w:snapToGrid w:val="0"/>
        <w:spacing w:line="440" w:lineRule="exact"/>
        <w:jc w:val="center"/>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政府采购</w:t>
      </w:r>
      <w:r>
        <w:rPr>
          <w:rFonts w:hint="eastAsia" w:hAnsi="宋体" w:cs="宋体"/>
          <w:b/>
          <w:bCs/>
          <w:color w:val="000000" w:themeColor="text1"/>
          <w:sz w:val="24"/>
          <w:szCs w:val="24"/>
          <w:lang w:eastAsia="zh-CN"/>
          <w14:textFill>
            <w14:solidFill>
              <w14:schemeClr w14:val="tx1"/>
            </w14:solidFill>
          </w14:textFill>
        </w:rPr>
        <w:t>投标人</w:t>
      </w:r>
      <w:r>
        <w:rPr>
          <w:rFonts w:hint="eastAsia" w:hAnsi="宋体" w:cs="宋体"/>
          <w:b/>
          <w:bCs/>
          <w:color w:val="000000" w:themeColor="text1"/>
          <w:sz w:val="24"/>
          <w:szCs w:val="24"/>
          <w14:textFill>
            <w14:solidFill>
              <w14:schemeClr w14:val="tx1"/>
            </w14:solidFill>
          </w14:textFill>
        </w:rPr>
        <w:t>投诉书范本</w:t>
      </w:r>
    </w:p>
    <w:p w14:paraId="2708B01D">
      <w:pPr>
        <w:pStyle w:val="29"/>
        <w:snapToGrid w:val="0"/>
        <w:spacing w:line="440" w:lineRule="exact"/>
        <w:jc w:val="center"/>
        <w:rPr>
          <w:rFonts w:hAnsi="宋体" w:cs="宋体"/>
          <w:b/>
          <w:bCs/>
          <w:color w:val="000000" w:themeColor="text1"/>
          <w:sz w:val="21"/>
          <w14:textFill>
            <w14:solidFill>
              <w14:schemeClr w14:val="tx1"/>
            </w14:solidFill>
          </w14:textFill>
        </w:rPr>
      </w:pPr>
    </w:p>
    <w:p w14:paraId="69A41D5E">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一、投诉相关主体基本情况</w:t>
      </w:r>
    </w:p>
    <w:p w14:paraId="0C536B36">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投诉人：</w:t>
      </w:r>
    </w:p>
    <w:p w14:paraId="2AB01EEB">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    邮编：</w:t>
      </w:r>
    </w:p>
    <w:p w14:paraId="0849B30E">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法定代表人/主要负责人：</w:t>
      </w:r>
    </w:p>
    <w:p w14:paraId="6C857FDF">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p w14:paraId="62F1D16E">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授权代表：联系电话：</w:t>
      </w:r>
    </w:p>
    <w:p w14:paraId="2F381119">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    邮编：</w:t>
      </w:r>
    </w:p>
    <w:p w14:paraId="4E080BB8">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被投诉人1：</w:t>
      </w:r>
    </w:p>
    <w:p w14:paraId="36A44CB2">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    邮编：</w:t>
      </w:r>
    </w:p>
    <w:p w14:paraId="7DBC5D29">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    联系电话：</w:t>
      </w:r>
    </w:p>
    <w:p w14:paraId="29CEEF21">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被投诉人2</w:t>
      </w:r>
    </w:p>
    <w:p w14:paraId="53600E14">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14:paraId="08FCE0AC">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相关</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w:t>
      </w:r>
    </w:p>
    <w:p w14:paraId="79151656">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   邮编：</w:t>
      </w:r>
    </w:p>
    <w:p w14:paraId="026D4953">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    联系电话：</w:t>
      </w:r>
    </w:p>
    <w:p w14:paraId="269CD6E4">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二、投诉项目基本情况</w:t>
      </w:r>
    </w:p>
    <w:p w14:paraId="752742D4">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采购项目名称：</w:t>
      </w:r>
    </w:p>
    <w:p w14:paraId="2D471A2F">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采购项目编号：包号：</w:t>
      </w:r>
    </w:p>
    <w:p w14:paraId="2E2BDAAD">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采购人名称：</w:t>
      </w:r>
    </w:p>
    <w:p w14:paraId="708CAC7C">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代理机构名称：</w:t>
      </w:r>
    </w:p>
    <w:p w14:paraId="5896E771">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采购文件公告:是/否 公告期限：</w:t>
      </w:r>
    </w:p>
    <w:p w14:paraId="16F65EAF">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采购结果公告:是/否 公告期限：</w:t>
      </w:r>
    </w:p>
    <w:p w14:paraId="0FF4F1FC">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三、质疑基本情况</w:t>
      </w:r>
    </w:p>
    <w:p w14:paraId="7B9A3848">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投诉人于年月 日,向提出质疑，质疑事项为：</w:t>
      </w:r>
    </w:p>
    <w:p w14:paraId="7440A9C9">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采购人/代理机构于年月日,就质疑事项作出了答复/没有在法定期限内作出答复。</w:t>
      </w:r>
    </w:p>
    <w:p w14:paraId="0931B2F8">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四、投诉事项具体内容</w:t>
      </w:r>
    </w:p>
    <w:p w14:paraId="55E8023F">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投诉事项1：</w:t>
      </w:r>
    </w:p>
    <w:p w14:paraId="1246E039">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事实依据：</w:t>
      </w:r>
    </w:p>
    <w:p w14:paraId="63F6857B">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法律依据：</w:t>
      </w:r>
    </w:p>
    <w:p w14:paraId="650BBB78">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投诉事项2</w:t>
      </w:r>
    </w:p>
    <w:p w14:paraId="6128AB86">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14:paraId="6757E114">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五、与投诉事项相关的投诉请求</w:t>
      </w:r>
    </w:p>
    <w:p w14:paraId="7F941CC0">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请求：</w:t>
      </w:r>
    </w:p>
    <w:p w14:paraId="1D16FD5D">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签字(签章)：公章：</w:t>
      </w:r>
    </w:p>
    <w:p w14:paraId="5B89FEC7">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p>
    <w:p w14:paraId="7B64B69C">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投诉书制作说明：</w:t>
      </w:r>
    </w:p>
    <w:p w14:paraId="47C4A9AC">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1.投诉人提起投诉时，应当提交投诉书和必要的证明材料，并按照被投诉人和与投诉事项有关的</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数量提供投诉书副本。</w:t>
      </w:r>
    </w:p>
    <w:p w14:paraId="1FB8C46B">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AD0ACB0">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3.投诉人若对项目的某一分包进行投诉，投诉书应列明具体分包号。</w:t>
      </w:r>
    </w:p>
    <w:p w14:paraId="6CB88B4A">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4.投诉书应简要列明质疑事项，质疑函、质疑答复等作为附件材料提供。</w:t>
      </w:r>
    </w:p>
    <w:p w14:paraId="7FF7BFF1">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5.投诉书的投诉事项应具体、明确，并有必要的事实依据和法律依据。</w:t>
      </w:r>
    </w:p>
    <w:p w14:paraId="36BC75CC">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6.投诉书的投诉请求应与投诉事项相关。</w:t>
      </w:r>
    </w:p>
    <w:p w14:paraId="5753A7F2">
      <w:pPr>
        <w:keepNext w:val="0"/>
        <w:keepLines w:val="0"/>
        <w:pageBreakBefore w:val="0"/>
        <w:widowControl/>
        <w:kinsoku/>
        <w:wordWrap/>
        <w:overflowPunct/>
        <w:topLinePunct w:val="0"/>
        <w:autoSpaceDE/>
        <w:autoSpaceDN/>
        <w:bidi w:val="0"/>
        <w:adjustRightInd w:val="0"/>
        <w:snapToGrid w:val="0"/>
        <w:spacing w:line="5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525350C8">
      <w:pPr>
        <w:pStyle w:val="29"/>
        <w:snapToGrid w:val="0"/>
        <w:spacing w:line="600" w:lineRule="exact"/>
        <w:rPr>
          <w:rFonts w:hAnsi="宋体" w:cs="宋体"/>
          <w:color w:val="000000" w:themeColor="text1"/>
          <w:sz w:val="21"/>
          <w14:textFill>
            <w14:solidFill>
              <w14:schemeClr w14:val="tx1"/>
            </w14:solidFill>
          </w14:textFill>
        </w:rPr>
      </w:pPr>
    </w:p>
    <w:sectPr>
      <w:headerReference r:id="rId14" w:type="first"/>
      <w:footerReference r:id="rId16" w:type="first"/>
      <w:headerReference r:id="rId13" w:type="default"/>
      <w:footerReference r:id="rId15" w:type="default"/>
      <w:pgSz w:w="11906" w:h="16838"/>
      <w:pgMar w:top="1247" w:right="849" w:bottom="1247"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Segoe UI Emoji">
    <w:altName w:val="Segoe UI"/>
    <w:panose1 w:val="020B0502040204020203"/>
    <w:charset w:val="00"/>
    <w:family w:val="auto"/>
    <w:pitch w:val="default"/>
    <w:sig w:usb0="00000000" w:usb1="00000000" w:usb2="08000000" w:usb3="00000000" w:csb0="0000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809B">
    <w:pPr>
      <w:pStyle w:val="35"/>
      <w:jc w:val="center"/>
    </w:pPr>
  </w:p>
  <w:p w14:paraId="0FB50A43">
    <w:pPr>
      <w:pStyle w:val="3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C99D7">
    <w:pPr>
      <w:pStyle w:val="35"/>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E46A3">
                          <w:pPr>
                            <w:pStyle w:val="35"/>
                          </w:pPr>
                          <w:r>
                            <w:fldChar w:fldCharType="begin"/>
                          </w:r>
                          <w:r>
                            <w:instrText xml:space="preserve"> PAGE  \* MERGEFORMAT </w:instrText>
                          </w:r>
                          <w:r>
                            <w:fldChar w:fldCharType="separate"/>
                          </w:r>
                          <w:r>
                            <w:t>35</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PpeyC2AEAALMDAAAOAAAAAAAAAAEAIAAA&#10;AB4BAABkcnMvZTJvRG9jLnhtbFBLBQYAAAAABgAGAFkBAABoBQAAAAA=&#10;">
              <v:fill on="f" focussize="0,0"/>
              <v:stroke on="f"/>
              <v:imagedata o:title=""/>
              <o:lock v:ext="edit" aspectratio="f"/>
              <v:textbox inset="0mm,0mm,0mm,0mm" style="mso-fit-shape-to-text:t;">
                <w:txbxContent>
                  <w:p w14:paraId="593E46A3">
                    <w:pPr>
                      <w:pStyle w:val="35"/>
                    </w:pPr>
                    <w:r>
                      <w:fldChar w:fldCharType="begin"/>
                    </w:r>
                    <w:r>
                      <w:instrText xml:space="preserve"> PAGE  \* MERGEFORMAT </w:instrText>
                    </w:r>
                    <w:r>
                      <w:fldChar w:fldCharType="separate"/>
                    </w:r>
                    <w:r>
                      <w:t>35</w:t>
                    </w:r>
                    <w:r>
                      <w:fldChar w:fldCharType="end"/>
                    </w:r>
                  </w:p>
                </w:txbxContent>
              </v:textbox>
            </v:shape>
          </w:pict>
        </mc:Fallback>
      </mc:AlternateContent>
    </w:r>
  </w:p>
  <w:p w14:paraId="7C4A5136">
    <w:pP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66A1D">
    <w:pPr>
      <w:pStyle w:val="35"/>
      <w:ind w:firstLine="4770" w:firstLineChars="26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D6DC0">
    <w:pPr>
      <w:pStyle w:val="35"/>
      <w:jc w:val="center"/>
    </w:pPr>
  </w:p>
  <w:p w14:paraId="15CBA500">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9F48">
    <w:pPr>
      <w:pStyle w:val="35"/>
      <w:ind w:firstLine="4770" w:firstLineChars="265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A96CD">
                          <w:pPr>
                            <w:pStyle w:val="3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caJ8MBAACO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99S4rjFgZ9//jj/+nP+/Z0s&#10;r7M+fYAa0+4DJqbhnR9wa2Y/oDPTHlS0+YuECMZR3dNFXTkkIvKj1XK1qjAkMDZfEJ89PA8R0nvp&#10;LclGQyOOr6jKjx8hjalzSq7m/J02pozQuH8ciJk9LPc+9pitNOyGidDOtyfk0+PkG+pw0SkxHxwK&#10;m5dkNuJs7CYj14Bwe0hYuPSTUUeoqRiOqTCaVirvweN7yXr4jT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AVxonwwEAAI4DAAAOAAAAAAAAAAEAIAAAAB4BAABkcnMvZTJvRG9jLnhtbFBL&#10;BQYAAAAABgAGAFkBAABTBQAAAAA=&#10;">
              <v:fill on="f" focussize="0,0"/>
              <v:stroke on="f"/>
              <v:imagedata o:title=""/>
              <o:lock v:ext="edit" aspectratio="f"/>
              <v:textbox inset="0mm,0mm,0mm,0mm" style="mso-fit-shape-to-text:t;">
                <w:txbxContent>
                  <w:p w14:paraId="788A96CD">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C646B">
    <w:pPr>
      <w:pStyle w:val="35"/>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B8F23E">
                          <w:pPr>
                            <w:pStyle w:val="35"/>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c7BpfXAQAAswMAAA4AAAAAAAAAAQAgAAAA&#10;HgEAAGRycy9lMm9Eb2MueG1sUEsFBgAAAAAGAAYAWQEAAGcFAAAAAA==&#10;">
              <v:fill on="f" focussize="0,0"/>
              <v:stroke on="f"/>
              <v:imagedata o:title=""/>
              <o:lock v:ext="edit" aspectratio="f"/>
              <v:textbox inset="0mm,0mm,0mm,0mm" style="mso-fit-shape-to-text:t;">
                <w:txbxContent>
                  <w:p w14:paraId="63B8F23E">
                    <w:pPr>
                      <w:pStyle w:val="35"/>
                    </w:pPr>
                    <w:r>
                      <w:fldChar w:fldCharType="begin"/>
                    </w:r>
                    <w:r>
                      <w:instrText xml:space="preserve"> PAGE  \* MERGEFORMAT </w:instrText>
                    </w:r>
                    <w:r>
                      <w:fldChar w:fldCharType="separate"/>
                    </w:r>
                    <w:r>
                      <w:t>3</w:t>
                    </w:r>
                    <w:r>
                      <w:fldChar w:fldCharType="end"/>
                    </w:r>
                  </w:p>
                </w:txbxContent>
              </v:textbox>
            </v:shape>
          </w:pict>
        </mc:Fallback>
      </mc:AlternateContent>
    </w:r>
  </w:p>
  <w:p w14:paraId="47BE082B">
    <w:pPr>
      <w:pStyle w:val="3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C9F00">
    <w:pPr>
      <w:pStyle w:val="35"/>
      <w:ind w:firstLine="4770" w:firstLineChars="265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827380">
                          <w:pPr>
                            <w:pStyle w:val="35"/>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UOjQ/XAQAAswMAAA4AAAAAAAAAAQAgAAAA&#10;HgEAAGRycy9lMm9Eb2MueG1sUEsFBgAAAAAGAAYAWQEAAGcFAAAAAA==&#10;">
              <v:fill on="f" focussize="0,0"/>
              <v:stroke on="f"/>
              <v:imagedata o:title=""/>
              <o:lock v:ext="edit" aspectratio="f"/>
              <v:textbox inset="0mm,0mm,0mm,0mm" style="mso-fit-shape-to-text:t;">
                <w:txbxContent>
                  <w:p w14:paraId="1E827380">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40199">
    <w:pPr>
      <w:pStyle w:val="35"/>
      <w:ind w:firstLine="4770" w:firstLineChars="265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1B407C">
                          <w:pPr>
                            <w:pStyle w:val="35"/>
                          </w:pPr>
                          <w:r>
                            <w:fldChar w:fldCharType="begin"/>
                          </w:r>
                          <w:r>
                            <w:instrText xml:space="preserve"> PAGE  \* MERGEFORMAT </w:instrText>
                          </w:r>
                          <w:r>
                            <w:fldChar w:fldCharType="separate"/>
                          </w:r>
                          <w:r>
                            <w:t>4</w:t>
                          </w:r>
                          <w:r>
                            <w:fldChar w:fldCharType="end"/>
                          </w:r>
                        </w:p>
                      </w:txbxContent>
                    </wps:txbx>
                    <wps:bodyPr vert="horz" wrap="none" lIns="0" tIns="0" rIns="0" bIns="0" anchor="t" anchorCtr="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n6j4dcBAACzAwAADgAAAGRycy9lMm9Eb2MueG1srVNBrtMwEN0jcQfL&#10;e5q0SK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Z9z5oSlgV++f7v8+HX5+ZWt&#10;lq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Kp+o+HXAQAAswMAAA4AAAAAAAAAAQAgAAAA&#10;HgEAAGRycy9lMm9Eb2MueG1sUEsFBgAAAAAGAAYAWQEAAGcFAAAAAA==&#10;">
              <v:fill on="f" focussize="0,0"/>
              <v:stroke on="f"/>
              <v:imagedata o:title=""/>
              <o:lock v:ext="edit" aspectratio="f"/>
              <v:textbox inset="0mm,0mm,0mm,0mm" style="mso-fit-shape-to-text:t;">
                <w:txbxContent>
                  <w:p w14:paraId="641B407C">
                    <w:pPr>
                      <w:pStyle w:val="3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2AF9A">
    <w:pPr>
      <w:pStyle w:val="35"/>
      <w:ind w:firstLine="4770" w:firstLineChars="265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483A1F">
                          <w:pPr>
                            <w:pStyle w:val="35"/>
                          </w:pPr>
                          <w:r>
                            <w:fldChar w:fldCharType="begin"/>
                          </w:r>
                          <w:r>
                            <w:instrText xml:space="preserve"> PAGE  \* MERGEFORMAT </w:instrText>
                          </w:r>
                          <w:r>
                            <w:fldChar w:fldCharType="separate"/>
                          </w:r>
                          <w:r>
                            <w:t>15</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BpFd/2AEAALMDAAAOAAAAAAAAAAEAIAAA&#10;AB4BAABkcnMvZTJvRG9jLnhtbFBLBQYAAAAABgAGAFkBAABoBQAAAAA=&#10;">
              <v:fill on="f" focussize="0,0"/>
              <v:stroke on="f"/>
              <v:imagedata o:title=""/>
              <o:lock v:ext="edit" aspectratio="f"/>
              <v:textbox inset="0mm,0mm,0mm,0mm" style="mso-fit-shape-to-text:t;">
                <w:txbxContent>
                  <w:p w14:paraId="68483A1F">
                    <w:pPr>
                      <w:pStyle w:val="3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B85B9">
    <w:pPr>
      <w:pStyle w:val="35"/>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2DCB26">
                          <w:pPr>
                            <w:pStyle w:val="35"/>
                          </w:pPr>
                          <w:r>
                            <w:fldChar w:fldCharType="begin"/>
                          </w:r>
                          <w:r>
                            <w:instrText xml:space="preserve"> PAGE  \* MERGEFORMAT </w:instrText>
                          </w:r>
                          <w:r>
                            <w:fldChar w:fldCharType="separate"/>
                          </w:r>
                          <w:r>
                            <w:t>49</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gyUFg2AEAALMDAAAOAAAAAAAAAAEAIAAA&#10;AB4BAABkcnMvZTJvRG9jLnhtbFBLBQYAAAAABgAGAFkBAABoBQAAAAA=&#10;">
              <v:fill on="f" focussize="0,0"/>
              <v:stroke on="f"/>
              <v:imagedata o:title=""/>
              <o:lock v:ext="edit" aspectratio="f"/>
              <v:textbox inset="0mm,0mm,0mm,0mm" style="mso-fit-shape-to-text:t;">
                <w:txbxContent>
                  <w:p w14:paraId="642DCB26">
                    <w:pPr>
                      <w:pStyle w:val="35"/>
                    </w:pPr>
                    <w:r>
                      <w:fldChar w:fldCharType="begin"/>
                    </w:r>
                    <w:r>
                      <w:instrText xml:space="preserve"> PAGE  \* MERGEFORMAT </w:instrText>
                    </w:r>
                    <w:r>
                      <w:fldChar w:fldCharType="separate"/>
                    </w:r>
                    <w:r>
                      <w:t>49</w:t>
                    </w:r>
                    <w:r>
                      <w:fldChar w:fldCharType="end"/>
                    </w:r>
                  </w:p>
                </w:txbxContent>
              </v:textbox>
            </v:shape>
          </w:pict>
        </mc:Fallback>
      </mc:AlternateContent>
    </w:r>
  </w:p>
  <w:p w14:paraId="5486CEBB">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31CDB">
    <w:pPr>
      <w:pStyle w:val="3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FCC1B">
    <w:pPr>
      <w:pStyle w:val="3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5C45D">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EC3D8">
    <w:pPr>
      <w:pStyle w:val="36"/>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3EBEB"/>
    <w:multiLevelType w:val="singleLevel"/>
    <w:tmpl w:val="AF63EBEB"/>
    <w:lvl w:ilvl="0" w:tentative="0">
      <w:start w:val="2"/>
      <w:numFmt w:val="chineseCounting"/>
      <w:suff w:val="nothing"/>
      <w:lvlText w:val="%1、"/>
      <w:lvlJc w:val="left"/>
      <w:rPr>
        <w:rFonts w:hint="eastAsia"/>
      </w:rPr>
    </w:lvl>
  </w:abstractNum>
  <w:abstractNum w:abstractNumId="1">
    <w:nsid w:val="FD1E8708"/>
    <w:multiLevelType w:val="singleLevel"/>
    <w:tmpl w:val="FD1E8708"/>
    <w:lvl w:ilvl="0" w:tentative="0">
      <w:start w:val="3"/>
      <w:numFmt w:val="decimal"/>
      <w:lvlText w:val="%1."/>
      <w:lvlJc w:val="left"/>
      <w:pPr>
        <w:tabs>
          <w:tab w:val="left" w:pos="312"/>
        </w:tabs>
      </w:pPr>
    </w:lvl>
  </w:abstractNum>
  <w:abstractNum w:abstractNumId="2">
    <w:nsid w:val="2B20E520"/>
    <w:multiLevelType w:val="singleLevel"/>
    <w:tmpl w:val="2B20E520"/>
    <w:lvl w:ilvl="0" w:tentative="0">
      <w:start w:val="1"/>
      <w:numFmt w:val="chineseCounting"/>
      <w:pStyle w:val="512"/>
      <w:suff w:val="nothing"/>
      <w:lvlText w:val="（%1）"/>
      <w:lvlJc w:val="left"/>
      <w:pPr>
        <w:ind w:left="-210" w:firstLine="420"/>
      </w:pPr>
      <w:rPr>
        <w:rFonts w:hint="eastAsia"/>
      </w:rPr>
    </w:lvl>
  </w:abstractNum>
  <w:abstractNum w:abstractNumId="3">
    <w:nsid w:val="2C7C8F3D"/>
    <w:multiLevelType w:val="singleLevel"/>
    <w:tmpl w:val="2C7C8F3D"/>
    <w:lvl w:ilvl="0" w:tentative="0">
      <w:start w:val="5"/>
      <w:numFmt w:val="decimal"/>
      <w:lvlText w:val="%1."/>
      <w:lvlJc w:val="left"/>
      <w:pPr>
        <w:tabs>
          <w:tab w:val="left" w:pos="312"/>
        </w:tabs>
      </w:pPr>
    </w:lvl>
  </w:abstractNum>
  <w:abstractNum w:abstractNumId="4">
    <w:nsid w:val="2F368A9B"/>
    <w:multiLevelType w:val="singleLevel"/>
    <w:tmpl w:val="2F368A9B"/>
    <w:lvl w:ilvl="0" w:tentative="0">
      <w:start w:val="1"/>
      <w:numFmt w:val="chineseCounting"/>
      <w:pStyle w:val="511"/>
      <w:suff w:val="nothing"/>
      <w:lvlText w:val="%1、"/>
      <w:lvlJc w:val="left"/>
      <w:pPr>
        <w:ind w:left="0" w:firstLine="420"/>
      </w:pPr>
      <w:rPr>
        <w:rFonts w:hint="eastAsia"/>
      </w:r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7ABFD0ED"/>
    <w:multiLevelType w:val="singleLevel"/>
    <w:tmpl w:val="7ABFD0ED"/>
    <w:lvl w:ilvl="0" w:tentative="0">
      <w:start w:val="1"/>
      <w:numFmt w:val="chineseCounting"/>
      <w:suff w:val="space"/>
      <w:lvlText w:val="第%1部分"/>
      <w:lvlJc w:val="left"/>
      <w:rPr>
        <w:rFonts w:hint="eastAsia"/>
      </w:rPr>
    </w:lvl>
  </w:abstractNum>
  <w:num w:numId="1">
    <w:abstractNumId w:val="5"/>
  </w:num>
  <w:num w:numId="2">
    <w:abstractNumId w:val="4"/>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MTY0NjlmMjAwNDI5MjliZjdjNzhlNTQxNWNiYjUifQ=="/>
  </w:docVars>
  <w:rsids>
    <w:rsidRoot w:val="00AB5D97"/>
    <w:rsid w:val="000009C0"/>
    <w:rsid w:val="00001C9F"/>
    <w:rsid w:val="00002154"/>
    <w:rsid w:val="00002CE2"/>
    <w:rsid w:val="00002F7C"/>
    <w:rsid w:val="00003586"/>
    <w:rsid w:val="00003FE7"/>
    <w:rsid w:val="000061A9"/>
    <w:rsid w:val="000062CB"/>
    <w:rsid w:val="000066FB"/>
    <w:rsid w:val="00006943"/>
    <w:rsid w:val="00006D05"/>
    <w:rsid w:val="00007628"/>
    <w:rsid w:val="00007997"/>
    <w:rsid w:val="00007C06"/>
    <w:rsid w:val="00007CA1"/>
    <w:rsid w:val="000103E6"/>
    <w:rsid w:val="00010667"/>
    <w:rsid w:val="000108F4"/>
    <w:rsid w:val="00010D0E"/>
    <w:rsid w:val="0001298F"/>
    <w:rsid w:val="00012A0E"/>
    <w:rsid w:val="00012A62"/>
    <w:rsid w:val="00012C86"/>
    <w:rsid w:val="000135C7"/>
    <w:rsid w:val="000136BB"/>
    <w:rsid w:val="00014BDE"/>
    <w:rsid w:val="00015062"/>
    <w:rsid w:val="00015115"/>
    <w:rsid w:val="0001516F"/>
    <w:rsid w:val="00015422"/>
    <w:rsid w:val="00015E69"/>
    <w:rsid w:val="0001602B"/>
    <w:rsid w:val="00016690"/>
    <w:rsid w:val="000168BC"/>
    <w:rsid w:val="000169BB"/>
    <w:rsid w:val="00016B9D"/>
    <w:rsid w:val="00016CFF"/>
    <w:rsid w:val="000173E2"/>
    <w:rsid w:val="0001792A"/>
    <w:rsid w:val="0002017F"/>
    <w:rsid w:val="000201E9"/>
    <w:rsid w:val="000209B5"/>
    <w:rsid w:val="000212A4"/>
    <w:rsid w:val="00021367"/>
    <w:rsid w:val="00021B2D"/>
    <w:rsid w:val="00021D4B"/>
    <w:rsid w:val="00022610"/>
    <w:rsid w:val="00022BA0"/>
    <w:rsid w:val="00023A01"/>
    <w:rsid w:val="00023C03"/>
    <w:rsid w:val="00023D05"/>
    <w:rsid w:val="00023E3A"/>
    <w:rsid w:val="00024169"/>
    <w:rsid w:val="0002491C"/>
    <w:rsid w:val="00024971"/>
    <w:rsid w:val="00025202"/>
    <w:rsid w:val="000252F1"/>
    <w:rsid w:val="00025E0B"/>
    <w:rsid w:val="00025FEA"/>
    <w:rsid w:val="00026261"/>
    <w:rsid w:val="000269F3"/>
    <w:rsid w:val="00026D59"/>
    <w:rsid w:val="00027162"/>
    <w:rsid w:val="0002722D"/>
    <w:rsid w:val="00027BE0"/>
    <w:rsid w:val="00027CD2"/>
    <w:rsid w:val="000306BA"/>
    <w:rsid w:val="00030930"/>
    <w:rsid w:val="00030A33"/>
    <w:rsid w:val="0003126B"/>
    <w:rsid w:val="00031AE0"/>
    <w:rsid w:val="00031CFE"/>
    <w:rsid w:val="00032D13"/>
    <w:rsid w:val="0003306F"/>
    <w:rsid w:val="0003348F"/>
    <w:rsid w:val="00033BA2"/>
    <w:rsid w:val="00033C75"/>
    <w:rsid w:val="000341B6"/>
    <w:rsid w:val="000351C8"/>
    <w:rsid w:val="000355A3"/>
    <w:rsid w:val="00035E02"/>
    <w:rsid w:val="00036220"/>
    <w:rsid w:val="00036481"/>
    <w:rsid w:val="00037579"/>
    <w:rsid w:val="00037C0F"/>
    <w:rsid w:val="00037E1C"/>
    <w:rsid w:val="00040516"/>
    <w:rsid w:val="00040C12"/>
    <w:rsid w:val="00041408"/>
    <w:rsid w:val="000422A3"/>
    <w:rsid w:val="00042A2A"/>
    <w:rsid w:val="000439A7"/>
    <w:rsid w:val="000439FC"/>
    <w:rsid w:val="00043D71"/>
    <w:rsid w:val="00044BE6"/>
    <w:rsid w:val="00046120"/>
    <w:rsid w:val="000463F5"/>
    <w:rsid w:val="0004646C"/>
    <w:rsid w:val="000464E9"/>
    <w:rsid w:val="00046643"/>
    <w:rsid w:val="000467CD"/>
    <w:rsid w:val="00046E51"/>
    <w:rsid w:val="00046F99"/>
    <w:rsid w:val="0004778E"/>
    <w:rsid w:val="00047A17"/>
    <w:rsid w:val="00047A48"/>
    <w:rsid w:val="000501C5"/>
    <w:rsid w:val="00050895"/>
    <w:rsid w:val="00050FD5"/>
    <w:rsid w:val="0005164F"/>
    <w:rsid w:val="000519AE"/>
    <w:rsid w:val="00051BEF"/>
    <w:rsid w:val="00052142"/>
    <w:rsid w:val="0005291E"/>
    <w:rsid w:val="00052CE1"/>
    <w:rsid w:val="00052D5A"/>
    <w:rsid w:val="0005309B"/>
    <w:rsid w:val="000530BB"/>
    <w:rsid w:val="00054111"/>
    <w:rsid w:val="000541D3"/>
    <w:rsid w:val="00054468"/>
    <w:rsid w:val="00054865"/>
    <w:rsid w:val="00054F36"/>
    <w:rsid w:val="000554B5"/>
    <w:rsid w:val="00055850"/>
    <w:rsid w:val="000558DE"/>
    <w:rsid w:val="00055D1D"/>
    <w:rsid w:val="0005606B"/>
    <w:rsid w:val="00056857"/>
    <w:rsid w:val="00057118"/>
    <w:rsid w:val="000579F0"/>
    <w:rsid w:val="00057A96"/>
    <w:rsid w:val="000606E2"/>
    <w:rsid w:val="00060A9D"/>
    <w:rsid w:val="00060D6A"/>
    <w:rsid w:val="000611B1"/>
    <w:rsid w:val="000628EE"/>
    <w:rsid w:val="00062A56"/>
    <w:rsid w:val="00062A88"/>
    <w:rsid w:val="00062C7E"/>
    <w:rsid w:val="000632E7"/>
    <w:rsid w:val="0006330B"/>
    <w:rsid w:val="00063517"/>
    <w:rsid w:val="00063FD7"/>
    <w:rsid w:val="0006411E"/>
    <w:rsid w:val="000642B6"/>
    <w:rsid w:val="00064750"/>
    <w:rsid w:val="00064A8C"/>
    <w:rsid w:val="00064ACF"/>
    <w:rsid w:val="00064FF3"/>
    <w:rsid w:val="00065528"/>
    <w:rsid w:val="00065BA4"/>
    <w:rsid w:val="00066AC5"/>
    <w:rsid w:val="00066BF7"/>
    <w:rsid w:val="00067294"/>
    <w:rsid w:val="000700CC"/>
    <w:rsid w:val="00070171"/>
    <w:rsid w:val="0007025B"/>
    <w:rsid w:val="00070559"/>
    <w:rsid w:val="0007096D"/>
    <w:rsid w:val="00070EDE"/>
    <w:rsid w:val="00072235"/>
    <w:rsid w:val="00072400"/>
    <w:rsid w:val="000724C1"/>
    <w:rsid w:val="00072A3B"/>
    <w:rsid w:val="000746ED"/>
    <w:rsid w:val="00074C84"/>
    <w:rsid w:val="00075D31"/>
    <w:rsid w:val="0007631E"/>
    <w:rsid w:val="00077360"/>
    <w:rsid w:val="0007753F"/>
    <w:rsid w:val="0007760A"/>
    <w:rsid w:val="00077AF2"/>
    <w:rsid w:val="00077D96"/>
    <w:rsid w:val="00080361"/>
    <w:rsid w:val="000806A1"/>
    <w:rsid w:val="0008157C"/>
    <w:rsid w:val="00081824"/>
    <w:rsid w:val="00082481"/>
    <w:rsid w:val="000834DA"/>
    <w:rsid w:val="00083871"/>
    <w:rsid w:val="00083981"/>
    <w:rsid w:val="0008447F"/>
    <w:rsid w:val="0008451A"/>
    <w:rsid w:val="00084E98"/>
    <w:rsid w:val="00085949"/>
    <w:rsid w:val="000874F9"/>
    <w:rsid w:val="000879C3"/>
    <w:rsid w:val="00087B12"/>
    <w:rsid w:val="00087EFA"/>
    <w:rsid w:val="00090281"/>
    <w:rsid w:val="00090290"/>
    <w:rsid w:val="000907D6"/>
    <w:rsid w:val="0009174D"/>
    <w:rsid w:val="00091A15"/>
    <w:rsid w:val="00091EE2"/>
    <w:rsid w:val="000925C5"/>
    <w:rsid w:val="00093D4A"/>
    <w:rsid w:val="000940EB"/>
    <w:rsid w:val="00094739"/>
    <w:rsid w:val="00094BA7"/>
    <w:rsid w:val="00094E9C"/>
    <w:rsid w:val="000951D8"/>
    <w:rsid w:val="00095D3E"/>
    <w:rsid w:val="00095EB4"/>
    <w:rsid w:val="00095ED6"/>
    <w:rsid w:val="0009637A"/>
    <w:rsid w:val="000963BA"/>
    <w:rsid w:val="00096F23"/>
    <w:rsid w:val="000A0FFD"/>
    <w:rsid w:val="000A1498"/>
    <w:rsid w:val="000A1957"/>
    <w:rsid w:val="000A1A1A"/>
    <w:rsid w:val="000A1B91"/>
    <w:rsid w:val="000A2104"/>
    <w:rsid w:val="000A215B"/>
    <w:rsid w:val="000A2168"/>
    <w:rsid w:val="000A244A"/>
    <w:rsid w:val="000A27DA"/>
    <w:rsid w:val="000A2B4E"/>
    <w:rsid w:val="000A2C84"/>
    <w:rsid w:val="000A34CC"/>
    <w:rsid w:val="000A3E46"/>
    <w:rsid w:val="000A40CB"/>
    <w:rsid w:val="000A5BF5"/>
    <w:rsid w:val="000A5E9F"/>
    <w:rsid w:val="000A758A"/>
    <w:rsid w:val="000B005A"/>
    <w:rsid w:val="000B0625"/>
    <w:rsid w:val="000B0DC1"/>
    <w:rsid w:val="000B1110"/>
    <w:rsid w:val="000B1D9F"/>
    <w:rsid w:val="000B2275"/>
    <w:rsid w:val="000B24BF"/>
    <w:rsid w:val="000B2586"/>
    <w:rsid w:val="000B3C0B"/>
    <w:rsid w:val="000B3E12"/>
    <w:rsid w:val="000B4312"/>
    <w:rsid w:val="000B45B0"/>
    <w:rsid w:val="000B4A87"/>
    <w:rsid w:val="000B4CDD"/>
    <w:rsid w:val="000B5079"/>
    <w:rsid w:val="000B52D8"/>
    <w:rsid w:val="000B5C4F"/>
    <w:rsid w:val="000B5C8E"/>
    <w:rsid w:val="000B61C8"/>
    <w:rsid w:val="000B667E"/>
    <w:rsid w:val="000B6E18"/>
    <w:rsid w:val="000C0C07"/>
    <w:rsid w:val="000C0EE9"/>
    <w:rsid w:val="000C1416"/>
    <w:rsid w:val="000C1530"/>
    <w:rsid w:val="000C3BC0"/>
    <w:rsid w:val="000C4330"/>
    <w:rsid w:val="000C468D"/>
    <w:rsid w:val="000C4AA1"/>
    <w:rsid w:val="000C5048"/>
    <w:rsid w:val="000C5246"/>
    <w:rsid w:val="000C5393"/>
    <w:rsid w:val="000C595E"/>
    <w:rsid w:val="000C59E9"/>
    <w:rsid w:val="000C5B76"/>
    <w:rsid w:val="000C605C"/>
    <w:rsid w:val="000C6B10"/>
    <w:rsid w:val="000C78AB"/>
    <w:rsid w:val="000C7B88"/>
    <w:rsid w:val="000C7C99"/>
    <w:rsid w:val="000C7D20"/>
    <w:rsid w:val="000C7F08"/>
    <w:rsid w:val="000D05EA"/>
    <w:rsid w:val="000D06DD"/>
    <w:rsid w:val="000D098E"/>
    <w:rsid w:val="000D1356"/>
    <w:rsid w:val="000D1F66"/>
    <w:rsid w:val="000D1FA5"/>
    <w:rsid w:val="000D3C65"/>
    <w:rsid w:val="000D404C"/>
    <w:rsid w:val="000D4474"/>
    <w:rsid w:val="000D4A68"/>
    <w:rsid w:val="000D4F7D"/>
    <w:rsid w:val="000D53C1"/>
    <w:rsid w:val="000D5AF4"/>
    <w:rsid w:val="000D5BFE"/>
    <w:rsid w:val="000D67DF"/>
    <w:rsid w:val="000D6B6D"/>
    <w:rsid w:val="000D6C5E"/>
    <w:rsid w:val="000D708C"/>
    <w:rsid w:val="000D79D7"/>
    <w:rsid w:val="000E04F2"/>
    <w:rsid w:val="000E06F2"/>
    <w:rsid w:val="000E0A79"/>
    <w:rsid w:val="000E0C6E"/>
    <w:rsid w:val="000E0EA0"/>
    <w:rsid w:val="000E1355"/>
    <w:rsid w:val="000E1588"/>
    <w:rsid w:val="000E20A5"/>
    <w:rsid w:val="000E22BF"/>
    <w:rsid w:val="000E2617"/>
    <w:rsid w:val="000E3EA4"/>
    <w:rsid w:val="000E443C"/>
    <w:rsid w:val="000E4A98"/>
    <w:rsid w:val="000E4BBB"/>
    <w:rsid w:val="000E5515"/>
    <w:rsid w:val="000E56AA"/>
    <w:rsid w:val="000E5722"/>
    <w:rsid w:val="000E5A20"/>
    <w:rsid w:val="000E5BF0"/>
    <w:rsid w:val="000E6614"/>
    <w:rsid w:val="000E68AE"/>
    <w:rsid w:val="000E7924"/>
    <w:rsid w:val="000E7A00"/>
    <w:rsid w:val="000F03A3"/>
    <w:rsid w:val="000F04FB"/>
    <w:rsid w:val="000F0D3E"/>
    <w:rsid w:val="000F0F15"/>
    <w:rsid w:val="000F17C0"/>
    <w:rsid w:val="000F1A0B"/>
    <w:rsid w:val="000F1D65"/>
    <w:rsid w:val="000F22C5"/>
    <w:rsid w:val="000F293C"/>
    <w:rsid w:val="000F2CA2"/>
    <w:rsid w:val="000F3262"/>
    <w:rsid w:val="000F4B96"/>
    <w:rsid w:val="000F5075"/>
    <w:rsid w:val="000F513C"/>
    <w:rsid w:val="000F5589"/>
    <w:rsid w:val="000F5BA2"/>
    <w:rsid w:val="000F6199"/>
    <w:rsid w:val="000F6263"/>
    <w:rsid w:val="000F6BDD"/>
    <w:rsid w:val="000F6BF7"/>
    <w:rsid w:val="000F6D7D"/>
    <w:rsid w:val="000F721B"/>
    <w:rsid w:val="000F7228"/>
    <w:rsid w:val="00100289"/>
    <w:rsid w:val="0010043E"/>
    <w:rsid w:val="00100ECC"/>
    <w:rsid w:val="00100F0A"/>
    <w:rsid w:val="00101332"/>
    <w:rsid w:val="001014A6"/>
    <w:rsid w:val="00101F80"/>
    <w:rsid w:val="00102516"/>
    <w:rsid w:val="001035AD"/>
    <w:rsid w:val="00103830"/>
    <w:rsid w:val="00104740"/>
    <w:rsid w:val="0010477F"/>
    <w:rsid w:val="0010528B"/>
    <w:rsid w:val="00105336"/>
    <w:rsid w:val="0010589F"/>
    <w:rsid w:val="001067A2"/>
    <w:rsid w:val="00106A10"/>
    <w:rsid w:val="00106D89"/>
    <w:rsid w:val="00107020"/>
    <w:rsid w:val="001070A3"/>
    <w:rsid w:val="00107DFE"/>
    <w:rsid w:val="001105B6"/>
    <w:rsid w:val="00110F2D"/>
    <w:rsid w:val="00111188"/>
    <w:rsid w:val="00111A61"/>
    <w:rsid w:val="00111D21"/>
    <w:rsid w:val="00111F4C"/>
    <w:rsid w:val="00112C20"/>
    <w:rsid w:val="00112E23"/>
    <w:rsid w:val="00112F79"/>
    <w:rsid w:val="00113333"/>
    <w:rsid w:val="0011336D"/>
    <w:rsid w:val="0011340A"/>
    <w:rsid w:val="001134B4"/>
    <w:rsid w:val="00113629"/>
    <w:rsid w:val="001140BE"/>
    <w:rsid w:val="0011416F"/>
    <w:rsid w:val="00114FC8"/>
    <w:rsid w:val="001152EE"/>
    <w:rsid w:val="00115F44"/>
    <w:rsid w:val="00116207"/>
    <w:rsid w:val="0011646F"/>
    <w:rsid w:val="0011650E"/>
    <w:rsid w:val="00116EEA"/>
    <w:rsid w:val="00116EF3"/>
    <w:rsid w:val="00117088"/>
    <w:rsid w:val="00117B3D"/>
    <w:rsid w:val="00117B49"/>
    <w:rsid w:val="00120152"/>
    <w:rsid w:val="00120F41"/>
    <w:rsid w:val="001213E8"/>
    <w:rsid w:val="00121472"/>
    <w:rsid w:val="00121E32"/>
    <w:rsid w:val="001222CE"/>
    <w:rsid w:val="0012237A"/>
    <w:rsid w:val="00122E62"/>
    <w:rsid w:val="0012328D"/>
    <w:rsid w:val="00123CDB"/>
    <w:rsid w:val="0012434B"/>
    <w:rsid w:val="0012457B"/>
    <w:rsid w:val="00125375"/>
    <w:rsid w:val="00125A1F"/>
    <w:rsid w:val="00126995"/>
    <w:rsid w:val="0012768B"/>
    <w:rsid w:val="00127AF1"/>
    <w:rsid w:val="00130333"/>
    <w:rsid w:val="001304F9"/>
    <w:rsid w:val="001308DB"/>
    <w:rsid w:val="001310DE"/>
    <w:rsid w:val="001319C9"/>
    <w:rsid w:val="00131F55"/>
    <w:rsid w:val="00132334"/>
    <w:rsid w:val="00132710"/>
    <w:rsid w:val="00132894"/>
    <w:rsid w:val="00132D11"/>
    <w:rsid w:val="00132F1B"/>
    <w:rsid w:val="001332FB"/>
    <w:rsid w:val="0013349D"/>
    <w:rsid w:val="001337C9"/>
    <w:rsid w:val="001341DF"/>
    <w:rsid w:val="00134299"/>
    <w:rsid w:val="00134816"/>
    <w:rsid w:val="001348B9"/>
    <w:rsid w:val="00134BC2"/>
    <w:rsid w:val="00134E9B"/>
    <w:rsid w:val="0013532A"/>
    <w:rsid w:val="00135475"/>
    <w:rsid w:val="001355EA"/>
    <w:rsid w:val="00135F2F"/>
    <w:rsid w:val="001365B4"/>
    <w:rsid w:val="001404D2"/>
    <w:rsid w:val="00140F50"/>
    <w:rsid w:val="00141502"/>
    <w:rsid w:val="00141B80"/>
    <w:rsid w:val="00141CFB"/>
    <w:rsid w:val="00141D40"/>
    <w:rsid w:val="0014244C"/>
    <w:rsid w:val="001424B7"/>
    <w:rsid w:val="00142994"/>
    <w:rsid w:val="0014367D"/>
    <w:rsid w:val="00143881"/>
    <w:rsid w:val="00143ED5"/>
    <w:rsid w:val="001443D7"/>
    <w:rsid w:val="001445E1"/>
    <w:rsid w:val="00144957"/>
    <w:rsid w:val="0014505B"/>
    <w:rsid w:val="00145AD5"/>
    <w:rsid w:val="00145E27"/>
    <w:rsid w:val="00145F29"/>
    <w:rsid w:val="00146ECB"/>
    <w:rsid w:val="00147200"/>
    <w:rsid w:val="001473FA"/>
    <w:rsid w:val="00147400"/>
    <w:rsid w:val="001477D4"/>
    <w:rsid w:val="00147A80"/>
    <w:rsid w:val="00147B94"/>
    <w:rsid w:val="0015023F"/>
    <w:rsid w:val="001508A3"/>
    <w:rsid w:val="00150ABC"/>
    <w:rsid w:val="00150BD4"/>
    <w:rsid w:val="001512C7"/>
    <w:rsid w:val="00151492"/>
    <w:rsid w:val="0015218E"/>
    <w:rsid w:val="001521CB"/>
    <w:rsid w:val="00152656"/>
    <w:rsid w:val="00152966"/>
    <w:rsid w:val="00152C6F"/>
    <w:rsid w:val="001530C3"/>
    <w:rsid w:val="001531A9"/>
    <w:rsid w:val="00153321"/>
    <w:rsid w:val="001537AB"/>
    <w:rsid w:val="00153BAE"/>
    <w:rsid w:val="00153C66"/>
    <w:rsid w:val="00153EC2"/>
    <w:rsid w:val="00154192"/>
    <w:rsid w:val="0015454F"/>
    <w:rsid w:val="001550F9"/>
    <w:rsid w:val="001555E4"/>
    <w:rsid w:val="001557E1"/>
    <w:rsid w:val="00155B12"/>
    <w:rsid w:val="00155D31"/>
    <w:rsid w:val="00156FD9"/>
    <w:rsid w:val="00157256"/>
    <w:rsid w:val="001574A5"/>
    <w:rsid w:val="00157ACA"/>
    <w:rsid w:val="00157B42"/>
    <w:rsid w:val="00157C3B"/>
    <w:rsid w:val="00157C50"/>
    <w:rsid w:val="00157EF1"/>
    <w:rsid w:val="0016045D"/>
    <w:rsid w:val="00160EA1"/>
    <w:rsid w:val="001616ED"/>
    <w:rsid w:val="00161BDC"/>
    <w:rsid w:val="00161EA0"/>
    <w:rsid w:val="00162368"/>
    <w:rsid w:val="00163FCF"/>
    <w:rsid w:val="001642B3"/>
    <w:rsid w:val="00164875"/>
    <w:rsid w:val="001648EA"/>
    <w:rsid w:val="00164AA9"/>
    <w:rsid w:val="00164CF0"/>
    <w:rsid w:val="00164FD6"/>
    <w:rsid w:val="001651DC"/>
    <w:rsid w:val="0016534D"/>
    <w:rsid w:val="00166359"/>
    <w:rsid w:val="00166B06"/>
    <w:rsid w:val="00166E97"/>
    <w:rsid w:val="00167155"/>
    <w:rsid w:val="0016761C"/>
    <w:rsid w:val="0016799F"/>
    <w:rsid w:val="00167FD7"/>
    <w:rsid w:val="001704C8"/>
    <w:rsid w:val="0017057D"/>
    <w:rsid w:val="0017069A"/>
    <w:rsid w:val="00170B79"/>
    <w:rsid w:val="0017150A"/>
    <w:rsid w:val="001716E0"/>
    <w:rsid w:val="00171893"/>
    <w:rsid w:val="00172F04"/>
    <w:rsid w:val="001733B1"/>
    <w:rsid w:val="00174154"/>
    <w:rsid w:val="0017417D"/>
    <w:rsid w:val="0017431A"/>
    <w:rsid w:val="001749C8"/>
    <w:rsid w:val="00174D82"/>
    <w:rsid w:val="00174FBF"/>
    <w:rsid w:val="00175034"/>
    <w:rsid w:val="00175621"/>
    <w:rsid w:val="00176634"/>
    <w:rsid w:val="00177112"/>
    <w:rsid w:val="0017720C"/>
    <w:rsid w:val="001772FE"/>
    <w:rsid w:val="00177428"/>
    <w:rsid w:val="00177731"/>
    <w:rsid w:val="00177C0E"/>
    <w:rsid w:val="00177D20"/>
    <w:rsid w:val="00180611"/>
    <w:rsid w:val="001806C2"/>
    <w:rsid w:val="00180E5C"/>
    <w:rsid w:val="00180FDA"/>
    <w:rsid w:val="00181535"/>
    <w:rsid w:val="00181917"/>
    <w:rsid w:val="00181C7B"/>
    <w:rsid w:val="00182265"/>
    <w:rsid w:val="001822AB"/>
    <w:rsid w:val="0018232E"/>
    <w:rsid w:val="00182514"/>
    <w:rsid w:val="00183109"/>
    <w:rsid w:val="0018328B"/>
    <w:rsid w:val="0018402F"/>
    <w:rsid w:val="00184221"/>
    <w:rsid w:val="00184559"/>
    <w:rsid w:val="001849BE"/>
    <w:rsid w:val="0018544E"/>
    <w:rsid w:val="001858C7"/>
    <w:rsid w:val="001858DD"/>
    <w:rsid w:val="00185AA5"/>
    <w:rsid w:val="00185C7A"/>
    <w:rsid w:val="00186CBA"/>
    <w:rsid w:val="00187065"/>
    <w:rsid w:val="00187541"/>
    <w:rsid w:val="00187B50"/>
    <w:rsid w:val="00187EBC"/>
    <w:rsid w:val="00190237"/>
    <w:rsid w:val="001903E2"/>
    <w:rsid w:val="001910E5"/>
    <w:rsid w:val="00191860"/>
    <w:rsid w:val="00191F25"/>
    <w:rsid w:val="001925B8"/>
    <w:rsid w:val="00192801"/>
    <w:rsid w:val="00192ABF"/>
    <w:rsid w:val="001959CF"/>
    <w:rsid w:val="00195BFA"/>
    <w:rsid w:val="00195C25"/>
    <w:rsid w:val="00195D46"/>
    <w:rsid w:val="00196235"/>
    <w:rsid w:val="00196294"/>
    <w:rsid w:val="001962D0"/>
    <w:rsid w:val="00197179"/>
    <w:rsid w:val="00197275"/>
    <w:rsid w:val="001972CB"/>
    <w:rsid w:val="00197997"/>
    <w:rsid w:val="00197EE5"/>
    <w:rsid w:val="001A04FC"/>
    <w:rsid w:val="001A09DD"/>
    <w:rsid w:val="001A0A99"/>
    <w:rsid w:val="001A0E34"/>
    <w:rsid w:val="001A0F22"/>
    <w:rsid w:val="001A15C1"/>
    <w:rsid w:val="001A1BF7"/>
    <w:rsid w:val="001A1ECE"/>
    <w:rsid w:val="001A202A"/>
    <w:rsid w:val="001A24CC"/>
    <w:rsid w:val="001A28D3"/>
    <w:rsid w:val="001A32DD"/>
    <w:rsid w:val="001A3E7B"/>
    <w:rsid w:val="001A3F33"/>
    <w:rsid w:val="001A42F6"/>
    <w:rsid w:val="001A4AB7"/>
    <w:rsid w:val="001A4B0A"/>
    <w:rsid w:val="001A4B74"/>
    <w:rsid w:val="001A4D0A"/>
    <w:rsid w:val="001A58F9"/>
    <w:rsid w:val="001A5988"/>
    <w:rsid w:val="001A5B28"/>
    <w:rsid w:val="001A66FA"/>
    <w:rsid w:val="001A6B9D"/>
    <w:rsid w:val="001A74DB"/>
    <w:rsid w:val="001A7C9C"/>
    <w:rsid w:val="001B0E6F"/>
    <w:rsid w:val="001B0F3B"/>
    <w:rsid w:val="001B1941"/>
    <w:rsid w:val="001B2114"/>
    <w:rsid w:val="001B24EC"/>
    <w:rsid w:val="001B2C91"/>
    <w:rsid w:val="001B2E59"/>
    <w:rsid w:val="001B2F1F"/>
    <w:rsid w:val="001B30C2"/>
    <w:rsid w:val="001B3C83"/>
    <w:rsid w:val="001B45D5"/>
    <w:rsid w:val="001B48A5"/>
    <w:rsid w:val="001B6063"/>
    <w:rsid w:val="001B6111"/>
    <w:rsid w:val="001B6744"/>
    <w:rsid w:val="001B7105"/>
    <w:rsid w:val="001C0453"/>
    <w:rsid w:val="001C0455"/>
    <w:rsid w:val="001C0505"/>
    <w:rsid w:val="001C060B"/>
    <w:rsid w:val="001C0C69"/>
    <w:rsid w:val="001C109D"/>
    <w:rsid w:val="001C1511"/>
    <w:rsid w:val="001C161E"/>
    <w:rsid w:val="001C181D"/>
    <w:rsid w:val="001C1E4D"/>
    <w:rsid w:val="001C207A"/>
    <w:rsid w:val="001C2377"/>
    <w:rsid w:val="001C257A"/>
    <w:rsid w:val="001C2D73"/>
    <w:rsid w:val="001C2DC4"/>
    <w:rsid w:val="001C2F72"/>
    <w:rsid w:val="001C35DD"/>
    <w:rsid w:val="001C386C"/>
    <w:rsid w:val="001C41A3"/>
    <w:rsid w:val="001C4D94"/>
    <w:rsid w:val="001C4E6C"/>
    <w:rsid w:val="001C5060"/>
    <w:rsid w:val="001C513D"/>
    <w:rsid w:val="001C521B"/>
    <w:rsid w:val="001C54E4"/>
    <w:rsid w:val="001C594D"/>
    <w:rsid w:val="001C605A"/>
    <w:rsid w:val="001C6091"/>
    <w:rsid w:val="001C632E"/>
    <w:rsid w:val="001C67EF"/>
    <w:rsid w:val="001C6E52"/>
    <w:rsid w:val="001C6E93"/>
    <w:rsid w:val="001C7515"/>
    <w:rsid w:val="001D00E4"/>
    <w:rsid w:val="001D1D7C"/>
    <w:rsid w:val="001D1DDA"/>
    <w:rsid w:val="001D1F0E"/>
    <w:rsid w:val="001D28F4"/>
    <w:rsid w:val="001D2AB4"/>
    <w:rsid w:val="001D423D"/>
    <w:rsid w:val="001D4BC0"/>
    <w:rsid w:val="001D4D45"/>
    <w:rsid w:val="001D4FF6"/>
    <w:rsid w:val="001D52CA"/>
    <w:rsid w:val="001D6131"/>
    <w:rsid w:val="001D70FB"/>
    <w:rsid w:val="001D78E3"/>
    <w:rsid w:val="001D7F19"/>
    <w:rsid w:val="001E024C"/>
    <w:rsid w:val="001E0726"/>
    <w:rsid w:val="001E10A7"/>
    <w:rsid w:val="001E147D"/>
    <w:rsid w:val="001E1AF0"/>
    <w:rsid w:val="001E1B58"/>
    <w:rsid w:val="001E1C6A"/>
    <w:rsid w:val="001E22C2"/>
    <w:rsid w:val="001E2C48"/>
    <w:rsid w:val="001E2DDD"/>
    <w:rsid w:val="001E33CF"/>
    <w:rsid w:val="001E3EA8"/>
    <w:rsid w:val="001E3EB6"/>
    <w:rsid w:val="001E4247"/>
    <w:rsid w:val="001E49AA"/>
    <w:rsid w:val="001E4AF4"/>
    <w:rsid w:val="001E5BBB"/>
    <w:rsid w:val="001E5E7C"/>
    <w:rsid w:val="001E6ACF"/>
    <w:rsid w:val="001E7020"/>
    <w:rsid w:val="001E77AE"/>
    <w:rsid w:val="001E790C"/>
    <w:rsid w:val="001F008F"/>
    <w:rsid w:val="001F04AC"/>
    <w:rsid w:val="001F0E8E"/>
    <w:rsid w:val="001F12C2"/>
    <w:rsid w:val="001F1F6F"/>
    <w:rsid w:val="001F22C5"/>
    <w:rsid w:val="001F26B1"/>
    <w:rsid w:val="001F26B5"/>
    <w:rsid w:val="001F2E85"/>
    <w:rsid w:val="001F311A"/>
    <w:rsid w:val="001F4252"/>
    <w:rsid w:val="001F4569"/>
    <w:rsid w:val="001F45DB"/>
    <w:rsid w:val="001F4E0C"/>
    <w:rsid w:val="001F5029"/>
    <w:rsid w:val="001F513A"/>
    <w:rsid w:val="001F53A0"/>
    <w:rsid w:val="001F5E34"/>
    <w:rsid w:val="001F6011"/>
    <w:rsid w:val="001F61B8"/>
    <w:rsid w:val="001F6248"/>
    <w:rsid w:val="001F6372"/>
    <w:rsid w:val="001F6C11"/>
    <w:rsid w:val="001F6CA9"/>
    <w:rsid w:val="001F71AD"/>
    <w:rsid w:val="001F793E"/>
    <w:rsid w:val="001F7A00"/>
    <w:rsid w:val="001F7C86"/>
    <w:rsid w:val="00200C63"/>
    <w:rsid w:val="002015D6"/>
    <w:rsid w:val="002017FA"/>
    <w:rsid w:val="00201A66"/>
    <w:rsid w:val="00201FBC"/>
    <w:rsid w:val="00203074"/>
    <w:rsid w:val="002032C8"/>
    <w:rsid w:val="00203612"/>
    <w:rsid w:val="00203D5E"/>
    <w:rsid w:val="002045AF"/>
    <w:rsid w:val="002049EC"/>
    <w:rsid w:val="00204D2D"/>
    <w:rsid w:val="00205B30"/>
    <w:rsid w:val="00206703"/>
    <w:rsid w:val="00206C31"/>
    <w:rsid w:val="0020700D"/>
    <w:rsid w:val="0020754D"/>
    <w:rsid w:val="0020790C"/>
    <w:rsid w:val="00211946"/>
    <w:rsid w:val="00211F35"/>
    <w:rsid w:val="0021332E"/>
    <w:rsid w:val="0021347D"/>
    <w:rsid w:val="00213B1A"/>
    <w:rsid w:val="00213C55"/>
    <w:rsid w:val="002143FF"/>
    <w:rsid w:val="002145A4"/>
    <w:rsid w:val="00214764"/>
    <w:rsid w:val="002156F3"/>
    <w:rsid w:val="00215B59"/>
    <w:rsid w:val="00216412"/>
    <w:rsid w:val="002167E7"/>
    <w:rsid w:val="002175F6"/>
    <w:rsid w:val="002203C6"/>
    <w:rsid w:val="0022087F"/>
    <w:rsid w:val="00220A4F"/>
    <w:rsid w:val="00220AE9"/>
    <w:rsid w:val="00220D85"/>
    <w:rsid w:val="002214B7"/>
    <w:rsid w:val="002222AF"/>
    <w:rsid w:val="00223755"/>
    <w:rsid w:val="002239E5"/>
    <w:rsid w:val="00223FFB"/>
    <w:rsid w:val="00224325"/>
    <w:rsid w:val="002247CE"/>
    <w:rsid w:val="00224CA1"/>
    <w:rsid w:val="0022520E"/>
    <w:rsid w:val="0022524E"/>
    <w:rsid w:val="002252C8"/>
    <w:rsid w:val="0022546D"/>
    <w:rsid w:val="002254A4"/>
    <w:rsid w:val="00225A55"/>
    <w:rsid w:val="00226FDB"/>
    <w:rsid w:val="00227367"/>
    <w:rsid w:val="0022797E"/>
    <w:rsid w:val="002303B4"/>
    <w:rsid w:val="00230997"/>
    <w:rsid w:val="00232476"/>
    <w:rsid w:val="002328E0"/>
    <w:rsid w:val="002337AD"/>
    <w:rsid w:val="00233E19"/>
    <w:rsid w:val="002340F9"/>
    <w:rsid w:val="00235602"/>
    <w:rsid w:val="00235A63"/>
    <w:rsid w:val="00235CF3"/>
    <w:rsid w:val="002363CB"/>
    <w:rsid w:val="002364DD"/>
    <w:rsid w:val="002373C5"/>
    <w:rsid w:val="00237786"/>
    <w:rsid w:val="00240038"/>
    <w:rsid w:val="0024027D"/>
    <w:rsid w:val="0024080E"/>
    <w:rsid w:val="00240980"/>
    <w:rsid w:val="002413DF"/>
    <w:rsid w:val="002417F9"/>
    <w:rsid w:val="00241B21"/>
    <w:rsid w:val="00242373"/>
    <w:rsid w:val="002424D5"/>
    <w:rsid w:val="00242C85"/>
    <w:rsid w:val="00243065"/>
    <w:rsid w:val="0024339F"/>
    <w:rsid w:val="0024362A"/>
    <w:rsid w:val="00243AFD"/>
    <w:rsid w:val="00243CED"/>
    <w:rsid w:val="00244484"/>
    <w:rsid w:val="00244C0D"/>
    <w:rsid w:val="002460A5"/>
    <w:rsid w:val="0024631B"/>
    <w:rsid w:val="00246658"/>
    <w:rsid w:val="00246CB7"/>
    <w:rsid w:val="00247489"/>
    <w:rsid w:val="00247827"/>
    <w:rsid w:val="00247CD7"/>
    <w:rsid w:val="00250137"/>
    <w:rsid w:val="00250B7C"/>
    <w:rsid w:val="00250E79"/>
    <w:rsid w:val="00250FF9"/>
    <w:rsid w:val="00251320"/>
    <w:rsid w:val="0025142D"/>
    <w:rsid w:val="00252134"/>
    <w:rsid w:val="00253421"/>
    <w:rsid w:val="002537EE"/>
    <w:rsid w:val="00254A36"/>
    <w:rsid w:val="0025516B"/>
    <w:rsid w:val="002553B9"/>
    <w:rsid w:val="0025545C"/>
    <w:rsid w:val="002554B6"/>
    <w:rsid w:val="00255689"/>
    <w:rsid w:val="00255984"/>
    <w:rsid w:val="002559D1"/>
    <w:rsid w:val="00256227"/>
    <w:rsid w:val="00256464"/>
    <w:rsid w:val="00256529"/>
    <w:rsid w:val="00256729"/>
    <w:rsid w:val="00256B30"/>
    <w:rsid w:val="00256F04"/>
    <w:rsid w:val="002571F9"/>
    <w:rsid w:val="0026001A"/>
    <w:rsid w:val="00260041"/>
    <w:rsid w:val="00260F1A"/>
    <w:rsid w:val="00261482"/>
    <w:rsid w:val="002619E3"/>
    <w:rsid w:val="00261F9B"/>
    <w:rsid w:val="0026211A"/>
    <w:rsid w:val="002623AF"/>
    <w:rsid w:val="00262737"/>
    <w:rsid w:val="00262E65"/>
    <w:rsid w:val="002647B7"/>
    <w:rsid w:val="00264CF7"/>
    <w:rsid w:val="00265801"/>
    <w:rsid w:val="002661AC"/>
    <w:rsid w:val="002667DF"/>
    <w:rsid w:val="00266AB7"/>
    <w:rsid w:val="002675F9"/>
    <w:rsid w:val="002678A9"/>
    <w:rsid w:val="002705E1"/>
    <w:rsid w:val="00271581"/>
    <w:rsid w:val="00271655"/>
    <w:rsid w:val="00271823"/>
    <w:rsid w:val="002729B8"/>
    <w:rsid w:val="00272CDC"/>
    <w:rsid w:val="0027392E"/>
    <w:rsid w:val="00274021"/>
    <w:rsid w:val="0027467E"/>
    <w:rsid w:val="0027469D"/>
    <w:rsid w:val="00274D0D"/>
    <w:rsid w:val="00275941"/>
    <w:rsid w:val="0027652B"/>
    <w:rsid w:val="002766A3"/>
    <w:rsid w:val="002766C1"/>
    <w:rsid w:val="00276759"/>
    <w:rsid w:val="002767D2"/>
    <w:rsid w:val="0027699A"/>
    <w:rsid w:val="00276C48"/>
    <w:rsid w:val="00277054"/>
    <w:rsid w:val="00277144"/>
    <w:rsid w:val="00277291"/>
    <w:rsid w:val="002802BB"/>
    <w:rsid w:val="00280385"/>
    <w:rsid w:val="00280A3A"/>
    <w:rsid w:val="00281432"/>
    <w:rsid w:val="00282037"/>
    <w:rsid w:val="00282C39"/>
    <w:rsid w:val="002846D9"/>
    <w:rsid w:val="00284D41"/>
    <w:rsid w:val="00285460"/>
    <w:rsid w:val="00286170"/>
    <w:rsid w:val="00286355"/>
    <w:rsid w:val="002871BD"/>
    <w:rsid w:val="0028724F"/>
    <w:rsid w:val="002877B8"/>
    <w:rsid w:val="00287A3F"/>
    <w:rsid w:val="00290290"/>
    <w:rsid w:val="00291A3A"/>
    <w:rsid w:val="00291F48"/>
    <w:rsid w:val="0029227D"/>
    <w:rsid w:val="00292EDF"/>
    <w:rsid w:val="002938C0"/>
    <w:rsid w:val="002941BB"/>
    <w:rsid w:val="002941D9"/>
    <w:rsid w:val="002946A6"/>
    <w:rsid w:val="00294DE3"/>
    <w:rsid w:val="002952EF"/>
    <w:rsid w:val="00295B63"/>
    <w:rsid w:val="00295FE2"/>
    <w:rsid w:val="0029656C"/>
    <w:rsid w:val="0029680D"/>
    <w:rsid w:val="00296E52"/>
    <w:rsid w:val="00296E77"/>
    <w:rsid w:val="0029788A"/>
    <w:rsid w:val="00297C80"/>
    <w:rsid w:val="002A0058"/>
    <w:rsid w:val="002A08C3"/>
    <w:rsid w:val="002A1596"/>
    <w:rsid w:val="002A18DF"/>
    <w:rsid w:val="002A1B10"/>
    <w:rsid w:val="002A1D59"/>
    <w:rsid w:val="002A1F09"/>
    <w:rsid w:val="002A230C"/>
    <w:rsid w:val="002A23F1"/>
    <w:rsid w:val="002A2DB2"/>
    <w:rsid w:val="002A2FEE"/>
    <w:rsid w:val="002A386C"/>
    <w:rsid w:val="002A3D44"/>
    <w:rsid w:val="002A3D6B"/>
    <w:rsid w:val="002A3EE3"/>
    <w:rsid w:val="002A4BC4"/>
    <w:rsid w:val="002A4E06"/>
    <w:rsid w:val="002A557A"/>
    <w:rsid w:val="002A5986"/>
    <w:rsid w:val="002A5BD4"/>
    <w:rsid w:val="002A6F09"/>
    <w:rsid w:val="002A6FEB"/>
    <w:rsid w:val="002A7DA0"/>
    <w:rsid w:val="002A7EDF"/>
    <w:rsid w:val="002B0806"/>
    <w:rsid w:val="002B08DF"/>
    <w:rsid w:val="002B0E14"/>
    <w:rsid w:val="002B1094"/>
    <w:rsid w:val="002B10A6"/>
    <w:rsid w:val="002B16C3"/>
    <w:rsid w:val="002B1CBE"/>
    <w:rsid w:val="002B1DEA"/>
    <w:rsid w:val="002B2055"/>
    <w:rsid w:val="002B2300"/>
    <w:rsid w:val="002B23F4"/>
    <w:rsid w:val="002B27BC"/>
    <w:rsid w:val="002B3238"/>
    <w:rsid w:val="002B37CB"/>
    <w:rsid w:val="002B3CB2"/>
    <w:rsid w:val="002B418D"/>
    <w:rsid w:val="002B4AED"/>
    <w:rsid w:val="002B5336"/>
    <w:rsid w:val="002B7462"/>
    <w:rsid w:val="002B7AED"/>
    <w:rsid w:val="002B7F9F"/>
    <w:rsid w:val="002C06B9"/>
    <w:rsid w:val="002C08DD"/>
    <w:rsid w:val="002C1329"/>
    <w:rsid w:val="002C175D"/>
    <w:rsid w:val="002C1AE2"/>
    <w:rsid w:val="002C1FDF"/>
    <w:rsid w:val="002C22D2"/>
    <w:rsid w:val="002C3795"/>
    <w:rsid w:val="002C4117"/>
    <w:rsid w:val="002C4AB1"/>
    <w:rsid w:val="002C5855"/>
    <w:rsid w:val="002C5F43"/>
    <w:rsid w:val="002C6BE8"/>
    <w:rsid w:val="002C6C6D"/>
    <w:rsid w:val="002C6F0F"/>
    <w:rsid w:val="002C6F1D"/>
    <w:rsid w:val="002C7321"/>
    <w:rsid w:val="002C76BE"/>
    <w:rsid w:val="002C77A1"/>
    <w:rsid w:val="002D0BAD"/>
    <w:rsid w:val="002D1D19"/>
    <w:rsid w:val="002D1E69"/>
    <w:rsid w:val="002D2B38"/>
    <w:rsid w:val="002D2C16"/>
    <w:rsid w:val="002D307C"/>
    <w:rsid w:val="002D335A"/>
    <w:rsid w:val="002D3387"/>
    <w:rsid w:val="002D34AC"/>
    <w:rsid w:val="002D3772"/>
    <w:rsid w:val="002D468C"/>
    <w:rsid w:val="002D4CD3"/>
    <w:rsid w:val="002D5AEE"/>
    <w:rsid w:val="002D6056"/>
    <w:rsid w:val="002D698D"/>
    <w:rsid w:val="002D6EB4"/>
    <w:rsid w:val="002D7BC3"/>
    <w:rsid w:val="002D7C4D"/>
    <w:rsid w:val="002E050D"/>
    <w:rsid w:val="002E0971"/>
    <w:rsid w:val="002E0A3E"/>
    <w:rsid w:val="002E0E9F"/>
    <w:rsid w:val="002E1E3F"/>
    <w:rsid w:val="002E25FF"/>
    <w:rsid w:val="002E3355"/>
    <w:rsid w:val="002E33B8"/>
    <w:rsid w:val="002E4737"/>
    <w:rsid w:val="002E495C"/>
    <w:rsid w:val="002E4AE0"/>
    <w:rsid w:val="002E4B71"/>
    <w:rsid w:val="002E4E92"/>
    <w:rsid w:val="002E5509"/>
    <w:rsid w:val="002E57B9"/>
    <w:rsid w:val="002E5E20"/>
    <w:rsid w:val="002E6012"/>
    <w:rsid w:val="002E6AB8"/>
    <w:rsid w:val="002E71A7"/>
    <w:rsid w:val="002E73AD"/>
    <w:rsid w:val="002E7516"/>
    <w:rsid w:val="002E78B5"/>
    <w:rsid w:val="002F0353"/>
    <w:rsid w:val="002F0EBD"/>
    <w:rsid w:val="002F1266"/>
    <w:rsid w:val="002F1CF6"/>
    <w:rsid w:val="002F1F8A"/>
    <w:rsid w:val="002F2AD5"/>
    <w:rsid w:val="002F2CA8"/>
    <w:rsid w:val="002F3107"/>
    <w:rsid w:val="002F42BE"/>
    <w:rsid w:val="002F4427"/>
    <w:rsid w:val="002F455C"/>
    <w:rsid w:val="002F483D"/>
    <w:rsid w:val="002F486E"/>
    <w:rsid w:val="002F59F8"/>
    <w:rsid w:val="002F61A8"/>
    <w:rsid w:val="002F61CD"/>
    <w:rsid w:val="002F67A3"/>
    <w:rsid w:val="002F67C7"/>
    <w:rsid w:val="002F72BB"/>
    <w:rsid w:val="002F7B0E"/>
    <w:rsid w:val="002F7B70"/>
    <w:rsid w:val="002F7EB1"/>
    <w:rsid w:val="002F7F92"/>
    <w:rsid w:val="002F7FC5"/>
    <w:rsid w:val="0030059C"/>
    <w:rsid w:val="00300A6B"/>
    <w:rsid w:val="00300EEA"/>
    <w:rsid w:val="003013B0"/>
    <w:rsid w:val="003015C6"/>
    <w:rsid w:val="00301E27"/>
    <w:rsid w:val="00301FE4"/>
    <w:rsid w:val="00302184"/>
    <w:rsid w:val="00302544"/>
    <w:rsid w:val="00302D14"/>
    <w:rsid w:val="00302DEA"/>
    <w:rsid w:val="00302EE3"/>
    <w:rsid w:val="003034D4"/>
    <w:rsid w:val="003036D9"/>
    <w:rsid w:val="00303AFC"/>
    <w:rsid w:val="0030423C"/>
    <w:rsid w:val="003044A4"/>
    <w:rsid w:val="003049FB"/>
    <w:rsid w:val="00304A14"/>
    <w:rsid w:val="00304E1B"/>
    <w:rsid w:val="00305485"/>
    <w:rsid w:val="00306534"/>
    <w:rsid w:val="0030657D"/>
    <w:rsid w:val="00306E4F"/>
    <w:rsid w:val="003073CB"/>
    <w:rsid w:val="003105C9"/>
    <w:rsid w:val="00310B99"/>
    <w:rsid w:val="003112C1"/>
    <w:rsid w:val="0031161D"/>
    <w:rsid w:val="003125DB"/>
    <w:rsid w:val="00312B9A"/>
    <w:rsid w:val="00313730"/>
    <w:rsid w:val="003139A9"/>
    <w:rsid w:val="00313C3F"/>
    <w:rsid w:val="00313FDB"/>
    <w:rsid w:val="003145F8"/>
    <w:rsid w:val="00314673"/>
    <w:rsid w:val="003147B2"/>
    <w:rsid w:val="00314B14"/>
    <w:rsid w:val="00314CAF"/>
    <w:rsid w:val="00315AAC"/>
    <w:rsid w:val="00315AE4"/>
    <w:rsid w:val="003161B7"/>
    <w:rsid w:val="0031662A"/>
    <w:rsid w:val="003169F1"/>
    <w:rsid w:val="00317D5D"/>
    <w:rsid w:val="0032002F"/>
    <w:rsid w:val="00320112"/>
    <w:rsid w:val="003203A1"/>
    <w:rsid w:val="00320EAA"/>
    <w:rsid w:val="003212CB"/>
    <w:rsid w:val="0032156E"/>
    <w:rsid w:val="00321B2F"/>
    <w:rsid w:val="00322068"/>
    <w:rsid w:val="003222DB"/>
    <w:rsid w:val="00322B14"/>
    <w:rsid w:val="00323465"/>
    <w:rsid w:val="00323904"/>
    <w:rsid w:val="00323F91"/>
    <w:rsid w:val="00324384"/>
    <w:rsid w:val="00324637"/>
    <w:rsid w:val="0032494B"/>
    <w:rsid w:val="00324AE6"/>
    <w:rsid w:val="00325A96"/>
    <w:rsid w:val="00325AC4"/>
    <w:rsid w:val="00326182"/>
    <w:rsid w:val="003266DC"/>
    <w:rsid w:val="00326FAF"/>
    <w:rsid w:val="00327104"/>
    <w:rsid w:val="003279C3"/>
    <w:rsid w:val="0033078E"/>
    <w:rsid w:val="00330C6C"/>
    <w:rsid w:val="00330DB4"/>
    <w:rsid w:val="003314C3"/>
    <w:rsid w:val="0033158F"/>
    <w:rsid w:val="003319F4"/>
    <w:rsid w:val="00332042"/>
    <w:rsid w:val="00332A13"/>
    <w:rsid w:val="00332DD6"/>
    <w:rsid w:val="0033349A"/>
    <w:rsid w:val="00333AFC"/>
    <w:rsid w:val="00333E99"/>
    <w:rsid w:val="00334589"/>
    <w:rsid w:val="00334947"/>
    <w:rsid w:val="0033621A"/>
    <w:rsid w:val="003371F7"/>
    <w:rsid w:val="0033739E"/>
    <w:rsid w:val="0033759A"/>
    <w:rsid w:val="0033780E"/>
    <w:rsid w:val="00337836"/>
    <w:rsid w:val="00337AC7"/>
    <w:rsid w:val="00337EA2"/>
    <w:rsid w:val="00340274"/>
    <w:rsid w:val="003407F4"/>
    <w:rsid w:val="0034162D"/>
    <w:rsid w:val="003416AD"/>
    <w:rsid w:val="00341877"/>
    <w:rsid w:val="00341AF8"/>
    <w:rsid w:val="003423D1"/>
    <w:rsid w:val="00342522"/>
    <w:rsid w:val="003425F9"/>
    <w:rsid w:val="00342D4F"/>
    <w:rsid w:val="00343323"/>
    <w:rsid w:val="00343787"/>
    <w:rsid w:val="0034456E"/>
    <w:rsid w:val="0034457A"/>
    <w:rsid w:val="00344D65"/>
    <w:rsid w:val="00347297"/>
    <w:rsid w:val="0034729E"/>
    <w:rsid w:val="003478B0"/>
    <w:rsid w:val="00347F18"/>
    <w:rsid w:val="00347F3C"/>
    <w:rsid w:val="00350148"/>
    <w:rsid w:val="00350200"/>
    <w:rsid w:val="00350540"/>
    <w:rsid w:val="003508FD"/>
    <w:rsid w:val="00350A25"/>
    <w:rsid w:val="003510E5"/>
    <w:rsid w:val="0035185D"/>
    <w:rsid w:val="00351875"/>
    <w:rsid w:val="00351A25"/>
    <w:rsid w:val="003526FB"/>
    <w:rsid w:val="00352B95"/>
    <w:rsid w:val="00352D71"/>
    <w:rsid w:val="0035322A"/>
    <w:rsid w:val="003533F8"/>
    <w:rsid w:val="003537EB"/>
    <w:rsid w:val="00353BD0"/>
    <w:rsid w:val="0035471B"/>
    <w:rsid w:val="00354B06"/>
    <w:rsid w:val="003550DD"/>
    <w:rsid w:val="00355182"/>
    <w:rsid w:val="0035540B"/>
    <w:rsid w:val="0035593B"/>
    <w:rsid w:val="00356004"/>
    <w:rsid w:val="00356009"/>
    <w:rsid w:val="0035671D"/>
    <w:rsid w:val="00356D0E"/>
    <w:rsid w:val="0035704E"/>
    <w:rsid w:val="0035735E"/>
    <w:rsid w:val="003609D0"/>
    <w:rsid w:val="0036130B"/>
    <w:rsid w:val="003615D5"/>
    <w:rsid w:val="00361727"/>
    <w:rsid w:val="00361AB0"/>
    <w:rsid w:val="00361E60"/>
    <w:rsid w:val="00362211"/>
    <w:rsid w:val="0036457E"/>
    <w:rsid w:val="00364A24"/>
    <w:rsid w:val="00365186"/>
    <w:rsid w:val="0036542D"/>
    <w:rsid w:val="0036544E"/>
    <w:rsid w:val="00365742"/>
    <w:rsid w:val="00365AB6"/>
    <w:rsid w:val="003661C8"/>
    <w:rsid w:val="00366956"/>
    <w:rsid w:val="003670B8"/>
    <w:rsid w:val="003675F6"/>
    <w:rsid w:val="0037013F"/>
    <w:rsid w:val="003703C5"/>
    <w:rsid w:val="00370434"/>
    <w:rsid w:val="00370B38"/>
    <w:rsid w:val="00371161"/>
    <w:rsid w:val="00371A7A"/>
    <w:rsid w:val="00371F36"/>
    <w:rsid w:val="003726D1"/>
    <w:rsid w:val="00372B28"/>
    <w:rsid w:val="00372E5A"/>
    <w:rsid w:val="003730EA"/>
    <w:rsid w:val="00373B38"/>
    <w:rsid w:val="00373B4B"/>
    <w:rsid w:val="0037487B"/>
    <w:rsid w:val="003750DC"/>
    <w:rsid w:val="003750F4"/>
    <w:rsid w:val="0037552F"/>
    <w:rsid w:val="00375597"/>
    <w:rsid w:val="00375A9B"/>
    <w:rsid w:val="00375F1E"/>
    <w:rsid w:val="00375F4A"/>
    <w:rsid w:val="003763B0"/>
    <w:rsid w:val="00376502"/>
    <w:rsid w:val="00376E36"/>
    <w:rsid w:val="00376F69"/>
    <w:rsid w:val="0037711D"/>
    <w:rsid w:val="003773AB"/>
    <w:rsid w:val="003774BD"/>
    <w:rsid w:val="0037757C"/>
    <w:rsid w:val="003805B9"/>
    <w:rsid w:val="003805C4"/>
    <w:rsid w:val="00381E43"/>
    <w:rsid w:val="0038213B"/>
    <w:rsid w:val="003821CF"/>
    <w:rsid w:val="00383F80"/>
    <w:rsid w:val="00384264"/>
    <w:rsid w:val="003848E0"/>
    <w:rsid w:val="00384C25"/>
    <w:rsid w:val="003853AF"/>
    <w:rsid w:val="0038573D"/>
    <w:rsid w:val="00385B31"/>
    <w:rsid w:val="003864F1"/>
    <w:rsid w:val="00386556"/>
    <w:rsid w:val="003875C5"/>
    <w:rsid w:val="00387EE8"/>
    <w:rsid w:val="00390113"/>
    <w:rsid w:val="003902A9"/>
    <w:rsid w:val="00390674"/>
    <w:rsid w:val="00390775"/>
    <w:rsid w:val="00390BD7"/>
    <w:rsid w:val="003914A5"/>
    <w:rsid w:val="00391544"/>
    <w:rsid w:val="00391787"/>
    <w:rsid w:val="00391CB0"/>
    <w:rsid w:val="003920D2"/>
    <w:rsid w:val="00392221"/>
    <w:rsid w:val="00392338"/>
    <w:rsid w:val="00392689"/>
    <w:rsid w:val="003928E3"/>
    <w:rsid w:val="0039295C"/>
    <w:rsid w:val="0039296D"/>
    <w:rsid w:val="00392EED"/>
    <w:rsid w:val="0039306C"/>
    <w:rsid w:val="00393160"/>
    <w:rsid w:val="0039489D"/>
    <w:rsid w:val="00394A30"/>
    <w:rsid w:val="00394E8A"/>
    <w:rsid w:val="003954E8"/>
    <w:rsid w:val="00395B9E"/>
    <w:rsid w:val="00395CD7"/>
    <w:rsid w:val="00395DC8"/>
    <w:rsid w:val="00395DD6"/>
    <w:rsid w:val="00395FE0"/>
    <w:rsid w:val="00396455"/>
    <w:rsid w:val="00396C9E"/>
    <w:rsid w:val="00396E25"/>
    <w:rsid w:val="00397211"/>
    <w:rsid w:val="00397621"/>
    <w:rsid w:val="00397752"/>
    <w:rsid w:val="003978A8"/>
    <w:rsid w:val="003A06AC"/>
    <w:rsid w:val="003A0C53"/>
    <w:rsid w:val="003A11D1"/>
    <w:rsid w:val="003A13E3"/>
    <w:rsid w:val="003A1888"/>
    <w:rsid w:val="003A1BCE"/>
    <w:rsid w:val="003A1C37"/>
    <w:rsid w:val="003A1D84"/>
    <w:rsid w:val="003A1EBB"/>
    <w:rsid w:val="003A2278"/>
    <w:rsid w:val="003A310B"/>
    <w:rsid w:val="003A323D"/>
    <w:rsid w:val="003A3586"/>
    <w:rsid w:val="003A3598"/>
    <w:rsid w:val="003A36D3"/>
    <w:rsid w:val="003A37E0"/>
    <w:rsid w:val="003A3DBF"/>
    <w:rsid w:val="003A3E95"/>
    <w:rsid w:val="003A41DA"/>
    <w:rsid w:val="003A4372"/>
    <w:rsid w:val="003A47B0"/>
    <w:rsid w:val="003A49AB"/>
    <w:rsid w:val="003A4D2D"/>
    <w:rsid w:val="003A5344"/>
    <w:rsid w:val="003A5675"/>
    <w:rsid w:val="003A574B"/>
    <w:rsid w:val="003A58D0"/>
    <w:rsid w:val="003A68E6"/>
    <w:rsid w:val="003B049D"/>
    <w:rsid w:val="003B061A"/>
    <w:rsid w:val="003B0DDC"/>
    <w:rsid w:val="003B1381"/>
    <w:rsid w:val="003B1B31"/>
    <w:rsid w:val="003B1DF9"/>
    <w:rsid w:val="003B23A9"/>
    <w:rsid w:val="003B2FB1"/>
    <w:rsid w:val="003B3256"/>
    <w:rsid w:val="003B4471"/>
    <w:rsid w:val="003B4D17"/>
    <w:rsid w:val="003B5419"/>
    <w:rsid w:val="003B5462"/>
    <w:rsid w:val="003B5E8B"/>
    <w:rsid w:val="003B67D2"/>
    <w:rsid w:val="003B721A"/>
    <w:rsid w:val="003B7273"/>
    <w:rsid w:val="003B75C9"/>
    <w:rsid w:val="003B7E53"/>
    <w:rsid w:val="003C008C"/>
    <w:rsid w:val="003C0605"/>
    <w:rsid w:val="003C0652"/>
    <w:rsid w:val="003C0B96"/>
    <w:rsid w:val="003C176D"/>
    <w:rsid w:val="003C1A95"/>
    <w:rsid w:val="003C1AA5"/>
    <w:rsid w:val="003C1EB0"/>
    <w:rsid w:val="003C2401"/>
    <w:rsid w:val="003C251B"/>
    <w:rsid w:val="003C295A"/>
    <w:rsid w:val="003C2F15"/>
    <w:rsid w:val="003C2F7F"/>
    <w:rsid w:val="003C3555"/>
    <w:rsid w:val="003C3F09"/>
    <w:rsid w:val="003C65C1"/>
    <w:rsid w:val="003C69D4"/>
    <w:rsid w:val="003C6A82"/>
    <w:rsid w:val="003C6BEB"/>
    <w:rsid w:val="003C79C1"/>
    <w:rsid w:val="003C79F7"/>
    <w:rsid w:val="003C7E63"/>
    <w:rsid w:val="003D01A3"/>
    <w:rsid w:val="003D048E"/>
    <w:rsid w:val="003D060F"/>
    <w:rsid w:val="003D093C"/>
    <w:rsid w:val="003D0EBD"/>
    <w:rsid w:val="003D205A"/>
    <w:rsid w:val="003D3510"/>
    <w:rsid w:val="003D37F7"/>
    <w:rsid w:val="003D3E10"/>
    <w:rsid w:val="003D45A3"/>
    <w:rsid w:val="003D5367"/>
    <w:rsid w:val="003D5875"/>
    <w:rsid w:val="003D58BC"/>
    <w:rsid w:val="003D5FB4"/>
    <w:rsid w:val="003D6606"/>
    <w:rsid w:val="003D692A"/>
    <w:rsid w:val="003D6A74"/>
    <w:rsid w:val="003D6FC9"/>
    <w:rsid w:val="003D7250"/>
    <w:rsid w:val="003D7458"/>
    <w:rsid w:val="003D7621"/>
    <w:rsid w:val="003D7997"/>
    <w:rsid w:val="003D7AA0"/>
    <w:rsid w:val="003E0312"/>
    <w:rsid w:val="003E0C87"/>
    <w:rsid w:val="003E1C61"/>
    <w:rsid w:val="003E320B"/>
    <w:rsid w:val="003E333D"/>
    <w:rsid w:val="003E454A"/>
    <w:rsid w:val="003E4694"/>
    <w:rsid w:val="003E4EB0"/>
    <w:rsid w:val="003E505B"/>
    <w:rsid w:val="003E5B5D"/>
    <w:rsid w:val="003E6156"/>
    <w:rsid w:val="003E6334"/>
    <w:rsid w:val="003E6860"/>
    <w:rsid w:val="003E7A8D"/>
    <w:rsid w:val="003F0787"/>
    <w:rsid w:val="003F07EC"/>
    <w:rsid w:val="003F259B"/>
    <w:rsid w:val="003F27B8"/>
    <w:rsid w:val="003F2B33"/>
    <w:rsid w:val="003F2E34"/>
    <w:rsid w:val="003F494F"/>
    <w:rsid w:val="003F4ABD"/>
    <w:rsid w:val="003F4B72"/>
    <w:rsid w:val="003F4DAA"/>
    <w:rsid w:val="003F4DDF"/>
    <w:rsid w:val="003F5407"/>
    <w:rsid w:val="003F552C"/>
    <w:rsid w:val="003F65E3"/>
    <w:rsid w:val="003F6C15"/>
    <w:rsid w:val="003F72E9"/>
    <w:rsid w:val="003F7371"/>
    <w:rsid w:val="003F79A7"/>
    <w:rsid w:val="00400163"/>
    <w:rsid w:val="004002DD"/>
    <w:rsid w:val="00400972"/>
    <w:rsid w:val="004013DA"/>
    <w:rsid w:val="00401B80"/>
    <w:rsid w:val="00401CE8"/>
    <w:rsid w:val="0040256A"/>
    <w:rsid w:val="0040266F"/>
    <w:rsid w:val="0040283F"/>
    <w:rsid w:val="00402C1E"/>
    <w:rsid w:val="00403F20"/>
    <w:rsid w:val="004059E2"/>
    <w:rsid w:val="00405D90"/>
    <w:rsid w:val="004068E8"/>
    <w:rsid w:val="00406B67"/>
    <w:rsid w:val="00406E53"/>
    <w:rsid w:val="00406EF9"/>
    <w:rsid w:val="004072EE"/>
    <w:rsid w:val="0040778A"/>
    <w:rsid w:val="00410C27"/>
    <w:rsid w:val="00410FF9"/>
    <w:rsid w:val="0041124C"/>
    <w:rsid w:val="00411B06"/>
    <w:rsid w:val="00412652"/>
    <w:rsid w:val="00412776"/>
    <w:rsid w:val="00412F24"/>
    <w:rsid w:val="0041327C"/>
    <w:rsid w:val="0041332D"/>
    <w:rsid w:val="00413956"/>
    <w:rsid w:val="004141A5"/>
    <w:rsid w:val="00414378"/>
    <w:rsid w:val="00414FAE"/>
    <w:rsid w:val="00415506"/>
    <w:rsid w:val="004167C0"/>
    <w:rsid w:val="00417B10"/>
    <w:rsid w:val="004202CE"/>
    <w:rsid w:val="0042051F"/>
    <w:rsid w:val="00421BE1"/>
    <w:rsid w:val="00421D2F"/>
    <w:rsid w:val="0042364E"/>
    <w:rsid w:val="004239D7"/>
    <w:rsid w:val="00424366"/>
    <w:rsid w:val="00424491"/>
    <w:rsid w:val="004245EE"/>
    <w:rsid w:val="00424725"/>
    <w:rsid w:val="004247E7"/>
    <w:rsid w:val="00424B8F"/>
    <w:rsid w:val="00424C0A"/>
    <w:rsid w:val="00424E14"/>
    <w:rsid w:val="00425267"/>
    <w:rsid w:val="00425375"/>
    <w:rsid w:val="00425E3F"/>
    <w:rsid w:val="0042628E"/>
    <w:rsid w:val="004264E9"/>
    <w:rsid w:val="00426AB7"/>
    <w:rsid w:val="00426D8E"/>
    <w:rsid w:val="0042726A"/>
    <w:rsid w:val="00427852"/>
    <w:rsid w:val="00427E25"/>
    <w:rsid w:val="00427F47"/>
    <w:rsid w:val="004300C1"/>
    <w:rsid w:val="00430E47"/>
    <w:rsid w:val="00431201"/>
    <w:rsid w:val="0043152E"/>
    <w:rsid w:val="00431D28"/>
    <w:rsid w:val="0043267D"/>
    <w:rsid w:val="00433066"/>
    <w:rsid w:val="0043332D"/>
    <w:rsid w:val="00433B0A"/>
    <w:rsid w:val="0043414E"/>
    <w:rsid w:val="004368CA"/>
    <w:rsid w:val="00436CA4"/>
    <w:rsid w:val="00436DB0"/>
    <w:rsid w:val="00436F3C"/>
    <w:rsid w:val="00437364"/>
    <w:rsid w:val="00437D2E"/>
    <w:rsid w:val="00440364"/>
    <w:rsid w:val="004417B3"/>
    <w:rsid w:val="0044240C"/>
    <w:rsid w:val="0044271E"/>
    <w:rsid w:val="004433BB"/>
    <w:rsid w:val="00443CC3"/>
    <w:rsid w:val="00444675"/>
    <w:rsid w:val="004447C0"/>
    <w:rsid w:val="00444C23"/>
    <w:rsid w:val="00445A8C"/>
    <w:rsid w:val="004466CF"/>
    <w:rsid w:val="00446B78"/>
    <w:rsid w:val="00446F7B"/>
    <w:rsid w:val="004474DC"/>
    <w:rsid w:val="0044757C"/>
    <w:rsid w:val="00447E0B"/>
    <w:rsid w:val="00450D0C"/>
    <w:rsid w:val="004518A2"/>
    <w:rsid w:val="0045193D"/>
    <w:rsid w:val="00451E3C"/>
    <w:rsid w:val="00452331"/>
    <w:rsid w:val="00452B45"/>
    <w:rsid w:val="00452EEE"/>
    <w:rsid w:val="004532B6"/>
    <w:rsid w:val="004538DB"/>
    <w:rsid w:val="00454250"/>
    <w:rsid w:val="0045455D"/>
    <w:rsid w:val="00454653"/>
    <w:rsid w:val="004553F7"/>
    <w:rsid w:val="00455D07"/>
    <w:rsid w:val="00455D9A"/>
    <w:rsid w:val="00455EC4"/>
    <w:rsid w:val="004563D7"/>
    <w:rsid w:val="00456429"/>
    <w:rsid w:val="004565D2"/>
    <w:rsid w:val="00456E33"/>
    <w:rsid w:val="00456FAA"/>
    <w:rsid w:val="004574B3"/>
    <w:rsid w:val="00457C65"/>
    <w:rsid w:val="00457C71"/>
    <w:rsid w:val="004607AA"/>
    <w:rsid w:val="00460AA5"/>
    <w:rsid w:val="004613E0"/>
    <w:rsid w:val="00461B59"/>
    <w:rsid w:val="00461D61"/>
    <w:rsid w:val="00462CDC"/>
    <w:rsid w:val="0046304E"/>
    <w:rsid w:val="0046392E"/>
    <w:rsid w:val="00464418"/>
    <w:rsid w:val="00464B7A"/>
    <w:rsid w:val="00464EDB"/>
    <w:rsid w:val="004651D3"/>
    <w:rsid w:val="00466C30"/>
    <w:rsid w:val="00466CBC"/>
    <w:rsid w:val="00467ABF"/>
    <w:rsid w:val="00467D22"/>
    <w:rsid w:val="00467F82"/>
    <w:rsid w:val="00470547"/>
    <w:rsid w:val="004707B1"/>
    <w:rsid w:val="004718A0"/>
    <w:rsid w:val="00471B44"/>
    <w:rsid w:val="00471BE1"/>
    <w:rsid w:val="00471FDD"/>
    <w:rsid w:val="00472D7B"/>
    <w:rsid w:val="00472EBA"/>
    <w:rsid w:val="00473484"/>
    <w:rsid w:val="00473A11"/>
    <w:rsid w:val="00473BC1"/>
    <w:rsid w:val="00473BFA"/>
    <w:rsid w:val="00473CE6"/>
    <w:rsid w:val="00473DF0"/>
    <w:rsid w:val="00473E94"/>
    <w:rsid w:val="00474512"/>
    <w:rsid w:val="004746CF"/>
    <w:rsid w:val="00474DFF"/>
    <w:rsid w:val="00474F23"/>
    <w:rsid w:val="00475490"/>
    <w:rsid w:val="0047551E"/>
    <w:rsid w:val="00475DA4"/>
    <w:rsid w:val="004765DD"/>
    <w:rsid w:val="00476EBB"/>
    <w:rsid w:val="004770DD"/>
    <w:rsid w:val="00477258"/>
    <w:rsid w:val="00477794"/>
    <w:rsid w:val="00480901"/>
    <w:rsid w:val="004819A4"/>
    <w:rsid w:val="00481AF1"/>
    <w:rsid w:val="0048237D"/>
    <w:rsid w:val="004825B8"/>
    <w:rsid w:val="0048294E"/>
    <w:rsid w:val="004829BE"/>
    <w:rsid w:val="004833D5"/>
    <w:rsid w:val="004838D9"/>
    <w:rsid w:val="0048428E"/>
    <w:rsid w:val="00484801"/>
    <w:rsid w:val="0048507B"/>
    <w:rsid w:val="004853CA"/>
    <w:rsid w:val="0048565D"/>
    <w:rsid w:val="00485C84"/>
    <w:rsid w:val="00486092"/>
    <w:rsid w:val="00486685"/>
    <w:rsid w:val="00487D05"/>
    <w:rsid w:val="00490465"/>
    <w:rsid w:val="00490646"/>
    <w:rsid w:val="00490C8F"/>
    <w:rsid w:val="0049151E"/>
    <w:rsid w:val="00491CEE"/>
    <w:rsid w:val="00491F23"/>
    <w:rsid w:val="004933AE"/>
    <w:rsid w:val="004935A1"/>
    <w:rsid w:val="00493B57"/>
    <w:rsid w:val="00494C0D"/>
    <w:rsid w:val="00494C99"/>
    <w:rsid w:val="0049530E"/>
    <w:rsid w:val="00495CE3"/>
    <w:rsid w:val="00495ECB"/>
    <w:rsid w:val="0049608E"/>
    <w:rsid w:val="004962C4"/>
    <w:rsid w:val="004966A3"/>
    <w:rsid w:val="00496983"/>
    <w:rsid w:val="0049786B"/>
    <w:rsid w:val="004979C2"/>
    <w:rsid w:val="00497A6A"/>
    <w:rsid w:val="004A0948"/>
    <w:rsid w:val="004A0E06"/>
    <w:rsid w:val="004A1430"/>
    <w:rsid w:val="004A15B9"/>
    <w:rsid w:val="004A1E21"/>
    <w:rsid w:val="004A1EF7"/>
    <w:rsid w:val="004A2D31"/>
    <w:rsid w:val="004A2FB1"/>
    <w:rsid w:val="004A3382"/>
    <w:rsid w:val="004A33AA"/>
    <w:rsid w:val="004A3F57"/>
    <w:rsid w:val="004A4CB1"/>
    <w:rsid w:val="004A4F57"/>
    <w:rsid w:val="004A54DC"/>
    <w:rsid w:val="004A5BD6"/>
    <w:rsid w:val="004A5F85"/>
    <w:rsid w:val="004A668B"/>
    <w:rsid w:val="004A6703"/>
    <w:rsid w:val="004A728F"/>
    <w:rsid w:val="004A7473"/>
    <w:rsid w:val="004A77B8"/>
    <w:rsid w:val="004A7B0C"/>
    <w:rsid w:val="004A7F73"/>
    <w:rsid w:val="004B0563"/>
    <w:rsid w:val="004B0687"/>
    <w:rsid w:val="004B06B7"/>
    <w:rsid w:val="004B07FC"/>
    <w:rsid w:val="004B086C"/>
    <w:rsid w:val="004B0CE0"/>
    <w:rsid w:val="004B0D74"/>
    <w:rsid w:val="004B102C"/>
    <w:rsid w:val="004B1238"/>
    <w:rsid w:val="004B1968"/>
    <w:rsid w:val="004B2457"/>
    <w:rsid w:val="004B29B6"/>
    <w:rsid w:val="004B2A5C"/>
    <w:rsid w:val="004B2E08"/>
    <w:rsid w:val="004B32CF"/>
    <w:rsid w:val="004B3C0B"/>
    <w:rsid w:val="004B3C5A"/>
    <w:rsid w:val="004B4D63"/>
    <w:rsid w:val="004B65BB"/>
    <w:rsid w:val="004B713D"/>
    <w:rsid w:val="004C00E5"/>
    <w:rsid w:val="004C088A"/>
    <w:rsid w:val="004C0C5D"/>
    <w:rsid w:val="004C0D20"/>
    <w:rsid w:val="004C1740"/>
    <w:rsid w:val="004C1CEF"/>
    <w:rsid w:val="004C249E"/>
    <w:rsid w:val="004C25F0"/>
    <w:rsid w:val="004C2990"/>
    <w:rsid w:val="004C2A53"/>
    <w:rsid w:val="004C2D70"/>
    <w:rsid w:val="004C2FA0"/>
    <w:rsid w:val="004C311C"/>
    <w:rsid w:val="004C3B92"/>
    <w:rsid w:val="004C419C"/>
    <w:rsid w:val="004C4BD5"/>
    <w:rsid w:val="004C52D0"/>
    <w:rsid w:val="004C5395"/>
    <w:rsid w:val="004C5595"/>
    <w:rsid w:val="004C5C51"/>
    <w:rsid w:val="004C65BA"/>
    <w:rsid w:val="004C682A"/>
    <w:rsid w:val="004C692A"/>
    <w:rsid w:val="004C6C3D"/>
    <w:rsid w:val="004C6C86"/>
    <w:rsid w:val="004C6E5B"/>
    <w:rsid w:val="004C703C"/>
    <w:rsid w:val="004C7374"/>
    <w:rsid w:val="004C73E4"/>
    <w:rsid w:val="004C7683"/>
    <w:rsid w:val="004C7C17"/>
    <w:rsid w:val="004C7E46"/>
    <w:rsid w:val="004C7F26"/>
    <w:rsid w:val="004D022A"/>
    <w:rsid w:val="004D0507"/>
    <w:rsid w:val="004D065A"/>
    <w:rsid w:val="004D0A70"/>
    <w:rsid w:val="004D0B20"/>
    <w:rsid w:val="004D0EBA"/>
    <w:rsid w:val="004D10D2"/>
    <w:rsid w:val="004D10F2"/>
    <w:rsid w:val="004D1554"/>
    <w:rsid w:val="004D1707"/>
    <w:rsid w:val="004D1DA2"/>
    <w:rsid w:val="004D3735"/>
    <w:rsid w:val="004D49C6"/>
    <w:rsid w:val="004D5486"/>
    <w:rsid w:val="004D5A98"/>
    <w:rsid w:val="004D719A"/>
    <w:rsid w:val="004D758E"/>
    <w:rsid w:val="004D78AA"/>
    <w:rsid w:val="004E00F8"/>
    <w:rsid w:val="004E0401"/>
    <w:rsid w:val="004E0974"/>
    <w:rsid w:val="004E14C8"/>
    <w:rsid w:val="004E174E"/>
    <w:rsid w:val="004E1EB6"/>
    <w:rsid w:val="004E430E"/>
    <w:rsid w:val="004E4AAF"/>
    <w:rsid w:val="004E4E8B"/>
    <w:rsid w:val="004E4EC4"/>
    <w:rsid w:val="004E51AF"/>
    <w:rsid w:val="004E5707"/>
    <w:rsid w:val="004E5898"/>
    <w:rsid w:val="004E5DA2"/>
    <w:rsid w:val="004E61F3"/>
    <w:rsid w:val="004E6D44"/>
    <w:rsid w:val="004E791E"/>
    <w:rsid w:val="004E7F81"/>
    <w:rsid w:val="004F000F"/>
    <w:rsid w:val="004F02FA"/>
    <w:rsid w:val="004F03D9"/>
    <w:rsid w:val="004F1554"/>
    <w:rsid w:val="004F1687"/>
    <w:rsid w:val="004F17CD"/>
    <w:rsid w:val="004F1D53"/>
    <w:rsid w:val="004F27C1"/>
    <w:rsid w:val="004F2E3F"/>
    <w:rsid w:val="004F37DB"/>
    <w:rsid w:val="004F3844"/>
    <w:rsid w:val="004F440D"/>
    <w:rsid w:val="004F4B4F"/>
    <w:rsid w:val="004F4C20"/>
    <w:rsid w:val="004F66A8"/>
    <w:rsid w:val="004F674A"/>
    <w:rsid w:val="004F70E7"/>
    <w:rsid w:val="004F713F"/>
    <w:rsid w:val="004F75CA"/>
    <w:rsid w:val="004F769F"/>
    <w:rsid w:val="004F78F2"/>
    <w:rsid w:val="004F7A47"/>
    <w:rsid w:val="004F7BC4"/>
    <w:rsid w:val="004F7D85"/>
    <w:rsid w:val="00500CFA"/>
    <w:rsid w:val="0050131D"/>
    <w:rsid w:val="005017D7"/>
    <w:rsid w:val="00502254"/>
    <w:rsid w:val="0050227E"/>
    <w:rsid w:val="00502821"/>
    <w:rsid w:val="00502889"/>
    <w:rsid w:val="00502A89"/>
    <w:rsid w:val="005032C7"/>
    <w:rsid w:val="005034BB"/>
    <w:rsid w:val="00503675"/>
    <w:rsid w:val="00503A58"/>
    <w:rsid w:val="00504229"/>
    <w:rsid w:val="005049B1"/>
    <w:rsid w:val="005053BE"/>
    <w:rsid w:val="0050553C"/>
    <w:rsid w:val="00505E42"/>
    <w:rsid w:val="00506788"/>
    <w:rsid w:val="00506DF1"/>
    <w:rsid w:val="00510260"/>
    <w:rsid w:val="0051043E"/>
    <w:rsid w:val="00510466"/>
    <w:rsid w:val="005105F4"/>
    <w:rsid w:val="00510999"/>
    <w:rsid w:val="0051110F"/>
    <w:rsid w:val="00512139"/>
    <w:rsid w:val="00512372"/>
    <w:rsid w:val="0051325E"/>
    <w:rsid w:val="005148D4"/>
    <w:rsid w:val="00514AB3"/>
    <w:rsid w:val="00514E9A"/>
    <w:rsid w:val="005151AA"/>
    <w:rsid w:val="00515BFB"/>
    <w:rsid w:val="00515E24"/>
    <w:rsid w:val="00516558"/>
    <w:rsid w:val="005168D8"/>
    <w:rsid w:val="00516A51"/>
    <w:rsid w:val="00516C5E"/>
    <w:rsid w:val="00516C9C"/>
    <w:rsid w:val="00517D54"/>
    <w:rsid w:val="00520A8A"/>
    <w:rsid w:val="005210E9"/>
    <w:rsid w:val="005211DE"/>
    <w:rsid w:val="0052135C"/>
    <w:rsid w:val="00521EC8"/>
    <w:rsid w:val="00521F30"/>
    <w:rsid w:val="00522D32"/>
    <w:rsid w:val="005236EB"/>
    <w:rsid w:val="00523FF3"/>
    <w:rsid w:val="00524215"/>
    <w:rsid w:val="00524BD8"/>
    <w:rsid w:val="005255EF"/>
    <w:rsid w:val="00525759"/>
    <w:rsid w:val="00525B9E"/>
    <w:rsid w:val="00527031"/>
    <w:rsid w:val="005276E1"/>
    <w:rsid w:val="00527D7E"/>
    <w:rsid w:val="005300AD"/>
    <w:rsid w:val="0053040E"/>
    <w:rsid w:val="00531106"/>
    <w:rsid w:val="00531305"/>
    <w:rsid w:val="005315C1"/>
    <w:rsid w:val="005318D7"/>
    <w:rsid w:val="00531F49"/>
    <w:rsid w:val="0053225C"/>
    <w:rsid w:val="00532F44"/>
    <w:rsid w:val="0053333F"/>
    <w:rsid w:val="0053385E"/>
    <w:rsid w:val="0053402C"/>
    <w:rsid w:val="00534106"/>
    <w:rsid w:val="00534870"/>
    <w:rsid w:val="00534878"/>
    <w:rsid w:val="00534A2D"/>
    <w:rsid w:val="005351AC"/>
    <w:rsid w:val="00535542"/>
    <w:rsid w:val="0053570B"/>
    <w:rsid w:val="00535A2E"/>
    <w:rsid w:val="005362D8"/>
    <w:rsid w:val="00536308"/>
    <w:rsid w:val="0053664A"/>
    <w:rsid w:val="00536806"/>
    <w:rsid w:val="0053715C"/>
    <w:rsid w:val="00537A35"/>
    <w:rsid w:val="00537C15"/>
    <w:rsid w:val="00537F36"/>
    <w:rsid w:val="00540A33"/>
    <w:rsid w:val="005418F7"/>
    <w:rsid w:val="00541938"/>
    <w:rsid w:val="00541977"/>
    <w:rsid w:val="0054231C"/>
    <w:rsid w:val="00542910"/>
    <w:rsid w:val="00542C2F"/>
    <w:rsid w:val="00544B67"/>
    <w:rsid w:val="00544DA4"/>
    <w:rsid w:val="005450AC"/>
    <w:rsid w:val="005459D6"/>
    <w:rsid w:val="00545D1A"/>
    <w:rsid w:val="00545DF0"/>
    <w:rsid w:val="00545E99"/>
    <w:rsid w:val="005460F7"/>
    <w:rsid w:val="005461D3"/>
    <w:rsid w:val="00546209"/>
    <w:rsid w:val="0054651F"/>
    <w:rsid w:val="00546848"/>
    <w:rsid w:val="005476B3"/>
    <w:rsid w:val="00547C72"/>
    <w:rsid w:val="00550652"/>
    <w:rsid w:val="005506DD"/>
    <w:rsid w:val="005513D8"/>
    <w:rsid w:val="00551AE3"/>
    <w:rsid w:val="005540CA"/>
    <w:rsid w:val="00554204"/>
    <w:rsid w:val="005545E5"/>
    <w:rsid w:val="00554CF8"/>
    <w:rsid w:val="00555100"/>
    <w:rsid w:val="00555508"/>
    <w:rsid w:val="00555877"/>
    <w:rsid w:val="00555F2F"/>
    <w:rsid w:val="005566A6"/>
    <w:rsid w:val="0055723D"/>
    <w:rsid w:val="005576A0"/>
    <w:rsid w:val="00557D39"/>
    <w:rsid w:val="00560043"/>
    <w:rsid w:val="00560474"/>
    <w:rsid w:val="00560A15"/>
    <w:rsid w:val="00560D9E"/>
    <w:rsid w:val="0056176F"/>
    <w:rsid w:val="00561B8B"/>
    <w:rsid w:val="00562285"/>
    <w:rsid w:val="005629F4"/>
    <w:rsid w:val="00562C56"/>
    <w:rsid w:val="00563C6D"/>
    <w:rsid w:val="00563CD8"/>
    <w:rsid w:val="00563CE1"/>
    <w:rsid w:val="0056423D"/>
    <w:rsid w:val="00564F22"/>
    <w:rsid w:val="005653CA"/>
    <w:rsid w:val="00565C23"/>
    <w:rsid w:val="00565FAD"/>
    <w:rsid w:val="00565FB4"/>
    <w:rsid w:val="0056630F"/>
    <w:rsid w:val="005672B5"/>
    <w:rsid w:val="0056793D"/>
    <w:rsid w:val="0057040A"/>
    <w:rsid w:val="00571622"/>
    <w:rsid w:val="0057162B"/>
    <w:rsid w:val="00571DBD"/>
    <w:rsid w:val="00571FB6"/>
    <w:rsid w:val="00572789"/>
    <w:rsid w:val="00572D0B"/>
    <w:rsid w:val="00572D85"/>
    <w:rsid w:val="00572F6C"/>
    <w:rsid w:val="005738DD"/>
    <w:rsid w:val="0057444E"/>
    <w:rsid w:val="005749C4"/>
    <w:rsid w:val="00574BE5"/>
    <w:rsid w:val="00574CFE"/>
    <w:rsid w:val="0057551A"/>
    <w:rsid w:val="005760DE"/>
    <w:rsid w:val="005763EC"/>
    <w:rsid w:val="00577379"/>
    <w:rsid w:val="005773A8"/>
    <w:rsid w:val="0057781D"/>
    <w:rsid w:val="00577FCC"/>
    <w:rsid w:val="00580254"/>
    <w:rsid w:val="0058088C"/>
    <w:rsid w:val="00580AAC"/>
    <w:rsid w:val="00580BE4"/>
    <w:rsid w:val="005818F3"/>
    <w:rsid w:val="005819E0"/>
    <w:rsid w:val="00581F06"/>
    <w:rsid w:val="00582883"/>
    <w:rsid w:val="0058296E"/>
    <w:rsid w:val="00582B30"/>
    <w:rsid w:val="005838BE"/>
    <w:rsid w:val="00583EFC"/>
    <w:rsid w:val="005843D6"/>
    <w:rsid w:val="005849A1"/>
    <w:rsid w:val="005852CB"/>
    <w:rsid w:val="00585550"/>
    <w:rsid w:val="00586183"/>
    <w:rsid w:val="005863CF"/>
    <w:rsid w:val="00587340"/>
    <w:rsid w:val="005874FF"/>
    <w:rsid w:val="00587B89"/>
    <w:rsid w:val="00587C4B"/>
    <w:rsid w:val="00587C50"/>
    <w:rsid w:val="00587C61"/>
    <w:rsid w:val="00590605"/>
    <w:rsid w:val="00590654"/>
    <w:rsid w:val="00590A07"/>
    <w:rsid w:val="00590AA7"/>
    <w:rsid w:val="00590FC0"/>
    <w:rsid w:val="00591A2C"/>
    <w:rsid w:val="00592175"/>
    <w:rsid w:val="005926B2"/>
    <w:rsid w:val="005927BF"/>
    <w:rsid w:val="0059317F"/>
    <w:rsid w:val="005948C4"/>
    <w:rsid w:val="00594A08"/>
    <w:rsid w:val="00594FD1"/>
    <w:rsid w:val="005953E0"/>
    <w:rsid w:val="00595776"/>
    <w:rsid w:val="00595F06"/>
    <w:rsid w:val="00596038"/>
    <w:rsid w:val="00596125"/>
    <w:rsid w:val="00596375"/>
    <w:rsid w:val="00596A9F"/>
    <w:rsid w:val="00596B4D"/>
    <w:rsid w:val="00596DB0"/>
    <w:rsid w:val="00596DC5"/>
    <w:rsid w:val="00596E04"/>
    <w:rsid w:val="00597502"/>
    <w:rsid w:val="005975D2"/>
    <w:rsid w:val="00597989"/>
    <w:rsid w:val="005A06B4"/>
    <w:rsid w:val="005A0940"/>
    <w:rsid w:val="005A0A03"/>
    <w:rsid w:val="005A0B3E"/>
    <w:rsid w:val="005A0CD1"/>
    <w:rsid w:val="005A0E99"/>
    <w:rsid w:val="005A17AA"/>
    <w:rsid w:val="005A17FA"/>
    <w:rsid w:val="005A1AA6"/>
    <w:rsid w:val="005A1D2C"/>
    <w:rsid w:val="005A31D9"/>
    <w:rsid w:val="005A3421"/>
    <w:rsid w:val="005A358E"/>
    <w:rsid w:val="005A4276"/>
    <w:rsid w:val="005A4BB1"/>
    <w:rsid w:val="005A501C"/>
    <w:rsid w:val="005A52DB"/>
    <w:rsid w:val="005A59A1"/>
    <w:rsid w:val="005A6F0D"/>
    <w:rsid w:val="005A6F5E"/>
    <w:rsid w:val="005A7679"/>
    <w:rsid w:val="005A7764"/>
    <w:rsid w:val="005A7999"/>
    <w:rsid w:val="005A7BD1"/>
    <w:rsid w:val="005B0199"/>
    <w:rsid w:val="005B0315"/>
    <w:rsid w:val="005B067B"/>
    <w:rsid w:val="005B097F"/>
    <w:rsid w:val="005B18E7"/>
    <w:rsid w:val="005B1943"/>
    <w:rsid w:val="005B24E3"/>
    <w:rsid w:val="005B2624"/>
    <w:rsid w:val="005B28FC"/>
    <w:rsid w:val="005B2B72"/>
    <w:rsid w:val="005B2B79"/>
    <w:rsid w:val="005B3638"/>
    <w:rsid w:val="005B38DB"/>
    <w:rsid w:val="005B3A88"/>
    <w:rsid w:val="005B4E4B"/>
    <w:rsid w:val="005B5098"/>
    <w:rsid w:val="005B56C2"/>
    <w:rsid w:val="005B5830"/>
    <w:rsid w:val="005B586F"/>
    <w:rsid w:val="005B6174"/>
    <w:rsid w:val="005B6411"/>
    <w:rsid w:val="005B6752"/>
    <w:rsid w:val="005B6802"/>
    <w:rsid w:val="005B7140"/>
    <w:rsid w:val="005B756D"/>
    <w:rsid w:val="005B7644"/>
    <w:rsid w:val="005C0E2E"/>
    <w:rsid w:val="005C2AFB"/>
    <w:rsid w:val="005C314F"/>
    <w:rsid w:val="005C340C"/>
    <w:rsid w:val="005C3578"/>
    <w:rsid w:val="005C35E4"/>
    <w:rsid w:val="005C3B90"/>
    <w:rsid w:val="005C418B"/>
    <w:rsid w:val="005C444A"/>
    <w:rsid w:val="005C4BCA"/>
    <w:rsid w:val="005C4E68"/>
    <w:rsid w:val="005C4FB4"/>
    <w:rsid w:val="005C51CC"/>
    <w:rsid w:val="005C5ECA"/>
    <w:rsid w:val="005C5FA6"/>
    <w:rsid w:val="005C66C6"/>
    <w:rsid w:val="005C7011"/>
    <w:rsid w:val="005C723E"/>
    <w:rsid w:val="005C7938"/>
    <w:rsid w:val="005C7A4A"/>
    <w:rsid w:val="005D03C7"/>
    <w:rsid w:val="005D0601"/>
    <w:rsid w:val="005D08F4"/>
    <w:rsid w:val="005D0E67"/>
    <w:rsid w:val="005D1D34"/>
    <w:rsid w:val="005D1DEA"/>
    <w:rsid w:val="005D2A8D"/>
    <w:rsid w:val="005D2D77"/>
    <w:rsid w:val="005D2DE8"/>
    <w:rsid w:val="005D2FC0"/>
    <w:rsid w:val="005D3205"/>
    <w:rsid w:val="005D35E9"/>
    <w:rsid w:val="005D3692"/>
    <w:rsid w:val="005D36C9"/>
    <w:rsid w:val="005D3EAB"/>
    <w:rsid w:val="005D4176"/>
    <w:rsid w:val="005D41A6"/>
    <w:rsid w:val="005D563D"/>
    <w:rsid w:val="005D5992"/>
    <w:rsid w:val="005D5E2F"/>
    <w:rsid w:val="005D626C"/>
    <w:rsid w:val="005D6789"/>
    <w:rsid w:val="005D6BA1"/>
    <w:rsid w:val="005D7E70"/>
    <w:rsid w:val="005D7F66"/>
    <w:rsid w:val="005E0955"/>
    <w:rsid w:val="005E113D"/>
    <w:rsid w:val="005E1266"/>
    <w:rsid w:val="005E144F"/>
    <w:rsid w:val="005E1BC1"/>
    <w:rsid w:val="005E1CDC"/>
    <w:rsid w:val="005E1F3F"/>
    <w:rsid w:val="005E2B6B"/>
    <w:rsid w:val="005E2E1F"/>
    <w:rsid w:val="005E30F2"/>
    <w:rsid w:val="005E33B6"/>
    <w:rsid w:val="005E36A3"/>
    <w:rsid w:val="005E36CD"/>
    <w:rsid w:val="005E3CF6"/>
    <w:rsid w:val="005E3E15"/>
    <w:rsid w:val="005E4569"/>
    <w:rsid w:val="005E49F3"/>
    <w:rsid w:val="005E4D42"/>
    <w:rsid w:val="005E5114"/>
    <w:rsid w:val="005E561F"/>
    <w:rsid w:val="005E58FA"/>
    <w:rsid w:val="005E607F"/>
    <w:rsid w:val="005E6B08"/>
    <w:rsid w:val="005E7A1E"/>
    <w:rsid w:val="005E7A76"/>
    <w:rsid w:val="005E7ACF"/>
    <w:rsid w:val="005F0E76"/>
    <w:rsid w:val="005F156B"/>
    <w:rsid w:val="005F17E6"/>
    <w:rsid w:val="005F2744"/>
    <w:rsid w:val="005F2B54"/>
    <w:rsid w:val="005F2C7A"/>
    <w:rsid w:val="005F314B"/>
    <w:rsid w:val="005F32AE"/>
    <w:rsid w:val="005F3A12"/>
    <w:rsid w:val="005F4210"/>
    <w:rsid w:val="005F4B28"/>
    <w:rsid w:val="005F4E50"/>
    <w:rsid w:val="005F5016"/>
    <w:rsid w:val="005F54CC"/>
    <w:rsid w:val="005F5640"/>
    <w:rsid w:val="005F5D3B"/>
    <w:rsid w:val="005F5F2B"/>
    <w:rsid w:val="005F6182"/>
    <w:rsid w:val="005F68B5"/>
    <w:rsid w:val="005F7251"/>
    <w:rsid w:val="005F75E9"/>
    <w:rsid w:val="006009D1"/>
    <w:rsid w:val="00601250"/>
    <w:rsid w:val="006017C1"/>
    <w:rsid w:val="00601991"/>
    <w:rsid w:val="006027CA"/>
    <w:rsid w:val="00602EF3"/>
    <w:rsid w:val="006032FF"/>
    <w:rsid w:val="0060350B"/>
    <w:rsid w:val="00604013"/>
    <w:rsid w:val="006049AC"/>
    <w:rsid w:val="00604F25"/>
    <w:rsid w:val="00604FCE"/>
    <w:rsid w:val="00605254"/>
    <w:rsid w:val="00605981"/>
    <w:rsid w:val="00606981"/>
    <w:rsid w:val="006069D9"/>
    <w:rsid w:val="00606A4F"/>
    <w:rsid w:val="00606ADF"/>
    <w:rsid w:val="0060733D"/>
    <w:rsid w:val="006075FB"/>
    <w:rsid w:val="00607C89"/>
    <w:rsid w:val="006107CB"/>
    <w:rsid w:val="00612B2A"/>
    <w:rsid w:val="00612FDE"/>
    <w:rsid w:val="006131B5"/>
    <w:rsid w:val="0061331B"/>
    <w:rsid w:val="006134FE"/>
    <w:rsid w:val="00613541"/>
    <w:rsid w:val="00613664"/>
    <w:rsid w:val="0061434E"/>
    <w:rsid w:val="0061480D"/>
    <w:rsid w:val="006149F1"/>
    <w:rsid w:val="00615B5E"/>
    <w:rsid w:val="0061609F"/>
    <w:rsid w:val="00616DFA"/>
    <w:rsid w:val="00616E1A"/>
    <w:rsid w:val="00617145"/>
    <w:rsid w:val="00617851"/>
    <w:rsid w:val="0062097E"/>
    <w:rsid w:val="00620BEF"/>
    <w:rsid w:val="00620D24"/>
    <w:rsid w:val="00621C34"/>
    <w:rsid w:val="00621CA0"/>
    <w:rsid w:val="006226DB"/>
    <w:rsid w:val="006227C3"/>
    <w:rsid w:val="0062295A"/>
    <w:rsid w:val="00622F9F"/>
    <w:rsid w:val="006233F2"/>
    <w:rsid w:val="0062348B"/>
    <w:rsid w:val="0062348C"/>
    <w:rsid w:val="006249BA"/>
    <w:rsid w:val="006249CB"/>
    <w:rsid w:val="0062689D"/>
    <w:rsid w:val="00627163"/>
    <w:rsid w:val="0062728B"/>
    <w:rsid w:val="00627EC0"/>
    <w:rsid w:val="00630453"/>
    <w:rsid w:val="00630E32"/>
    <w:rsid w:val="006310BD"/>
    <w:rsid w:val="006328DE"/>
    <w:rsid w:val="00632FD7"/>
    <w:rsid w:val="0063315A"/>
    <w:rsid w:val="00633A24"/>
    <w:rsid w:val="00633BE4"/>
    <w:rsid w:val="00633DB0"/>
    <w:rsid w:val="00634430"/>
    <w:rsid w:val="00634487"/>
    <w:rsid w:val="0063473A"/>
    <w:rsid w:val="0063486D"/>
    <w:rsid w:val="006349ED"/>
    <w:rsid w:val="00634C40"/>
    <w:rsid w:val="00634EFB"/>
    <w:rsid w:val="0063550D"/>
    <w:rsid w:val="006361D9"/>
    <w:rsid w:val="00637A15"/>
    <w:rsid w:val="00640368"/>
    <w:rsid w:val="006406D7"/>
    <w:rsid w:val="00640907"/>
    <w:rsid w:val="00641691"/>
    <w:rsid w:val="00641999"/>
    <w:rsid w:val="006428AD"/>
    <w:rsid w:val="00643375"/>
    <w:rsid w:val="0064392A"/>
    <w:rsid w:val="00643F43"/>
    <w:rsid w:val="006441B8"/>
    <w:rsid w:val="006445D4"/>
    <w:rsid w:val="006450D4"/>
    <w:rsid w:val="006450F4"/>
    <w:rsid w:val="00645F5A"/>
    <w:rsid w:val="0064615B"/>
    <w:rsid w:val="0064643F"/>
    <w:rsid w:val="006464E7"/>
    <w:rsid w:val="006470C7"/>
    <w:rsid w:val="006470D1"/>
    <w:rsid w:val="006471EC"/>
    <w:rsid w:val="00647371"/>
    <w:rsid w:val="00647389"/>
    <w:rsid w:val="006504EE"/>
    <w:rsid w:val="00650593"/>
    <w:rsid w:val="00650A8E"/>
    <w:rsid w:val="00650B07"/>
    <w:rsid w:val="0065114C"/>
    <w:rsid w:val="00651253"/>
    <w:rsid w:val="00651AEE"/>
    <w:rsid w:val="0065228A"/>
    <w:rsid w:val="006529B0"/>
    <w:rsid w:val="00652F17"/>
    <w:rsid w:val="00652F7A"/>
    <w:rsid w:val="00653D86"/>
    <w:rsid w:val="00653FCF"/>
    <w:rsid w:val="00654EBF"/>
    <w:rsid w:val="00655F3F"/>
    <w:rsid w:val="00656977"/>
    <w:rsid w:val="00656E85"/>
    <w:rsid w:val="0065718C"/>
    <w:rsid w:val="0065769B"/>
    <w:rsid w:val="006603AF"/>
    <w:rsid w:val="00660FEF"/>
    <w:rsid w:val="00661981"/>
    <w:rsid w:val="00661A17"/>
    <w:rsid w:val="00662279"/>
    <w:rsid w:val="00662664"/>
    <w:rsid w:val="00663B65"/>
    <w:rsid w:val="00663FDF"/>
    <w:rsid w:val="00664048"/>
    <w:rsid w:val="00664143"/>
    <w:rsid w:val="00664281"/>
    <w:rsid w:val="00664A19"/>
    <w:rsid w:val="00665180"/>
    <w:rsid w:val="0066521D"/>
    <w:rsid w:val="00665EB7"/>
    <w:rsid w:val="00666402"/>
    <w:rsid w:val="006665C9"/>
    <w:rsid w:val="0066738F"/>
    <w:rsid w:val="00667AC5"/>
    <w:rsid w:val="00667D01"/>
    <w:rsid w:val="00667E88"/>
    <w:rsid w:val="00670F33"/>
    <w:rsid w:val="006724FB"/>
    <w:rsid w:val="006728D5"/>
    <w:rsid w:val="00672D9E"/>
    <w:rsid w:val="00673326"/>
    <w:rsid w:val="006734F6"/>
    <w:rsid w:val="00673EAC"/>
    <w:rsid w:val="0067441A"/>
    <w:rsid w:val="006744D8"/>
    <w:rsid w:val="006748D7"/>
    <w:rsid w:val="00675362"/>
    <w:rsid w:val="00675568"/>
    <w:rsid w:val="00675944"/>
    <w:rsid w:val="00675992"/>
    <w:rsid w:val="006767F2"/>
    <w:rsid w:val="0067680A"/>
    <w:rsid w:val="00676E6D"/>
    <w:rsid w:val="006777D1"/>
    <w:rsid w:val="00677DA6"/>
    <w:rsid w:val="00677EB9"/>
    <w:rsid w:val="00677F94"/>
    <w:rsid w:val="006803FD"/>
    <w:rsid w:val="0068058F"/>
    <w:rsid w:val="00680A82"/>
    <w:rsid w:val="00680BF3"/>
    <w:rsid w:val="00681883"/>
    <w:rsid w:val="00681C7D"/>
    <w:rsid w:val="006820DE"/>
    <w:rsid w:val="00682406"/>
    <w:rsid w:val="006826D6"/>
    <w:rsid w:val="006833FB"/>
    <w:rsid w:val="00683FE1"/>
    <w:rsid w:val="00684AE5"/>
    <w:rsid w:val="00684D2A"/>
    <w:rsid w:val="00685537"/>
    <w:rsid w:val="00686026"/>
    <w:rsid w:val="00686261"/>
    <w:rsid w:val="006863B1"/>
    <w:rsid w:val="006870A8"/>
    <w:rsid w:val="00687783"/>
    <w:rsid w:val="00687B36"/>
    <w:rsid w:val="00687C82"/>
    <w:rsid w:val="006905BE"/>
    <w:rsid w:val="006919E1"/>
    <w:rsid w:val="00692349"/>
    <w:rsid w:val="00692E28"/>
    <w:rsid w:val="0069364E"/>
    <w:rsid w:val="00693669"/>
    <w:rsid w:val="00693A25"/>
    <w:rsid w:val="00693B2B"/>
    <w:rsid w:val="00693B72"/>
    <w:rsid w:val="00693DA9"/>
    <w:rsid w:val="00693EF8"/>
    <w:rsid w:val="0069406B"/>
    <w:rsid w:val="00694537"/>
    <w:rsid w:val="00694DF9"/>
    <w:rsid w:val="00696240"/>
    <w:rsid w:val="00696536"/>
    <w:rsid w:val="0069677F"/>
    <w:rsid w:val="00697174"/>
    <w:rsid w:val="0069797D"/>
    <w:rsid w:val="00697D8F"/>
    <w:rsid w:val="00697EA4"/>
    <w:rsid w:val="006A11A6"/>
    <w:rsid w:val="006A172C"/>
    <w:rsid w:val="006A3037"/>
    <w:rsid w:val="006A40F5"/>
    <w:rsid w:val="006A4715"/>
    <w:rsid w:val="006A4936"/>
    <w:rsid w:val="006A4AAF"/>
    <w:rsid w:val="006A5143"/>
    <w:rsid w:val="006A5612"/>
    <w:rsid w:val="006A565C"/>
    <w:rsid w:val="006A5A24"/>
    <w:rsid w:val="006A5E64"/>
    <w:rsid w:val="006A5E96"/>
    <w:rsid w:val="006A62CE"/>
    <w:rsid w:val="006A65AA"/>
    <w:rsid w:val="006A67D6"/>
    <w:rsid w:val="006A7068"/>
    <w:rsid w:val="006A7AE3"/>
    <w:rsid w:val="006A7EAF"/>
    <w:rsid w:val="006B0B61"/>
    <w:rsid w:val="006B0F0A"/>
    <w:rsid w:val="006B132A"/>
    <w:rsid w:val="006B17F5"/>
    <w:rsid w:val="006B2387"/>
    <w:rsid w:val="006B2609"/>
    <w:rsid w:val="006B2FFD"/>
    <w:rsid w:val="006B3122"/>
    <w:rsid w:val="006B3A91"/>
    <w:rsid w:val="006B3BCE"/>
    <w:rsid w:val="006B4550"/>
    <w:rsid w:val="006B51B8"/>
    <w:rsid w:val="006B5449"/>
    <w:rsid w:val="006B5679"/>
    <w:rsid w:val="006B572D"/>
    <w:rsid w:val="006B5DF8"/>
    <w:rsid w:val="006B6502"/>
    <w:rsid w:val="006B6995"/>
    <w:rsid w:val="006B699A"/>
    <w:rsid w:val="006B6CC9"/>
    <w:rsid w:val="006B6FCD"/>
    <w:rsid w:val="006B798C"/>
    <w:rsid w:val="006B7A5F"/>
    <w:rsid w:val="006B7E8F"/>
    <w:rsid w:val="006C0217"/>
    <w:rsid w:val="006C03CA"/>
    <w:rsid w:val="006C1CD9"/>
    <w:rsid w:val="006C21DA"/>
    <w:rsid w:val="006C36D5"/>
    <w:rsid w:val="006C3C97"/>
    <w:rsid w:val="006C3D05"/>
    <w:rsid w:val="006C3F57"/>
    <w:rsid w:val="006C4215"/>
    <w:rsid w:val="006C429B"/>
    <w:rsid w:val="006C5606"/>
    <w:rsid w:val="006C5748"/>
    <w:rsid w:val="006C582B"/>
    <w:rsid w:val="006C60A7"/>
    <w:rsid w:val="006C6794"/>
    <w:rsid w:val="006C7E84"/>
    <w:rsid w:val="006C7FAA"/>
    <w:rsid w:val="006D038B"/>
    <w:rsid w:val="006D0923"/>
    <w:rsid w:val="006D0F0D"/>
    <w:rsid w:val="006D1339"/>
    <w:rsid w:val="006D1686"/>
    <w:rsid w:val="006D1B01"/>
    <w:rsid w:val="006D22D5"/>
    <w:rsid w:val="006D2F50"/>
    <w:rsid w:val="006D32C2"/>
    <w:rsid w:val="006D3535"/>
    <w:rsid w:val="006D3B0B"/>
    <w:rsid w:val="006D4469"/>
    <w:rsid w:val="006D4647"/>
    <w:rsid w:val="006D474B"/>
    <w:rsid w:val="006D4753"/>
    <w:rsid w:val="006D494B"/>
    <w:rsid w:val="006D505E"/>
    <w:rsid w:val="006D5FD2"/>
    <w:rsid w:val="006D60EC"/>
    <w:rsid w:val="006D6155"/>
    <w:rsid w:val="006D6468"/>
    <w:rsid w:val="006D73EB"/>
    <w:rsid w:val="006D78A9"/>
    <w:rsid w:val="006E05EC"/>
    <w:rsid w:val="006E061D"/>
    <w:rsid w:val="006E0704"/>
    <w:rsid w:val="006E0929"/>
    <w:rsid w:val="006E0E86"/>
    <w:rsid w:val="006E12B4"/>
    <w:rsid w:val="006E192C"/>
    <w:rsid w:val="006E1FC4"/>
    <w:rsid w:val="006E2BA8"/>
    <w:rsid w:val="006E2CB7"/>
    <w:rsid w:val="006E2F3C"/>
    <w:rsid w:val="006E34BB"/>
    <w:rsid w:val="006E39A6"/>
    <w:rsid w:val="006E3DC9"/>
    <w:rsid w:val="006E4766"/>
    <w:rsid w:val="006E5764"/>
    <w:rsid w:val="006E58E7"/>
    <w:rsid w:val="006E64F9"/>
    <w:rsid w:val="006E75C7"/>
    <w:rsid w:val="006E791D"/>
    <w:rsid w:val="006E7ACD"/>
    <w:rsid w:val="006E7E0D"/>
    <w:rsid w:val="006E7EDF"/>
    <w:rsid w:val="006F0131"/>
    <w:rsid w:val="006F0F4E"/>
    <w:rsid w:val="006F195F"/>
    <w:rsid w:val="006F1D62"/>
    <w:rsid w:val="006F240A"/>
    <w:rsid w:val="006F251B"/>
    <w:rsid w:val="006F28DD"/>
    <w:rsid w:val="006F38AE"/>
    <w:rsid w:val="006F4C9C"/>
    <w:rsid w:val="006F51B6"/>
    <w:rsid w:val="006F51D0"/>
    <w:rsid w:val="006F5294"/>
    <w:rsid w:val="006F692B"/>
    <w:rsid w:val="006F69A7"/>
    <w:rsid w:val="006F6F85"/>
    <w:rsid w:val="006F7A35"/>
    <w:rsid w:val="006F7DB3"/>
    <w:rsid w:val="006F7F81"/>
    <w:rsid w:val="00700249"/>
    <w:rsid w:val="0070039E"/>
    <w:rsid w:val="00700889"/>
    <w:rsid w:val="00700DA1"/>
    <w:rsid w:val="00701506"/>
    <w:rsid w:val="007017BC"/>
    <w:rsid w:val="00701BDE"/>
    <w:rsid w:val="00701E57"/>
    <w:rsid w:val="007029F3"/>
    <w:rsid w:val="00702C63"/>
    <w:rsid w:val="00703087"/>
    <w:rsid w:val="00703751"/>
    <w:rsid w:val="00703BE4"/>
    <w:rsid w:val="00704352"/>
    <w:rsid w:val="007049BE"/>
    <w:rsid w:val="007054C4"/>
    <w:rsid w:val="007059B7"/>
    <w:rsid w:val="00705E4C"/>
    <w:rsid w:val="00706061"/>
    <w:rsid w:val="007060F9"/>
    <w:rsid w:val="00707370"/>
    <w:rsid w:val="00707C27"/>
    <w:rsid w:val="00707D9C"/>
    <w:rsid w:val="00707DA6"/>
    <w:rsid w:val="0071010B"/>
    <w:rsid w:val="0071034C"/>
    <w:rsid w:val="007108B3"/>
    <w:rsid w:val="00711028"/>
    <w:rsid w:val="0071137D"/>
    <w:rsid w:val="0071208A"/>
    <w:rsid w:val="00712448"/>
    <w:rsid w:val="007125F3"/>
    <w:rsid w:val="007127EC"/>
    <w:rsid w:val="00712C39"/>
    <w:rsid w:val="007134EE"/>
    <w:rsid w:val="00713C20"/>
    <w:rsid w:val="00713FE8"/>
    <w:rsid w:val="007146C5"/>
    <w:rsid w:val="00714864"/>
    <w:rsid w:val="007148A5"/>
    <w:rsid w:val="00714CE8"/>
    <w:rsid w:val="00714D90"/>
    <w:rsid w:val="00714E35"/>
    <w:rsid w:val="00715487"/>
    <w:rsid w:val="00715D39"/>
    <w:rsid w:val="007163E5"/>
    <w:rsid w:val="0071644A"/>
    <w:rsid w:val="007164D7"/>
    <w:rsid w:val="007168CE"/>
    <w:rsid w:val="007169EB"/>
    <w:rsid w:val="007173E2"/>
    <w:rsid w:val="00717552"/>
    <w:rsid w:val="00717839"/>
    <w:rsid w:val="00717CA7"/>
    <w:rsid w:val="007202CF"/>
    <w:rsid w:val="0072071F"/>
    <w:rsid w:val="007210CD"/>
    <w:rsid w:val="00721676"/>
    <w:rsid w:val="00721A20"/>
    <w:rsid w:val="00721FB9"/>
    <w:rsid w:val="00722097"/>
    <w:rsid w:val="0072242F"/>
    <w:rsid w:val="00722A4C"/>
    <w:rsid w:val="00723232"/>
    <w:rsid w:val="00723260"/>
    <w:rsid w:val="007235CF"/>
    <w:rsid w:val="00723630"/>
    <w:rsid w:val="00723A0A"/>
    <w:rsid w:val="007243AF"/>
    <w:rsid w:val="00724485"/>
    <w:rsid w:val="00724BC7"/>
    <w:rsid w:val="00724F16"/>
    <w:rsid w:val="00726160"/>
    <w:rsid w:val="007263E6"/>
    <w:rsid w:val="0072642D"/>
    <w:rsid w:val="00726BD1"/>
    <w:rsid w:val="00726E4B"/>
    <w:rsid w:val="00726E8E"/>
    <w:rsid w:val="007271B3"/>
    <w:rsid w:val="007272AF"/>
    <w:rsid w:val="00727883"/>
    <w:rsid w:val="00727D3A"/>
    <w:rsid w:val="007303D9"/>
    <w:rsid w:val="00730658"/>
    <w:rsid w:val="00730901"/>
    <w:rsid w:val="007309F1"/>
    <w:rsid w:val="00730EAB"/>
    <w:rsid w:val="00731623"/>
    <w:rsid w:val="00731AA1"/>
    <w:rsid w:val="007323DC"/>
    <w:rsid w:val="007324CF"/>
    <w:rsid w:val="00732F9B"/>
    <w:rsid w:val="007336C9"/>
    <w:rsid w:val="007341E6"/>
    <w:rsid w:val="0073448E"/>
    <w:rsid w:val="00734910"/>
    <w:rsid w:val="00734C11"/>
    <w:rsid w:val="00734FC9"/>
    <w:rsid w:val="0073581F"/>
    <w:rsid w:val="00736769"/>
    <w:rsid w:val="00737B87"/>
    <w:rsid w:val="00740301"/>
    <w:rsid w:val="00740AD0"/>
    <w:rsid w:val="00740CF3"/>
    <w:rsid w:val="007410C4"/>
    <w:rsid w:val="00741527"/>
    <w:rsid w:val="007417D0"/>
    <w:rsid w:val="007418A9"/>
    <w:rsid w:val="00741B1F"/>
    <w:rsid w:val="0074204E"/>
    <w:rsid w:val="007422A5"/>
    <w:rsid w:val="0074245D"/>
    <w:rsid w:val="007429C7"/>
    <w:rsid w:val="007429D3"/>
    <w:rsid w:val="00742AD0"/>
    <w:rsid w:val="00742B97"/>
    <w:rsid w:val="00742DFA"/>
    <w:rsid w:val="007430E1"/>
    <w:rsid w:val="00743102"/>
    <w:rsid w:val="00743271"/>
    <w:rsid w:val="00743448"/>
    <w:rsid w:val="007435EC"/>
    <w:rsid w:val="007439F2"/>
    <w:rsid w:val="00743FF5"/>
    <w:rsid w:val="0074482A"/>
    <w:rsid w:val="007449E7"/>
    <w:rsid w:val="007453F0"/>
    <w:rsid w:val="0074595A"/>
    <w:rsid w:val="00745A72"/>
    <w:rsid w:val="00746177"/>
    <w:rsid w:val="007462AE"/>
    <w:rsid w:val="00746813"/>
    <w:rsid w:val="0074705D"/>
    <w:rsid w:val="0074730A"/>
    <w:rsid w:val="00747F31"/>
    <w:rsid w:val="00750EC3"/>
    <w:rsid w:val="00751071"/>
    <w:rsid w:val="00751351"/>
    <w:rsid w:val="00751A4E"/>
    <w:rsid w:val="00751E80"/>
    <w:rsid w:val="007527E9"/>
    <w:rsid w:val="007528E1"/>
    <w:rsid w:val="00752C9E"/>
    <w:rsid w:val="0075334A"/>
    <w:rsid w:val="00753D9D"/>
    <w:rsid w:val="007543E0"/>
    <w:rsid w:val="00754A8E"/>
    <w:rsid w:val="00754BD1"/>
    <w:rsid w:val="00754E0F"/>
    <w:rsid w:val="00754E61"/>
    <w:rsid w:val="00754F15"/>
    <w:rsid w:val="007552B4"/>
    <w:rsid w:val="00755BA3"/>
    <w:rsid w:val="00755EFF"/>
    <w:rsid w:val="007565BE"/>
    <w:rsid w:val="00756783"/>
    <w:rsid w:val="00756CEF"/>
    <w:rsid w:val="00756E7E"/>
    <w:rsid w:val="00757165"/>
    <w:rsid w:val="007573F2"/>
    <w:rsid w:val="00757B43"/>
    <w:rsid w:val="00757F94"/>
    <w:rsid w:val="007605C8"/>
    <w:rsid w:val="00760813"/>
    <w:rsid w:val="0076108A"/>
    <w:rsid w:val="007613AE"/>
    <w:rsid w:val="007613BF"/>
    <w:rsid w:val="007616D6"/>
    <w:rsid w:val="00762236"/>
    <w:rsid w:val="0076418F"/>
    <w:rsid w:val="00764D3E"/>
    <w:rsid w:val="0076513B"/>
    <w:rsid w:val="007658FA"/>
    <w:rsid w:val="00765AA1"/>
    <w:rsid w:val="0076628C"/>
    <w:rsid w:val="007669AE"/>
    <w:rsid w:val="00766CF7"/>
    <w:rsid w:val="00766E5F"/>
    <w:rsid w:val="00767176"/>
    <w:rsid w:val="00767361"/>
    <w:rsid w:val="00767931"/>
    <w:rsid w:val="007679A3"/>
    <w:rsid w:val="00767CBE"/>
    <w:rsid w:val="00770683"/>
    <w:rsid w:val="007707CC"/>
    <w:rsid w:val="00770D09"/>
    <w:rsid w:val="00771101"/>
    <w:rsid w:val="0077127D"/>
    <w:rsid w:val="007713F0"/>
    <w:rsid w:val="00772144"/>
    <w:rsid w:val="00772178"/>
    <w:rsid w:val="00772518"/>
    <w:rsid w:val="00773244"/>
    <w:rsid w:val="00773882"/>
    <w:rsid w:val="00773FF0"/>
    <w:rsid w:val="0077449E"/>
    <w:rsid w:val="0077565E"/>
    <w:rsid w:val="0077576D"/>
    <w:rsid w:val="007757FD"/>
    <w:rsid w:val="007777EB"/>
    <w:rsid w:val="00777865"/>
    <w:rsid w:val="00777E71"/>
    <w:rsid w:val="00780EFE"/>
    <w:rsid w:val="00781B58"/>
    <w:rsid w:val="007826EA"/>
    <w:rsid w:val="007836DE"/>
    <w:rsid w:val="007842B3"/>
    <w:rsid w:val="00784AA8"/>
    <w:rsid w:val="00784CF7"/>
    <w:rsid w:val="00784E96"/>
    <w:rsid w:val="00785017"/>
    <w:rsid w:val="0078704A"/>
    <w:rsid w:val="00787370"/>
    <w:rsid w:val="007878EA"/>
    <w:rsid w:val="00790168"/>
    <w:rsid w:val="00790610"/>
    <w:rsid w:val="0079103B"/>
    <w:rsid w:val="007912B0"/>
    <w:rsid w:val="007920DE"/>
    <w:rsid w:val="00792718"/>
    <w:rsid w:val="0079330A"/>
    <w:rsid w:val="0079345C"/>
    <w:rsid w:val="007934A6"/>
    <w:rsid w:val="0079397F"/>
    <w:rsid w:val="00793D59"/>
    <w:rsid w:val="00794174"/>
    <w:rsid w:val="00794263"/>
    <w:rsid w:val="00794AF4"/>
    <w:rsid w:val="00794B03"/>
    <w:rsid w:val="00794CB5"/>
    <w:rsid w:val="0079523D"/>
    <w:rsid w:val="00796010"/>
    <w:rsid w:val="0079689F"/>
    <w:rsid w:val="00796B4D"/>
    <w:rsid w:val="00796EEA"/>
    <w:rsid w:val="007971B7"/>
    <w:rsid w:val="00797417"/>
    <w:rsid w:val="00797E35"/>
    <w:rsid w:val="007A064E"/>
    <w:rsid w:val="007A09C6"/>
    <w:rsid w:val="007A14D2"/>
    <w:rsid w:val="007A159B"/>
    <w:rsid w:val="007A15AD"/>
    <w:rsid w:val="007A1B9E"/>
    <w:rsid w:val="007A2D8D"/>
    <w:rsid w:val="007A2EA2"/>
    <w:rsid w:val="007A2EBF"/>
    <w:rsid w:val="007A40F4"/>
    <w:rsid w:val="007A4620"/>
    <w:rsid w:val="007A4A2B"/>
    <w:rsid w:val="007A4EC3"/>
    <w:rsid w:val="007A5408"/>
    <w:rsid w:val="007A5488"/>
    <w:rsid w:val="007A56EC"/>
    <w:rsid w:val="007A6343"/>
    <w:rsid w:val="007A684A"/>
    <w:rsid w:val="007A68BB"/>
    <w:rsid w:val="007A6F8E"/>
    <w:rsid w:val="007A7155"/>
    <w:rsid w:val="007A7BB7"/>
    <w:rsid w:val="007A7DA0"/>
    <w:rsid w:val="007B01B7"/>
    <w:rsid w:val="007B0394"/>
    <w:rsid w:val="007B04CB"/>
    <w:rsid w:val="007B09F9"/>
    <w:rsid w:val="007B11DA"/>
    <w:rsid w:val="007B153C"/>
    <w:rsid w:val="007B1F69"/>
    <w:rsid w:val="007B2670"/>
    <w:rsid w:val="007B27C2"/>
    <w:rsid w:val="007B27E3"/>
    <w:rsid w:val="007B44A3"/>
    <w:rsid w:val="007B4578"/>
    <w:rsid w:val="007B4B53"/>
    <w:rsid w:val="007B5EE7"/>
    <w:rsid w:val="007C01E2"/>
    <w:rsid w:val="007C1693"/>
    <w:rsid w:val="007C1E41"/>
    <w:rsid w:val="007C1F96"/>
    <w:rsid w:val="007C2254"/>
    <w:rsid w:val="007C252E"/>
    <w:rsid w:val="007C3FBE"/>
    <w:rsid w:val="007C6370"/>
    <w:rsid w:val="007C6568"/>
    <w:rsid w:val="007C727E"/>
    <w:rsid w:val="007C76B1"/>
    <w:rsid w:val="007C795A"/>
    <w:rsid w:val="007C7E3F"/>
    <w:rsid w:val="007D0579"/>
    <w:rsid w:val="007D05AE"/>
    <w:rsid w:val="007D05B8"/>
    <w:rsid w:val="007D06B6"/>
    <w:rsid w:val="007D0F7B"/>
    <w:rsid w:val="007D127D"/>
    <w:rsid w:val="007D1353"/>
    <w:rsid w:val="007D1D0F"/>
    <w:rsid w:val="007D24B6"/>
    <w:rsid w:val="007D2C1D"/>
    <w:rsid w:val="007D2E10"/>
    <w:rsid w:val="007D30BA"/>
    <w:rsid w:val="007D3F6C"/>
    <w:rsid w:val="007D4424"/>
    <w:rsid w:val="007D467E"/>
    <w:rsid w:val="007D46C5"/>
    <w:rsid w:val="007D483E"/>
    <w:rsid w:val="007D49C1"/>
    <w:rsid w:val="007D4B9F"/>
    <w:rsid w:val="007D5CF0"/>
    <w:rsid w:val="007D6024"/>
    <w:rsid w:val="007D609D"/>
    <w:rsid w:val="007D61BA"/>
    <w:rsid w:val="007D6B95"/>
    <w:rsid w:val="007D6CD7"/>
    <w:rsid w:val="007D6E77"/>
    <w:rsid w:val="007D7091"/>
    <w:rsid w:val="007D73D6"/>
    <w:rsid w:val="007D786B"/>
    <w:rsid w:val="007D78EA"/>
    <w:rsid w:val="007D7CD4"/>
    <w:rsid w:val="007E02C4"/>
    <w:rsid w:val="007E1087"/>
    <w:rsid w:val="007E116F"/>
    <w:rsid w:val="007E1676"/>
    <w:rsid w:val="007E1741"/>
    <w:rsid w:val="007E1E2B"/>
    <w:rsid w:val="007E22B8"/>
    <w:rsid w:val="007E22DD"/>
    <w:rsid w:val="007E2421"/>
    <w:rsid w:val="007E2422"/>
    <w:rsid w:val="007E25AF"/>
    <w:rsid w:val="007E2933"/>
    <w:rsid w:val="007E3C4F"/>
    <w:rsid w:val="007E3DD3"/>
    <w:rsid w:val="007E446F"/>
    <w:rsid w:val="007E4F94"/>
    <w:rsid w:val="007E527C"/>
    <w:rsid w:val="007E5893"/>
    <w:rsid w:val="007E5D92"/>
    <w:rsid w:val="007E5E2B"/>
    <w:rsid w:val="007E6135"/>
    <w:rsid w:val="007E72FB"/>
    <w:rsid w:val="007E7806"/>
    <w:rsid w:val="007F035B"/>
    <w:rsid w:val="007F03FF"/>
    <w:rsid w:val="007F12B8"/>
    <w:rsid w:val="007F1CF6"/>
    <w:rsid w:val="007F1E36"/>
    <w:rsid w:val="007F1F87"/>
    <w:rsid w:val="007F2076"/>
    <w:rsid w:val="007F2366"/>
    <w:rsid w:val="007F2F2D"/>
    <w:rsid w:val="007F3296"/>
    <w:rsid w:val="007F4AC8"/>
    <w:rsid w:val="007F4B71"/>
    <w:rsid w:val="007F4D3E"/>
    <w:rsid w:val="007F51EC"/>
    <w:rsid w:val="007F5732"/>
    <w:rsid w:val="007F6157"/>
    <w:rsid w:val="007F6AA3"/>
    <w:rsid w:val="007F717D"/>
    <w:rsid w:val="007F7F8D"/>
    <w:rsid w:val="008002A7"/>
    <w:rsid w:val="00800333"/>
    <w:rsid w:val="008006B3"/>
    <w:rsid w:val="00800D56"/>
    <w:rsid w:val="00801190"/>
    <w:rsid w:val="00801862"/>
    <w:rsid w:val="00801FA5"/>
    <w:rsid w:val="008028E9"/>
    <w:rsid w:val="0080306B"/>
    <w:rsid w:val="008030BD"/>
    <w:rsid w:val="008034CB"/>
    <w:rsid w:val="00803699"/>
    <w:rsid w:val="00803FBF"/>
    <w:rsid w:val="00804087"/>
    <w:rsid w:val="00805B1C"/>
    <w:rsid w:val="00805F1F"/>
    <w:rsid w:val="00806370"/>
    <w:rsid w:val="00806527"/>
    <w:rsid w:val="008066D3"/>
    <w:rsid w:val="00806EF4"/>
    <w:rsid w:val="00807BF2"/>
    <w:rsid w:val="00807D1F"/>
    <w:rsid w:val="00810A8C"/>
    <w:rsid w:val="008117F5"/>
    <w:rsid w:val="00811F85"/>
    <w:rsid w:val="00813745"/>
    <w:rsid w:val="0081395D"/>
    <w:rsid w:val="00813EDF"/>
    <w:rsid w:val="0081448A"/>
    <w:rsid w:val="00815C08"/>
    <w:rsid w:val="008161F7"/>
    <w:rsid w:val="00820247"/>
    <w:rsid w:val="00820C84"/>
    <w:rsid w:val="00822248"/>
    <w:rsid w:val="00822D5F"/>
    <w:rsid w:val="00824849"/>
    <w:rsid w:val="00824AC4"/>
    <w:rsid w:val="00824AE6"/>
    <w:rsid w:val="00825B99"/>
    <w:rsid w:val="00826B4C"/>
    <w:rsid w:val="00827F60"/>
    <w:rsid w:val="00830B92"/>
    <w:rsid w:val="00830F4F"/>
    <w:rsid w:val="0083173D"/>
    <w:rsid w:val="008318F4"/>
    <w:rsid w:val="00831DD0"/>
    <w:rsid w:val="00831F94"/>
    <w:rsid w:val="00832002"/>
    <w:rsid w:val="00832657"/>
    <w:rsid w:val="00832EA4"/>
    <w:rsid w:val="00833862"/>
    <w:rsid w:val="0083399B"/>
    <w:rsid w:val="00834994"/>
    <w:rsid w:val="0083559C"/>
    <w:rsid w:val="00835927"/>
    <w:rsid w:val="00835ABD"/>
    <w:rsid w:val="00835AD5"/>
    <w:rsid w:val="00835CD2"/>
    <w:rsid w:val="00835E6E"/>
    <w:rsid w:val="0083650C"/>
    <w:rsid w:val="00836A77"/>
    <w:rsid w:val="00837726"/>
    <w:rsid w:val="00837AB4"/>
    <w:rsid w:val="00837BAF"/>
    <w:rsid w:val="0084011B"/>
    <w:rsid w:val="00840653"/>
    <w:rsid w:val="00840A6F"/>
    <w:rsid w:val="008414AA"/>
    <w:rsid w:val="00841913"/>
    <w:rsid w:val="00841F9C"/>
    <w:rsid w:val="008425C0"/>
    <w:rsid w:val="00842C35"/>
    <w:rsid w:val="00843550"/>
    <w:rsid w:val="00843C0B"/>
    <w:rsid w:val="00843C39"/>
    <w:rsid w:val="00843CF5"/>
    <w:rsid w:val="00844A18"/>
    <w:rsid w:val="008451EE"/>
    <w:rsid w:val="008452C8"/>
    <w:rsid w:val="00845A30"/>
    <w:rsid w:val="00845A6B"/>
    <w:rsid w:val="00846263"/>
    <w:rsid w:val="008462E1"/>
    <w:rsid w:val="00846FB0"/>
    <w:rsid w:val="00847808"/>
    <w:rsid w:val="00850195"/>
    <w:rsid w:val="00850306"/>
    <w:rsid w:val="008505B6"/>
    <w:rsid w:val="008513A2"/>
    <w:rsid w:val="00851851"/>
    <w:rsid w:val="00851A9D"/>
    <w:rsid w:val="00851C80"/>
    <w:rsid w:val="00851D58"/>
    <w:rsid w:val="008520ED"/>
    <w:rsid w:val="008527CA"/>
    <w:rsid w:val="008529E8"/>
    <w:rsid w:val="00852C30"/>
    <w:rsid w:val="00853746"/>
    <w:rsid w:val="008537CD"/>
    <w:rsid w:val="00853DB2"/>
    <w:rsid w:val="008548CD"/>
    <w:rsid w:val="00854B22"/>
    <w:rsid w:val="00854EA7"/>
    <w:rsid w:val="00855318"/>
    <w:rsid w:val="008554B7"/>
    <w:rsid w:val="008556C1"/>
    <w:rsid w:val="008558B3"/>
    <w:rsid w:val="00855A1F"/>
    <w:rsid w:val="00855AC1"/>
    <w:rsid w:val="008561A5"/>
    <w:rsid w:val="00856A1B"/>
    <w:rsid w:val="00857980"/>
    <w:rsid w:val="00857A2B"/>
    <w:rsid w:val="008600F1"/>
    <w:rsid w:val="008604FF"/>
    <w:rsid w:val="008606C7"/>
    <w:rsid w:val="00860BE3"/>
    <w:rsid w:val="008614BE"/>
    <w:rsid w:val="008629CD"/>
    <w:rsid w:val="00862D91"/>
    <w:rsid w:val="00862DF3"/>
    <w:rsid w:val="00864CB8"/>
    <w:rsid w:val="008650E1"/>
    <w:rsid w:val="00865442"/>
    <w:rsid w:val="0086666F"/>
    <w:rsid w:val="0086683D"/>
    <w:rsid w:val="00867780"/>
    <w:rsid w:val="00867DC1"/>
    <w:rsid w:val="0087017B"/>
    <w:rsid w:val="00870E04"/>
    <w:rsid w:val="00871191"/>
    <w:rsid w:val="008720F0"/>
    <w:rsid w:val="00872744"/>
    <w:rsid w:val="00872BBA"/>
    <w:rsid w:val="00873E01"/>
    <w:rsid w:val="00874CDA"/>
    <w:rsid w:val="008753F2"/>
    <w:rsid w:val="008759F9"/>
    <w:rsid w:val="00875D8E"/>
    <w:rsid w:val="008764E5"/>
    <w:rsid w:val="0087654E"/>
    <w:rsid w:val="00877041"/>
    <w:rsid w:val="008773B7"/>
    <w:rsid w:val="008802D3"/>
    <w:rsid w:val="008809E8"/>
    <w:rsid w:val="00880DAE"/>
    <w:rsid w:val="00881991"/>
    <w:rsid w:val="008827FE"/>
    <w:rsid w:val="00882B94"/>
    <w:rsid w:val="00882EC1"/>
    <w:rsid w:val="00883819"/>
    <w:rsid w:val="008842FD"/>
    <w:rsid w:val="00884872"/>
    <w:rsid w:val="00884B92"/>
    <w:rsid w:val="00884F85"/>
    <w:rsid w:val="008851E5"/>
    <w:rsid w:val="00885A98"/>
    <w:rsid w:val="00885C98"/>
    <w:rsid w:val="00887542"/>
    <w:rsid w:val="008876FC"/>
    <w:rsid w:val="00887AAB"/>
    <w:rsid w:val="008902C7"/>
    <w:rsid w:val="00890694"/>
    <w:rsid w:val="00890DC2"/>
    <w:rsid w:val="00891000"/>
    <w:rsid w:val="008912D0"/>
    <w:rsid w:val="00891C35"/>
    <w:rsid w:val="008934FE"/>
    <w:rsid w:val="0089377E"/>
    <w:rsid w:val="00893B7E"/>
    <w:rsid w:val="00893D7F"/>
    <w:rsid w:val="00894841"/>
    <w:rsid w:val="00894E1F"/>
    <w:rsid w:val="00894E9E"/>
    <w:rsid w:val="008953A0"/>
    <w:rsid w:val="00895D3D"/>
    <w:rsid w:val="00896244"/>
    <w:rsid w:val="008962AC"/>
    <w:rsid w:val="008963AC"/>
    <w:rsid w:val="00896591"/>
    <w:rsid w:val="00896D1B"/>
    <w:rsid w:val="00896DBA"/>
    <w:rsid w:val="008970DA"/>
    <w:rsid w:val="00897301"/>
    <w:rsid w:val="00897E78"/>
    <w:rsid w:val="008A0036"/>
    <w:rsid w:val="008A08E2"/>
    <w:rsid w:val="008A0A96"/>
    <w:rsid w:val="008A1A21"/>
    <w:rsid w:val="008A2235"/>
    <w:rsid w:val="008A2EF6"/>
    <w:rsid w:val="008A3CF7"/>
    <w:rsid w:val="008A3D37"/>
    <w:rsid w:val="008A3E14"/>
    <w:rsid w:val="008A485C"/>
    <w:rsid w:val="008A4A61"/>
    <w:rsid w:val="008A4D24"/>
    <w:rsid w:val="008A4E21"/>
    <w:rsid w:val="008A4E88"/>
    <w:rsid w:val="008A501B"/>
    <w:rsid w:val="008A57E0"/>
    <w:rsid w:val="008A5C89"/>
    <w:rsid w:val="008A5FA1"/>
    <w:rsid w:val="008A6153"/>
    <w:rsid w:val="008A615A"/>
    <w:rsid w:val="008A6E1D"/>
    <w:rsid w:val="008A7D24"/>
    <w:rsid w:val="008A7D29"/>
    <w:rsid w:val="008A7DBA"/>
    <w:rsid w:val="008B0191"/>
    <w:rsid w:val="008B0B46"/>
    <w:rsid w:val="008B12AF"/>
    <w:rsid w:val="008B1BA7"/>
    <w:rsid w:val="008B1C9E"/>
    <w:rsid w:val="008B1DDA"/>
    <w:rsid w:val="008B1FA6"/>
    <w:rsid w:val="008B2421"/>
    <w:rsid w:val="008B2BD3"/>
    <w:rsid w:val="008B2D56"/>
    <w:rsid w:val="008B2DA2"/>
    <w:rsid w:val="008B3349"/>
    <w:rsid w:val="008B33FA"/>
    <w:rsid w:val="008B3B55"/>
    <w:rsid w:val="008B3C25"/>
    <w:rsid w:val="008B44EA"/>
    <w:rsid w:val="008B4AB7"/>
    <w:rsid w:val="008B65BD"/>
    <w:rsid w:val="008B7259"/>
    <w:rsid w:val="008B7512"/>
    <w:rsid w:val="008B75AD"/>
    <w:rsid w:val="008B7811"/>
    <w:rsid w:val="008B794D"/>
    <w:rsid w:val="008B79F8"/>
    <w:rsid w:val="008B7F54"/>
    <w:rsid w:val="008C069F"/>
    <w:rsid w:val="008C0B36"/>
    <w:rsid w:val="008C0CCD"/>
    <w:rsid w:val="008C1342"/>
    <w:rsid w:val="008C15C0"/>
    <w:rsid w:val="008C167D"/>
    <w:rsid w:val="008C1BB7"/>
    <w:rsid w:val="008C1FC6"/>
    <w:rsid w:val="008C25E6"/>
    <w:rsid w:val="008C26F5"/>
    <w:rsid w:val="008C2DF7"/>
    <w:rsid w:val="008C3045"/>
    <w:rsid w:val="008C37DE"/>
    <w:rsid w:val="008C3B47"/>
    <w:rsid w:val="008C41BC"/>
    <w:rsid w:val="008C4853"/>
    <w:rsid w:val="008C4976"/>
    <w:rsid w:val="008C4D6F"/>
    <w:rsid w:val="008C4DF2"/>
    <w:rsid w:val="008C592B"/>
    <w:rsid w:val="008C5C1E"/>
    <w:rsid w:val="008C5DC6"/>
    <w:rsid w:val="008C6199"/>
    <w:rsid w:val="008C6498"/>
    <w:rsid w:val="008C654A"/>
    <w:rsid w:val="008C67CD"/>
    <w:rsid w:val="008D1300"/>
    <w:rsid w:val="008D1C8A"/>
    <w:rsid w:val="008D23FD"/>
    <w:rsid w:val="008D26A5"/>
    <w:rsid w:val="008D27A9"/>
    <w:rsid w:val="008D2DA7"/>
    <w:rsid w:val="008D30A6"/>
    <w:rsid w:val="008D321C"/>
    <w:rsid w:val="008D34C1"/>
    <w:rsid w:val="008D39BF"/>
    <w:rsid w:val="008D3A10"/>
    <w:rsid w:val="008D3DBF"/>
    <w:rsid w:val="008D421B"/>
    <w:rsid w:val="008D4253"/>
    <w:rsid w:val="008D48F7"/>
    <w:rsid w:val="008D4AE8"/>
    <w:rsid w:val="008D5057"/>
    <w:rsid w:val="008D57E5"/>
    <w:rsid w:val="008D60DE"/>
    <w:rsid w:val="008D6E2B"/>
    <w:rsid w:val="008D766E"/>
    <w:rsid w:val="008D7863"/>
    <w:rsid w:val="008D79ED"/>
    <w:rsid w:val="008E0B9E"/>
    <w:rsid w:val="008E10AC"/>
    <w:rsid w:val="008E1681"/>
    <w:rsid w:val="008E170F"/>
    <w:rsid w:val="008E24DC"/>
    <w:rsid w:val="008E4AA6"/>
    <w:rsid w:val="008E5A77"/>
    <w:rsid w:val="008E5A7A"/>
    <w:rsid w:val="008E6283"/>
    <w:rsid w:val="008E6873"/>
    <w:rsid w:val="008E6C82"/>
    <w:rsid w:val="008E7D92"/>
    <w:rsid w:val="008E7FBB"/>
    <w:rsid w:val="008F01C9"/>
    <w:rsid w:val="008F07FA"/>
    <w:rsid w:val="008F1214"/>
    <w:rsid w:val="008F15EB"/>
    <w:rsid w:val="008F16AA"/>
    <w:rsid w:val="008F1A32"/>
    <w:rsid w:val="008F21C4"/>
    <w:rsid w:val="008F233B"/>
    <w:rsid w:val="008F2BB0"/>
    <w:rsid w:val="008F2EC3"/>
    <w:rsid w:val="008F3175"/>
    <w:rsid w:val="008F342E"/>
    <w:rsid w:val="008F389D"/>
    <w:rsid w:val="008F38A4"/>
    <w:rsid w:val="008F42AA"/>
    <w:rsid w:val="008F4703"/>
    <w:rsid w:val="008F475B"/>
    <w:rsid w:val="008F4772"/>
    <w:rsid w:val="008F4B28"/>
    <w:rsid w:val="008F4B37"/>
    <w:rsid w:val="008F57FE"/>
    <w:rsid w:val="008F6236"/>
    <w:rsid w:val="008F62A0"/>
    <w:rsid w:val="008F6B7F"/>
    <w:rsid w:val="008F749A"/>
    <w:rsid w:val="008F769B"/>
    <w:rsid w:val="00900BFC"/>
    <w:rsid w:val="00900F70"/>
    <w:rsid w:val="00901082"/>
    <w:rsid w:val="00901DCF"/>
    <w:rsid w:val="009020EA"/>
    <w:rsid w:val="00902C8C"/>
    <w:rsid w:val="009036E4"/>
    <w:rsid w:val="00903750"/>
    <w:rsid w:val="00903912"/>
    <w:rsid w:val="00903C8F"/>
    <w:rsid w:val="00904001"/>
    <w:rsid w:val="0090494E"/>
    <w:rsid w:val="00905013"/>
    <w:rsid w:val="009050DD"/>
    <w:rsid w:val="0090608A"/>
    <w:rsid w:val="0090612D"/>
    <w:rsid w:val="00907387"/>
    <w:rsid w:val="009079BA"/>
    <w:rsid w:val="0091051E"/>
    <w:rsid w:val="00910C06"/>
    <w:rsid w:val="00911662"/>
    <w:rsid w:val="00911A53"/>
    <w:rsid w:val="00911A5A"/>
    <w:rsid w:val="0091361B"/>
    <w:rsid w:val="00913B7A"/>
    <w:rsid w:val="00914F6C"/>
    <w:rsid w:val="00914FF7"/>
    <w:rsid w:val="009158F6"/>
    <w:rsid w:val="00915C5D"/>
    <w:rsid w:val="00915D69"/>
    <w:rsid w:val="00915ED2"/>
    <w:rsid w:val="00916495"/>
    <w:rsid w:val="0091682B"/>
    <w:rsid w:val="00916A2E"/>
    <w:rsid w:val="00917158"/>
    <w:rsid w:val="00917789"/>
    <w:rsid w:val="0092007D"/>
    <w:rsid w:val="00920CD4"/>
    <w:rsid w:val="00920D3F"/>
    <w:rsid w:val="00922095"/>
    <w:rsid w:val="00923202"/>
    <w:rsid w:val="009243DE"/>
    <w:rsid w:val="00925251"/>
    <w:rsid w:val="00925BEF"/>
    <w:rsid w:val="00925D01"/>
    <w:rsid w:val="00926B27"/>
    <w:rsid w:val="00926DAF"/>
    <w:rsid w:val="00927666"/>
    <w:rsid w:val="00927902"/>
    <w:rsid w:val="00927F77"/>
    <w:rsid w:val="00930310"/>
    <w:rsid w:val="00930F06"/>
    <w:rsid w:val="00931A2F"/>
    <w:rsid w:val="00931B12"/>
    <w:rsid w:val="00931ECA"/>
    <w:rsid w:val="0093215B"/>
    <w:rsid w:val="009326BF"/>
    <w:rsid w:val="0093273E"/>
    <w:rsid w:val="00932CC5"/>
    <w:rsid w:val="00932E55"/>
    <w:rsid w:val="00933072"/>
    <w:rsid w:val="009331AE"/>
    <w:rsid w:val="0093355E"/>
    <w:rsid w:val="0093362C"/>
    <w:rsid w:val="00933722"/>
    <w:rsid w:val="00933B49"/>
    <w:rsid w:val="00933EFF"/>
    <w:rsid w:val="00933F48"/>
    <w:rsid w:val="00934189"/>
    <w:rsid w:val="009344FB"/>
    <w:rsid w:val="009346EF"/>
    <w:rsid w:val="0093481E"/>
    <w:rsid w:val="009348DB"/>
    <w:rsid w:val="0093562A"/>
    <w:rsid w:val="009357FD"/>
    <w:rsid w:val="00935A98"/>
    <w:rsid w:val="00935FCD"/>
    <w:rsid w:val="009360E9"/>
    <w:rsid w:val="00936729"/>
    <w:rsid w:val="00937094"/>
    <w:rsid w:val="0093794D"/>
    <w:rsid w:val="00940011"/>
    <w:rsid w:val="009400AB"/>
    <w:rsid w:val="00940429"/>
    <w:rsid w:val="009415B3"/>
    <w:rsid w:val="009415BB"/>
    <w:rsid w:val="00941861"/>
    <w:rsid w:val="00941CD7"/>
    <w:rsid w:val="009421BB"/>
    <w:rsid w:val="00942816"/>
    <w:rsid w:val="00942B78"/>
    <w:rsid w:val="00942D89"/>
    <w:rsid w:val="00943316"/>
    <w:rsid w:val="00944014"/>
    <w:rsid w:val="00944995"/>
    <w:rsid w:val="00945797"/>
    <w:rsid w:val="00945C39"/>
    <w:rsid w:val="00945CD9"/>
    <w:rsid w:val="00946BC3"/>
    <w:rsid w:val="009475C2"/>
    <w:rsid w:val="00947F96"/>
    <w:rsid w:val="00950090"/>
    <w:rsid w:val="009501B9"/>
    <w:rsid w:val="0095021D"/>
    <w:rsid w:val="00950890"/>
    <w:rsid w:val="009508F5"/>
    <w:rsid w:val="0095356E"/>
    <w:rsid w:val="00953A99"/>
    <w:rsid w:val="00953F18"/>
    <w:rsid w:val="00954990"/>
    <w:rsid w:val="00954AC2"/>
    <w:rsid w:val="0095509F"/>
    <w:rsid w:val="00955194"/>
    <w:rsid w:val="00955309"/>
    <w:rsid w:val="0095552E"/>
    <w:rsid w:val="009555F4"/>
    <w:rsid w:val="009561E1"/>
    <w:rsid w:val="009562FD"/>
    <w:rsid w:val="009565BF"/>
    <w:rsid w:val="00956799"/>
    <w:rsid w:val="009567A5"/>
    <w:rsid w:val="009575CF"/>
    <w:rsid w:val="00957D01"/>
    <w:rsid w:val="00957D76"/>
    <w:rsid w:val="00960D11"/>
    <w:rsid w:val="009629B1"/>
    <w:rsid w:val="00962FF4"/>
    <w:rsid w:val="00963F1B"/>
    <w:rsid w:val="009646C7"/>
    <w:rsid w:val="00964744"/>
    <w:rsid w:val="00964C7D"/>
    <w:rsid w:val="009650EF"/>
    <w:rsid w:val="0096516B"/>
    <w:rsid w:val="00965959"/>
    <w:rsid w:val="009667A0"/>
    <w:rsid w:val="009668E5"/>
    <w:rsid w:val="0096708B"/>
    <w:rsid w:val="0096797F"/>
    <w:rsid w:val="00970DAE"/>
    <w:rsid w:val="00971CCB"/>
    <w:rsid w:val="0097259D"/>
    <w:rsid w:val="00972656"/>
    <w:rsid w:val="00972686"/>
    <w:rsid w:val="00973174"/>
    <w:rsid w:val="009731BD"/>
    <w:rsid w:val="0097362A"/>
    <w:rsid w:val="009738F1"/>
    <w:rsid w:val="0097477E"/>
    <w:rsid w:val="00975B2F"/>
    <w:rsid w:val="0097604C"/>
    <w:rsid w:val="00976384"/>
    <w:rsid w:val="00976763"/>
    <w:rsid w:val="009767EC"/>
    <w:rsid w:val="00976FA7"/>
    <w:rsid w:val="0098004E"/>
    <w:rsid w:val="0098047C"/>
    <w:rsid w:val="00980B5F"/>
    <w:rsid w:val="00980D68"/>
    <w:rsid w:val="009818F5"/>
    <w:rsid w:val="00983152"/>
    <w:rsid w:val="009837A7"/>
    <w:rsid w:val="00984A7F"/>
    <w:rsid w:val="00984EB2"/>
    <w:rsid w:val="00984EB3"/>
    <w:rsid w:val="009851D0"/>
    <w:rsid w:val="009866CC"/>
    <w:rsid w:val="0098676B"/>
    <w:rsid w:val="00986810"/>
    <w:rsid w:val="00986BD5"/>
    <w:rsid w:val="00987081"/>
    <w:rsid w:val="009874D1"/>
    <w:rsid w:val="00987D5A"/>
    <w:rsid w:val="00987ED9"/>
    <w:rsid w:val="009901C0"/>
    <w:rsid w:val="009902F3"/>
    <w:rsid w:val="0099121F"/>
    <w:rsid w:val="00992622"/>
    <w:rsid w:val="00992C77"/>
    <w:rsid w:val="00993877"/>
    <w:rsid w:val="00993B32"/>
    <w:rsid w:val="00993CDD"/>
    <w:rsid w:val="00993F83"/>
    <w:rsid w:val="009942DC"/>
    <w:rsid w:val="00994512"/>
    <w:rsid w:val="00994830"/>
    <w:rsid w:val="00994A6D"/>
    <w:rsid w:val="00994E93"/>
    <w:rsid w:val="009952B6"/>
    <w:rsid w:val="00996550"/>
    <w:rsid w:val="00996B1D"/>
    <w:rsid w:val="009971FB"/>
    <w:rsid w:val="00997697"/>
    <w:rsid w:val="00997B9F"/>
    <w:rsid w:val="009A081B"/>
    <w:rsid w:val="009A0C6E"/>
    <w:rsid w:val="009A119B"/>
    <w:rsid w:val="009A183C"/>
    <w:rsid w:val="009A2654"/>
    <w:rsid w:val="009A3BF9"/>
    <w:rsid w:val="009A4F5E"/>
    <w:rsid w:val="009A55D3"/>
    <w:rsid w:val="009A5621"/>
    <w:rsid w:val="009A56E1"/>
    <w:rsid w:val="009A5C50"/>
    <w:rsid w:val="009A64FA"/>
    <w:rsid w:val="009A7DBD"/>
    <w:rsid w:val="009B0687"/>
    <w:rsid w:val="009B0726"/>
    <w:rsid w:val="009B1301"/>
    <w:rsid w:val="009B1C46"/>
    <w:rsid w:val="009B1E00"/>
    <w:rsid w:val="009B1ED6"/>
    <w:rsid w:val="009B20CB"/>
    <w:rsid w:val="009B2209"/>
    <w:rsid w:val="009B25B3"/>
    <w:rsid w:val="009B271D"/>
    <w:rsid w:val="009B3518"/>
    <w:rsid w:val="009B356F"/>
    <w:rsid w:val="009B3F7E"/>
    <w:rsid w:val="009B43FD"/>
    <w:rsid w:val="009B4BDD"/>
    <w:rsid w:val="009B52CA"/>
    <w:rsid w:val="009B5448"/>
    <w:rsid w:val="009B57EE"/>
    <w:rsid w:val="009B5926"/>
    <w:rsid w:val="009B5B93"/>
    <w:rsid w:val="009B5DDB"/>
    <w:rsid w:val="009B5EE6"/>
    <w:rsid w:val="009B5FFE"/>
    <w:rsid w:val="009B63CE"/>
    <w:rsid w:val="009B65D0"/>
    <w:rsid w:val="009B66A0"/>
    <w:rsid w:val="009B6786"/>
    <w:rsid w:val="009B7FBA"/>
    <w:rsid w:val="009C0373"/>
    <w:rsid w:val="009C07EF"/>
    <w:rsid w:val="009C0D0C"/>
    <w:rsid w:val="009C15EC"/>
    <w:rsid w:val="009C1933"/>
    <w:rsid w:val="009C1BB0"/>
    <w:rsid w:val="009C202E"/>
    <w:rsid w:val="009C235A"/>
    <w:rsid w:val="009C2584"/>
    <w:rsid w:val="009C2D3A"/>
    <w:rsid w:val="009C2D56"/>
    <w:rsid w:val="009C2ED4"/>
    <w:rsid w:val="009C367C"/>
    <w:rsid w:val="009C37EF"/>
    <w:rsid w:val="009C39A6"/>
    <w:rsid w:val="009C3ED2"/>
    <w:rsid w:val="009C3FCA"/>
    <w:rsid w:val="009C40E3"/>
    <w:rsid w:val="009C45BC"/>
    <w:rsid w:val="009C45E7"/>
    <w:rsid w:val="009C544A"/>
    <w:rsid w:val="009C5482"/>
    <w:rsid w:val="009C553D"/>
    <w:rsid w:val="009C5D06"/>
    <w:rsid w:val="009C5D97"/>
    <w:rsid w:val="009C5E71"/>
    <w:rsid w:val="009C6472"/>
    <w:rsid w:val="009C7558"/>
    <w:rsid w:val="009C7884"/>
    <w:rsid w:val="009C7C12"/>
    <w:rsid w:val="009C7CC8"/>
    <w:rsid w:val="009C7D08"/>
    <w:rsid w:val="009C7DF8"/>
    <w:rsid w:val="009D07AA"/>
    <w:rsid w:val="009D1154"/>
    <w:rsid w:val="009D17B3"/>
    <w:rsid w:val="009D1F8E"/>
    <w:rsid w:val="009D28CA"/>
    <w:rsid w:val="009D2D9F"/>
    <w:rsid w:val="009D33AC"/>
    <w:rsid w:val="009D34F8"/>
    <w:rsid w:val="009D36F6"/>
    <w:rsid w:val="009D380F"/>
    <w:rsid w:val="009D3D5D"/>
    <w:rsid w:val="009D4447"/>
    <w:rsid w:val="009D46FE"/>
    <w:rsid w:val="009D492D"/>
    <w:rsid w:val="009D577C"/>
    <w:rsid w:val="009D57D7"/>
    <w:rsid w:val="009D587E"/>
    <w:rsid w:val="009D58C7"/>
    <w:rsid w:val="009D5C1E"/>
    <w:rsid w:val="009D5EB9"/>
    <w:rsid w:val="009D6242"/>
    <w:rsid w:val="009D6FFC"/>
    <w:rsid w:val="009D7868"/>
    <w:rsid w:val="009D7AA2"/>
    <w:rsid w:val="009D7BE4"/>
    <w:rsid w:val="009D7C4E"/>
    <w:rsid w:val="009E0A93"/>
    <w:rsid w:val="009E1522"/>
    <w:rsid w:val="009E16CC"/>
    <w:rsid w:val="009E1F9E"/>
    <w:rsid w:val="009E26C6"/>
    <w:rsid w:val="009E42C3"/>
    <w:rsid w:val="009E43F9"/>
    <w:rsid w:val="009E4BEB"/>
    <w:rsid w:val="009E52C5"/>
    <w:rsid w:val="009E52F5"/>
    <w:rsid w:val="009E55E0"/>
    <w:rsid w:val="009E56A8"/>
    <w:rsid w:val="009E5971"/>
    <w:rsid w:val="009E5FFB"/>
    <w:rsid w:val="009E658C"/>
    <w:rsid w:val="009E7432"/>
    <w:rsid w:val="009E76C2"/>
    <w:rsid w:val="009E795D"/>
    <w:rsid w:val="009E7B48"/>
    <w:rsid w:val="009E7EA5"/>
    <w:rsid w:val="009F0067"/>
    <w:rsid w:val="009F0B7B"/>
    <w:rsid w:val="009F1126"/>
    <w:rsid w:val="009F1214"/>
    <w:rsid w:val="009F1EEA"/>
    <w:rsid w:val="009F1F85"/>
    <w:rsid w:val="009F295F"/>
    <w:rsid w:val="009F3008"/>
    <w:rsid w:val="009F3615"/>
    <w:rsid w:val="009F3F9B"/>
    <w:rsid w:val="009F4F19"/>
    <w:rsid w:val="009F52C8"/>
    <w:rsid w:val="009F5371"/>
    <w:rsid w:val="009F55FA"/>
    <w:rsid w:val="009F5699"/>
    <w:rsid w:val="009F5937"/>
    <w:rsid w:val="009F5F9F"/>
    <w:rsid w:val="009F6614"/>
    <w:rsid w:val="009F6954"/>
    <w:rsid w:val="009F6D96"/>
    <w:rsid w:val="009F73F0"/>
    <w:rsid w:val="00A00356"/>
    <w:rsid w:val="00A00458"/>
    <w:rsid w:val="00A006C7"/>
    <w:rsid w:val="00A00988"/>
    <w:rsid w:val="00A00BD2"/>
    <w:rsid w:val="00A011AC"/>
    <w:rsid w:val="00A01B50"/>
    <w:rsid w:val="00A01C11"/>
    <w:rsid w:val="00A02057"/>
    <w:rsid w:val="00A0210E"/>
    <w:rsid w:val="00A02386"/>
    <w:rsid w:val="00A025E8"/>
    <w:rsid w:val="00A02A73"/>
    <w:rsid w:val="00A02CF9"/>
    <w:rsid w:val="00A02EE2"/>
    <w:rsid w:val="00A02FD8"/>
    <w:rsid w:val="00A037BB"/>
    <w:rsid w:val="00A03C87"/>
    <w:rsid w:val="00A03E64"/>
    <w:rsid w:val="00A0452D"/>
    <w:rsid w:val="00A045BB"/>
    <w:rsid w:val="00A04C8E"/>
    <w:rsid w:val="00A04DF2"/>
    <w:rsid w:val="00A0500A"/>
    <w:rsid w:val="00A0548B"/>
    <w:rsid w:val="00A055A2"/>
    <w:rsid w:val="00A05FB9"/>
    <w:rsid w:val="00A06081"/>
    <w:rsid w:val="00A07000"/>
    <w:rsid w:val="00A07C77"/>
    <w:rsid w:val="00A1044F"/>
    <w:rsid w:val="00A10648"/>
    <w:rsid w:val="00A11851"/>
    <w:rsid w:val="00A11F89"/>
    <w:rsid w:val="00A12553"/>
    <w:rsid w:val="00A135F9"/>
    <w:rsid w:val="00A13FBB"/>
    <w:rsid w:val="00A14B89"/>
    <w:rsid w:val="00A1565F"/>
    <w:rsid w:val="00A15923"/>
    <w:rsid w:val="00A160A8"/>
    <w:rsid w:val="00A16481"/>
    <w:rsid w:val="00A16EAD"/>
    <w:rsid w:val="00A16F6F"/>
    <w:rsid w:val="00A1720C"/>
    <w:rsid w:val="00A17B12"/>
    <w:rsid w:val="00A17F1C"/>
    <w:rsid w:val="00A20190"/>
    <w:rsid w:val="00A20315"/>
    <w:rsid w:val="00A20828"/>
    <w:rsid w:val="00A2099C"/>
    <w:rsid w:val="00A20D0D"/>
    <w:rsid w:val="00A21419"/>
    <w:rsid w:val="00A2210A"/>
    <w:rsid w:val="00A22254"/>
    <w:rsid w:val="00A2225C"/>
    <w:rsid w:val="00A22654"/>
    <w:rsid w:val="00A22BDC"/>
    <w:rsid w:val="00A22DBE"/>
    <w:rsid w:val="00A231A2"/>
    <w:rsid w:val="00A23935"/>
    <w:rsid w:val="00A23AC9"/>
    <w:rsid w:val="00A23BDC"/>
    <w:rsid w:val="00A241FC"/>
    <w:rsid w:val="00A2451E"/>
    <w:rsid w:val="00A24D11"/>
    <w:rsid w:val="00A266A5"/>
    <w:rsid w:val="00A267D4"/>
    <w:rsid w:val="00A26B0D"/>
    <w:rsid w:val="00A26ECA"/>
    <w:rsid w:val="00A30011"/>
    <w:rsid w:val="00A30205"/>
    <w:rsid w:val="00A3028B"/>
    <w:rsid w:val="00A30437"/>
    <w:rsid w:val="00A304DF"/>
    <w:rsid w:val="00A3058F"/>
    <w:rsid w:val="00A3087F"/>
    <w:rsid w:val="00A30994"/>
    <w:rsid w:val="00A30B9A"/>
    <w:rsid w:val="00A31157"/>
    <w:rsid w:val="00A31B79"/>
    <w:rsid w:val="00A32C42"/>
    <w:rsid w:val="00A33F80"/>
    <w:rsid w:val="00A35689"/>
    <w:rsid w:val="00A357E5"/>
    <w:rsid w:val="00A35807"/>
    <w:rsid w:val="00A35D18"/>
    <w:rsid w:val="00A36878"/>
    <w:rsid w:val="00A401BD"/>
    <w:rsid w:val="00A407C1"/>
    <w:rsid w:val="00A40C1A"/>
    <w:rsid w:val="00A40DDA"/>
    <w:rsid w:val="00A41CBB"/>
    <w:rsid w:val="00A4271D"/>
    <w:rsid w:val="00A42DE6"/>
    <w:rsid w:val="00A4344A"/>
    <w:rsid w:val="00A43B06"/>
    <w:rsid w:val="00A43B0E"/>
    <w:rsid w:val="00A440CC"/>
    <w:rsid w:val="00A44881"/>
    <w:rsid w:val="00A449CD"/>
    <w:rsid w:val="00A44B9A"/>
    <w:rsid w:val="00A44CA8"/>
    <w:rsid w:val="00A45B35"/>
    <w:rsid w:val="00A46316"/>
    <w:rsid w:val="00A466EF"/>
    <w:rsid w:val="00A46767"/>
    <w:rsid w:val="00A47D40"/>
    <w:rsid w:val="00A50179"/>
    <w:rsid w:val="00A50646"/>
    <w:rsid w:val="00A5113C"/>
    <w:rsid w:val="00A5194D"/>
    <w:rsid w:val="00A5205A"/>
    <w:rsid w:val="00A52272"/>
    <w:rsid w:val="00A52767"/>
    <w:rsid w:val="00A52CA8"/>
    <w:rsid w:val="00A52CE5"/>
    <w:rsid w:val="00A52DD2"/>
    <w:rsid w:val="00A52FF9"/>
    <w:rsid w:val="00A536C2"/>
    <w:rsid w:val="00A5396F"/>
    <w:rsid w:val="00A53A58"/>
    <w:rsid w:val="00A5403D"/>
    <w:rsid w:val="00A542A6"/>
    <w:rsid w:val="00A547BC"/>
    <w:rsid w:val="00A55532"/>
    <w:rsid w:val="00A55A7D"/>
    <w:rsid w:val="00A55FA0"/>
    <w:rsid w:val="00A56191"/>
    <w:rsid w:val="00A56534"/>
    <w:rsid w:val="00A56B9D"/>
    <w:rsid w:val="00A575C7"/>
    <w:rsid w:val="00A576BD"/>
    <w:rsid w:val="00A5786D"/>
    <w:rsid w:val="00A6004D"/>
    <w:rsid w:val="00A600C7"/>
    <w:rsid w:val="00A601AA"/>
    <w:rsid w:val="00A60489"/>
    <w:rsid w:val="00A60858"/>
    <w:rsid w:val="00A608F8"/>
    <w:rsid w:val="00A60AA0"/>
    <w:rsid w:val="00A60C15"/>
    <w:rsid w:val="00A60EF7"/>
    <w:rsid w:val="00A6146E"/>
    <w:rsid w:val="00A615DD"/>
    <w:rsid w:val="00A61650"/>
    <w:rsid w:val="00A61E6B"/>
    <w:rsid w:val="00A625D7"/>
    <w:rsid w:val="00A62702"/>
    <w:rsid w:val="00A631AB"/>
    <w:rsid w:val="00A632CE"/>
    <w:rsid w:val="00A63326"/>
    <w:rsid w:val="00A6336D"/>
    <w:rsid w:val="00A63407"/>
    <w:rsid w:val="00A63AD3"/>
    <w:rsid w:val="00A63E8B"/>
    <w:rsid w:val="00A645C1"/>
    <w:rsid w:val="00A65767"/>
    <w:rsid w:val="00A665D0"/>
    <w:rsid w:val="00A667F3"/>
    <w:rsid w:val="00A66FA0"/>
    <w:rsid w:val="00A675F4"/>
    <w:rsid w:val="00A702CE"/>
    <w:rsid w:val="00A703E4"/>
    <w:rsid w:val="00A71014"/>
    <w:rsid w:val="00A717A2"/>
    <w:rsid w:val="00A71B30"/>
    <w:rsid w:val="00A71DB2"/>
    <w:rsid w:val="00A73801"/>
    <w:rsid w:val="00A73933"/>
    <w:rsid w:val="00A73A85"/>
    <w:rsid w:val="00A73EDA"/>
    <w:rsid w:val="00A7407A"/>
    <w:rsid w:val="00A740F6"/>
    <w:rsid w:val="00A74297"/>
    <w:rsid w:val="00A74EF7"/>
    <w:rsid w:val="00A7561B"/>
    <w:rsid w:val="00A757BC"/>
    <w:rsid w:val="00A75C5E"/>
    <w:rsid w:val="00A76768"/>
    <w:rsid w:val="00A770A2"/>
    <w:rsid w:val="00A77C7B"/>
    <w:rsid w:val="00A80013"/>
    <w:rsid w:val="00A80188"/>
    <w:rsid w:val="00A8048A"/>
    <w:rsid w:val="00A806CD"/>
    <w:rsid w:val="00A80836"/>
    <w:rsid w:val="00A8093E"/>
    <w:rsid w:val="00A80C94"/>
    <w:rsid w:val="00A812C1"/>
    <w:rsid w:val="00A81FBC"/>
    <w:rsid w:val="00A823CB"/>
    <w:rsid w:val="00A83252"/>
    <w:rsid w:val="00A83A29"/>
    <w:rsid w:val="00A83F45"/>
    <w:rsid w:val="00A8486B"/>
    <w:rsid w:val="00A84D98"/>
    <w:rsid w:val="00A854E9"/>
    <w:rsid w:val="00A8569C"/>
    <w:rsid w:val="00A85FAB"/>
    <w:rsid w:val="00A8633F"/>
    <w:rsid w:val="00A863A8"/>
    <w:rsid w:val="00A86AA8"/>
    <w:rsid w:val="00A86F79"/>
    <w:rsid w:val="00A87482"/>
    <w:rsid w:val="00A87A82"/>
    <w:rsid w:val="00A87BD4"/>
    <w:rsid w:val="00A87DCB"/>
    <w:rsid w:val="00A90DD5"/>
    <w:rsid w:val="00A90E35"/>
    <w:rsid w:val="00A90FCD"/>
    <w:rsid w:val="00A91152"/>
    <w:rsid w:val="00A9123C"/>
    <w:rsid w:val="00A915DE"/>
    <w:rsid w:val="00A920B5"/>
    <w:rsid w:val="00A92924"/>
    <w:rsid w:val="00A930CA"/>
    <w:rsid w:val="00A9347A"/>
    <w:rsid w:val="00A9375B"/>
    <w:rsid w:val="00A93800"/>
    <w:rsid w:val="00A9420C"/>
    <w:rsid w:val="00A947E6"/>
    <w:rsid w:val="00A94BC9"/>
    <w:rsid w:val="00A960AC"/>
    <w:rsid w:val="00A971E8"/>
    <w:rsid w:val="00A9795F"/>
    <w:rsid w:val="00AA0004"/>
    <w:rsid w:val="00AA0896"/>
    <w:rsid w:val="00AA0FDD"/>
    <w:rsid w:val="00AA1C71"/>
    <w:rsid w:val="00AA1E56"/>
    <w:rsid w:val="00AA239C"/>
    <w:rsid w:val="00AA2790"/>
    <w:rsid w:val="00AA37BD"/>
    <w:rsid w:val="00AA40B4"/>
    <w:rsid w:val="00AA4700"/>
    <w:rsid w:val="00AA4A1D"/>
    <w:rsid w:val="00AA4C87"/>
    <w:rsid w:val="00AA5247"/>
    <w:rsid w:val="00AA55D7"/>
    <w:rsid w:val="00AA625B"/>
    <w:rsid w:val="00AA674A"/>
    <w:rsid w:val="00AA6CA2"/>
    <w:rsid w:val="00AA76C9"/>
    <w:rsid w:val="00AA76FC"/>
    <w:rsid w:val="00AA79D2"/>
    <w:rsid w:val="00AB0276"/>
    <w:rsid w:val="00AB03B0"/>
    <w:rsid w:val="00AB13CB"/>
    <w:rsid w:val="00AB1E0D"/>
    <w:rsid w:val="00AB290A"/>
    <w:rsid w:val="00AB2F26"/>
    <w:rsid w:val="00AB35D0"/>
    <w:rsid w:val="00AB3944"/>
    <w:rsid w:val="00AB3A09"/>
    <w:rsid w:val="00AB470B"/>
    <w:rsid w:val="00AB50E5"/>
    <w:rsid w:val="00AB5D97"/>
    <w:rsid w:val="00AB5EA7"/>
    <w:rsid w:val="00AB7198"/>
    <w:rsid w:val="00AC0119"/>
    <w:rsid w:val="00AC039E"/>
    <w:rsid w:val="00AC0BEB"/>
    <w:rsid w:val="00AC235F"/>
    <w:rsid w:val="00AC2904"/>
    <w:rsid w:val="00AC3299"/>
    <w:rsid w:val="00AC34D2"/>
    <w:rsid w:val="00AC34DF"/>
    <w:rsid w:val="00AC366F"/>
    <w:rsid w:val="00AC39BF"/>
    <w:rsid w:val="00AC3A9C"/>
    <w:rsid w:val="00AC3CEC"/>
    <w:rsid w:val="00AC41E4"/>
    <w:rsid w:val="00AC524D"/>
    <w:rsid w:val="00AC530F"/>
    <w:rsid w:val="00AC559A"/>
    <w:rsid w:val="00AC5AC2"/>
    <w:rsid w:val="00AC5E3A"/>
    <w:rsid w:val="00AC613F"/>
    <w:rsid w:val="00AC658A"/>
    <w:rsid w:val="00AC6B36"/>
    <w:rsid w:val="00AC6E08"/>
    <w:rsid w:val="00AD0E09"/>
    <w:rsid w:val="00AD136D"/>
    <w:rsid w:val="00AD1493"/>
    <w:rsid w:val="00AD1B44"/>
    <w:rsid w:val="00AD20E9"/>
    <w:rsid w:val="00AD3070"/>
    <w:rsid w:val="00AD4239"/>
    <w:rsid w:val="00AD55FB"/>
    <w:rsid w:val="00AD5754"/>
    <w:rsid w:val="00AD5F58"/>
    <w:rsid w:val="00AD5F8F"/>
    <w:rsid w:val="00AD6242"/>
    <w:rsid w:val="00AD6247"/>
    <w:rsid w:val="00AD646E"/>
    <w:rsid w:val="00AE027C"/>
    <w:rsid w:val="00AE03E8"/>
    <w:rsid w:val="00AE0738"/>
    <w:rsid w:val="00AE0C5C"/>
    <w:rsid w:val="00AE0E8C"/>
    <w:rsid w:val="00AE1C01"/>
    <w:rsid w:val="00AE2E54"/>
    <w:rsid w:val="00AE33D1"/>
    <w:rsid w:val="00AE36E5"/>
    <w:rsid w:val="00AE378E"/>
    <w:rsid w:val="00AE39E4"/>
    <w:rsid w:val="00AE3AB4"/>
    <w:rsid w:val="00AE3E99"/>
    <w:rsid w:val="00AE4DEF"/>
    <w:rsid w:val="00AE4F8F"/>
    <w:rsid w:val="00AE51E8"/>
    <w:rsid w:val="00AE5763"/>
    <w:rsid w:val="00AE597E"/>
    <w:rsid w:val="00AE5E15"/>
    <w:rsid w:val="00AE63FA"/>
    <w:rsid w:val="00AE6F6B"/>
    <w:rsid w:val="00AE706E"/>
    <w:rsid w:val="00AE71D9"/>
    <w:rsid w:val="00AE77C0"/>
    <w:rsid w:val="00AF0687"/>
    <w:rsid w:val="00AF079C"/>
    <w:rsid w:val="00AF07AE"/>
    <w:rsid w:val="00AF0844"/>
    <w:rsid w:val="00AF0A1A"/>
    <w:rsid w:val="00AF1183"/>
    <w:rsid w:val="00AF15EB"/>
    <w:rsid w:val="00AF178A"/>
    <w:rsid w:val="00AF180F"/>
    <w:rsid w:val="00AF2611"/>
    <w:rsid w:val="00AF2D51"/>
    <w:rsid w:val="00AF32BD"/>
    <w:rsid w:val="00AF3F2C"/>
    <w:rsid w:val="00AF45DD"/>
    <w:rsid w:val="00AF47A3"/>
    <w:rsid w:val="00AF4E17"/>
    <w:rsid w:val="00AF5752"/>
    <w:rsid w:val="00AF58B6"/>
    <w:rsid w:val="00AF5C0C"/>
    <w:rsid w:val="00AF615D"/>
    <w:rsid w:val="00AF61B5"/>
    <w:rsid w:val="00AF647D"/>
    <w:rsid w:val="00AF6BAC"/>
    <w:rsid w:val="00AF6F27"/>
    <w:rsid w:val="00AF71B0"/>
    <w:rsid w:val="00AF73E4"/>
    <w:rsid w:val="00AF7518"/>
    <w:rsid w:val="00AF7735"/>
    <w:rsid w:val="00AF7BA2"/>
    <w:rsid w:val="00AF7C1D"/>
    <w:rsid w:val="00AF7D2E"/>
    <w:rsid w:val="00B00983"/>
    <w:rsid w:val="00B01214"/>
    <w:rsid w:val="00B0130B"/>
    <w:rsid w:val="00B0178A"/>
    <w:rsid w:val="00B01A76"/>
    <w:rsid w:val="00B01E59"/>
    <w:rsid w:val="00B02812"/>
    <w:rsid w:val="00B02E3F"/>
    <w:rsid w:val="00B02E8C"/>
    <w:rsid w:val="00B03E1E"/>
    <w:rsid w:val="00B059BC"/>
    <w:rsid w:val="00B05CAC"/>
    <w:rsid w:val="00B06772"/>
    <w:rsid w:val="00B0723B"/>
    <w:rsid w:val="00B072EF"/>
    <w:rsid w:val="00B0780D"/>
    <w:rsid w:val="00B1189B"/>
    <w:rsid w:val="00B11CD2"/>
    <w:rsid w:val="00B12CF2"/>
    <w:rsid w:val="00B137DE"/>
    <w:rsid w:val="00B14674"/>
    <w:rsid w:val="00B14F33"/>
    <w:rsid w:val="00B156AF"/>
    <w:rsid w:val="00B156F3"/>
    <w:rsid w:val="00B157C1"/>
    <w:rsid w:val="00B157DA"/>
    <w:rsid w:val="00B165B1"/>
    <w:rsid w:val="00B16BAA"/>
    <w:rsid w:val="00B16F83"/>
    <w:rsid w:val="00B17523"/>
    <w:rsid w:val="00B1777D"/>
    <w:rsid w:val="00B207D6"/>
    <w:rsid w:val="00B21533"/>
    <w:rsid w:val="00B217CE"/>
    <w:rsid w:val="00B22145"/>
    <w:rsid w:val="00B22631"/>
    <w:rsid w:val="00B232F7"/>
    <w:rsid w:val="00B23F41"/>
    <w:rsid w:val="00B2454A"/>
    <w:rsid w:val="00B245D7"/>
    <w:rsid w:val="00B247E9"/>
    <w:rsid w:val="00B24D2E"/>
    <w:rsid w:val="00B258FD"/>
    <w:rsid w:val="00B27369"/>
    <w:rsid w:val="00B27A01"/>
    <w:rsid w:val="00B27ED1"/>
    <w:rsid w:val="00B3003E"/>
    <w:rsid w:val="00B3028B"/>
    <w:rsid w:val="00B3043B"/>
    <w:rsid w:val="00B3067B"/>
    <w:rsid w:val="00B30838"/>
    <w:rsid w:val="00B31286"/>
    <w:rsid w:val="00B31A43"/>
    <w:rsid w:val="00B31FB6"/>
    <w:rsid w:val="00B32CB5"/>
    <w:rsid w:val="00B32E24"/>
    <w:rsid w:val="00B32E25"/>
    <w:rsid w:val="00B33374"/>
    <w:rsid w:val="00B33D14"/>
    <w:rsid w:val="00B33D30"/>
    <w:rsid w:val="00B33E3F"/>
    <w:rsid w:val="00B33F15"/>
    <w:rsid w:val="00B35436"/>
    <w:rsid w:val="00B362F8"/>
    <w:rsid w:val="00B364C2"/>
    <w:rsid w:val="00B3664A"/>
    <w:rsid w:val="00B36C27"/>
    <w:rsid w:val="00B36D3C"/>
    <w:rsid w:val="00B3701A"/>
    <w:rsid w:val="00B3742D"/>
    <w:rsid w:val="00B377EB"/>
    <w:rsid w:val="00B405BB"/>
    <w:rsid w:val="00B40728"/>
    <w:rsid w:val="00B41A08"/>
    <w:rsid w:val="00B41B31"/>
    <w:rsid w:val="00B41B58"/>
    <w:rsid w:val="00B41E7A"/>
    <w:rsid w:val="00B42115"/>
    <w:rsid w:val="00B421AA"/>
    <w:rsid w:val="00B4229F"/>
    <w:rsid w:val="00B42D65"/>
    <w:rsid w:val="00B42E36"/>
    <w:rsid w:val="00B43160"/>
    <w:rsid w:val="00B434DB"/>
    <w:rsid w:val="00B44448"/>
    <w:rsid w:val="00B446B9"/>
    <w:rsid w:val="00B448DB"/>
    <w:rsid w:val="00B44A82"/>
    <w:rsid w:val="00B44CEE"/>
    <w:rsid w:val="00B44EFD"/>
    <w:rsid w:val="00B4502D"/>
    <w:rsid w:val="00B45067"/>
    <w:rsid w:val="00B4519B"/>
    <w:rsid w:val="00B45395"/>
    <w:rsid w:val="00B453DD"/>
    <w:rsid w:val="00B45648"/>
    <w:rsid w:val="00B45770"/>
    <w:rsid w:val="00B465B1"/>
    <w:rsid w:val="00B46705"/>
    <w:rsid w:val="00B46C8F"/>
    <w:rsid w:val="00B46EFF"/>
    <w:rsid w:val="00B473C9"/>
    <w:rsid w:val="00B4753D"/>
    <w:rsid w:val="00B477DC"/>
    <w:rsid w:val="00B47B3E"/>
    <w:rsid w:val="00B47BA8"/>
    <w:rsid w:val="00B47C0E"/>
    <w:rsid w:val="00B50D54"/>
    <w:rsid w:val="00B52696"/>
    <w:rsid w:val="00B53336"/>
    <w:rsid w:val="00B53850"/>
    <w:rsid w:val="00B54592"/>
    <w:rsid w:val="00B5471A"/>
    <w:rsid w:val="00B5492C"/>
    <w:rsid w:val="00B54966"/>
    <w:rsid w:val="00B55900"/>
    <w:rsid w:val="00B560F0"/>
    <w:rsid w:val="00B561D0"/>
    <w:rsid w:val="00B56291"/>
    <w:rsid w:val="00B562D7"/>
    <w:rsid w:val="00B56A34"/>
    <w:rsid w:val="00B570F9"/>
    <w:rsid w:val="00B6019E"/>
    <w:rsid w:val="00B6050A"/>
    <w:rsid w:val="00B60821"/>
    <w:rsid w:val="00B60DCF"/>
    <w:rsid w:val="00B6116D"/>
    <w:rsid w:val="00B61A20"/>
    <w:rsid w:val="00B62249"/>
    <w:rsid w:val="00B62325"/>
    <w:rsid w:val="00B62832"/>
    <w:rsid w:val="00B63004"/>
    <w:rsid w:val="00B632C5"/>
    <w:rsid w:val="00B63375"/>
    <w:rsid w:val="00B63DBA"/>
    <w:rsid w:val="00B6410A"/>
    <w:rsid w:val="00B645E4"/>
    <w:rsid w:val="00B64770"/>
    <w:rsid w:val="00B64B0C"/>
    <w:rsid w:val="00B653C8"/>
    <w:rsid w:val="00B66004"/>
    <w:rsid w:val="00B6634B"/>
    <w:rsid w:val="00B66E40"/>
    <w:rsid w:val="00B70369"/>
    <w:rsid w:val="00B710A3"/>
    <w:rsid w:val="00B71485"/>
    <w:rsid w:val="00B714A5"/>
    <w:rsid w:val="00B715B1"/>
    <w:rsid w:val="00B71760"/>
    <w:rsid w:val="00B72017"/>
    <w:rsid w:val="00B724C1"/>
    <w:rsid w:val="00B732E1"/>
    <w:rsid w:val="00B73A9A"/>
    <w:rsid w:val="00B73AE0"/>
    <w:rsid w:val="00B73ED4"/>
    <w:rsid w:val="00B74272"/>
    <w:rsid w:val="00B74FF0"/>
    <w:rsid w:val="00B75E74"/>
    <w:rsid w:val="00B769BD"/>
    <w:rsid w:val="00B771E6"/>
    <w:rsid w:val="00B77969"/>
    <w:rsid w:val="00B77DB1"/>
    <w:rsid w:val="00B77E61"/>
    <w:rsid w:val="00B77F99"/>
    <w:rsid w:val="00B800F4"/>
    <w:rsid w:val="00B8024F"/>
    <w:rsid w:val="00B80452"/>
    <w:rsid w:val="00B807BF"/>
    <w:rsid w:val="00B80B76"/>
    <w:rsid w:val="00B8129D"/>
    <w:rsid w:val="00B8133C"/>
    <w:rsid w:val="00B8147C"/>
    <w:rsid w:val="00B81777"/>
    <w:rsid w:val="00B81924"/>
    <w:rsid w:val="00B8268E"/>
    <w:rsid w:val="00B828BA"/>
    <w:rsid w:val="00B82D2F"/>
    <w:rsid w:val="00B82FDB"/>
    <w:rsid w:val="00B83099"/>
    <w:rsid w:val="00B84250"/>
    <w:rsid w:val="00B842AB"/>
    <w:rsid w:val="00B84424"/>
    <w:rsid w:val="00B84AFB"/>
    <w:rsid w:val="00B85953"/>
    <w:rsid w:val="00B85A85"/>
    <w:rsid w:val="00B86282"/>
    <w:rsid w:val="00B86A68"/>
    <w:rsid w:val="00B871AC"/>
    <w:rsid w:val="00B8736D"/>
    <w:rsid w:val="00B876BE"/>
    <w:rsid w:val="00B877EE"/>
    <w:rsid w:val="00B87872"/>
    <w:rsid w:val="00B879C9"/>
    <w:rsid w:val="00B903E8"/>
    <w:rsid w:val="00B909AC"/>
    <w:rsid w:val="00B90B6D"/>
    <w:rsid w:val="00B91120"/>
    <w:rsid w:val="00B9178C"/>
    <w:rsid w:val="00B922C8"/>
    <w:rsid w:val="00B92408"/>
    <w:rsid w:val="00B9243A"/>
    <w:rsid w:val="00B92EE2"/>
    <w:rsid w:val="00B92FC8"/>
    <w:rsid w:val="00B9332E"/>
    <w:rsid w:val="00B936D8"/>
    <w:rsid w:val="00B94B73"/>
    <w:rsid w:val="00B94C72"/>
    <w:rsid w:val="00B9582C"/>
    <w:rsid w:val="00B959AD"/>
    <w:rsid w:val="00B95D04"/>
    <w:rsid w:val="00B95D7E"/>
    <w:rsid w:val="00B96B86"/>
    <w:rsid w:val="00B972E6"/>
    <w:rsid w:val="00BA000B"/>
    <w:rsid w:val="00BA04A8"/>
    <w:rsid w:val="00BA0E42"/>
    <w:rsid w:val="00BA1962"/>
    <w:rsid w:val="00BA2072"/>
    <w:rsid w:val="00BA2EC5"/>
    <w:rsid w:val="00BA4A8D"/>
    <w:rsid w:val="00BA4C5D"/>
    <w:rsid w:val="00BA558E"/>
    <w:rsid w:val="00BA5D20"/>
    <w:rsid w:val="00BA631A"/>
    <w:rsid w:val="00BA688E"/>
    <w:rsid w:val="00BA6B4E"/>
    <w:rsid w:val="00BA6BB2"/>
    <w:rsid w:val="00BA6DF6"/>
    <w:rsid w:val="00BA7640"/>
    <w:rsid w:val="00BA77A0"/>
    <w:rsid w:val="00BB001C"/>
    <w:rsid w:val="00BB019C"/>
    <w:rsid w:val="00BB0420"/>
    <w:rsid w:val="00BB0572"/>
    <w:rsid w:val="00BB0706"/>
    <w:rsid w:val="00BB085E"/>
    <w:rsid w:val="00BB0A71"/>
    <w:rsid w:val="00BB140C"/>
    <w:rsid w:val="00BB1486"/>
    <w:rsid w:val="00BB344F"/>
    <w:rsid w:val="00BB38F1"/>
    <w:rsid w:val="00BB3C1F"/>
    <w:rsid w:val="00BB45D7"/>
    <w:rsid w:val="00BB4D3D"/>
    <w:rsid w:val="00BB52C8"/>
    <w:rsid w:val="00BB57E9"/>
    <w:rsid w:val="00BB5BE5"/>
    <w:rsid w:val="00BB66F7"/>
    <w:rsid w:val="00BB70AA"/>
    <w:rsid w:val="00BB7272"/>
    <w:rsid w:val="00BB7688"/>
    <w:rsid w:val="00BB78CF"/>
    <w:rsid w:val="00BB7D9E"/>
    <w:rsid w:val="00BC026A"/>
    <w:rsid w:val="00BC03A1"/>
    <w:rsid w:val="00BC03A3"/>
    <w:rsid w:val="00BC0E37"/>
    <w:rsid w:val="00BC113A"/>
    <w:rsid w:val="00BC2158"/>
    <w:rsid w:val="00BC2232"/>
    <w:rsid w:val="00BC266B"/>
    <w:rsid w:val="00BC33CA"/>
    <w:rsid w:val="00BC39AA"/>
    <w:rsid w:val="00BC40B9"/>
    <w:rsid w:val="00BC4350"/>
    <w:rsid w:val="00BC43FC"/>
    <w:rsid w:val="00BC44D3"/>
    <w:rsid w:val="00BC4BA9"/>
    <w:rsid w:val="00BC59BB"/>
    <w:rsid w:val="00BC5B78"/>
    <w:rsid w:val="00BC62ED"/>
    <w:rsid w:val="00BC6904"/>
    <w:rsid w:val="00BC6C6B"/>
    <w:rsid w:val="00BC6E20"/>
    <w:rsid w:val="00BC6E36"/>
    <w:rsid w:val="00BC6E78"/>
    <w:rsid w:val="00BC73FD"/>
    <w:rsid w:val="00BC7428"/>
    <w:rsid w:val="00BC77EB"/>
    <w:rsid w:val="00BC7B45"/>
    <w:rsid w:val="00BD05F4"/>
    <w:rsid w:val="00BD0F34"/>
    <w:rsid w:val="00BD1987"/>
    <w:rsid w:val="00BD261B"/>
    <w:rsid w:val="00BD32C7"/>
    <w:rsid w:val="00BD35FF"/>
    <w:rsid w:val="00BD3AF4"/>
    <w:rsid w:val="00BD3FDA"/>
    <w:rsid w:val="00BD4022"/>
    <w:rsid w:val="00BD43B3"/>
    <w:rsid w:val="00BD456E"/>
    <w:rsid w:val="00BD4DA0"/>
    <w:rsid w:val="00BD5A05"/>
    <w:rsid w:val="00BD6BBF"/>
    <w:rsid w:val="00BD6F90"/>
    <w:rsid w:val="00BD7437"/>
    <w:rsid w:val="00BD79A2"/>
    <w:rsid w:val="00BD7B32"/>
    <w:rsid w:val="00BD7C42"/>
    <w:rsid w:val="00BE14DA"/>
    <w:rsid w:val="00BE1B8F"/>
    <w:rsid w:val="00BE2275"/>
    <w:rsid w:val="00BE235B"/>
    <w:rsid w:val="00BE293C"/>
    <w:rsid w:val="00BE2B8D"/>
    <w:rsid w:val="00BE3174"/>
    <w:rsid w:val="00BE389A"/>
    <w:rsid w:val="00BE3971"/>
    <w:rsid w:val="00BE4214"/>
    <w:rsid w:val="00BE44F1"/>
    <w:rsid w:val="00BE4761"/>
    <w:rsid w:val="00BE5272"/>
    <w:rsid w:val="00BE67AF"/>
    <w:rsid w:val="00BE68A1"/>
    <w:rsid w:val="00BE77F5"/>
    <w:rsid w:val="00BE7CD4"/>
    <w:rsid w:val="00BE7F07"/>
    <w:rsid w:val="00BF0433"/>
    <w:rsid w:val="00BF052F"/>
    <w:rsid w:val="00BF072C"/>
    <w:rsid w:val="00BF11F0"/>
    <w:rsid w:val="00BF145F"/>
    <w:rsid w:val="00BF16B9"/>
    <w:rsid w:val="00BF1A0D"/>
    <w:rsid w:val="00BF1BDC"/>
    <w:rsid w:val="00BF1C27"/>
    <w:rsid w:val="00BF22A1"/>
    <w:rsid w:val="00BF3014"/>
    <w:rsid w:val="00BF30E5"/>
    <w:rsid w:val="00BF35DD"/>
    <w:rsid w:val="00BF4EDC"/>
    <w:rsid w:val="00BF5150"/>
    <w:rsid w:val="00BF55F1"/>
    <w:rsid w:val="00BF5C85"/>
    <w:rsid w:val="00BF68E3"/>
    <w:rsid w:val="00BF6ADD"/>
    <w:rsid w:val="00BF6B68"/>
    <w:rsid w:val="00BF74E0"/>
    <w:rsid w:val="00BF7E6F"/>
    <w:rsid w:val="00C000D8"/>
    <w:rsid w:val="00C00953"/>
    <w:rsid w:val="00C00FCB"/>
    <w:rsid w:val="00C0180B"/>
    <w:rsid w:val="00C01A9C"/>
    <w:rsid w:val="00C02B06"/>
    <w:rsid w:val="00C032D9"/>
    <w:rsid w:val="00C037BA"/>
    <w:rsid w:val="00C039DC"/>
    <w:rsid w:val="00C04B0B"/>
    <w:rsid w:val="00C05814"/>
    <w:rsid w:val="00C05A3A"/>
    <w:rsid w:val="00C05BAA"/>
    <w:rsid w:val="00C0620F"/>
    <w:rsid w:val="00C06EAB"/>
    <w:rsid w:val="00C07044"/>
    <w:rsid w:val="00C0714E"/>
    <w:rsid w:val="00C07178"/>
    <w:rsid w:val="00C078BB"/>
    <w:rsid w:val="00C07A1A"/>
    <w:rsid w:val="00C109FC"/>
    <w:rsid w:val="00C110FF"/>
    <w:rsid w:val="00C11552"/>
    <w:rsid w:val="00C117B3"/>
    <w:rsid w:val="00C11B3C"/>
    <w:rsid w:val="00C11C99"/>
    <w:rsid w:val="00C11EE2"/>
    <w:rsid w:val="00C12336"/>
    <w:rsid w:val="00C134AE"/>
    <w:rsid w:val="00C1361B"/>
    <w:rsid w:val="00C13E59"/>
    <w:rsid w:val="00C13F70"/>
    <w:rsid w:val="00C14453"/>
    <w:rsid w:val="00C14AD5"/>
    <w:rsid w:val="00C15720"/>
    <w:rsid w:val="00C163C3"/>
    <w:rsid w:val="00C164EB"/>
    <w:rsid w:val="00C16B70"/>
    <w:rsid w:val="00C171DB"/>
    <w:rsid w:val="00C17558"/>
    <w:rsid w:val="00C1769B"/>
    <w:rsid w:val="00C17D4D"/>
    <w:rsid w:val="00C20A19"/>
    <w:rsid w:val="00C20C4F"/>
    <w:rsid w:val="00C20C9F"/>
    <w:rsid w:val="00C20FAF"/>
    <w:rsid w:val="00C21851"/>
    <w:rsid w:val="00C21962"/>
    <w:rsid w:val="00C21B71"/>
    <w:rsid w:val="00C21C95"/>
    <w:rsid w:val="00C223A0"/>
    <w:rsid w:val="00C2249F"/>
    <w:rsid w:val="00C225AF"/>
    <w:rsid w:val="00C22838"/>
    <w:rsid w:val="00C22839"/>
    <w:rsid w:val="00C22EFA"/>
    <w:rsid w:val="00C239C4"/>
    <w:rsid w:val="00C23DDE"/>
    <w:rsid w:val="00C23E81"/>
    <w:rsid w:val="00C240A8"/>
    <w:rsid w:val="00C24602"/>
    <w:rsid w:val="00C24E4D"/>
    <w:rsid w:val="00C250A4"/>
    <w:rsid w:val="00C25246"/>
    <w:rsid w:val="00C252CD"/>
    <w:rsid w:val="00C257FC"/>
    <w:rsid w:val="00C25988"/>
    <w:rsid w:val="00C26A70"/>
    <w:rsid w:val="00C273C2"/>
    <w:rsid w:val="00C27462"/>
    <w:rsid w:val="00C2767C"/>
    <w:rsid w:val="00C27DAD"/>
    <w:rsid w:val="00C30FEE"/>
    <w:rsid w:val="00C31091"/>
    <w:rsid w:val="00C31541"/>
    <w:rsid w:val="00C31E88"/>
    <w:rsid w:val="00C32069"/>
    <w:rsid w:val="00C32272"/>
    <w:rsid w:val="00C32BDC"/>
    <w:rsid w:val="00C333AD"/>
    <w:rsid w:val="00C33E4D"/>
    <w:rsid w:val="00C33F46"/>
    <w:rsid w:val="00C34FB0"/>
    <w:rsid w:val="00C35003"/>
    <w:rsid w:val="00C35172"/>
    <w:rsid w:val="00C3608E"/>
    <w:rsid w:val="00C366A9"/>
    <w:rsid w:val="00C36AB1"/>
    <w:rsid w:val="00C36E31"/>
    <w:rsid w:val="00C4047D"/>
    <w:rsid w:val="00C404FF"/>
    <w:rsid w:val="00C406D6"/>
    <w:rsid w:val="00C4096D"/>
    <w:rsid w:val="00C40A4D"/>
    <w:rsid w:val="00C41019"/>
    <w:rsid w:val="00C415A8"/>
    <w:rsid w:val="00C417FB"/>
    <w:rsid w:val="00C41AB9"/>
    <w:rsid w:val="00C41EEC"/>
    <w:rsid w:val="00C4208A"/>
    <w:rsid w:val="00C422E2"/>
    <w:rsid w:val="00C42802"/>
    <w:rsid w:val="00C4286C"/>
    <w:rsid w:val="00C42A3F"/>
    <w:rsid w:val="00C430DC"/>
    <w:rsid w:val="00C434FB"/>
    <w:rsid w:val="00C4391E"/>
    <w:rsid w:val="00C43DB7"/>
    <w:rsid w:val="00C445F3"/>
    <w:rsid w:val="00C458EB"/>
    <w:rsid w:val="00C45995"/>
    <w:rsid w:val="00C45FCE"/>
    <w:rsid w:val="00C462FD"/>
    <w:rsid w:val="00C463B0"/>
    <w:rsid w:val="00C46760"/>
    <w:rsid w:val="00C46EC3"/>
    <w:rsid w:val="00C47182"/>
    <w:rsid w:val="00C47297"/>
    <w:rsid w:val="00C479CE"/>
    <w:rsid w:val="00C5020C"/>
    <w:rsid w:val="00C5040C"/>
    <w:rsid w:val="00C50418"/>
    <w:rsid w:val="00C50562"/>
    <w:rsid w:val="00C50D57"/>
    <w:rsid w:val="00C51D49"/>
    <w:rsid w:val="00C51DAA"/>
    <w:rsid w:val="00C527C4"/>
    <w:rsid w:val="00C52B10"/>
    <w:rsid w:val="00C531A6"/>
    <w:rsid w:val="00C53482"/>
    <w:rsid w:val="00C53AF6"/>
    <w:rsid w:val="00C541FB"/>
    <w:rsid w:val="00C5458C"/>
    <w:rsid w:val="00C54ACA"/>
    <w:rsid w:val="00C55547"/>
    <w:rsid w:val="00C55A23"/>
    <w:rsid w:val="00C55ED5"/>
    <w:rsid w:val="00C560FD"/>
    <w:rsid w:val="00C56243"/>
    <w:rsid w:val="00C5649A"/>
    <w:rsid w:val="00C5725C"/>
    <w:rsid w:val="00C576F0"/>
    <w:rsid w:val="00C57E4D"/>
    <w:rsid w:val="00C57E95"/>
    <w:rsid w:val="00C611BC"/>
    <w:rsid w:val="00C6159C"/>
    <w:rsid w:val="00C61921"/>
    <w:rsid w:val="00C61E73"/>
    <w:rsid w:val="00C62524"/>
    <w:rsid w:val="00C62A0A"/>
    <w:rsid w:val="00C62C27"/>
    <w:rsid w:val="00C62E93"/>
    <w:rsid w:val="00C62EAC"/>
    <w:rsid w:val="00C632FB"/>
    <w:rsid w:val="00C636D1"/>
    <w:rsid w:val="00C638CA"/>
    <w:rsid w:val="00C64A72"/>
    <w:rsid w:val="00C653A5"/>
    <w:rsid w:val="00C657A1"/>
    <w:rsid w:val="00C664C5"/>
    <w:rsid w:val="00C665BB"/>
    <w:rsid w:val="00C66A2D"/>
    <w:rsid w:val="00C6757A"/>
    <w:rsid w:val="00C67722"/>
    <w:rsid w:val="00C67F10"/>
    <w:rsid w:val="00C70293"/>
    <w:rsid w:val="00C7058B"/>
    <w:rsid w:val="00C705DB"/>
    <w:rsid w:val="00C707BD"/>
    <w:rsid w:val="00C70BF7"/>
    <w:rsid w:val="00C70D53"/>
    <w:rsid w:val="00C7199E"/>
    <w:rsid w:val="00C71A45"/>
    <w:rsid w:val="00C71DA8"/>
    <w:rsid w:val="00C71ED7"/>
    <w:rsid w:val="00C72604"/>
    <w:rsid w:val="00C72632"/>
    <w:rsid w:val="00C726E3"/>
    <w:rsid w:val="00C7324E"/>
    <w:rsid w:val="00C74A01"/>
    <w:rsid w:val="00C74BD8"/>
    <w:rsid w:val="00C74CB5"/>
    <w:rsid w:val="00C751DF"/>
    <w:rsid w:val="00C757FC"/>
    <w:rsid w:val="00C75864"/>
    <w:rsid w:val="00C764D6"/>
    <w:rsid w:val="00C765F6"/>
    <w:rsid w:val="00C77CC9"/>
    <w:rsid w:val="00C800D8"/>
    <w:rsid w:val="00C80977"/>
    <w:rsid w:val="00C80DB1"/>
    <w:rsid w:val="00C81085"/>
    <w:rsid w:val="00C81383"/>
    <w:rsid w:val="00C813CE"/>
    <w:rsid w:val="00C8142B"/>
    <w:rsid w:val="00C814F4"/>
    <w:rsid w:val="00C8181B"/>
    <w:rsid w:val="00C818EC"/>
    <w:rsid w:val="00C81F41"/>
    <w:rsid w:val="00C82A4E"/>
    <w:rsid w:val="00C82EB2"/>
    <w:rsid w:val="00C83EFC"/>
    <w:rsid w:val="00C85E16"/>
    <w:rsid w:val="00C85FFB"/>
    <w:rsid w:val="00C8657E"/>
    <w:rsid w:val="00C8676D"/>
    <w:rsid w:val="00C867C7"/>
    <w:rsid w:val="00C86AA2"/>
    <w:rsid w:val="00C86BAE"/>
    <w:rsid w:val="00C871A8"/>
    <w:rsid w:val="00C8750E"/>
    <w:rsid w:val="00C9003C"/>
    <w:rsid w:val="00C903A1"/>
    <w:rsid w:val="00C90884"/>
    <w:rsid w:val="00C92305"/>
    <w:rsid w:val="00C924AF"/>
    <w:rsid w:val="00C929E1"/>
    <w:rsid w:val="00C93154"/>
    <w:rsid w:val="00C931C7"/>
    <w:rsid w:val="00C932D0"/>
    <w:rsid w:val="00C93AA7"/>
    <w:rsid w:val="00C93E10"/>
    <w:rsid w:val="00C94A83"/>
    <w:rsid w:val="00C95802"/>
    <w:rsid w:val="00C95947"/>
    <w:rsid w:val="00C9607A"/>
    <w:rsid w:val="00C960F8"/>
    <w:rsid w:val="00C961D7"/>
    <w:rsid w:val="00C962F2"/>
    <w:rsid w:val="00C9640E"/>
    <w:rsid w:val="00C96C31"/>
    <w:rsid w:val="00C9779E"/>
    <w:rsid w:val="00C977A4"/>
    <w:rsid w:val="00C97FEB"/>
    <w:rsid w:val="00CA0101"/>
    <w:rsid w:val="00CA078E"/>
    <w:rsid w:val="00CA0990"/>
    <w:rsid w:val="00CA0D72"/>
    <w:rsid w:val="00CA1602"/>
    <w:rsid w:val="00CA2A2D"/>
    <w:rsid w:val="00CA2C0C"/>
    <w:rsid w:val="00CA3194"/>
    <w:rsid w:val="00CA3252"/>
    <w:rsid w:val="00CA3452"/>
    <w:rsid w:val="00CA34AE"/>
    <w:rsid w:val="00CA459A"/>
    <w:rsid w:val="00CA5C7B"/>
    <w:rsid w:val="00CA5D5D"/>
    <w:rsid w:val="00CA5DAD"/>
    <w:rsid w:val="00CA60A5"/>
    <w:rsid w:val="00CA62E6"/>
    <w:rsid w:val="00CA63AB"/>
    <w:rsid w:val="00CA64F6"/>
    <w:rsid w:val="00CB01D6"/>
    <w:rsid w:val="00CB103A"/>
    <w:rsid w:val="00CB1851"/>
    <w:rsid w:val="00CB20CD"/>
    <w:rsid w:val="00CB23D2"/>
    <w:rsid w:val="00CB2672"/>
    <w:rsid w:val="00CB28E4"/>
    <w:rsid w:val="00CB2B0A"/>
    <w:rsid w:val="00CB2B2C"/>
    <w:rsid w:val="00CB2B63"/>
    <w:rsid w:val="00CB30D1"/>
    <w:rsid w:val="00CB322C"/>
    <w:rsid w:val="00CB33EA"/>
    <w:rsid w:val="00CB382E"/>
    <w:rsid w:val="00CB459A"/>
    <w:rsid w:val="00CB52DE"/>
    <w:rsid w:val="00CB5860"/>
    <w:rsid w:val="00CB5F70"/>
    <w:rsid w:val="00CB5FE5"/>
    <w:rsid w:val="00CB6CD9"/>
    <w:rsid w:val="00CB71A6"/>
    <w:rsid w:val="00CB71E3"/>
    <w:rsid w:val="00CB797E"/>
    <w:rsid w:val="00CC017D"/>
    <w:rsid w:val="00CC0921"/>
    <w:rsid w:val="00CC0A31"/>
    <w:rsid w:val="00CC1329"/>
    <w:rsid w:val="00CC18C2"/>
    <w:rsid w:val="00CC1A32"/>
    <w:rsid w:val="00CC1E97"/>
    <w:rsid w:val="00CC24BE"/>
    <w:rsid w:val="00CC252A"/>
    <w:rsid w:val="00CC2962"/>
    <w:rsid w:val="00CC2B07"/>
    <w:rsid w:val="00CC3109"/>
    <w:rsid w:val="00CC34E0"/>
    <w:rsid w:val="00CC39A2"/>
    <w:rsid w:val="00CC3B18"/>
    <w:rsid w:val="00CC41D5"/>
    <w:rsid w:val="00CC4454"/>
    <w:rsid w:val="00CC46AA"/>
    <w:rsid w:val="00CC4CD3"/>
    <w:rsid w:val="00CC50F5"/>
    <w:rsid w:val="00CC530C"/>
    <w:rsid w:val="00CC6577"/>
    <w:rsid w:val="00CC65A2"/>
    <w:rsid w:val="00CC6BE3"/>
    <w:rsid w:val="00CC7882"/>
    <w:rsid w:val="00CC7FDA"/>
    <w:rsid w:val="00CD0BC1"/>
    <w:rsid w:val="00CD0C00"/>
    <w:rsid w:val="00CD1084"/>
    <w:rsid w:val="00CD1814"/>
    <w:rsid w:val="00CD18FC"/>
    <w:rsid w:val="00CD19A9"/>
    <w:rsid w:val="00CD1B47"/>
    <w:rsid w:val="00CD1DDF"/>
    <w:rsid w:val="00CD1E15"/>
    <w:rsid w:val="00CD2B7D"/>
    <w:rsid w:val="00CD30C1"/>
    <w:rsid w:val="00CD3107"/>
    <w:rsid w:val="00CD33DE"/>
    <w:rsid w:val="00CD446F"/>
    <w:rsid w:val="00CD45BC"/>
    <w:rsid w:val="00CD4894"/>
    <w:rsid w:val="00CD4C00"/>
    <w:rsid w:val="00CD51E8"/>
    <w:rsid w:val="00CD5300"/>
    <w:rsid w:val="00CD564B"/>
    <w:rsid w:val="00CD5999"/>
    <w:rsid w:val="00CD6106"/>
    <w:rsid w:val="00CD6321"/>
    <w:rsid w:val="00CD6D35"/>
    <w:rsid w:val="00CD6FDE"/>
    <w:rsid w:val="00CD70D1"/>
    <w:rsid w:val="00CD713F"/>
    <w:rsid w:val="00CD7245"/>
    <w:rsid w:val="00CD729B"/>
    <w:rsid w:val="00CD749F"/>
    <w:rsid w:val="00CD7BD8"/>
    <w:rsid w:val="00CE05D2"/>
    <w:rsid w:val="00CE0811"/>
    <w:rsid w:val="00CE0872"/>
    <w:rsid w:val="00CE1E94"/>
    <w:rsid w:val="00CE205D"/>
    <w:rsid w:val="00CE2FD6"/>
    <w:rsid w:val="00CE30BA"/>
    <w:rsid w:val="00CE328B"/>
    <w:rsid w:val="00CE3766"/>
    <w:rsid w:val="00CE41AE"/>
    <w:rsid w:val="00CE42AB"/>
    <w:rsid w:val="00CE49A5"/>
    <w:rsid w:val="00CE5123"/>
    <w:rsid w:val="00CE5858"/>
    <w:rsid w:val="00CE5C25"/>
    <w:rsid w:val="00CE66C5"/>
    <w:rsid w:val="00CE67DB"/>
    <w:rsid w:val="00CE6B35"/>
    <w:rsid w:val="00CE771C"/>
    <w:rsid w:val="00CE7E89"/>
    <w:rsid w:val="00CF0053"/>
    <w:rsid w:val="00CF0777"/>
    <w:rsid w:val="00CF07DE"/>
    <w:rsid w:val="00CF09B9"/>
    <w:rsid w:val="00CF0B1E"/>
    <w:rsid w:val="00CF15A3"/>
    <w:rsid w:val="00CF18A8"/>
    <w:rsid w:val="00CF1FA5"/>
    <w:rsid w:val="00CF2215"/>
    <w:rsid w:val="00CF2659"/>
    <w:rsid w:val="00CF2F7E"/>
    <w:rsid w:val="00CF3263"/>
    <w:rsid w:val="00CF3677"/>
    <w:rsid w:val="00CF3A17"/>
    <w:rsid w:val="00CF4224"/>
    <w:rsid w:val="00CF42E8"/>
    <w:rsid w:val="00CF4333"/>
    <w:rsid w:val="00CF4734"/>
    <w:rsid w:val="00CF4D1E"/>
    <w:rsid w:val="00CF5A22"/>
    <w:rsid w:val="00CF5BC6"/>
    <w:rsid w:val="00CF5E87"/>
    <w:rsid w:val="00CF5F51"/>
    <w:rsid w:val="00CF644A"/>
    <w:rsid w:val="00CF6DA3"/>
    <w:rsid w:val="00D00F08"/>
    <w:rsid w:val="00D01473"/>
    <w:rsid w:val="00D01538"/>
    <w:rsid w:val="00D01567"/>
    <w:rsid w:val="00D01856"/>
    <w:rsid w:val="00D0192A"/>
    <w:rsid w:val="00D02175"/>
    <w:rsid w:val="00D02424"/>
    <w:rsid w:val="00D024B8"/>
    <w:rsid w:val="00D025C9"/>
    <w:rsid w:val="00D0284A"/>
    <w:rsid w:val="00D02F9A"/>
    <w:rsid w:val="00D033D0"/>
    <w:rsid w:val="00D037EE"/>
    <w:rsid w:val="00D03B77"/>
    <w:rsid w:val="00D063AD"/>
    <w:rsid w:val="00D06F13"/>
    <w:rsid w:val="00D10421"/>
    <w:rsid w:val="00D10550"/>
    <w:rsid w:val="00D10792"/>
    <w:rsid w:val="00D11090"/>
    <w:rsid w:val="00D1128F"/>
    <w:rsid w:val="00D11752"/>
    <w:rsid w:val="00D11C22"/>
    <w:rsid w:val="00D127E7"/>
    <w:rsid w:val="00D127FD"/>
    <w:rsid w:val="00D129C5"/>
    <w:rsid w:val="00D136C5"/>
    <w:rsid w:val="00D13A9B"/>
    <w:rsid w:val="00D149C4"/>
    <w:rsid w:val="00D14AF0"/>
    <w:rsid w:val="00D15C18"/>
    <w:rsid w:val="00D15DA1"/>
    <w:rsid w:val="00D16207"/>
    <w:rsid w:val="00D164F9"/>
    <w:rsid w:val="00D1652B"/>
    <w:rsid w:val="00D16583"/>
    <w:rsid w:val="00D1680B"/>
    <w:rsid w:val="00D16FD4"/>
    <w:rsid w:val="00D1710C"/>
    <w:rsid w:val="00D17165"/>
    <w:rsid w:val="00D17964"/>
    <w:rsid w:val="00D17C6D"/>
    <w:rsid w:val="00D213E4"/>
    <w:rsid w:val="00D21515"/>
    <w:rsid w:val="00D215E5"/>
    <w:rsid w:val="00D21824"/>
    <w:rsid w:val="00D21883"/>
    <w:rsid w:val="00D21956"/>
    <w:rsid w:val="00D21963"/>
    <w:rsid w:val="00D21AEF"/>
    <w:rsid w:val="00D21B8B"/>
    <w:rsid w:val="00D21D19"/>
    <w:rsid w:val="00D21DDF"/>
    <w:rsid w:val="00D223D6"/>
    <w:rsid w:val="00D23E32"/>
    <w:rsid w:val="00D241A4"/>
    <w:rsid w:val="00D24581"/>
    <w:rsid w:val="00D248B7"/>
    <w:rsid w:val="00D24B01"/>
    <w:rsid w:val="00D251C4"/>
    <w:rsid w:val="00D25984"/>
    <w:rsid w:val="00D25BA7"/>
    <w:rsid w:val="00D260CF"/>
    <w:rsid w:val="00D269C8"/>
    <w:rsid w:val="00D2734C"/>
    <w:rsid w:val="00D2748E"/>
    <w:rsid w:val="00D30CB7"/>
    <w:rsid w:val="00D31749"/>
    <w:rsid w:val="00D31C70"/>
    <w:rsid w:val="00D324BB"/>
    <w:rsid w:val="00D32603"/>
    <w:rsid w:val="00D330B7"/>
    <w:rsid w:val="00D33230"/>
    <w:rsid w:val="00D3386F"/>
    <w:rsid w:val="00D339AD"/>
    <w:rsid w:val="00D34045"/>
    <w:rsid w:val="00D34700"/>
    <w:rsid w:val="00D34BBA"/>
    <w:rsid w:val="00D34C72"/>
    <w:rsid w:val="00D350AD"/>
    <w:rsid w:val="00D355DD"/>
    <w:rsid w:val="00D361ED"/>
    <w:rsid w:val="00D3625F"/>
    <w:rsid w:val="00D36980"/>
    <w:rsid w:val="00D36B28"/>
    <w:rsid w:val="00D36E1E"/>
    <w:rsid w:val="00D372C0"/>
    <w:rsid w:val="00D37901"/>
    <w:rsid w:val="00D404D8"/>
    <w:rsid w:val="00D40D62"/>
    <w:rsid w:val="00D41266"/>
    <w:rsid w:val="00D412B9"/>
    <w:rsid w:val="00D41F83"/>
    <w:rsid w:val="00D426E4"/>
    <w:rsid w:val="00D43367"/>
    <w:rsid w:val="00D43D05"/>
    <w:rsid w:val="00D43E70"/>
    <w:rsid w:val="00D44702"/>
    <w:rsid w:val="00D447C5"/>
    <w:rsid w:val="00D44815"/>
    <w:rsid w:val="00D44965"/>
    <w:rsid w:val="00D44EB5"/>
    <w:rsid w:val="00D45174"/>
    <w:rsid w:val="00D457BE"/>
    <w:rsid w:val="00D45BA0"/>
    <w:rsid w:val="00D462B9"/>
    <w:rsid w:val="00D4780D"/>
    <w:rsid w:val="00D47BCE"/>
    <w:rsid w:val="00D5022F"/>
    <w:rsid w:val="00D507A9"/>
    <w:rsid w:val="00D50A23"/>
    <w:rsid w:val="00D50BC5"/>
    <w:rsid w:val="00D51534"/>
    <w:rsid w:val="00D52749"/>
    <w:rsid w:val="00D53939"/>
    <w:rsid w:val="00D53AD1"/>
    <w:rsid w:val="00D53F7E"/>
    <w:rsid w:val="00D5482A"/>
    <w:rsid w:val="00D54F52"/>
    <w:rsid w:val="00D55007"/>
    <w:rsid w:val="00D5609F"/>
    <w:rsid w:val="00D563CC"/>
    <w:rsid w:val="00D566EF"/>
    <w:rsid w:val="00D57236"/>
    <w:rsid w:val="00D5791E"/>
    <w:rsid w:val="00D57C9E"/>
    <w:rsid w:val="00D60696"/>
    <w:rsid w:val="00D60787"/>
    <w:rsid w:val="00D60A41"/>
    <w:rsid w:val="00D60C84"/>
    <w:rsid w:val="00D618B6"/>
    <w:rsid w:val="00D61F32"/>
    <w:rsid w:val="00D6231B"/>
    <w:rsid w:val="00D628A3"/>
    <w:rsid w:val="00D62DF3"/>
    <w:rsid w:val="00D6450C"/>
    <w:rsid w:val="00D6469D"/>
    <w:rsid w:val="00D64B2E"/>
    <w:rsid w:val="00D65751"/>
    <w:rsid w:val="00D65F90"/>
    <w:rsid w:val="00D66372"/>
    <w:rsid w:val="00D67F98"/>
    <w:rsid w:val="00D70833"/>
    <w:rsid w:val="00D70A9A"/>
    <w:rsid w:val="00D713DE"/>
    <w:rsid w:val="00D7178A"/>
    <w:rsid w:val="00D71C49"/>
    <w:rsid w:val="00D71F0A"/>
    <w:rsid w:val="00D722E9"/>
    <w:rsid w:val="00D72577"/>
    <w:rsid w:val="00D72829"/>
    <w:rsid w:val="00D72AF9"/>
    <w:rsid w:val="00D73494"/>
    <w:rsid w:val="00D738EC"/>
    <w:rsid w:val="00D73A48"/>
    <w:rsid w:val="00D740E6"/>
    <w:rsid w:val="00D7447E"/>
    <w:rsid w:val="00D745E6"/>
    <w:rsid w:val="00D747AA"/>
    <w:rsid w:val="00D757CA"/>
    <w:rsid w:val="00D766EC"/>
    <w:rsid w:val="00D76D39"/>
    <w:rsid w:val="00D7743A"/>
    <w:rsid w:val="00D778AA"/>
    <w:rsid w:val="00D80202"/>
    <w:rsid w:val="00D803FD"/>
    <w:rsid w:val="00D80516"/>
    <w:rsid w:val="00D80AD2"/>
    <w:rsid w:val="00D81C8B"/>
    <w:rsid w:val="00D832FA"/>
    <w:rsid w:val="00D83514"/>
    <w:rsid w:val="00D8375A"/>
    <w:rsid w:val="00D8393D"/>
    <w:rsid w:val="00D860AE"/>
    <w:rsid w:val="00D86DB8"/>
    <w:rsid w:val="00D871CD"/>
    <w:rsid w:val="00D87E4B"/>
    <w:rsid w:val="00D87EE2"/>
    <w:rsid w:val="00D87FD8"/>
    <w:rsid w:val="00D90367"/>
    <w:rsid w:val="00D909E2"/>
    <w:rsid w:val="00D90ACE"/>
    <w:rsid w:val="00D91677"/>
    <w:rsid w:val="00D91968"/>
    <w:rsid w:val="00D91D10"/>
    <w:rsid w:val="00D91F03"/>
    <w:rsid w:val="00D921F0"/>
    <w:rsid w:val="00D92929"/>
    <w:rsid w:val="00D930D6"/>
    <w:rsid w:val="00D94339"/>
    <w:rsid w:val="00D94351"/>
    <w:rsid w:val="00D94A69"/>
    <w:rsid w:val="00D94A6F"/>
    <w:rsid w:val="00D95A47"/>
    <w:rsid w:val="00D96117"/>
    <w:rsid w:val="00D96382"/>
    <w:rsid w:val="00D9668C"/>
    <w:rsid w:val="00D96CAC"/>
    <w:rsid w:val="00D9794D"/>
    <w:rsid w:val="00D97A9E"/>
    <w:rsid w:val="00D97AFE"/>
    <w:rsid w:val="00D97E37"/>
    <w:rsid w:val="00DA18FB"/>
    <w:rsid w:val="00DA1AF9"/>
    <w:rsid w:val="00DA1C8E"/>
    <w:rsid w:val="00DA1E15"/>
    <w:rsid w:val="00DA216F"/>
    <w:rsid w:val="00DA2C2D"/>
    <w:rsid w:val="00DA3071"/>
    <w:rsid w:val="00DA341D"/>
    <w:rsid w:val="00DA37CA"/>
    <w:rsid w:val="00DA4F06"/>
    <w:rsid w:val="00DA5A3E"/>
    <w:rsid w:val="00DA5CEB"/>
    <w:rsid w:val="00DA658C"/>
    <w:rsid w:val="00DA6912"/>
    <w:rsid w:val="00DA6B7D"/>
    <w:rsid w:val="00DA72D9"/>
    <w:rsid w:val="00DA797D"/>
    <w:rsid w:val="00DA7D60"/>
    <w:rsid w:val="00DB0D01"/>
    <w:rsid w:val="00DB1083"/>
    <w:rsid w:val="00DB1AF9"/>
    <w:rsid w:val="00DB333E"/>
    <w:rsid w:val="00DB33D8"/>
    <w:rsid w:val="00DB3AA3"/>
    <w:rsid w:val="00DB3DAA"/>
    <w:rsid w:val="00DB4212"/>
    <w:rsid w:val="00DB44E0"/>
    <w:rsid w:val="00DB4513"/>
    <w:rsid w:val="00DB45E9"/>
    <w:rsid w:val="00DB5695"/>
    <w:rsid w:val="00DB5D28"/>
    <w:rsid w:val="00DB664A"/>
    <w:rsid w:val="00DB66B8"/>
    <w:rsid w:val="00DB6B12"/>
    <w:rsid w:val="00DB6F8A"/>
    <w:rsid w:val="00DB7315"/>
    <w:rsid w:val="00DB75E2"/>
    <w:rsid w:val="00DB7A0B"/>
    <w:rsid w:val="00DC0583"/>
    <w:rsid w:val="00DC174C"/>
    <w:rsid w:val="00DC23D4"/>
    <w:rsid w:val="00DC24F6"/>
    <w:rsid w:val="00DC2703"/>
    <w:rsid w:val="00DC2B15"/>
    <w:rsid w:val="00DC3408"/>
    <w:rsid w:val="00DC37FA"/>
    <w:rsid w:val="00DC38D7"/>
    <w:rsid w:val="00DC4D5C"/>
    <w:rsid w:val="00DC53E3"/>
    <w:rsid w:val="00DC57F7"/>
    <w:rsid w:val="00DC5E24"/>
    <w:rsid w:val="00DC6004"/>
    <w:rsid w:val="00DC7A13"/>
    <w:rsid w:val="00DC7E0A"/>
    <w:rsid w:val="00DD0113"/>
    <w:rsid w:val="00DD0665"/>
    <w:rsid w:val="00DD1457"/>
    <w:rsid w:val="00DD1511"/>
    <w:rsid w:val="00DD1625"/>
    <w:rsid w:val="00DD2380"/>
    <w:rsid w:val="00DD2C7F"/>
    <w:rsid w:val="00DD2F36"/>
    <w:rsid w:val="00DD3270"/>
    <w:rsid w:val="00DD3354"/>
    <w:rsid w:val="00DD425F"/>
    <w:rsid w:val="00DD45D8"/>
    <w:rsid w:val="00DD558C"/>
    <w:rsid w:val="00DD595A"/>
    <w:rsid w:val="00DD5C6C"/>
    <w:rsid w:val="00DD676F"/>
    <w:rsid w:val="00DD6ECF"/>
    <w:rsid w:val="00DD77F9"/>
    <w:rsid w:val="00DE135E"/>
    <w:rsid w:val="00DE170D"/>
    <w:rsid w:val="00DE17A6"/>
    <w:rsid w:val="00DE186E"/>
    <w:rsid w:val="00DE1951"/>
    <w:rsid w:val="00DE1ECB"/>
    <w:rsid w:val="00DE231A"/>
    <w:rsid w:val="00DE2EE0"/>
    <w:rsid w:val="00DE3CD4"/>
    <w:rsid w:val="00DE44DE"/>
    <w:rsid w:val="00DE5067"/>
    <w:rsid w:val="00DE5AD4"/>
    <w:rsid w:val="00DE5ADA"/>
    <w:rsid w:val="00DE5CE4"/>
    <w:rsid w:val="00DE601F"/>
    <w:rsid w:val="00DE6122"/>
    <w:rsid w:val="00DE629D"/>
    <w:rsid w:val="00DE6408"/>
    <w:rsid w:val="00DE7563"/>
    <w:rsid w:val="00DE76D1"/>
    <w:rsid w:val="00DE7890"/>
    <w:rsid w:val="00DF0616"/>
    <w:rsid w:val="00DF0D60"/>
    <w:rsid w:val="00DF108D"/>
    <w:rsid w:val="00DF127F"/>
    <w:rsid w:val="00DF1723"/>
    <w:rsid w:val="00DF1C0C"/>
    <w:rsid w:val="00DF1C12"/>
    <w:rsid w:val="00DF23B0"/>
    <w:rsid w:val="00DF41F0"/>
    <w:rsid w:val="00DF48C8"/>
    <w:rsid w:val="00DF4D03"/>
    <w:rsid w:val="00DF5152"/>
    <w:rsid w:val="00DF5239"/>
    <w:rsid w:val="00DF535F"/>
    <w:rsid w:val="00DF56C2"/>
    <w:rsid w:val="00DF5783"/>
    <w:rsid w:val="00DF6234"/>
    <w:rsid w:val="00DF627B"/>
    <w:rsid w:val="00DF6D95"/>
    <w:rsid w:val="00DF7AFF"/>
    <w:rsid w:val="00E0003F"/>
    <w:rsid w:val="00E00B69"/>
    <w:rsid w:val="00E00D17"/>
    <w:rsid w:val="00E0137B"/>
    <w:rsid w:val="00E015BF"/>
    <w:rsid w:val="00E0250A"/>
    <w:rsid w:val="00E02BAE"/>
    <w:rsid w:val="00E02BED"/>
    <w:rsid w:val="00E0324B"/>
    <w:rsid w:val="00E03642"/>
    <w:rsid w:val="00E03703"/>
    <w:rsid w:val="00E0386B"/>
    <w:rsid w:val="00E03BFC"/>
    <w:rsid w:val="00E03FF9"/>
    <w:rsid w:val="00E0480B"/>
    <w:rsid w:val="00E04811"/>
    <w:rsid w:val="00E048BC"/>
    <w:rsid w:val="00E04CC8"/>
    <w:rsid w:val="00E04E07"/>
    <w:rsid w:val="00E05150"/>
    <w:rsid w:val="00E05E31"/>
    <w:rsid w:val="00E06003"/>
    <w:rsid w:val="00E0682F"/>
    <w:rsid w:val="00E068A7"/>
    <w:rsid w:val="00E06C27"/>
    <w:rsid w:val="00E07620"/>
    <w:rsid w:val="00E076E4"/>
    <w:rsid w:val="00E07A03"/>
    <w:rsid w:val="00E10C50"/>
    <w:rsid w:val="00E11023"/>
    <w:rsid w:val="00E110A0"/>
    <w:rsid w:val="00E11282"/>
    <w:rsid w:val="00E11424"/>
    <w:rsid w:val="00E11738"/>
    <w:rsid w:val="00E1265C"/>
    <w:rsid w:val="00E12D85"/>
    <w:rsid w:val="00E130EE"/>
    <w:rsid w:val="00E137DE"/>
    <w:rsid w:val="00E13F2C"/>
    <w:rsid w:val="00E146B2"/>
    <w:rsid w:val="00E14742"/>
    <w:rsid w:val="00E147B7"/>
    <w:rsid w:val="00E14A5C"/>
    <w:rsid w:val="00E14DB6"/>
    <w:rsid w:val="00E1568B"/>
    <w:rsid w:val="00E157E8"/>
    <w:rsid w:val="00E15B7B"/>
    <w:rsid w:val="00E16042"/>
    <w:rsid w:val="00E164D5"/>
    <w:rsid w:val="00E16530"/>
    <w:rsid w:val="00E16539"/>
    <w:rsid w:val="00E167EE"/>
    <w:rsid w:val="00E16E79"/>
    <w:rsid w:val="00E16F4B"/>
    <w:rsid w:val="00E17159"/>
    <w:rsid w:val="00E17847"/>
    <w:rsid w:val="00E17DB8"/>
    <w:rsid w:val="00E17F76"/>
    <w:rsid w:val="00E2037E"/>
    <w:rsid w:val="00E20792"/>
    <w:rsid w:val="00E207B5"/>
    <w:rsid w:val="00E20AF8"/>
    <w:rsid w:val="00E20CF5"/>
    <w:rsid w:val="00E21FEB"/>
    <w:rsid w:val="00E22503"/>
    <w:rsid w:val="00E23C8F"/>
    <w:rsid w:val="00E24EC2"/>
    <w:rsid w:val="00E255B3"/>
    <w:rsid w:val="00E256EC"/>
    <w:rsid w:val="00E25CFE"/>
    <w:rsid w:val="00E2701C"/>
    <w:rsid w:val="00E2784E"/>
    <w:rsid w:val="00E27A3B"/>
    <w:rsid w:val="00E27D9A"/>
    <w:rsid w:val="00E27FBE"/>
    <w:rsid w:val="00E30701"/>
    <w:rsid w:val="00E30908"/>
    <w:rsid w:val="00E30F7C"/>
    <w:rsid w:val="00E326FF"/>
    <w:rsid w:val="00E33383"/>
    <w:rsid w:val="00E335B1"/>
    <w:rsid w:val="00E33805"/>
    <w:rsid w:val="00E3460C"/>
    <w:rsid w:val="00E348AC"/>
    <w:rsid w:val="00E34BE8"/>
    <w:rsid w:val="00E3575D"/>
    <w:rsid w:val="00E37130"/>
    <w:rsid w:val="00E37756"/>
    <w:rsid w:val="00E377A6"/>
    <w:rsid w:val="00E3796F"/>
    <w:rsid w:val="00E407DB"/>
    <w:rsid w:val="00E4167D"/>
    <w:rsid w:val="00E419C8"/>
    <w:rsid w:val="00E41FD7"/>
    <w:rsid w:val="00E4293F"/>
    <w:rsid w:val="00E42B49"/>
    <w:rsid w:val="00E43177"/>
    <w:rsid w:val="00E44EDD"/>
    <w:rsid w:val="00E4548D"/>
    <w:rsid w:val="00E454D2"/>
    <w:rsid w:val="00E47931"/>
    <w:rsid w:val="00E47E42"/>
    <w:rsid w:val="00E50972"/>
    <w:rsid w:val="00E50BF1"/>
    <w:rsid w:val="00E50F68"/>
    <w:rsid w:val="00E510D5"/>
    <w:rsid w:val="00E515F3"/>
    <w:rsid w:val="00E51A96"/>
    <w:rsid w:val="00E52D53"/>
    <w:rsid w:val="00E52F7D"/>
    <w:rsid w:val="00E531E7"/>
    <w:rsid w:val="00E538AC"/>
    <w:rsid w:val="00E53D80"/>
    <w:rsid w:val="00E541FD"/>
    <w:rsid w:val="00E5434F"/>
    <w:rsid w:val="00E54B6D"/>
    <w:rsid w:val="00E55030"/>
    <w:rsid w:val="00E55C66"/>
    <w:rsid w:val="00E56261"/>
    <w:rsid w:val="00E5635B"/>
    <w:rsid w:val="00E56463"/>
    <w:rsid w:val="00E56749"/>
    <w:rsid w:val="00E56BAF"/>
    <w:rsid w:val="00E57033"/>
    <w:rsid w:val="00E57CBB"/>
    <w:rsid w:val="00E6006D"/>
    <w:rsid w:val="00E6049D"/>
    <w:rsid w:val="00E60816"/>
    <w:rsid w:val="00E6132D"/>
    <w:rsid w:val="00E614CF"/>
    <w:rsid w:val="00E619C8"/>
    <w:rsid w:val="00E61A6B"/>
    <w:rsid w:val="00E61D76"/>
    <w:rsid w:val="00E61F03"/>
    <w:rsid w:val="00E61F48"/>
    <w:rsid w:val="00E62165"/>
    <w:rsid w:val="00E62474"/>
    <w:rsid w:val="00E62839"/>
    <w:rsid w:val="00E6347B"/>
    <w:rsid w:val="00E6362E"/>
    <w:rsid w:val="00E63815"/>
    <w:rsid w:val="00E63B1B"/>
    <w:rsid w:val="00E63E8B"/>
    <w:rsid w:val="00E64488"/>
    <w:rsid w:val="00E64966"/>
    <w:rsid w:val="00E65321"/>
    <w:rsid w:val="00E6549B"/>
    <w:rsid w:val="00E66BA1"/>
    <w:rsid w:val="00E66F5F"/>
    <w:rsid w:val="00E671BA"/>
    <w:rsid w:val="00E675F8"/>
    <w:rsid w:val="00E67915"/>
    <w:rsid w:val="00E67FD4"/>
    <w:rsid w:val="00E70588"/>
    <w:rsid w:val="00E70704"/>
    <w:rsid w:val="00E70F95"/>
    <w:rsid w:val="00E7104B"/>
    <w:rsid w:val="00E71ADA"/>
    <w:rsid w:val="00E71D59"/>
    <w:rsid w:val="00E723A5"/>
    <w:rsid w:val="00E73388"/>
    <w:rsid w:val="00E73B12"/>
    <w:rsid w:val="00E73D3E"/>
    <w:rsid w:val="00E749FC"/>
    <w:rsid w:val="00E75363"/>
    <w:rsid w:val="00E75515"/>
    <w:rsid w:val="00E757E4"/>
    <w:rsid w:val="00E75C69"/>
    <w:rsid w:val="00E75EA1"/>
    <w:rsid w:val="00E76177"/>
    <w:rsid w:val="00E76517"/>
    <w:rsid w:val="00E7673F"/>
    <w:rsid w:val="00E769BA"/>
    <w:rsid w:val="00E76D8D"/>
    <w:rsid w:val="00E80A71"/>
    <w:rsid w:val="00E80AEF"/>
    <w:rsid w:val="00E80C4B"/>
    <w:rsid w:val="00E80E48"/>
    <w:rsid w:val="00E81877"/>
    <w:rsid w:val="00E81D0F"/>
    <w:rsid w:val="00E81DC5"/>
    <w:rsid w:val="00E81DD0"/>
    <w:rsid w:val="00E81F51"/>
    <w:rsid w:val="00E827B5"/>
    <w:rsid w:val="00E83320"/>
    <w:rsid w:val="00E83CBA"/>
    <w:rsid w:val="00E83E5B"/>
    <w:rsid w:val="00E841E1"/>
    <w:rsid w:val="00E8458C"/>
    <w:rsid w:val="00E85940"/>
    <w:rsid w:val="00E85945"/>
    <w:rsid w:val="00E85B84"/>
    <w:rsid w:val="00E864AA"/>
    <w:rsid w:val="00E866C5"/>
    <w:rsid w:val="00E868D2"/>
    <w:rsid w:val="00E87E63"/>
    <w:rsid w:val="00E90925"/>
    <w:rsid w:val="00E90D0A"/>
    <w:rsid w:val="00E931D3"/>
    <w:rsid w:val="00E93774"/>
    <w:rsid w:val="00E93E44"/>
    <w:rsid w:val="00E9457B"/>
    <w:rsid w:val="00E9473A"/>
    <w:rsid w:val="00E948CC"/>
    <w:rsid w:val="00E94A81"/>
    <w:rsid w:val="00E94ACF"/>
    <w:rsid w:val="00E95646"/>
    <w:rsid w:val="00E9575C"/>
    <w:rsid w:val="00E957AE"/>
    <w:rsid w:val="00E95E9E"/>
    <w:rsid w:val="00E962DD"/>
    <w:rsid w:val="00E96739"/>
    <w:rsid w:val="00E967BC"/>
    <w:rsid w:val="00E96D81"/>
    <w:rsid w:val="00E9702C"/>
    <w:rsid w:val="00E9707B"/>
    <w:rsid w:val="00E9788E"/>
    <w:rsid w:val="00E97F11"/>
    <w:rsid w:val="00EA0129"/>
    <w:rsid w:val="00EA0F44"/>
    <w:rsid w:val="00EA0F7C"/>
    <w:rsid w:val="00EA1B2F"/>
    <w:rsid w:val="00EA1BF7"/>
    <w:rsid w:val="00EA1E18"/>
    <w:rsid w:val="00EA2417"/>
    <w:rsid w:val="00EA2CB0"/>
    <w:rsid w:val="00EA3170"/>
    <w:rsid w:val="00EA36BE"/>
    <w:rsid w:val="00EA3BAB"/>
    <w:rsid w:val="00EA3FEC"/>
    <w:rsid w:val="00EA4065"/>
    <w:rsid w:val="00EA4FAD"/>
    <w:rsid w:val="00EA570A"/>
    <w:rsid w:val="00EA61DC"/>
    <w:rsid w:val="00EA6D60"/>
    <w:rsid w:val="00EA795C"/>
    <w:rsid w:val="00EB01D8"/>
    <w:rsid w:val="00EB0A15"/>
    <w:rsid w:val="00EB0CBC"/>
    <w:rsid w:val="00EB1705"/>
    <w:rsid w:val="00EB1FA9"/>
    <w:rsid w:val="00EB28E0"/>
    <w:rsid w:val="00EB2A85"/>
    <w:rsid w:val="00EB2A94"/>
    <w:rsid w:val="00EB2D8D"/>
    <w:rsid w:val="00EB3179"/>
    <w:rsid w:val="00EB45E1"/>
    <w:rsid w:val="00EB4659"/>
    <w:rsid w:val="00EB4B92"/>
    <w:rsid w:val="00EB4DE8"/>
    <w:rsid w:val="00EB52F8"/>
    <w:rsid w:val="00EB5A5D"/>
    <w:rsid w:val="00EB665E"/>
    <w:rsid w:val="00EB6B25"/>
    <w:rsid w:val="00EB6F68"/>
    <w:rsid w:val="00EB769D"/>
    <w:rsid w:val="00EB79EC"/>
    <w:rsid w:val="00EC0BDF"/>
    <w:rsid w:val="00EC0EA6"/>
    <w:rsid w:val="00EC0F2A"/>
    <w:rsid w:val="00EC1013"/>
    <w:rsid w:val="00EC11CE"/>
    <w:rsid w:val="00EC1AFF"/>
    <w:rsid w:val="00EC211F"/>
    <w:rsid w:val="00EC317A"/>
    <w:rsid w:val="00EC332B"/>
    <w:rsid w:val="00EC36C0"/>
    <w:rsid w:val="00EC37FA"/>
    <w:rsid w:val="00EC3903"/>
    <w:rsid w:val="00EC4641"/>
    <w:rsid w:val="00EC50E4"/>
    <w:rsid w:val="00EC57CB"/>
    <w:rsid w:val="00EC5872"/>
    <w:rsid w:val="00EC5A24"/>
    <w:rsid w:val="00EC5D80"/>
    <w:rsid w:val="00EC607A"/>
    <w:rsid w:val="00EC61A8"/>
    <w:rsid w:val="00EC6612"/>
    <w:rsid w:val="00EC7195"/>
    <w:rsid w:val="00ED03BD"/>
    <w:rsid w:val="00ED0BE9"/>
    <w:rsid w:val="00ED111E"/>
    <w:rsid w:val="00ED1494"/>
    <w:rsid w:val="00ED17BB"/>
    <w:rsid w:val="00ED19C3"/>
    <w:rsid w:val="00ED19EF"/>
    <w:rsid w:val="00ED1DE3"/>
    <w:rsid w:val="00ED1DEB"/>
    <w:rsid w:val="00ED2710"/>
    <w:rsid w:val="00ED29EE"/>
    <w:rsid w:val="00ED2F66"/>
    <w:rsid w:val="00ED30F0"/>
    <w:rsid w:val="00ED3509"/>
    <w:rsid w:val="00ED3BEF"/>
    <w:rsid w:val="00ED4255"/>
    <w:rsid w:val="00ED4688"/>
    <w:rsid w:val="00ED55A6"/>
    <w:rsid w:val="00ED5934"/>
    <w:rsid w:val="00ED5A0B"/>
    <w:rsid w:val="00ED5F8E"/>
    <w:rsid w:val="00ED6017"/>
    <w:rsid w:val="00ED60E2"/>
    <w:rsid w:val="00ED6808"/>
    <w:rsid w:val="00ED69B6"/>
    <w:rsid w:val="00ED6A49"/>
    <w:rsid w:val="00ED7A73"/>
    <w:rsid w:val="00ED7B11"/>
    <w:rsid w:val="00ED7EF5"/>
    <w:rsid w:val="00ED7FB5"/>
    <w:rsid w:val="00ED7FD0"/>
    <w:rsid w:val="00EE025D"/>
    <w:rsid w:val="00EE026C"/>
    <w:rsid w:val="00EE0559"/>
    <w:rsid w:val="00EE070B"/>
    <w:rsid w:val="00EE0718"/>
    <w:rsid w:val="00EE07BB"/>
    <w:rsid w:val="00EE0854"/>
    <w:rsid w:val="00EE0C40"/>
    <w:rsid w:val="00EE0F74"/>
    <w:rsid w:val="00EE1068"/>
    <w:rsid w:val="00EE22DE"/>
    <w:rsid w:val="00EE28ED"/>
    <w:rsid w:val="00EE301B"/>
    <w:rsid w:val="00EE3724"/>
    <w:rsid w:val="00EE42BA"/>
    <w:rsid w:val="00EE43EE"/>
    <w:rsid w:val="00EE4B0E"/>
    <w:rsid w:val="00EE52F2"/>
    <w:rsid w:val="00EE56A8"/>
    <w:rsid w:val="00EE5F52"/>
    <w:rsid w:val="00EE62FB"/>
    <w:rsid w:val="00EE638E"/>
    <w:rsid w:val="00EE6786"/>
    <w:rsid w:val="00EE76DF"/>
    <w:rsid w:val="00EE7A3B"/>
    <w:rsid w:val="00EE7CC2"/>
    <w:rsid w:val="00EF0A38"/>
    <w:rsid w:val="00EF17C0"/>
    <w:rsid w:val="00EF2DDE"/>
    <w:rsid w:val="00EF33A9"/>
    <w:rsid w:val="00EF3541"/>
    <w:rsid w:val="00EF3694"/>
    <w:rsid w:val="00EF3D0B"/>
    <w:rsid w:val="00EF5310"/>
    <w:rsid w:val="00EF6402"/>
    <w:rsid w:val="00EF7367"/>
    <w:rsid w:val="00EF736B"/>
    <w:rsid w:val="00EF7795"/>
    <w:rsid w:val="00F00315"/>
    <w:rsid w:val="00F01537"/>
    <w:rsid w:val="00F01AAD"/>
    <w:rsid w:val="00F0202E"/>
    <w:rsid w:val="00F022C4"/>
    <w:rsid w:val="00F026F8"/>
    <w:rsid w:val="00F027E9"/>
    <w:rsid w:val="00F03136"/>
    <w:rsid w:val="00F0338E"/>
    <w:rsid w:val="00F0362F"/>
    <w:rsid w:val="00F03909"/>
    <w:rsid w:val="00F03CF3"/>
    <w:rsid w:val="00F03ED7"/>
    <w:rsid w:val="00F04A44"/>
    <w:rsid w:val="00F04B72"/>
    <w:rsid w:val="00F04CA4"/>
    <w:rsid w:val="00F05B1B"/>
    <w:rsid w:val="00F05F86"/>
    <w:rsid w:val="00F06018"/>
    <w:rsid w:val="00F061D0"/>
    <w:rsid w:val="00F0648B"/>
    <w:rsid w:val="00F06EFF"/>
    <w:rsid w:val="00F07033"/>
    <w:rsid w:val="00F07D46"/>
    <w:rsid w:val="00F11381"/>
    <w:rsid w:val="00F11F27"/>
    <w:rsid w:val="00F12C48"/>
    <w:rsid w:val="00F12ECD"/>
    <w:rsid w:val="00F133BE"/>
    <w:rsid w:val="00F137C9"/>
    <w:rsid w:val="00F13E4E"/>
    <w:rsid w:val="00F141FB"/>
    <w:rsid w:val="00F14F9C"/>
    <w:rsid w:val="00F151BE"/>
    <w:rsid w:val="00F15622"/>
    <w:rsid w:val="00F15723"/>
    <w:rsid w:val="00F15B18"/>
    <w:rsid w:val="00F15EBF"/>
    <w:rsid w:val="00F1620E"/>
    <w:rsid w:val="00F16708"/>
    <w:rsid w:val="00F16C27"/>
    <w:rsid w:val="00F16E43"/>
    <w:rsid w:val="00F17322"/>
    <w:rsid w:val="00F176C6"/>
    <w:rsid w:val="00F2081D"/>
    <w:rsid w:val="00F20973"/>
    <w:rsid w:val="00F21336"/>
    <w:rsid w:val="00F2135B"/>
    <w:rsid w:val="00F21DC2"/>
    <w:rsid w:val="00F22061"/>
    <w:rsid w:val="00F2232C"/>
    <w:rsid w:val="00F22423"/>
    <w:rsid w:val="00F22485"/>
    <w:rsid w:val="00F224EF"/>
    <w:rsid w:val="00F227A2"/>
    <w:rsid w:val="00F228FF"/>
    <w:rsid w:val="00F229A8"/>
    <w:rsid w:val="00F22BD3"/>
    <w:rsid w:val="00F22C6A"/>
    <w:rsid w:val="00F22E2E"/>
    <w:rsid w:val="00F235F7"/>
    <w:rsid w:val="00F23D9E"/>
    <w:rsid w:val="00F2459E"/>
    <w:rsid w:val="00F24DB1"/>
    <w:rsid w:val="00F2510E"/>
    <w:rsid w:val="00F25382"/>
    <w:rsid w:val="00F256EF"/>
    <w:rsid w:val="00F25997"/>
    <w:rsid w:val="00F25E18"/>
    <w:rsid w:val="00F2655E"/>
    <w:rsid w:val="00F268C2"/>
    <w:rsid w:val="00F26C4E"/>
    <w:rsid w:val="00F26C75"/>
    <w:rsid w:val="00F2723D"/>
    <w:rsid w:val="00F27253"/>
    <w:rsid w:val="00F273EC"/>
    <w:rsid w:val="00F274FD"/>
    <w:rsid w:val="00F276F0"/>
    <w:rsid w:val="00F27CCB"/>
    <w:rsid w:val="00F31006"/>
    <w:rsid w:val="00F31853"/>
    <w:rsid w:val="00F322BE"/>
    <w:rsid w:val="00F32565"/>
    <w:rsid w:val="00F32CA9"/>
    <w:rsid w:val="00F32E06"/>
    <w:rsid w:val="00F33258"/>
    <w:rsid w:val="00F3325F"/>
    <w:rsid w:val="00F3374F"/>
    <w:rsid w:val="00F346DF"/>
    <w:rsid w:val="00F34BFF"/>
    <w:rsid w:val="00F352C3"/>
    <w:rsid w:val="00F35521"/>
    <w:rsid w:val="00F35A0C"/>
    <w:rsid w:val="00F367AA"/>
    <w:rsid w:val="00F368AC"/>
    <w:rsid w:val="00F369BB"/>
    <w:rsid w:val="00F36B85"/>
    <w:rsid w:val="00F37053"/>
    <w:rsid w:val="00F376CA"/>
    <w:rsid w:val="00F40659"/>
    <w:rsid w:val="00F40CF2"/>
    <w:rsid w:val="00F4112F"/>
    <w:rsid w:val="00F41E48"/>
    <w:rsid w:val="00F42541"/>
    <w:rsid w:val="00F42E13"/>
    <w:rsid w:val="00F43231"/>
    <w:rsid w:val="00F43EDE"/>
    <w:rsid w:val="00F442E7"/>
    <w:rsid w:val="00F44E2D"/>
    <w:rsid w:val="00F451F5"/>
    <w:rsid w:val="00F45A40"/>
    <w:rsid w:val="00F45A6D"/>
    <w:rsid w:val="00F460CF"/>
    <w:rsid w:val="00F462FE"/>
    <w:rsid w:val="00F46372"/>
    <w:rsid w:val="00F46B4C"/>
    <w:rsid w:val="00F46B84"/>
    <w:rsid w:val="00F47085"/>
    <w:rsid w:val="00F47544"/>
    <w:rsid w:val="00F476B0"/>
    <w:rsid w:val="00F478A7"/>
    <w:rsid w:val="00F50073"/>
    <w:rsid w:val="00F509E2"/>
    <w:rsid w:val="00F50BDE"/>
    <w:rsid w:val="00F50E05"/>
    <w:rsid w:val="00F50EBD"/>
    <w:rsid w:val="00F50ECC"/>
    <w:rsid w:val="00F51D7D"/>
    <w:rsid w:val="00F5218A"/>
    <w:rsid w:val="00F525DC"/>
    <w:rsid w:val="00F52E82"/>
    <w:rsid w:val="00F5344C"/>
    <w:rsid w:val="00F53729"/>
    <w:rsid w:val="00F53E3A"/>
    <w:rsid w:val="00F5471F"/>
    <w:rsid w:val="00F5475F"/>
    <w:rsid w:val="00F547B1"/>
    <w:rsid w:val="00F548FD"/>
    <w:rsid w:val="00F54A97"/>
    <w:rsid w:val="00F54F81"/>
    <w:rsid w:val="00F55783"/>
    <w:rsid w:val="00F557D5"/>
    <w:rsid w:val="00F559C1"/>
    <w:rsid w:val="00F56637"/>
    <w:rsid w:val="00F56E5B"/>
    <w:rsid w:val="00F573E7"/>
    <w:rsid w:val="00F5769D"/>
    <w:rsid w:val="00F57C8F"/>
    <w:rsid w:val="00F607C4"/>
    <w:rsid w:val="00F6086F"/>
    <w:rsid w:val="00F60C87"/>
    <w:rsid w:val="00F60D7F"/>
    <w:rsid w:val="00F6122D"/>
    <w:rsid w:val="00F61797"/>
    <w:rsid w:val="00F61E5E"/>
    <w:rsid w:val="00F61F52"/>
    <w:rsid w:val="00F6316B"/>
    <w:rsid w:val="00F63C40"/>
    <w:rsid w:val="00F63D55"/>
    <w:rsid w:val="00F63FD9"/>
    <w:rsid w:val="00F6471B"/>
    <w:rsid w:val="00F647E4"/>
    <w:rsid w:val="00F648DF"/>
    <w:rsid w:val="00F655D5"/>
    <w:rsid w:val="00F6579E"/>
    <w:rsid w:val="00F661A9"/>
    <w:rsid w:val="00F661C9"/>
    <w:rsid w:val="00F6660E"/>
    <w:rsid w:val="00F66C5E"/>
    <w:rsid w:val="00F66C82"/>
    <w:rsid w:val="00F67489"/>
    <w:rsid w:val="00F700F8"/>
    <w:rsid w:val="00F70386"/>
    <w:rsid w:val="00F703FF"/>
    <w:rsid w:val="00F70443"/>
    <w:rsid w:val="00F7058D"/>
    <w:rsid w:val="00F708CE"/>
    <w:rsid w:val="00F70F0D"/>
    <w:rsid w:val="00F7112F"/>
    <w:rsid w:val="00F71264"/>
    <w:rsid w:val="00F71DB7"/>
    <w:rsid w:val="00F72217"/>
    <w:rsid w:val="00F7248A"/>
    <w:rsid w:val="00F7289F"/>
    <w:rsid w:val="00F72F14"/>
    <w:rsid w:val="00F7306E"/>
    <w:rsid w:val="00F737B3"/>
    <w:rsid w:val="00F74BC1"/>
    <w:rsid w:val="00F7519E"/>
    <w:rsid w:val="00F76144"/>
    <w:rsid w:val="00F76591"/>
    <w:rsid w:val="00F766A4"/>
    <w:rsid w:val="00F76D07"/>
    <w:rsid w:val="00F773E0"/>
    <w:rsid w:val="00F777CE"/>
    <w:rsid w:val="00F8079F"/>
    <w:rsid w:val="00F8146E"/>
    <w:rsid w:val="00F814AA"/>
    <w:rsid w:val="00F814E6"/>
    <w:rsid w:val="00F81BEC"/>
    <w:rsid w:val="00F81F0A"/>
    <w:rsid w:val="00F8205C"/>
    <w:rsid w:val="00F82E87"/>
    <w:rsid w:val="00F840EA"/>
    <w:rsid w:val="00F853B8"/>
    <w:rsid w:val="00F855EB"/>
    <w:rsid w:val="00F85920"/>
    <w:rsid w:val="00F8613B"/>
    <w:rsid w:val="00F86F36"/>
    <w:rsid w:val="00F87052"/>
    <w:rsid w:val="00F90047"/>
    <w:rsid w:val="00F9041A"/>
    <w:rsid w:val="00F90437"/>
    <w:rsid w:val="00F907AA"/>
    <w:rsid w:val="00F90BFE"/>
    <w:rsid w:val="00F90E1C"/>
    <w:rsid w:val="00F920AC"/>
    <w:rsid w:val="00F92762"/>
    <w:rsid w:val="00F92CB3"/>
    <w:rsid w:val="00F93538"/>
    <w:rsid w:val="00F94137"/>
    <w:rsid w:val="00F94177"/>
    <w:rsid w:val="00F94292"/>
    <w:rsid w:val="00F94546"/>
    <w:rsid w:val="00F94D76"/>
    <w:rsid w:val="00F95053"/>
    <w:rsid w:val="00F9510D"/>
    <w:rsid w:val="00F953DA"/>
    <w:rsid w:val="00F95615"/>
    <w:rsid w:val="00F95848"/>
    <w:rsid w:val="00F95A57"/>
    <w:rsid w:val="00F9649F"/>
    <w:rsid w:val="00F96922"/>
    <w:rsid w:val="00F96EF3"/>
    <w:rsid w:val="00F97096"/>
    <w:rsid w:val="00F9735B"/>
    <w:rsid w:val="00F97756"/>
    <w:rsid w:val="00F977C6"/>
    <w:rsid w:val="00FA0286"/>
    <w:rsid w:val="00FA0583"/>
    <w:rsid w:val="00FA0862"/>
    <w:rsid w:val="00FA0A1E"/>
    <w:rsid w:val="00FA0AEE"/>
    <w:rsid w:val="00FA0F74"/>
    <w:rsid w:val="00FA1078"/>
    <w:rsid w:val="00FA1E15"/>
    <w:rsid w:val="00FA1E91"/>
    <w:rsid w:val="00FA1EB9"/>
    <w:rsid w:val="00FA1F4C"/>
    <w:rsid w:val="00FA2F8E"/>
    <w:rsid w:val="00FA34F3"/>
    <w:rsid w:val="00FA3AD9"/>
    <w:rsid w:val="00FA3E5A"/>
    <w:rsid w:val="00FA4483"/>
    <w:rsid w:val="00FA4F7F"/>
    <w:rsid w:val="00FA4FDD"/>
    <w:rsid w:val="00FA5D2C"/>
    <w:rsid w:val="00FA61C9"/>
    <w:rsid w:val="00FA61F3"/>
    <w:rsid w:val="00FA649F"/>
    <w:rsid w:val="00FA751C"/>
    <w:rsid w:val="00FA777C"/>
    <w:rsid w:val="00FA7827"/>
    <w:rsid w:val="00FB00F9"/>
    <w:rsid w:val="00FB085E"/>
    <w:rsid w:val="00FB0A2E"/>
    <w:rsid w:val="00FB0D12"/>
    <w:rsid w:val="00FB0EC3"/>
    <w:rsid w:val="00FB15EA"/>
    <w:rsid w:val="00FB1D81"/>
    <w:rsid w:val="00FB2BF6"/>
    <w:rsid w:val="00FB2EA5"/>
    <w:rsid w:val="00FB3591"/>
    <w:rsid w:val="00FB3AF1"/>
    <w:rsid w:val="00FB3F35"/>
    <w:rsid w:val="00FB438E"/>
    <w:rsid w:val="00FB43AD"/>
    <w:rsid w:val="00FB4599"/>
    <w:rsid w:val="00FB46AC"/>
    <w:rsid w:val="00FB48D3"/>
    <w:rsid w:val="00FB4A20"/>
    <w:rsid w:val="00FB4ACA"/>
    <w:rsid w:val="00FB5C17"/>
    <w:rsid w:val="00FB621B"/>
    <w:rsid w:val="00FB633A"/>
    <w:rsid w:val="00FB66AC"/>
    <w:rsid w:val="00FB674B"/>
    <w:rsid w:val="00FC09D1"/>
    <w:rsid w:val="00FC12B4"/>
    <w:rsid w:val="00FC1740"/>
    <w:rsid w:val="00FC1E64"/>
    <w:rsid w:val="00FC1F19"/>
    <w:rsid w:val="00FC2751"/>
    <w:rsid w:val="00FC2763"/>
    <w:rsid w:val="00FC296A"/>
    <w:rsid w:val="00FC2A7E"/>
    <w:rsid w:val="00FC2CE3"/>
    <w:rsid w:val="00FC32F3"/>
    <w:rsid w:val="00FC349D"/>
    <w:rsid w:val="00FC40E2"/>
    <w:rsid w:val="00FC45AF"/>
    <w:rsid w:val="00FC4AF8"/>
    <w:rsid w:val="00FC596B"/>
    <w:rsid w:val="00FC5C3C"/>
    <w:rsid w:val="00FC5CE9"/>
    <w:rsid w:val="00FC6D42"/>
    <w:rsid w:val="00FC70E8"/>
    <w:rsid w:val="00FD00B5"/>
    <w:rsid w:val="00FD02B2"/>
    <w:rsid w:val="00FD0BD4"/>
    <w:rsid w:val="00FD0CC6"/>
    <w:rsid w:val="00FD2A5E"/>
    <w:rsid w:val="00FD2CDF"/>
    <w:rsid w:val="00FD3288"/>
    <w:rsid w:val="00FD35D4"/>
    <w:rsid w:val="00FD3C9A"/>
    <w:rsid w:val="00FD420C"/>
    <w:rsid w:val="00FD4612"/>
    <w:rsid w:val="00FD4986"/>
    <w:rsid w:val="00FD522F"/>
    <w:rsid w:val="00FD6045"/>
    <w:rsid w:val="00FD65E6"/>
    <w:rsid w:val="00FD6A2A"/>
    <w:rsid w:val="00FD788E"/>
    <w:rsid w:val="00FD7949"/>
    <w:rsid w:val="00FE0AE4"/>
    <w:rsid w:val="00FE0DEB"/>
    <w:rsid w:val="00FE1843"/>
    <w:rsid w:val="00FE1B29"/>
    <w:rsid w:val="00FE277A"/>
    <w:rsid w:val="00FE341B"/>
    <w:rsid w:val="00FE3C31"/>
    <w:rsid w:val="00FE470C"/>
    <w:rsid w:val="00FE4D47"/>
    <w:rsid w:val="00FE4FD0"/>
    <w:rsid w:val="00FE54CB"/>
    <w:rsid w:val="00FE61EE"/>
    <w:rsid w:val="00FE6A95"/>
    <w:rsid w:val="00FE7BF0"/>
    <w:rsid w:val="00FE7C68"/>
    <w:rsid w:val="00FF0488"/>
    <w:rsid w:val="00FF0BE0"/>
    <w:rsid w:val="00FF0D6D"/>
    <w:rsid w:val="00FF0EAA"/>
    <w:rsid w:val="00FF1757"/>
    <w:rsid w:val="00FF2499"/>
    <w:rsid w:val="00FF2A9E"/>
    <w:rsid w:val="00FF3724"/>
    <w:rsid w:val="00FF3B82"/>
    <w:rsid w:val="00FF3B8C"/>
    <w:rsid w:val="00FF4E14"/>
    <w:rsid w:val="00FF5DF1"/>
    <w:rsid w:val="00FF6480"/>
    <w:rsid w:val="00FF65F3"/>
    <w:rsid w:val="00FF6C1E"/>
    <w:rsid w:val="00FF75A4"/>
    <w:rsid w:val="00FF7FE0"/>
    <w:rsid w:val="0141260C"/>
    <w:rsid w:val="014B4189"/>
    <w:rsid w:val="01CA0051"/>
    <w:rsid w:val="01E21124"/>
    <w:rsid w:val="02551A35"/>
    <w:rsid w:val="027B06EB"/>
    <w:rsid w:val="027D280C"/>
    <w:rsid w:val="02FB1E51"/>
    <w:rsid w:val="0316280B"/>
    <w:rsid w:val="03340204"/>
    <w:rsid w:val="038A2C9F"/>
    <w:rsid w:val="039B313E"/>
    <w:rsid w:val="03BE6A23"/>
    <w:rsid w:val="03E404A0"/>
    <w:rsid w:val="03E60B93"/>
    <w:rsid w:val="03E81CE5"/>
    <w:rsid w:val="03EE1F8E"/>
    <w:rsid w:val="04156E1B"/>
    <w:rsid w:val="04422046"/>
    <w:rsid w:val="0448506B"/>
    <w:rsid w:val="046E0B2F"/>
    <w:rsid w:val="047076D1"/>
    <w:rsid w:val="0485080C"/>
    <w:rsid w:val="04D72FD3"/>
    <w:rsid w:val="04E87616"/>
    <w:rsid w:val="053F7BF3"/>
    <w:rsid w:val="054E66A5"/>
    <w:rsid w:val="055C4F54"/>
    <w:rsid w:val="05992529"/>
    <w:rsid w:val="05B41169"/>
    <w:rsid w:val="05BC6DAC"/>
    <w:rsid w:val="05D3715B"/>
    <w:rsid w:val="06115D36"/>
    <w:rsid w:val="06593AED"/>
    <w:rsid w:val="06814669"/>
    <w:rsid w:val="06884A54"/>
    <w:rsid w:val="068A4286"/>
    <w:rsid w:val="06B50198"/>
    <w:rsid w:val="06C17106"/>
    <w:rsid w:val="06D66ACC"/>
    <w:rsid w:val="07153FE1"/>
    <w:rsid w:val="07435E13"/>
    <w:rsid w:val="074A06C9"/>
    <w:rsid w:val="07B74BC0"/>
    <w:rsid w:val="07C662B2"/>
    <w:rsid w:val="07C7376C"/>
    <w:rsid w:val="07D739D0"/>
    <w:rsid w:val="07E43A81"/>
    <w:rsid w:val="07F258AA"/>
    <w:rsid w:val="08147577"/>
    <w:rsid w:val="08685645"/>
    <w:rsid w:val="08764C2B"/>
    <w:rsid w:val="08A30705"/>
    <w:rsid w:val="08A81915"/>
    <w:rsid w:val="08F8266B"/>
    <w:rsid w:val="08F91214"/>
    <w:rsid w:val="08FE6E05"/>
    <w:rsid w:val="091510FC"/>
    <w:rsid w:val="091F0856"/>
    <w:rsid w:val="09255B5F"/>
    <w:rsid w:val="092C7EED"/>
    <w:rsid w:val="093A4248"/>
    <w:rsid w:val="09580622"/>
    <w:rsid w:val="09684FA9"/>
    <w:rsid w:val="09770269"/>
    <w:rsid w:val="098C640D"/>
    <w:rsid w:val="09F72D3A"/>
    <w:rsid w:val="0A0A1F4E"/>
    <w:rsid w:val="0A373E2E"/>
    <w:rsid w:val="0A5D434F"/>
    <w:rsid w:val="0A8269E5"/>
    <w:rsid w:val="0A856C30"/>
    <w:rsid w:val="0ABB4E7D"/>
    <w:rsid w:val="0AF04FDB"/>
    <w:rsid w:val="0B026716"/>
    <w:rsid w:val="0B0B2455"/>
    <w:rsid w:val="0B2C5D7E"/>
    <w:rsid w:val="0B490751"/>
    <w:rsid w:val="0B532434"/>
    <w:rsid w:val="0B88509C"/>
    <w:rsid w:val="0B9D1D6C"/>
    <w:rsid w:val="0B9D3538"/>
    <w:rsid w:val="0BE90467"/>
    <w:rsid w:val="0C0836D0"/>
    <w:rsid w:val="0C2A5F64"/>
    <w:rsid w:val="0C5467F8"/>
    <w:rsid w:val="0C5B27F2"/>
    <w:rsid w:val="0C653409"/>
    <w:rsid w:val="0CA559B3"/>
    <w:rsid w:val="0CF32F5D"/>
    <w:rsid w:val="0CFE5D43"/>
    <w:rsid w:val="0D074494"/>
    <w:rsid w:val="0D345EAE"/>
    <w:rsid w:val="0D3C69D9"/>
    <w:rsid w:val="0D8458C1"/>
    <w:rsid w:val="0D8F4688"/>
    <w:rsid w:val="0D986BD7"/>
    <w:rsid w:val="0DB621E2"/>
    <w:rsid w:val="0DDE4862"/>
    <w:rsid w:val="0DE111F0"/>
    <w:rsid w:val="0DE92E1F"/>
    <w:rsid w:val="0E05169A"/>
    <w:rsid w:val="0E2E2A48"/>
    <w:rsid w:val="0E706E38"/>
    <w:rsid w:val="0E83412B"/>
    <w:rsid w:val="0E8F6A24"/>
    <w:rsid w:val="0EAB0FD9"/>
    <w:rsid w:val="0F011A8C"/>
    <w:rsid w:val="0F0129AD"/>
    <w:rsid w:val="0F85759A"/>
    <w:rsid w:val="0F94272D"/>
    <w:rsid w:val="0FDD68F7"/>
    <w:rsid w:val="0FF0755C"/>
    <w:rsid w:val="102365E8"/>
    <w:rsid w:val="102C7752"/>
    <w:rsid w:val="104A3AC4"/>
    <w:rsid w:val="1061670F"/>
    <w:rsid w:val="10643D9D"/>
    <w:rsid w:val="107228FB"/>
    <w:rsid w:val="10B11E18"/>
    <w:rsid w:val="10B32D2F"/>
    <w:rsid w:val="10FC1BF5"/>
    <w:rsid w:val="11362007"/>
    <w:rsid w:val="113666B3"/>
    <w:rsid w:val="117C7A68"/>
    <w:rsid w:val="11CA6D66"/>
    <w:rsid w:val="12034ADB"/>
    <w:rsid w:val="120806FB"/>
    <w:rsid w:val="12194130"/>
    <w:rsid w:val="12477A8D"/>
    <w:rsid w:val="126E0819"/>
    <w:rsid w:val="12C32562"/>
    <w:rsid w:val="12D21F40"/>
    <w:rsid w:val="13051E53"/>
    <w:rsid w:val="13142254"/>
    <w:rsid w:val="13163C98"/>
    <w:rsid w:val="13305842"/>
    <w:rsid w:val="13497394"/>
    <w:rsid w:val="134C781A"/>
    <w:rsid w:val="138F7B26"/>
    <w:rsid w:val="1399669D"/>
    <w:rsid w:val="13A73A0D"/>
    <w:rsid w:val="13E81CF4"/>
    <w:rsid w:val="140578F4"/>
    <w:rsid w:val="14192099"/>
    <w:rsid w:val="1425541A"/>
    <w:rsid w:val="14413646"/>
    <w:rsid w:val="147E3C62"/>
    <w:rsid w:val="14BB2DA7"/>
    <w:rsid w:val="15095F69"/>
    <w:rsid w:val="1543259B"/>
    <w:rsid w:val="15495671"/>
    <w:rsid w:val="15852429"/>
    <w:rsid w:val="158E44A3"/>
    <w:rsid w:val="159B6966"/>
    <w:rsid w:val="15DF0F76"/>
    <w:rsid w:val="15F10C2B"/>
    <w:rsid w:val="160E6A31"/>
    <w:rsid w:val="161F128E"/>
    <w:rsid w:val="16225E7B"/>
    <w:rsid w:val="1623745E"/>
    <w:rsid w:val="16B03286"/>
    <w:rsid w:val="16E91D95"/>
    <w:rsid w:val="16EC1A59"/>
    <w:rsid w:val="17EF6D73"/>
    <w:rsid w:val="185A0382"/>
    <w:rsid w:val="18CB677F"/>
    <w:rsid w:val="19250C48"/>
    <w:rsid w:val="194E0DA1"/>
    <w:rsid w:val="195A79ED"/>
    <w:rsid w:val="195C3218"/>
    <w:rsid w:val="19D9457F"/>
    <w:rsid w:val="19F05AEB"/>
    <w:rsid w:val="1A093C33"/>
    <w:rsid w:val="1A426A3E"/>
    <w:rsid w:val="1A6467CD"/>
    <w:rsid w:val="1A7843EF"/>
    <w:rsid w:val="1A86054B"/>
    <w:rsid w:val="1A9C0473"/>
    <w:rsid w:val="1AE35F10"/>
    <w:rsid w:val="1B1D0AE8"/>
    <w:rsid w:val="1B1E62F4"/>
    <w:rsid w:val="1B20065B"/>
    <w:rsid w:val="1B234FF4"/>
    <w:rsid w:val="1B2A3050"/>
    <w:rsid w:val="1B3432FF"/>
    <w:rsid w:val="1B4E5755"/>
    <w:rsid w:val="1B6B770A"/>
    <w:rsid w:val="1B8849C8"/>
    <w:rsid w:val="1B885FA1"/>
    <w:rsid w:val="1BCF7B5D"/>
    <w:rsid w:val="1BDD2D6F"/>
    <w:rsid w:val="1BF75A95"/>
    <w:rsid w:val="1BF96427"/>
    <w:rsid w:val="1C336FAD"/>
    <w:rsid w:val="1CB23151"/>
    <w:rsid w:val="1CE44B05"/>
    <w:rsid w:val="1CE87BAD"/>
    <w:rsid w:val="1D0E7E58"/>
    <w:rsid w:val="1D1154B5"/>
    <w:rsid w:val="1D3D373B"/>
    <w:rsid w:val="1D5012BE"/>
    <w:rsid w:val="1D8E1E1C"/>
    <w:rsid w:val="1DA17E5B"/>
    <w:rsid w:val="1DC6667B"/>
    <w:rsid w:val="1DE6685E"/>
    <w:rsid w:val="1DF662AF"/>
    <w:rsid w:val="1E2D23BB"/>
    <w:rsid w:val="1E346777"/>
    <w:rsid w:val="1E562DC5"/>
    <w:rsid w:val="1E7F6AF9"/>
    <w:rsid w:val="1EC43CA4"/>
    <w:rsid w:val="1EE6343F"/>
    <w:rsid w:val="1F2C38BD"/>
    <w:rsid w:val="1F74425E"/>
    <w:rsid w:val="1FB71844"/>
    <w:rsid w:val="1FCA3C35"/>
    <w:rsid w:val="1FE20FC1"/>
    <w:rsid w:val="202D73EF"/>
    <w:rsid w:val="203B00A0"/>
    <w:rsid w:val="20AC0B6E"/>
    <w:rsid w:val="210D5D91"/>
    <w:rsid w:val="21306EA4"/>
    <w:rsid w:val="21512CD2"/>
    <w:rsid w:val="216E1A6E"/>
    <w:rsid w:val="224746E2"/>
    <w:rsid w:val="225E0BBA"/>
    <w:rsid w:val="22AE1DE0"/>
    <w:rsid w:val="230610D6"/>
    <w:rsid w:val="234B7E7A"/>
    <w:rsid w:val="23842A0A"/>
    <w:rsid w:val="23DD4B71"/>
    <w:rsid w:val="23EE6873"/>
    <w:rsid w:val="240A65E4"/>
    <w:rsid w:val="240F50BD"/>
    <w:rsid w:val="245A261A"/>
    <w:rsid w:val="24E011DB"/>
    <w:rsid w:val="250234DF"/>
    <w:rsid w:val="250B25D8"/>
    <w:rsid w:val="25407828"/>
    <w:rsid w:val="255167B3"/>
    <w:rsid w:val="25562D35"/>
    <w:rsid w:val="258D66AC"/>
    <w:rsid w:val="25A07F99"/>
    <w:rsid w:val="25C73461"/>
    <w:rsid w:val="25C867F3"/>
    <w:rsid w:val="25E330C5"/>
    <w:rsid w:val="261B1094"/>
    <w:rsid w:val="261F6773"/>
    <w:rsid w:val="26886044"/>
    <w:rsid w:val="26B37986"/>
    <w:rsid w:val="26CC2D61"/>
    <w:rsid w:val="26DB2D68"/>
    <w:rsid w:val="27043F59"/>
    <w:rsid w:val="27585021"/>
    <w:rsid w:val="276C6B17"/>
    <w:rsid w:val="27811004"/>
    <w:rsid w:val="27A21D15"/>
    <w:rsid w:val="27C77343"/>
    <w:rsid w:val="283C227C"/>
    <w:rsid w:val="287A722F"/>
    <w:rsid w:val="289C4A2F"/>
    <w:rsid w:val="28C108B1"/>
    <w:rsid w:val="28C46A1B"/>
    <w:rsid w:val="28D1765D"/>
    <w:rsid w:val="296B2895"/>
    <w:rsid w:val="2973706E"/>
    <w:rsid w:val="29890311"/>
    <w:rsid w:val="299D595A"/>
    <w:rsid w:val="29C35B09"/>
    <w:rsid w:val="2A0129F6"/>
    <w:rsid w:val="2A0D0E7F"/>
    <w:rsid w:val="2A1240A6"/>
    <w:rsid w:val="2A34389F"/>
    <w:rsid w:val="2A4868D8"/>
    <w:rsid w:val="2A652D23"/>
    <w:rsid w:val="2A8775D4"/>
    <w:rsid w:val="2A9F4AAD"/>
    <w:rsid w:val="2AE73D51"/>
    <w:rsid w:val="2B2218B0"/>
    <w:rsid w:val="2B343ECC"/>
    <w:rsid w:val="2B5C2B9C"/>
    <w:rsid w:val="2B730039"/>
    <w:rsid w:val="2BA91EAE"/>
    <w:rsid w:val="2BB0461E"/>
    <w:rsid w:val="2BBD43D2"/>
    <w:rsid w:val="2BEB139E"/>
    <w:rsid w:val="2C1D3AF0"/>
    <w:rsid w:val="2C3C748E"/>
    <w:rsid w:val="2C4D7D3C"/>
    <w:rsid w:val="2C5059DA"/>
    <w:rsid w:val="2C5E4774"/>
    <w:rsid w:val="2C8E2972"/>
    <w:rsid w:val="2C913A5F"/>
    <w:rsid w:val="2C944132"/>
    <w:rsid w:val="2CAA6513"/>
    <w:rsid w:val="2CC81B6F"/>
    <w:rsid w:val="2CF32326"/>
    <w:rsid w:val="2D401482"/>
    <w:rsid w:val="2D6B4049"/>
    <w:rsid w:val="2DCF15B4"/>
    <w:rsid w:val="2E060B47"/>
    <w:rsid w:val="2E675CB6"/>
    <w:rsid w:val="2E97662E"/>
    <w:rsid w:val="2EC34221"/>
    <w:rsid w:val="2ED67FE4"/>
    <w:rsid w:val="2F030222"/>
    <w:rsid w:val="2F2A0BB8"/>
    <w:rsid w:val="2F326A92"/>
    <w:rsid w:val="2F952EB1"/>
    <w:rsid w:val="2FC65301"/>
    <w:rsid w:val="2FFB6945"/>
    <w:rsid w:val="301B203D"/>
    <w:rsid w:val="30225048"/>
    <w:rsid w:val="302F5D7D"/>
    <w:rsid w:val="307034AB"/>
    <w:rsid w:val="308F751E"/>
    <w:rsid w:val="30A02C68"/>
    <w:rsid w:val="30EF6AE6"/>
    <w:rsid w:val="30F0631C"/>
    <w:rsid w:val="31117382"/>
    <w:rsid w:val="31282E77"/>
    <w:rsid w:val="3128472F"/>
    <w:rsid w:val="317C17F7"/>
    <w:rsid w:val="31BD0A69"/>
    <w:rsid w:val="31D0139D"/>
    <w:rsid w:val="31EF5519"/>
    <w:rsid w:val="31F61910"/>
    <w:rsid w:val="32030635"/>
    <w:rsid w:val="3220082C"/>
    <w:rsid w:val="32235AB9"/>
    <w:rsid w:val="322E06A4"/>
    <w:rsid w:val="32321AB9"/>
    <w:rsid w:val="32427031"/>
    <w:rsid w:val="324B7619"/>
    <w:rsid w:val="32540E0E"/>
    <w:rsid w:val="32A62C41"/>
    <w:rsid w:val="32B466AC"/>
    <w:rsid w:val="32CF1B7E"/>
    <w:rsid w:val="32E809F5"/>
    <w:rsid w:val="32F22EDD"/>
    <w:rsid w:val="32F42B33"/>
    <w:rsid w:val="333D436A"/>
    <w:rsid w:val="33740DD2"/>
    <w:rsid w:val="337629C2"/>
    <w:rsid w:val="33836629"/>
    <w:rsid w:val="33CB4AB8"/>
    <w:rsid w:val="34402732"/>
    <w:rsid w:val="34A8376D"/>
    <w:rsid w:val="34B25AB8"/>
    <w:rsid w:val="357356CD"/>
    <w:rsid w:val="3595390E"/>
    <w:rsid w:val="35CE37DB"/>
    <w:rsid w:val="35F15E12"/>
    <w:rsid w:val="3623408C"/>
    <w:rsid w:val="364B2EA2"/>
    <w:rsid w:val="368657FE"/>
    <w:rsid w:val="369A2019"/>
    <w:rsid w:val="369A4EA6"/>
    <w:rsid w:val="36AA5BC6"/>
    <w:rsid w:val="36C319E6"/>
    <w:rsid w:val="371640F9"/>
    <w:rsid w:val="37765B89"/>
    <w:rsid w:val="37C75103"/>
    <w:rsid w:val="380713C4"/>
    <w:rsid w:val="380B70C9"/>
    <w:rsid w:val="381A2644"/>
    <w:rsid w:val="38303BA2"/>
    <w:rsid w:val="38360931"/>
    <w:rsid w:val="383D6B0A"/>
    <w:rsid w:val="385A3FC5"/>
    <w:rsid w:val="3871422B"/>
    <w:rsid w:val="38BE3AFE"/>
    <w:rsid w:val="392B1DC5"/>
    <w:rsid w:val="3934169D"/>
    <w:rsid w:val="39A20341"/>
    <w:rsid w:val="39A60397"/>
    <w:rsid w:val="39D038E2"/>
    <w:rsid w:val="3A1C391E"/>
    <w:rsid w:val="3A223197"/>
    <w:rsid w:val="3A2C2CB0"/>
    <w:rsid w:val="3A623D5C"/>
    <w:rsid w:val="3A7F2907"/>
    <w:rsid w:val="3A910196"/>
    <w:rsid w:val="3A95086A"/>
    <w:rsid w:val="3AAB09E1"/>
    <w:rsid w:val="3AB071B2"/>
    <w:rsid w:val="3AE034D3"/>
    <w:rsid w:val="3B021A6B"/>
    <w:rsid w:val="3B041427"/>
    <w:rsid w:val="3B1F059D"/>
    <w:rsid w:val="3B2D612D"/>
    <w:rsid w:val="3B376954"/>
    <w:rsid w:val="3B3B50FA"/>
    <w:rsid w:val="3B6F15F6"/>
    <w:rsid w:val="3B871DEE"/>
    <w:rsid w:val="3BD244B2"/>
    <w:rsid w:val="3BFB4B8C"/>
    <w:rsid w:val="3C0F7E93"/>
    <w:rsid w:val="3C1F1CCD"/>
    <w:rsid w:val="3C4E0FF5"/>
    <w:rsid w:val="3C545A23"/>
    <w:rsid w:val="3C6E26F4"/>
    <w:rsid w:val="3C8B3143"/>
    <w:rsid w:val="3C9764A7"/>
    <w:rsid w:val="3CF576C7"/>
    <w:rsid w:val="3CF578AF"/>
    <w:rsid w:val="3D2422AA"/>
    <w:rsid w:val="3D2B3CA1"/>
    <w:rsid w:val="3D54332A"/>
    <w:rsid w:val="3D6312F3"/>
    <w:rsid w:val="3D63681A"/>
    <w:rsid w:val="3D725AE4"/>
    <w:rsid w:val="3D823F5C"/>
    <w:rsid w:val="3D84372B"/>
    <w:rsid w:val="3DC65BE7"/>
    <w:rsid w:val="3DD03784"/>
    <w:rsid w:val="3DD119FA"/>
    <w:rsid w:val="3DE44A24"/>
    <w:rsid w:val="3DEB6749"/>
    <w:rsid w:val="3E0A4767"/>
    <w:rsid w:val="3E181764"/>
    <w:rsid w:val="3E1A3266"/>
    <w:rsid w:val="3E3A0F7B"/>
    <w:rsid w:val="3E3D2C9F"/>
    <w:rsid w:val="3E7276C4"/>
    <w:rsid w:val="3E9A0817"/>
    <w:rsid w:val="3E9C4FEB"/>
    <w:rsid w:val="3EC51C48"/>
    <w:rsid w:val="3EC76373"/>
    <w:rsid w:val="3ED33C0A"/>
    <w:rsid w:val="3F7E258B"/>
    <w:rsid w:val="3F8B5733"/>
    <w:rsid w:val="3FBC4F81"/>
    <w:rsid w:val="3FCF74C7"/>
    <w:rsid w:val="3FF7342E"/>
    <w:rsid w:val="4007721C"/>
    <w:rsid w:val="40422B4D"/>
    <w:rsid w:val="40532DCC"/>
    <w:rsid w:val="40913CF0"/>
    <w:rsid w:val="40CF68EE"/>
    <w:rsid w:val="40D51A4D"/>
    <w:rsid w:val="40F92AEB"/>
    <w:rsid w:val="411F7AC0"/>
    <w:rsid w:val="412B3317"/>
    <w:rsid w:val="41380617"/>
    <w:rsid w:val="413B49B3"/>
    <w:rsid w:val="416E5004"/>
    <w:rsid w:val="41863430"/>
    <w:rsid w:val="41F77652"/>
    <w:rsid w:val="420C5EA8"/>
    <w:rsid w:val="422E33BF"/>
    <w:rsid w:val="42640DB4"/>
    <w:rsid w:val="426F0B0E"/>
    <w:rsid w:val="42AA4FB7"/>
    <w:rsid w:val="42DF0E14"/>
    <w:rsid w:val="42F06B27"/>
    <w:rsid w:val="43320C92"/>
    <w:rsid w:val="43821F94"/>
    <w:rsid w:val="43953C9F"/>
    <w:rsid w:val="43991E2B"/>
    <w:rsid w:val="43B13FCC"/>
    <w:rsid w:val="43C442BF"/>
    <w:rsid w:val="43E40D93"/>
    <w:rsid w:val="4422224D"/>
    <w:rsid w:val="44400397"/>
    <w:rsid w:val="447B78EA"/>
    <w:rsid w:val="449C39BD"/>
    <w:rsid w:val="44DB37D7"/>
    <w:rsid w:val="45013C32"/>
    <w:rsid w:val="450A7497"/>
    <w:rsid w:val="451775D7"/>
    <w:rsid w:val="45412757"/>
    <w:rsid w:val="454C754D"/>
    <w:rsid w:val="461C75E6"/>
    <w:rsid w:val="464A2374"/>
    <w:rsid w:val="467E0039"/>
    <w:rsid w:val="46E06D54"/>
    <w:rsid w:val="470F4F38"/>
    <w:rsid w:val="4743461B"/>
    <w:rsid w:val="47747257"/>
    <w:rsid w:val="47766798"/>
    <w:rsid w:val="47771EE2"/>
    <w:rsid w:val="477D5A01"/>
    <w:rsid w:val="47804960"/>
    <w:rsid w:val="4792492B"/>
    <w:rsid w:val="47986729"/>
    <w:rsid w:val="47D137A5"/>
    <w:rsid w:val="47E54532"/>
    <w:rsid w:val="47F23719"/>
    <w:rsid w:val="48276F53"/>
    <w:rsid w:val="48546022"/>
    <w:rsid w:val="48793A17"/>
    <w:rsid w:val="48A811B2"/>
    <w:rsid w:val="48C87725"/>
    <w:rsid w:val="48EC444D"/>
    <w:rsid w:val="48F72B06"/>
    <w:rsid w:val="491C1D96"/>
    <w:rsid w:val="4920770E"/>
    <w:rsid w:val="492A22B5"/>
    <w:rsid w:val="497C6B0E"/>
    <w:rsid w:val="49825EAF"/>
    <w:rsid w:val="49933AB3"/>
    <w:rsid w:val="4A483B90"/>
    <w:rsid w:val="4A4F06B0"/>
    <w:rsid w:val="4A506F20"/>
    <w:rsid w:val="4A874CBD"/>
    <w:rsid w:val="4AA47CEF"/>
    <w:rsid w:val="4ADD7DE7"/>
    <w:rsid w:val="4AE90790"/>
    <w:rsid w:val="4AEE787E"/>
    <w:rsid w:val="4B150276"/>
    <w:rsid w:val="4B182BCD"/>
    <w:rsid w:val="4B1E2899"/>
    <w:rsid w:val="4B210E8A"/>
    <w:rsid w:val="4B517CEF"/>
    <w:rsid w:val="4B7F5EA7"/>
    <w:rsid w:val="4B976D48"/>
    <w:rsid w:val="4B9E723A"/>
    <w:rsid w:val="4BAC418D"/>
    <w:rsid w:val="4BBC7ADE"/>
    <w:rsid w:val="4C4D4A97"/>
    <w:rsid w:val="4C7059F4"/>
    <w:rsid w:val="4C8B6D4F"/>
    <w:rsid w:val="4CD36DC8"/>
    <w:rsid w:val="4CD70849"/>
    <w:rsid w:val="4D2C78F8"/>
    <w:rsid w:val="4D475D7D"/>
    <w:rsid w:val="4D5536C5"/>
    <w:rsid w:val="4D8134F9"/>
    <w:rsid w:val="4D9B2AFA"/>
    <w:rsid w:val="4DE4359B"/>
    <w:rsid w:val="4DF430BF"/>
    <w:rsid w:val="4E0823CB"/>
    <w:rsid w:val="4E0D2249"/>
    <w:rsid w:val="4E11154A"/>
    <w:rsid w:val="4E404B20"/>
    <w:rsid w:val="4E7E67D5"/>
    <w:rsid w:val="4E890D29"/>
    <w:rsid w:val="4EA6738E"/>
    <w:rsid w:val="4ED55CF0"/>
    <w:rsid w:val="4EF1548F"/>
    <w:rsid w:val="4F090633"/>
    <w:rsid w:val="4F1249D0"/>
    <w:rsid w:val="4F162507"/>
    <w:rsid w:val="4F6F61CB"/>
    <w:rsid w:val="4F7E3917"/>
    <w:rsid w:val="4F8C1667"/>
    <w:rsid w:val="4F8C4CD5"/>
    <w:rsid w:val="4F8E57DE"/>
    <w:rsid w:val="4FF9325D"/>
    <w:rsid w:val="4FFA3BCD"/>
    <w:rsid w:val="50726824"/>
    <w:rsid w:val="509739EF"/>
    <w:rsid w:val="510137EB"/>
    <w:rsid w:val="511150E9"/>
    <w:rsid w:val="51536AA5"/>
    <w:rsid w:val="51AD18DD"/>
    <w:rsid w:val="51E70702"/>
    <w:rsid w:val="51FF2A45"/>
    <w:rsid w:val="52173FBA"/>
    <w:rsid w:val="5255651D"/>
    <w:rsid w:val="529458CE"/>
    <w:rsid w:val="52990BF7"/>
    <w:rsid w:val="529A0A1E"/>
    <w:rsid w:val="52AE2277"/>
    <w:rsid w:val="52B03DC0"/>
    <w:rsid w:val="52B94A03"/>
    <w:rsid w:val="52DB152B"/>
    <w:rsid w:val="52EC62EE"/>
    <w:rsid w:val="531707EC"/>
    <w:rsid w:val="53335530"/>
    <w:rsid w:val="533A3D69"/>
    <w:rsid w:val="534901D2"/>
    <w:rsid w:val="53500C19"/>
    <w:rsid w:val="536E125F"/>
    <w:rsid w:val="53D71141"/>
    <w:rsid w:val="53D71E70"/>
    <w:rsid w:val="54067A66"/>
    <w:rsid w:val="540F3590"/>
    <w:rsid w:val="54320703"/>
    <w:rsid w:val="543E4715"/>
    <w:rsid w:val="5451004C"/>
    <w:rsid w:val="54851639"/>
    <w:rsid w:val="5522484B"/>
    <w:rsid w:val="557D0569"/>
    <w:rsid w:val="5587570B"/>
    <w:rsid w:val="558A22AC"/>
    <w:rsid w:val="558E6ABB"/>
    <w:rsid w:val="55A355F9"/>
    <w:rsid w:val="55DD64A1"/>
    <w:rsid w:val="55E82A81"/>
    <w:rsid w:val="56302D26"/>
    <w:rsid w:val="56331170"/>
    <w:rsid w:val="563A6413"/>
    <w:rsid w:val="564911C2"/>
    <w:rsid w:val="56AB7E7B"/>
    <w:rsid w:val="57123B2E"/>
    <w:rsid w:val="57552B9B"/>
    <w:rsid w:val="575E21DA"/>
    <w:rsid w:val="57631A68"/>
    <w:rsid w:val="57795016"/>
    <w:rsid w:val="57887785"/>
    <w:rsid w:val="578E7BD3"/>
    <w:rsid w:val="57CB3ED8"/>
    <w:rsid w:val="57EA0264"/>
    <w:rsid w:val="5812458E"/>
    <w:rsid w:val="581E7071"/>
    <w:rsid w:val="582F5586"/>
    <w:rsid w:val="58442023"/>
    <w:rsid w:val="587A5997"/>
    <w:rsid w:val="588F4F06"/>
    <w:rsid w:val="58F87317"/>
    <w:rsid w:val="590C70E6"/>
    <w:rsid w:val="59306A4B"/>
    <w:rsid w:val="59BD00B7"/>
    <w:rsid w:val="5A032C9A"/>
    <w:rsid w:val="5A3767E8"/>
    <w:rsid w:val="5A4630A9"/>
    <w:rsid w:val="5A4B58AF"/>
    <w:rsid w:val="5A765831"/>
    <w:rsid w:val="5A7E678F"/>
    <w:rsid w:val="5AAB2FC1"/>
    <w:rsid w:val="5AD54702"/>
    <w:rsid w:val="5AFC0D72"/>
    <w:rsid w:val="5B0424EF"/>
    <w:rsid w:val="5B0B08EB"/>
    <w:rsid w:val="5B255345"/>
    <w:rsid w:val="5B2A53E5"/>
    <w:rsid w:val="5B773FA4"/>
    <w:rsid w:val="5BD40309"/>
    <w:rsid w:val="5BD64942"/>
    <w:rsid w:val="5BF57A15"/>
    <w:rsid w:val="5C0B7082"/>
    <w:rsid w:val="5C2B4A66"/>
    <w:rsid w:val="5C322AFD"/>
    <w:rsid w:val="5C446B7B"/>
    <w:rsid w:val="5C530B22"/>
    <w:rsid w:val="5C585369"/>
    <w:rsid w:val="5C5B037B"/>
    <w:rsid w:val="5CFB41A1"/>
    <w:rsid w:val="5D102374"/>
    <w:rsid w:val="5D3021F2"/>
    <w:rsid w:val="5D3530B4"/>
    <w:rsid w:val="5D672797"/>
    <w:rsid w:val="5DA0223F"/>
    <w:rsid w:val="5DAD53F7"/>
    <w:rsid w:val="5DCC7928"/>
    <w:rsid w:val="5E2F137A"/>
    <w:rsid w:val="5E461F43"/>
    <w:rsid w:val="5E5E5545"/>
    <w:rsid w:val="5E6E228D"/>
    <w:rsid w:val="5E6F35AF"/>
    <w:rsid w:val="5EBB50C7"/>
    <w:rsid w:val="5EBD2F7D"/>
    <w:rsid w:val="5EDE1B19"/>
    <w:rsid w:val="5F0E251D"/>
    <w:rsid w:val="5F2343C8"/>
    <w:rsid w:val="5F2C7FA2"/>
    <w:rsid w:val="5F302399"/>
    <w:rsid w:val="5F481876"/>
    <w:rsid w:val="5F4929A6"/>
    <w:rsid w:val="5F63756F"/>
    <w:rsid w:val="5F6A7E1E"/>
    <w:rsid w:val="5F70255B"/>
    <w:rsid w:val="5F72040A"/>
    <w:rsid w:val="5F873308"/>
    <w:rsid w:val="6005239A"/>
    <w:rsid w:val="602142BA"/>
    <w:rsid w:val="60261C49"/>
    <w:rsid w:val="604A517F"/>
    <w:rsid w:val="60952502"/>
    <w:rsid w:val="60AB5358"/>
    <w:rsid w:val="60AD60D5"/>
    <w:rsid w:val="60AE78E6"/>
    <w:rsid w:val="60CD471D"/>
    <w:rsid w:val="60DC6EB3"/>
    <w:rsid w:val="60FC1A14"/>
    <w:rsid w:val="61477354"/>
    <w:rsid w:val="61690CDF"/>
    <w:rsid w:val="61D1258B"/>
    <w:rsid w:val="61E52C2B"/>
    <w:rsid w:val="61EE7ABE"/>
    <w:rsid w:val="62AA4627"/>
    <w:rsid w:val="62C64CAB"/>
    <w:rsid w:val="62C87364"/>
    <w:rsid w:val="6347415F"/>
    <w:rsid w:val="635A292F"/>
    <w:rsid w:val="63A04A4A"/>
    <w:rsid w:val="63C73303"/>
    <w:rsid w:val="63F66130"/>
    <w:rsid w:val="64160AED"/>
    <w:rsid w:val="641A1978"/>
    <w:rsid w:val="64A06D7E"/>
    <w:rsid w:val="64AA3C02"/>
    <w:rsid w:val="64D373D5"/>
    <w:rsid w:val="64FA7EF1"/>
    <w:rsid w:val="64FF1530"/>
    <w:rsid w:val="653553E4"/>
    <w:rsid w:val="655807AC"/>
    <w:rsid w:val="66293A88"/>
    <w:rsid w:val="663040C8"/>
    <w:rsid w:val="66CE76AA"/>
    <w:rsid w:val="66DB2DEC"/>
    <w:rsid w:val="673C3B20"/>
    <w:rsid w:val="676D1C85"/>
    <w:rsid w:val="677B0B79"/>
    <w:rsid w:val="678E43D7"/>
    <w:rsid w:val="67C97B76"/>
    <w:rsid w:val="67D743F6"/>
    <w:rsid w:val="67F851A0"/>
    <w:rsid w:val="68154B28"/>
    <w:rsid w:val="68436C40"/>
    <w:rsid w:val="684A6664"/>
    <w:rsid w:val="686E2F90"/>
    <w:rsid w:val="68A70B9F"/>
    <w:rsid w:val="68F2617C"/>
    <w:rsid w:val="69125294"/>
    <w:rsid w:val="691F576F"/>
    <w:rsid w:val="69393F40"/>
    <w:rsid w:val="69463BD4"/>
    <w:rsid w:val="69601D71"/>
    <w:rsid w:val="69737906"/>
    <w:rsid w:val="697C2493"/>
    <w:rsid w:val="698860B8"/>
    <w:rsid w:val="69AC3539"/>
    <w:rsid w:val="69D06BAD"/>
    <w:rsid w:val="69ED7058"/>
    <w:rsid w:val="6A147AC8"/>
    <w:rsid w:val="6A272F10"/>
    <w:rsid w:val="6A2C6D24"/>
    <w:rsid w:val="6A3C00A1"/>
    <w:rsid w:val="6A3F268B"/>
    <w:rsid w:val="6A6B73C3"/>
    <w:rsid w:val="6A78794D"/>
    <w:rsid w:val="6A9C7821"/>
    <w:rsid w:val="6AF70951"/>
    <w:rsid w:val="6B4A6F94"/>
    <w:rsid w:val="6BA501B5"/>
    <w:rsid w:val="6BBA01E1"/>
    <w:rsid w:val="6BDA7CFF"/>
    <w:rsid w:val="6BF04A9C"/>
    <w:rsid w:val="6C0877AB"/>
    <w:rsid w:val="6C0F3D11"/>
    <w:rsid w:val="6C201AF0"/>
    <w:rsid w:val="6C2A34FC"/>
    <w:rsid w:val="6C2B29D4"/>
    <w:rsid w:val="6C2F1B9C"/>
    <w:rsid w:val="6C3727C2"/>
    <w:rsid w:val="6C416227"/>
    <w:rsid w:val="6C727114"/>
    <w:rsid w:val="6C8175EB"/>
    <w:rsid w:val="6CA6349E"/>
    <w:rsid w:val="6CD6671B"/>
    <w:rsid w:val="6D0C2478"/>
    <w:rsid w:val="6D754F28"/>
    <w:rsid w:val="6D8D05FA"/>
    <w:rsid w:val="6D9335A3"/>
    <w:rsid w:val="6DCC3677"/>
    <w:rsid w:val="6DE75FE9"/>
    <w:rsid w:val="6E4858CF"/>
    <w:rsid w:val="6E8C764F"/>
    <w:rsid w:val="6EC56427"/>
    <w:rsid w:val="6EF572A8"/>
    <w:rsid w:val="6EFA463B"/>
    <w:rsid w:val="6F227D11"/>
    <w:rsid w:val="6F3203A1"/>
    <w:rsid w:val="6F8952E6"/>
    <w:rsid w:val="6FA327D2"/>
    <w:rsid w:val="6FE40F11"/>
    <w:rsid w:val="7010148B"/>
    <w:rsid w:val="70271E38"/>
    <w:rsid w:val="702D43C9"/>
    <w:rsid w:val="70632937"/>
    <w:rsid w:val="7078073D"/>
    <w:rsid w:val="71065F09"/>
    <w:rsid w:val="712A435C"/>
    <w:rsid w:val="712E1021"/>
    <w:rsid w:val="7134285C"/>
    <w:rsid w:val="716B34BC"/>
    <w:rsid w:val="717808D4"/>
    <w:rsid w:val="71AF6028"/>
    <w:rsid w:val="71B75197"/>
    <w:rsid w:val="71D97F52"/>
    <w:rsid w:val="71F62C58"/>
    <w:rsid w:val="71F91F19"/>
    <w:rsid w:val="720211C8"/>
    <w:rsid w:val="724F582C"/>
    <w:rsid w:val="7253166C"/>
    <w:rsid w:val="72647B46"/>
    <w:rsid w:val="72AC0816"/>
    <w:rsid w:val="72D42670"/>
    <w:rsid w:val="731A2D19"/>
    <w:rsid w:val="731D5DA3"/>
    <w:rsid w:val="73246070"/>
    <w:rsid w:val="735469B1"/>
    <w:rsid w:val="73657015"/>
    <w:rsid w:val="738344D6"/>
    <w:rsid w:val="73C76C0F"/>
    <w:rsid w:val="73E90B0A"/>
    <w:rsid w:val="74234FA4"/>
    <w:rsid w:val="745A6D84"/>
    <w:rsid w:val="74D15131"/>
    <w:rsid w:val="74E925F3"/>
    <w:rsid w:val="74F276CF"/>
    <w:rsid w:val="750217DB"/>
    <w:rsid w:val="7515366C"/>
    <w:rsid w:val="754E3E4C"/>
    <w:rsid w:val="755A14C0"/>
    <w:rsid w:val="757A1131"/>
    <w:rsid w:val="75895C34"/>
    <w:rsid w:val="759A3867"/>
    <w:rsid w:val="75C66DE4"/>
    <w:rsid w:val="7642621F"/>
    <w:rsid w:val="7698562C"/>
    <w:rsid w:val="769B26AD"/>
    <w:rsid w:val="770A266F"/>
    <w:rsid w:val="772124BC"/>
    <w:rsid w:val="77404C59"/>
    <w:rsid w:val="77411964"/>
    <w:rsid w:val="776B6BBF"/>
    <w:rsid w:val="7772531A"/>
    <w:rsid w:val="77B7581D"/>
    <w:rsid w:val="77BE0D98"/>
    <w:rsid w:val="77D9206F"/>
    <w:rsid w:val="77DA375C"/>
    <w:rsid w:val="77DC1B06"/>
    <w:rsid w:val="78187E7A"/>
    <w:rsid w:val="78345E13"/>
    <w:rsid w:val="7876440E"/>
    <w:rsid w:val="789372C0"/>
    <w:rsid w:val="78A5634E"/>
    <w:rsid w:val="795221A8"/>
    <w:rsid w:val="79561463"/>
    <w:rsid w:val="795C5A04"/>
    <w:rsid w:val="797A48CF"/>
    <w:rsid w:val="798E06BC"/>
    <w:rsid w:val="79D95C3C"/>
    <w:rsid w:val="79E9620E"/>
    <w:rsid w:val="7A2D5E35"/>
    <w:rsid w:val="7A343008"/>
    <w:rsid w:val="7A652575"/>
    <w:rsid w:val="7A711B09"/>
    <w:rsid w:val="7A9E089B"/>
    <w:rsid w:val="7AAB0A4C"/>
    <w:rsid w:val="7ABE4771"/>
    <w:rsid w:val="7AC44622"/>
    <w:rsid w:val="7AD7404E"/>
    <w:rsid w:val="7B03411C"/>
    <w:rsid w:val="7B1C3ABE"/>
    <w:rsid w:val="7B496D47"/>
    <w:rsid w:val="7B5A23DF"/>
    <w:rsid w:val="7B7E3DDE"/>
    <w:rsid w:val="7C2049B9"/>
    <w:rsid w:val="7C300C1D"/>
    <w:rsid w:val="7C3A1460"/>
    <w:rsid w:val="7C5B3806"/>
    <w:rsid w:val="7C910A76"/>
    <w:rsid w:val="7C9B7D23"/>
    <w:rsid w:val="7D06121F"/>
    <w:rsid w:val="7D1B5A7A"/>
    <w:rsid w:val="7D5F7950"/>
    <w:rsid w:val="7D8A509E"/>
    <w:rsid w:val="7D8D4E59"/>
    <w:rsid w:val="7D8E2B8C"/>
    <w:rsid w:val="7DCA37F5"/>
    <w:rsid w:val="7DD40070"/>
    <w:rsid w:val="7E063AC9"/>
    <w:rsid w:val="7E252092"/>
    <w:rsid w:val="7E253A92"/>
    <w:rsid w:val="7E80056C"/>
    <w:rsid w:val="7EB24E86"/>
    <w:rsid w:val="7EBD3909"/>
    <w:rsid w:val="7EC765B2"/>
    <w:rsid w:val="7F2001D7"/>
    <w:rsid w:val="7F3C24B7"/>
    <w:rsid w:val="7F4967B5"/>
    <w:rsid w:val="7F5829C9"/>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uiPriority="99" w:name="macro"/>
    <w:lsdException w:qFormat="1" w:uiPriority="0" w:semiHidden="0"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0"/>
    <w:pPr>
      <w:keepNext/>
      <w:keepLines/>
      <w:spacing w:before="60" w:after="60" w:line="413" w:lineRule="auto"/>
      <w:outlineLvl w:val="1"/>
    </w:pPr>
    <w:rPr>
      <w:rFonts w:ascii="Arial" w:hAnsi="Arial" w:eastAsia="黑体"/>
      <w:b/>
      <w:bCs/>
      <w:kern w:val="0"/>
      <w:sz w:val="20"/>
      <w:szCs w:val="32"/>
    </w:rPr>
  </w:style>
  <w:style w:type="paragraph" w:styleId="4">
    <w:name w:val="heading 3"/>
    <w:basedOn w:val="1"/>
    <w:next w:val="1"/>
    <w:link w:val="70"/>
    <w:qFormat/>
    <w:uiPriority w:val="0"/>
    <w:pPr>
      <w:keepNext/>
      <w:keepLines/>
      <w:spacing w:line="360" w:lineRule="auto"/>
      <w:outlineLvl w:val="2"/>
    </w:pPr>
    <w:rPr>
      <w:rFonts w:eastAsia="黑体"/>
      <w:b/>
      <w:bCs/>
      <w:kern w:val="0"/>
      <w:sz w:val="20"/>
      <w:szCs w:val="32"/>
    </w:rPr>
  </w:style>
  <w:style w:type="paragraph" w:styleId="5">
    <w:name w:val="heading 4"/>
    <w:basedOn w:val="1"/>
    <w:next w:val="1"/>
    <w:link w:val="71"/>
    <w:qFormat/>
    <w:uiPriority w:val="0"/>
    <w:pPr>
      <w:keepNext/>
      <w:keepLines/>
      <w:spacing w:line="360" w:lineRule="auto"/>
      <w:outlineLvl w:val="3"/>
    </w:pPr>
    <w:rPr>
      <w:rFonts w:ascii="Arial" w:hAnsi="Arial"/>
      <w:b/>
      <w:bCs/>
      <w:kern w:val="0"/>
      <w:sz w:val="20"/>
      <w:szCs w:val="28"/>
    </w:rPr>
  </w:style>
  <w:style w:type="paragraph" w:styleId="6">
    <w:name w:val="heading 5"/>
    <w:basedOn w:val="1"/>
    <w:next w:val="7"/>
    <w:link w:val="72"/>
    <w:qFormat/>
    <w:uiPriority w:val="0"/>
    <w:pPr>
      <w:keepNext/>
      <w:keepLines/>
      <w:numPr>
        <w:ilvl w:val="4"/>
        <w:numId w:val="1"/>
      </w:numPr>
      <w:spacing w:before="280" w:after="290" w:line="376" w:lineRule="auto"/>
      <w:outlineLvl w:val="4"/>
    </w:pPr>
    <w:rPr>
      <w:b/>
      <w:kern w:val="0"/>
      <w:sz w:val="28"/>
    </w:rPr>
  </w:style>
  <w:style w:type="paragraph" w:styleId="8">
    <w:name w:val="heading 6"/>
    <w:basedOn w:val="1"/>
    <w:next w:val="7"/>
    <w:link w:val="74"/>
    <w:qFormat/>
    <w:uiPriority w:val="0"/>
    <w:pPr>
      <w:keepNext/>
      <w:keepLines/>
      <w:numPr>
        <w:ilvl w:val="5"/>
        <w:numId w:val="1"/>
      </w:numPr>
      <w:spacing w:before="240" w:after="64" w:line="320" w:lineRule="auto"/>
      <w:outlineLvl w:val="5"/>
    </w:pPr>
    <w:rPr>
      <w:rFonts w:ascii="Arial" w:hAnsi="Arial" w:eastAsia="黑体"/>
      <w:b/>
      <w:kern w:val="0"/>
      <w:sz w:val="24"/>
    </w:rPr>
  </w:style>
  <w:style w:type="paragraph" w:styleId="9">
    <w:name w:val="heading 7"/>
    <w:basedOn w:val="1"/>
    <w:next w:val="7"/>
    <w:link w:val="75"/>
    <w:qFormat/>
    <w:uiPriority w:val="0"/>
    <w:pPr>
      <w:keepNext/>
      <w:keepLines/>
      <w:numPr>
        <w:ilvl w:val="6"/>
        <w:numId w:val="1"/>
      </w:numPr>
      <w:spacing w:before="240" w:after="64" w:line="320" w:lineRule="auto"/>
      <w:outlineLvl w:val="6"/>
    </w:pPr>
    <w:rPr>
      <w:b/>
      <w:kern w:val="0"/>
      <w:sz w:val="24"/>
    </w:rPr>
  </w:style>
  <w:style w:type="paragraph" w:styleId="10">
    <w:name w:val="heading 8"/>
    <w:basedOn w:val="1"/>
    <w:next w:val="7"/>
    <w:link w:val="76"/>
    <w:qFormat/>
    <w:uiPriority w:val="0"/>
    <w:pPr>
      <w:keepNext/>
      <w:keepLines/>
      <w:numPr>
        <w:ilvl w:val="7"/>
        <w:numId w:val="1"/>
      </w:numPr>
      <w:spacing w:before="240" w:after="64" w:line="320" w:lineRule="auto"/>
      <w:outlineLvl w:val="7"/>
    </w:pPr>
    <w:rPr>
      <w:rFonts w:ascii="Arial" w:hAnsi="Arial" w:eastAsia="黑体"/>
      <w:kern w:val="0"/>
      <w:sz w:val="24"/>
    </w:rPr>
  </w:style>
  <w:style w:type="paragraph" w:styleId="11">
    <w:name w:val="heading 9"/>
    <w:basedOn w:val="1"/>
    <w:next w:val="7"/>
    <w:link w:val="77"/>
    <w:qFormat/>
    <w:uiPriority w:val="0"/>
    <w:pPr>
      <w:keepNext/>
      <w:keepLines/>
      <w:numPr>
        <w:ilvl w:val="8"/>
        <w:numId w:val="1"/>
      </w:numPr>
      <w:spacing w:before="240" w:after="64" w:line="320" w:lineRule="auto"/>
      <w:outlineLvl w:val="8"/>
    </w:pPr>
    <w:rPr>
      <w:rFonts w:ascii="Arial" w:hAnsi="Arial" w:eastAsia="黑体"/>
      <w:kern w:val="0"/>
      <w:sz w:val="20"/>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3"/>
    <w:qFormat/>
    <w:uiPriority w:val="0"/>
    <w:pPr>
      <w:ind w:firstLine="420"/>
    </w:pPr>
    <w:rPr>
      <w:kern w:val="0"/>
      <w:sz w:val="20"/>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78"/>
    <w:semiHidden/>
    <w:qFormat/>
    <w:uiPriority w:val="0"/>
    <w:pPr>
      <w:shd w:val="clear" w:color="auto" w:fill="000080"/>
    </w:pPr>
    <w:rPr>
      <w:kern w:val="0"/>
      <w:sz w:val="20"/>
    </w:rPr>
  </w:style>
  <w:style w:type="paragraph" w:styleId="17">
    <w:name w:val="toa heading"/>
    <w:basedOn w:val="1"/>
    <w:next w:val="1"/>
    <w:unhideWhenUsed/>
    <w:qFormat/>
    <w:uiPriority w:val="0"/>
    <w:pPr>
      <w:widowControl/>
    </w:pPr>
    <w:rPr>
      <w:rFonts w:ascii="Arial" w:hAnsi="Arial"/>
      <w:sz w:val="24"/>
      <w:szCs w:val="20"/>
    </w:rPr>
  </w:style>
  <w:style w:type="paragraph" w:styleId="18">
    <w:name w:val="annotation text"/>
    <w:basedOn w:val="1"/>
    <w:link w:val="79"/>
    <w:unhideWhenUsed/>
    <w:qFormat/>
    <w:uiPriority w:val="0"/>
    <w:pPr>
      <w:jc w:val="left"/>
    </w:pPr>
    <w:rPr>
      <w:kern w:val="0"/>
      <w:sz w:val="20"/>
    </w:rPr>
  </w:style>
  <w:style w:type="paragraph" w:styleId="19">
    <w:name w:val="Salutation"/>
    <w:basedOn w:val="1"/>
    <w:next w:val="1"/>
    <w:link w:val="80"/>
    <w:qFormat/>
    <w:uiPriority w:val="0"/>
    <w:rPr>
      <w:kern w:val="0"/>
      <w:sz w:val="28"/>
    </w:rPr>
  </w:style>
  <w:style w:type="paragraph" w:styleId="20">
    <w:name w:val="Body Text 3"/>
    <w:basedOn w:val="1"/>
    <w:link w:val="81"/>
    <w:qFormat/>
    <w:uiPriority w:val="0"/>
    <w:pPr>
      <w:spacing w:line="500" w:lineRule="exact"/>
    </w:pPr>
    <w:rPr>
      <w:b/>
      <w:bCs/>
      <w:kern w:val="0"/>
      <w:sz w:val="24"/>
    </w:rPr>
  </w:style>
  <w:style w:type="paragraph" w:styleId="21">
    <w:name w:val="Body Text"/>
    <w:basedOn w:val="1"/>
    <w:next w:val="1"/>
    <w:link w:val="82"/>
    <w:qFormat/>
    <w:uiPriority w:val="99"/>
    <w:pPr>
      <w:spacing w:line="380" w:lineRule="exact"/>
    </w:pPr>
    <w:rPr>
      <w:kern w:val="0"/>
      <w:sz w:val="24"/>
    </w:rPr>
  </w:style>
  <w:style w:type="paragraph" w:styleId="22">
    <w:name w:val="Body Text Indent"/>
    <w:basedOn w:val="1"/>
    <w:link w:val="83"/>
    <w:qFormat/>
    <w:uiPriority w:val="0"/>
    <w:pPr>
      <w:ind w:firstLine="830" w:firstLineChars="352"/>
    </w:pPr>
    <w:rPr>
      <w:rFonts w:ascii="仿宋_GB2312" w:eastAsia="仿宋_GB2312"/>
      <w:kern w:val="0"/>
      <w:sz w:val="32"/>
      <w:szCs w:val="20"/>
    </w:rPr>
  </w:style>
  <w:style w:type="paragraph" w:styleId="23">
    <w:name w:val="List Number 3"/>
    <w:basedOn w:val="1"/>
    <w:qFormat/>
    <w:uiPriority w:val="0"/>
    <w:pPr>
      <w:tabs>
        <w:tab w:val="left" w:pos="1200"/>
      </w:tabs>
      <w:ind w:left="1200" w:leftChars="400" w:hanging="360" w:hangingChars="20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index 4"/>
    <w:basedOn w:val="1"/>
    <w:next w:val="1"/>
    <w:qFormat/>
    <w:uiPriority w:val="0"/>
    <w:pPr>
      <w:ind w:left="600" w:leftChars="600"/>
    </w:pPr>
  </w:style>
  <w:style w:type="paragraph" w:styleId="27">
    <w:name w:val="toc 5"/>
    <w:basedOn w:val="1"/>
    <w:next w:val="1"/>
    <w:qFormat/>
    <w:uiPriority w:val="39"/>
    <w:pPr>
      <w:ind w:left="1680" w:leftChars="800"/>
    </w:pPr>
    <w:rPr>
      <w:rFonts w:ascii="Calibri" w:hAnsi="Calibri"/>
      <w:szCs w:val="22"/>
    </w:rPr>
  </w:style>
  <w:style w:type="paragraph" w:styleId="28">
    <w:name w:val="toc 3"/>
    <w:basedOn w:val="1"/>
    <w:next w:val="1"/>
    <w:qFormat/>
    <w:uiPriority w:val="39"/>
    <w:pPr>
      <w:ind w:left="840" w:leftChars="400"/>
    </w:pPr>
  </w:style>
  <w:style w:type="paragraph" w:styleId="29">
    <w:name w:val="Plain Text"/>
    <w:basedOn w:val="1"/>
    <w:next w:val="1"/>
    <w:link w:val="84"/>
    <w:qFormat/>
    <w:uiPriority w:val="0"/>
    <w:rPr>
      <w:rFonts w:ascii="宋体" w:hAnsi="Courier New"/>
      <w:kern w:val="0"/>
      <w:sz w:val="20"/>
      <w:szCs w:val="21"/>
    </w:rPr>
  </w:style>
  <w:style w:type="paragraph" w:styleId="30">
    <w:name w:val="toc 8"/>
    <w:basedOn w:val="1"/>
    <w:next w:val="1"/>
    <w:qFormat/>
    <w:uiPriority w:val="39"/>
    <w:pPr>
      <w:ind w:left="2940" w:leftChars="1400"/>
    </w:pPr>
    <w:rPr>
      <w:rFonts w:ascii="Calibri" w:hAnsi="Calibri"/>
      <w:szCs w:val="22"/>
    </w:rPr>
  </w:style>
  <w:style w:type="paragraph" w:styleId="31">
    <w:name w:val="Date"/>
    <w:basedOn w:val="1"/>
    <w:next w:val="1"/>
    <w:link w:val="85"/>
    <w:qFormat/>
    <w:uiPriority w:val="0"/>
    <w:pPr>
      <w:ind w:left="100" w:leftChars="2500"/>
    </w:pPr>
    <w:rPr>
      <w:rFonts w:ascii="宋体" w:hAnsi="Courier New"/>
      <w:kern w:val="0"/>
      <w:sz w:val="20"/>
      <w:szCs w:val="21"/>
    </w:rPr>
  </w:style>
  <w:style w:type="paragraph" w:styleId="32">
    <w:name w:val="Body Text Indent 2"/>
    <w:basedOn w:val="1"/>
    <w:link w:val="86"/>
    <w:qFormat/>
    <w:uiPriority w:val="0"/>
    <w:pPr>
      <w:ind w:firstLine="630"/>
    </w:pPr>
    <w:rPr>
      <w:kern w:val="0"/>
      <w:sz w:val="32"/>
      <w:szCs w:val="20"/>
    </w:rPr>
  </w:style>
  <w:style w:type="paragraph" w:styleId="33">
    <w:name w:val="endnote text"/>
    <w:basedOn w:val="1"/>
    <w:link w:val="87"/>
    <w:unhideWhenUsed/>
    <w:qFormat/>
    <w:uiPriority w:val="0"/>
    <w:pPr>
      <w:snapToGrid w:val="0"/>
      <w:jc w:val="left"/>
    </w:pPr>
    <w:rPr>
      <w:rFonts w:ascii="Calibri" w:hAnsi="Calibri"/>
      <w:kern w:val="0"/>
      <w:sz w:val="20"/>
      <w:szCs w:val="20"/>
    </w:rPr>
  </w:style>
  <w:style w:type="paragraph" w:styleId="34">
    <w:name w:val="Balloon Text"/>
    <w:basedOn w:val="1"/>
    <w:link w:val="88"/>
    <w:qFormat/>
    <w:uiPriority w:val="0"/>
    <w:rPr>
      <w:kern w:val="0"/>
      <w:sz w:val="18"/>
      <w:szCs w:val="18"/>
    </w:rPr>
  </w:style>
  <w:style w:type="paragraph" w:styleId="35">
    <w:name w:val="footer"/>
    <w:basedOn w:val="1"/>
    <w:link w:val="89"/>
    <w:qFormat/>
    <w:uiPriority w:val="0"/>
    <w:pPr>
      <w:tabs>
        <w:tab w:val="center" w:pos="4153"/>
        <w:tab w:val="right" w:pos="8306"/>
      </w:tabs>
      <w:snapToGrid w:val="0"/>
      <w:jc w:val="left"/>
    </w:pPr>
    <w:rPr>
      <w:kern w:val="0"/>
      <w:sz w:val="18"/>
      <w:szCs w:val="18"/>
    </w:rPr>
  </w:style>
  <w:style w:type="paragraph" w:styleId="36">
    <w:name w:val="header"/>
    <w:basedOn w:val="1"/>
    <w:link w:val="90"/>
    <w:qFormat/>
    <w:uiPriority w:val="0"/>
    <w:pPr>
      <w:pBdr>
        <w:bottom w:val="single" w:color="auto" w:sz="6" w:space="1"/>
      </w:pBdr>
      <w:tabs>
        <w:tab w:val="center" w:pos="4153"/>
        <w:tab w:val="right" w:pos="8306"/>
      </w:tabs>
      <w:snapToGrid w:val="0"/>
      <w:jc w:val="center"/>
    </w:pPr>
    <w:rPr>
      <w:kern w:val="0"/>
      <w:sz w:val="18"/>
      <w:szCs w:val="18"/>
    </w:rPr>
  </w:style>
  <w:style w:type="paragraph" w:styleId="37">
    <w:name w:val="toc 1"/>
    <w:basedOn w:val="1"/>
    <w:next w:val="1"/>
    <w:qFormat/>
    <w:uiPriority w:val="39"/>
    <w:pPr>
      <w:tabs>
        <w:tab w:val="right" w:leader="dot" w:pos="9360"/>
      </w:tabs>
      <w:spacing w:line="600" w:lineRule="exact"/>
    </w:pPr>
    <w:rPr>
      <w:rFonts w:ascii="宋体" w:hAnsi="宋体"/>
      <w:b/>
      <w:szCs w:val="21"/>
    </w:rPr>
  </w:style>
  <w:style w:type="paragraph" w:styleId="38">
    <w:name w:val="toc 4"/>
    <w:basedOn w:val="1"/>
    <w:next w:val="1"/>
    <w:qFormat/>
    <w:uiPriority w:val="39"/>
    <w:pPr>
      <w:ind w:left="1260" w:leftChars="600"/>
    </w:pPr>
    <w:rPr>
      <w:rFonts w:ascii="Calibri" w:hAnsi="Calibri"/>
      <w:szCs w:val="22"/>
    </w:rPr>
  </w:style>
  <w:style w:type="paragraph" w:styleId="39">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2"/>
    <w:qFormat/>
    <w:uiPriority w:val="0"/>
    <w:pPr>
      <w:adjustRightInd w:val="0"/>
      <w:spacing w:line="312" w:lineRule="atLeast"/>
      <w:jc w:val="left"/>
      <w:textAlignment w:val="baseline"/>
    </w:pPr>
    <w:rPr>
      <w:kern w:val="0"/>
      <w:sz w:val="18"/>
      <w:szCs w:val="20"/>
    </w:rPr>
  </w:style>
  <w:style w:type="paragraph" w:styleId="42">
    <w:name w:val="toc 6"/>
    <w:basedOn w:val="1"/>
    <w:next w:val="1"/>
    <w:qFormat/>
    <w:uiPriority w:val="39"/>
    <w:pPr>
      <w:ind w:left="2100" w:leftChars="1000"/>
    </w:pPr>
    <w:rPr>
      <w:rFonts w:ascii="Calibri" w:hAnsi="Calibri"/>
      <w:szCs w:val="22"/>
    </w:rPr>
  </w:style>
  <w:style w:type="paragraph" w:styleId="43">
    <w:name w:val="List 5"/>
    <w:basedOn w:val="1"/>
    <w:qFormat/>
    <w:uiPriority w:val="0"/>
    <w:pPr>
      <w:ind w:left="2100" w:hanging="420"/>
    </w:pPr>
    <w:rPr>
      <w:szCs w:val="20"/>
    </w:rPr>
  </w:style>
  <w:style w:type="paragraph" w:styleId="44">
    <w:name w:val="Body Text Indent 3"/>
    <w:basedOn w:val="1"/>
    <w:link w:val="93"/>
    <w:qFormat/>
    <w:uiPriority w:val="0"/>
    <w:pPr>
      <w:spacing w:after="120"/>
      <w:ind w:left="420" w:leftChars="200"/>
    </w:pPr>
    <w:rPr>
      <w:kern w:val="0"/>
      <w:sz w:val="16"/>
      <w:szCs w:val="16"/>
    </w:rPr>
  </w:style>
  <w:style w:type="paragraph" w:styleId="45">
    <w:name w:val="table of figures"/>
    <w:basedOn w:val="1"/>
    <w:next w:val="1"/>
    <w:semiHidden/>
    <w:qFormat/>
    <w:uiPriority w:val="0"/>
    <w:pPr>
      <w:ind w:left="420" w:hanging="420"/>
      <w:jc w:val="left"/>
    </w:pPr>
    <w:rPr>
      <w:smallCaps/>
      <w:sz w:val="20"/>
      <w:szCs w:val="20"/>
    </w:rPr>
  </w:style>
  <w:style w:type="paragraph" w:styleId="46">
    <w:name w:val="toc 2"/>
    <w:basedOn w:val="1"/>
    <w:next w:val="1"/>
    <w:qFormat/>
    <w:uiPriority w:val="39"/>
    <w:pPr>
      <w:tabs>
        <w:tab w:val="right" w:leader="dot" w:pos="9360"/>
      </w:tabs>
      <w:ind w:left="420" w:leftChars="200"/>
    </w:pPr>
  </w:style>
  <w:style w:type="paragraph" w:styleId="47">
    <w:name w:val="toc 9"/>
    <w:basedOn w:val="1"/>
    <w:next w:val="1"/>
    <w:qFormat/>
    <w:uiPriority w:val="39"/>
    <w:pPr>
      <w:ind w:left="3360" w:leftChars="1600"/>
    </w:pPr>
    <w:rPr>
      <w:rFonts w:ascii="Calibri" w:hAnsi="Calibri"/>
      <w:szCs w:val="22"/>
    </w:rPr>
  </w:style>
  <w:style w:type="paragraph" w:styleId="48">
    <w:name w:val="Body Text 2"/>
    <w:basedOn w:val="1"/>
    <w:link w:val="94"/>
    <w:qFormat/>
    <w:uiPriority w:val="0"/>
    <w:pPr>
      <w:spacing w:after="120" w:line="480" w:lineRule="auto"/>
    </w:pPr>
    <w:rPr>
      <w:kern w:val="0"/>
      <w:sz w:val="20"/>
    </w:rPr>
  </w:style>
  <w:style w:type="paragraph" w:styleId="49">
    <w:name w:val="List 4"/>
    <w:basedOn w:val="1"/>
    <w:qFormat/>
    <w:uiPriority w:val="0"/>
    <w:pPr>
      <w:ind w:left="100" w:leftChars="600" w:hanging="200" w:hangingChars="200"/>
    </w:pPr>
  </w:style>
  <w:style w:type="paragraph" w:styleId="50">
    <w:name w:val="List Continue 2"/>
    <w:basedOn w:val="1"/>
    <w:qFormat/>
    <w:uiPriority w:val="0"/>
    <w:pPr>
      <w:spacing w:after="120"/>
      <w:ind w:left="840" w:leftChars="400"/>
    </w:pPr>
  </w:style>
  <w:style w:type="paragraph" w:styleId="51">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index 1"/>
    <w:basedOn w:val="1"/>
    <w:next w:val="1"/>
    <w:semiHidden/>
    <w:qFormat/>
    <w:uiPriority w:val="0"/>
    <w:pPr>
      <w:spacing w:line="400" w:lineRule="exact"/>
      <w:ind w:firstLine="420" w:firstLineChars="200"/>
    </w:pPr>
    <w:rPr>
      <w:rFonts w:ascii="宋体" w:hAnsi="Courier New"/>
      <w:b/>
      <w:szCs w:val="20"/>
    </w:rPr>
  </w:style>
  <w:style w:type="paragraph" w:styleId="54">
    <w:name w:val="Title"/>
    <w:basedOn w:val="1"/>
    <w:next w:val="1"/>
    <w:link w:val="96"/>
    <w:qFormat/>
    <w:uiPriority w:val="0"/>
    <w:pPr>
      <w:spacing w:before="240" w:after="60"/>
      <w:jc w:val="center"/>
      <w:outlineLvl w:val="0"/>
    </w:pPr>
    <w:rPr>
      <w:rFonts w:ascii="Cambria" w:hAnsi="Cambria"/>
      <w:b/>
      <w:bCs/>
      <w:kern w:val="0"/>
      <w:sz w:val="32"/>
      <w:szCs w:val="32"/>
    </w:rPr>
  </w:style>
  <w:style w:type="paragraph" w:styleId="55">
    <w:name w:val="annotation subject"/>
    <w:basedOn w:val="18"/>
    <w:next w:val="18"/>
    <w:link w:val="97"/>
    <w:qFormat/>
    <w:uiPriority w:val="0"/>
    <w:rPr>
      <w:b/>
      <w:bCs/>
    </w:rPr>
  </w:style>
  <w:style w:type="paragraph" w:styleId="56">
    <w:name w:val="Body Text First Indent"/>
    <w:basedOn w:val="21"/>
    <w:next w:val="1"/>
    <w:link w:val="98"/>
    <w:qFormat/>
    <w:uiPriority w:val="0"/>
    <w:pPr>
      <w:spacing w:after="120" w:line="240" w:lineRule="auto"/>
      <w:ind w:firstLine="420" w:firstLineChars="100"/>
    </w:pPr>
    <w:rPr>
      <w:sz w:val="21"/>
    </w:rPr>
  </w:style>
  <w:style w:type="paragraph" w:styleId="57">
    <w:name w:val="Body Text First Indent 2"/>
    <w:basedOn w:val="22"/>
    <w:link w:val="99"/>
    <w:qFormat/>
    <w:uiPriority w:val="0"/>
    <w:pPr>
      <w:spacing w:after="120"/>
      <w:ind w:left="420" w:leftChars="200" w:firstLine="420" w:firstLineChars="200"/>
    </w:pPr>
    <w:rPr>
      <w:rFonts w:ascii="Times New Roman" w:eastAsia="宋体"/>
      <w:szCs w:val="24"/>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basedOn w:val="60"/>
    <w:qFormat/>
    <w:uiPriority w:val="0"/>
    <w:rPr>
      <w:b/>
      <w:bCs/>
    </w:rPr>
  </w:style>
  <w:style w:type="character" w:styleId="62">
    <w:name w:val="page number"/>
    <w:qFormat/>
    <w:uiPriority w:val="0"/>
  </w:style>
  <w:style w:type="character" w:styleId="63">
    <w:name w:val="FollowedHyperlink"/>
    <w:qFormat/>
    <w:uiPriority w:val="99"/>
    <w:rPr>
      <w:color w:val="000000"/>
      <w:sz w:val="24"/>
      <w:szCs w:val="24"/>
      <w:u w:val="none"/>
    </w:rPr>
  </w:style>
  <w:style w:type="character" w:styleId="64">
    <w:name w:val="Emphasis"/>
    <w:qFormat/>
    <w:uiPriority w:val="20"/>
    <w:rPr>
      <w:i/>
      <w:iCs/>
    </w:rPr>
  </w:style>
  <w:style w:type="character" w:styleId="65">
    <w:name w:val="Hyperlink"/>
    <w:qFormat/>
    <w:uiPriority w:val="99"/>
    <w:rPr>
      <w:color w:val="000000"/>
      <w:sz w:val="24"/>
      <w:szCs w:val="24"/>
      <w:u w:val="none"/>
    </w:rPr>
  </w:style>
  <w:style w:type="character" w:styleId="66">
    <w:name w:val="HTML Code"/>
    <w:qFormat/>
    <w:uiPriority w:val="0"/>
    <w:rPr>
      <w:rFonts w:ascii="宋体" w:hAnsi="宋体" w:eastAsia="宋体" w:cs="宋体"/>
      <w:sz w:val="24"/>
      <w:szCs w:val="24"/>
    </w:rPr>
  </w:style>
  <w:style w:type="character" w:styleId="67">
    <w:name w:val="annotation reference"/>
    <w:qFormat/>
    <w:uiPriority w:val="0"/>
    <w:rPr>
      <w:sz w:val="21"/>
      <w:szCs w:val="21"/>
    </w:rPr>
  </w:style>
  <w:style w:type="character" w:customStyle="1" w:styleId="68">
    <w:name w:val="标题 1 Char"/>
    <w:link w:val="2"/>
    <w:qFormat/>
    <w:uiPriority w:val="0"/>
    <w:rPr>
      <w:rFonts w:ascii="Times New Roman" w:hAnsi="Times New Roman" w:eastAsia="宋体" w:cs="Times New Roman"/>
      <w:b/>
      <w:bCs/>
      <w:kern w:val="44"/>
      <w:sz w:val="44"/>
      <w:szCs w:val="44"/>
    </w:rPr>
  </w:style>
  <w:style w:type="character" w:customStyle="1" w:styleId="69">
    <w:name w:val="标题 2 Char"/>
    <w:link w:val="3"/>
    <w:qFormat/>
    <w:uiPriority w:val="0"/>
    <w:rPr>
      <w:rFonts w:ascii="Arial" w:hAnsi="Arial" w:eastAsia="黑体" w:cs="Times New Roman"/>
      <w:b/>
      <w:bCs/>
      <w:szCs w:val="32"/>
    </w:rPr>
  </w:style>
  <w:style w:type="character" w:customStyle="1" w:styleId="70">
    <w:name w:val="标题 3 Char1"/>
    <w:link w:val="4"/>
    <w:qFormat/>
    <w:uiPriority w:val="0"/>
    <w:rPr>
      <w:rFonts w:ascii="Times New Roman" w:hAnsi="Times New Roman" w:eastAsia="黑体" w:cs="Times New Roman"/>
      <w:b/>
      <w:bCs/>
      <w:szCs w:val="32"/>
    </w:rPr>
  </w:style>
  <w:style w:type="character" w:customStyle="1" w:styleId="71">
    <w:name w:val="标题 4 Char"/>
    <w:link w:val="5"/>
    <w:qFormat/>
    <w:uiPriority w:val="0"/>
    <w:rPr>
      <w:rFonts w:ascii="Arial" w:hAnsi="Arial" w:eastAsia="宋体" w:cs="Times New Roman"/>
      <w:b/>
      <w:bCs/>
      <w:szCs w:val="28"/>
    </w:rPr>
  </w:style>
  <w:style w:type="character" w:customStyle="1" w:styleId="72">
    <w:name w:val="标题 5 Char"/>
    <w:link w:val="6"/>
    <w:qFormat/>
    <w:uiPriority w:val="0"/>
    <w:rPr>
      <w:rFonts w:eastAsia="宋体"/>
      <w:b/>
      <w:sz w:val="28"/>
      <w:szCs w:val="24"/>
      <w:lang w:bidi="ar-SA"/>
    </w:rPr>
  </w:style>
  <w:style w:type="character" w:customStyle="1" w:styleId="73">
    <w:name w:val="正文缩进 Char"/>
    <w:link w:val="7"/>
    <w:qFormat/>
    <w:locked/>
    <w:uiPriority w:val="0"/>
    <w:rPr>
      <w:rFonts w:ascii="Times New Roman" w:hAnsi="Times New Roman" w:eastAsia="宋体" w:cs="Times New Roman"/>
      <w:szCs w:val="20"/>
    </w:rPr>
  </w:style>
  <w:style w:type="character" w:customStyle="1" w:styleId="74">
    <w:name w:val="标题 6 Char"/>
    <w:link w:val="8"/>
    <w:qFormat/>
    <w:uiPriority w:val="0"/>
    <w:rPr>
      <w:rFonts w:ascii="Arial" w:hAnsi="Arial" w:eastAsia="黑体"/>
      <w:b/>
      <w:sz w:val="24"/>
      <w:szCs w:val="24"/>
      <w:lang w:bidi="ar-SA"/>
    </w:rPr>
  </w:style>
  <w:style w:type="character" w:customStyle="1" w:styleId="75">
    <w:name w:val="标题 7 Char"/>
    <w:link w:val="9"/>
    <w:qFormat/>
    <w:uiPriority w:val="0"/>
    <w:rPr>
      <w:rFonts w:eastAsia="宋体"/>
      <w:b/>
      <w:sz w:val="24"/>
      <w:szCs w:val="24"/>
      <w:lang w:bidi="ar-SA"/>
    </w:rPr>
  </w:style>
  <w:style w:type="character" w:customStyle="1" w:styleId="76">
    <w:name w:val="标题 8 Char"/>
    <w:link w:val="10"/>
    <w:qFormat/>
    <w:uiPriority w:val="0"/>
    <w:rPr>
      <w:rFonts w:ascii="Arial" w:hAnsi="Arial" w:eastAsia="黑体"/>
      <w:sz w:val="24"/>
      <w:szCs w:val="24"/>
      <w:lang w:bidi="ar-SA"/>
    </w:rPr>
  </w:style>
  <w:style w:type="character" w:customStyle="1" w:styleId="77">
    <w:name w:val="标题 9 Char"/>
    <w:link w:val="11"/>
    <w:qFormat/>
    <w:uiPriority w:val="0"/>
    <w:rPr>
      <w:rFonts w:ascii="Arial" w:hAnsi="Arial" w:eastAsia="黑体"/>
      <w:szCs w:val="24"/>
      <w:lang w:bidi="ar-SA"/>
    </w:rPr>
  </w:style>
  <w:style w:type="character" w:customStyle="1" w:styleId="78">
    <w:name w:val="文档结构图 Char"/>
    <w:link w:val="16"/>
    <w:semiHidden/>
    <w:qFormat/>
    <w:uiPriority w:val="0"/>
    <w:rPr>
      <w:rFonts w:ascii="Times New Roman" w:hAnsi="Times New Roman" w:eastAsia="宋体" w:cs="Times New Roman"/>
      <w:szCs w:val="24"/>
      <w:shd w:val="clear" w:color="auto" w:fill="000080"/>
    </w:rPr>
  </w:style>
  <w:style w:type="character" w:customStyle="1" w:styleId="79">
    <w:name w:val="批注文字 Char4"/>
    <w:link w:val="18"/>
    <w:qFormat/>
    <w:uiPriority w:val="0"/>
    <w:rPr>
      <w:rFonts w:ascii="Times New Roman" w:hAnsi="Times New Roman" w:eastAsia="宋体" w:cs="Times New Roman"/>
      <w:szCs w:val="24"/>
    </w:rPr>
  </w:style>
  <w:style w:type="character" w:customStyle="1" w:styleId="80">
    <w:name w:val="称呼 Char"/>
    <w:link w:val="19"/>
    <w:qFormat/>
    <w:uiPriority w:val="0"/>
    <w:rPr>
      <w:rFonts w:ascii="Times New Roman" w:hAnsi="Times New Roman" w:eastAsia="宋体" w:cs="Times New Roman"/>
      <w:sz w:val="28"/>
      <w:szCs w:val="24"/>
    </w:rPr>
  </w:style>
  <w:style w:type="character" w:customStyle="1" w:styleId="81">
    <w:name w:val="正文文本 3 Char"/>
    <w:link w:val="20"/>
    <w:qFormat/>
    <w:uiPriority w:val="0"/>
    <w:rPr>
      <w:rFonts w:ascii="Times New Roman" w:hAnsi="Times New Roman" w:eastAsia="宋体" w:cs="Times New Roman"/>
      <w:b/>
      <w:bCs/>
      <w:sz w:val="24"/>
      <w:szCs w:val="24"/>
    </w:rPr>
  </w:style>
  <w:style w:type="character" w:customStyle="1" w:styleId="82">
    <w:name w:val="正文文本 Char"/>
    <w:link w:val="21"/>
    <w:qFormat/>
    <w:uiPriority w:val="99"/>
    <w:rPr>
      <w:rFonts w:ascii="Times New Roman" w:hAnsi="Times New Roman" w:eastAsia="宋体" w:cs="Times New Roman"/>
      <w:sz w:val="24"/>
      <w:szCs w:val="24"/>
    </w:rPr>
  </w:style>
  <w:style w:type="character" w:customStyle="1" w:styleId="83">
    <w:name w:val="正文文本缩进 Char"/>
    <w:link w:val="22"/>
    <w:qFormat/>
    <w:uiPriority w:val="0"/>
    <w:rPr>
      <w:rFonts w:ascii="仿宋_GB2312" w:hAnsi="Times New Roman" w:eastAsia="仿宋_GB2312" w:cs="Times New Roman"/>
      <w:sz w:val="32"/>
      <w:szCs w:val="20"/>
    </w:rPr>
  </w:style>
  <w:style w:type="character" w:customStyle="1" w:styleId="84">
    <w:name w:val="纯文本 Char1"/>
    <w:link w:val="29"/>
    <w:qFormat/>
    <w:uiPriority w:val="0"/>
    <w:rPr>
      <w:rFonts w:ascii="宋体" w:hAnsi="Courier New" w:eastAsia="宋体" w:cs="Courier New"/>
      <w:szCs w:val="21"/>
    </w:rPr>
  </w:style>
  <w:style w:type="character" w:customStyle="1" w:styleId="85">
    <w:name w:val="日期 Char"/>
    <w:link w:val="31"/>
    <w:qFormat/>
    <w:uiPriority w:val="0"/>
    <w:rPr>
      <w:rFonts w:ascii="宋体" w:hAnsi="Courier New" w:eastAsia="宋体" w:cs="Courier New"/>
      <w:szCs w:val="21"/>
    </w:rPr>
  </w:style>
  <w:style w:type="character" w:customStyle="1" w:styleId="86">
    <w:name w:val="正文文本缩进 2 Char"/>
    <w:link w:val="32"/>
    <w:qFormat/>
    <w:uiPriority w:val="0"/>
    <w:rPr>
      <w:rFonts w:ascii="Times New Roman" w:hAnsi="Times New Roman" w:eastAsia="宋体" w:cs="Times New Roman"/>
      <w:sz w:val="32"/>
      <w:szCs w:val="20"/>
    </w:rPr>
  </w:style>
  <w:style w:type="character" w:customStyle="1" w:styleId="87">
    <w:name w:val="尾注文本 Char"/>
    <w:link w:val="33"/>
    <w:qFormat/>
    <w:uiPriority w:val="0"/>
    <w:rPr>
      <w:rFonts w:ascii="Calibri" w:hAnsi="Calibri" w:eastAsia="宋体" w:cs="Times New Roman"/>
    </w:rPr>
  </w:style>
  <w:style w:type="character" w:customStyle="1" w:styleId="88">
    <w:name w:val="批注框文本 Char"/>
    <w:link w:val="34"/>
    <w:qFormat/>
    <w:uiPriority w:val="0"/>
    <w:rPr>
      <w:rFonts w:ascii="Times New Roman" w:hAnsi="Times New Roman" w:eastAsia="宋体" w:cs="Times New Roman"/>
      <w:sz w:val="18"/>
      <w:szCs w:val="18"/>
    </w:rPr>
  </w:style>
  <w:style w:type="character" w:customStyle="1" w:styleId="89">
    <w:name w:val="页脚 Char"/>
    <w:link w:val="35"/>
    <w:qFormat/>
    <w:uiPriority w:val="0"/>
    <w:rPr>
      <w:rFonts w:ascii="Times New Roman" w:hAnsi="Times New Roman" w:eastAsia="宋体" w:cs="Times New Roman"/>
      <w:sz w:val="18"/>
      <w:szCs w:val="18"/>
    </w:rPr>
  </w:style>
  <w:style w:type="character" w:customStyle="1" w:styleId="90">
    <w:name w:val="页眉 Char2"/>
    <w:link w:val="36"/>
    <w:qFormat/>
    <w:uiPriority w:val="0"/>
    <w:rPr>
      <w:rFonts w:ascii="Times New Roman" w:hAnsi="Times New Roman" w:eastAsia="宋体" w:cs="Times New Roman"/>
      <w:sz w:val="18"/>
      <w:szCs w:val="18"/>
    </w:rPr>
  </w:style>
  <w:style w:type="character" w:customStyle="1" w:styleId="91">
    <w:name w:val="副标题 Char"/>
    <w:link w:val="39"/>
    <w:qFormat/>
    <w:uiPriority w:val="0"/>
    <w:rPr>
      <w:rFonts w:ascii="Cambria" w:hAnsi="Cambria" w:eastAsia="宋体" w:cs="Times New Roman"/>
      <w:b/>
      <w:bCs/>
      <w:kern w:val="28"/>
      <w:sz w:val="32"/>
      <w:szCs w:val="32"/>
    </w:rPr>
  </w:style>
  <w:style w:type="character" w:customStyle="1" w:styleId="92">
    <w:name w:val="脚注文本 Char"/>
    <w:link w:val="41"/>
    <w:qFormat/>
    <w:uiPriority w:val="0"/>
    <w:rPr>
      <w:sz w:val="18"/>
    </w:rPr>
  </w:style>
  <w:style w:type="character" w:customStyle="1" w:styleId="93">
    <w:name w:val="正文文本缩进 3 Char"/>
    <w:link w:val="44"/>
    <w:qFormat/>
    <w:uiPriority w:val="0"/>
    <w:rPr>
      <w:rFonts w:ascii="Times New Roman" w:hAnsi="Times New Roman" w:eastAsia="宋体" w:cs="Times New Roman"/>
      <w:sz w:val="16"/>
      <w:szCs w:val="16"/>
    </w:rPr>
  </w:style>
  <w:style w:type="character" w:customStyle="1" w:styleId="94">
    <w:name w:val="正文文本 2 Char"/>
    <w:link w:val="48"/>
    <w:qFormat/>
    <w:uiPriority w:val="0"/>
    <w:rPr>
      <w:rFonts w:ascii="Times New Roman" w:hAnsi="Times New Roman" w:eastAsia="宋体" w:cs="Times New Roman"/>
      <w:szCs w:val="24"/>
    </w:rPr>
  </w:style>
  <w:style w:type="character" w:customStyle="1" w:styleId="95">
    <w:name w:val="HTML 预设格式 Char"/>
    <w:link w:val="51"/>
    <w:qFormat/>
    <w:uiPriority w:val="0"/>
    <w:rPr>
      <w:rFonts w:ascii="黑体" w:hAnsi="Courier New" w:eastAsia="黑体" w:cs="Courier New"/>
      <w:kern w:val="0"/>
      <w:sz w:val="20"/>
      <w:szCs w:val="20"/>
    </w:rPr>
  </w:style>
  <w:style w:type="character" w:customStyle="1" w:styleId="96">
    <w:name w:val="标题 Char"/>
    <w:link w:val="54"/>
    <w:qFormat/>
    <w:uiPriority w:val="0"/>
    <w:rPr>
      <w:rFonts w:ascii="Cambria" w:hAnsi="Cambria"/>
      <w:b/>
      <w:bCs/>
      <w:sz w:val="32"/>
      <w:szCs w:val="32"/>
    </w:rPr>
  </w:style>
  <w:style w:type="character" w:customStyle="1" w:styleId="97">
    <w:name w:val="批注主题 Char"/>
    <w:link w:val="55"/>
    <w:qFormat/>
    <w:uiPriority w:val="0"/>
    <w:rPr>
      <w:b/>
      <w:bCs/>
      <w:szCs w:val="24"/>
    </w:rPr>
  </w:style>
  <w:style w:type="character" w:customStyle="1" w:styleId="98">
    <w:name w:val="正文首行缩进 Char"/>
    <w:link w:val="56"/>
    <w:qFormat/>
    <w:uiPriority w:val="0"/>
  </w:style>
  <w:style w:type="character" w:customStyle="1" w:styleId="99">
    <w:name w:val="正文首行缩进 2 Char"/>
    <w:link w:val="57"/>
    <w:qFormat/>
    <w:uiPriority w:val="0"/>
    <w:rPr>
      <w:rFonts w:ascii="Times New Roman" w:hAnsi="Times New Roman" w:eastAsia="宋体" w:cs="Times New Roman"/>
      <w:sz w:val="32"/>
      <w:szCs w:val="24"/>
    </w:rPr>
  </w:style>
  <w:style w:type="paragraph" w:customStyle="1" w:styleId="100">
    <w:name w:val="表格文字1151"/>
    <w:basedOn w:val="1"/>
    <w:qFormat/>
    <w:uiPriority w:val="0"/>
    <w:pPr>
      <w:spacing w:before="25" w:after="25"/>
      <w:jc w:val="left"/>
    </w:pPr>
    <w:rPr>
      <w:bCs/>
      <w:spacing w:val="10"/>
      <w:kern w:val="0"/>
      <w:sz w:val="24"/>
    </w:rPr>
  </w:style>
  <w:style w:type="paragraph" w:customStyle="1" w:styleId="101">
    <w:name w:val="表格文字1"/>
    <w:basedOn w:val="1"/>
    <w:qFormat/>
    <w:uiPriority w:val="0"/>
    <w:pPr>
      <w:spacing w:before="25" w:after="25"/>
      <w:jc w:val="left"/>
    </w:pPr>
    <w:rPr>
      <w:bCs/>
      <w:spacing w:val="10"/>
      <w:kern w:val="0"/>
      <w:sz w:val="24"/>
    </w:rPr>
  </w:style>
  <w:style w:type="paragraph" w:customStyle="1" w:styleId="102">
    <w:name w:val="Char Char Char Char Char Char211"/>
    <w:basedOn w:val="1"/>
    <w:qFormat/>
    <w:uiPriority w:val="0"/>
    <w:pPr>
      <w:widowControl/>
      <w:spacing w:after="160" w:line="240" w:lineRule="exact"/>
    </w:pPr>
    <w:rPr>
      <w:rFonts w:ascii="Arial" w:hAnsi="Arial"/>
      <w:b/>
      <w:kern w:val="0"/>
      <w:szCs w:val="20"/>
      <w:lang w:eastAsia="en-US"/>
    </w:rPr>
  </w:style>
  <w:style w:type="character" w:customStyle="1" w:styleId="103">
    <w:name w:val="标题 3 Char"/>
    <w:qFormat/>
    <w:uiPriority w:val="0"/>
    <w:rPr>
      <w:rFonts w:ascii="Times New Roman" w:hAnsi="Times New Roman" w:eastAsia="宋体" w:cs="Times New Roman"/>
      <w:b/>
      <w:bCs/>
      <w:sz w:val="32"/>
      <w:szCs w:val="32"/>
    </w:rPr>
  </w:style>
  <w:style w:type="paragraph" w:customStyle="1" w:styleId="104">
    <w:name w:val="表格文字113"/>
    <w:basedOn w:val="1"/>
    <w:qFormat/>
    <w:uiPriority w:val="0"/>
    <w:pPr>
      <w:jc w:val="left"/>
    </w:pPr>
    <w:rPr>
      <w:bCs/>
      <w:spacing w:val="10"/>
      <w:kern w:val="0"/>
    </w:rPr>
  </w:style>
  <w:style w:type="paragraph" w:customStyle="1" w:styleId="105">
    <w:name w:val="Char Char Char Char Char Char2423"/>
    <w:basedOn w:val="1"/>
    <w:qFormat/>
    <w:uiPriority w:val="0"/>
    <w:pPr>
      <w:widowControl/>
      <w:spacing w:after="160" w:line="240" w:lineRule="exact"/>
      <w:jc w:val="left"/>
    </w:pPr>
    <w:rPr>
      <w:rFonts w:ascii="Arial" w:hAnsi="Arial" w:eastAsia="Times New Roman"/>
      <w:b/>
      <w:kern w:val="0"/>
      <w:sz w:val="24"/>
      <w:szCs w:val="20"/>
      <w:lang w:eastAsia="en-US"/>
    </w:rPr>
  </w:style>
  <w:style w:type="paragraph" w:customStyle="1" w:styleId="106">
    <w:name w:val="表格文字111"/>
    <w:basedOn w:val="1"/>
    <w:qFormat/>
    <w:uiPriority w:val="0"/>
    <w:pPr>
      <w:jc w:val="left"/>
    </w:pPr>
    <w:rPr>
      <w:bCs/>
      <w:spacing w:val="10"/>
      <w:kern w:val="0"/>
    </w:rPr>
  </w:style>
  <w:style w:type="paragraph" w:customStyle="1" w:styleId="107">
    <w:name w:val="Char Char Char Char Char Char242111"/>
    <w:basedOn w:val="1"/>
    <w:qFormat/>
    <w:uiPriority w:val="0"/>
    <w:pPr>
      <w:widowControl/>
      <w:spacing w:after="160" w:line="240" w:lineRule="exact"/>
      <w:jc w:val="left"/>
    </w:pPr>
    <w:rPr>
      <w:rFonts w:ascii="Arial" w:hAnsi="Arial" w:eastAsia="Times New Roman"/>
      <w:b/>
      <w:kern w:val="0"/>
      <w:sz w:val="24"/>
      <w:szCs w:val="20"/>
      <w:lang w:eastAsia="en-US"/>
    </w:rPr>
  </w:style>
  <w:style w:type="paragraph" w:customStyle="1" w:styleId="108">
    <w:name w:val="表格文字1153"/>
    <w:basedOn w:val="1"/>
    <w:qFormat/>
    <w:uiPriority w:val="0"/>
    <w:pPr>
      <w:spacing w:before="25" w:after="25"/>
      <w:jc w:val="left"/>
    </w:pPr>
    <w:rPr>
      <w:bCs/>
      <w:spacing w:val="10"/>
      <w:kern w:val="0"/>
      <w:sz w:val="24"/>
    </w:rPr>
  </w:style>
  <w:style w:type="paragraph" w:customStyle="1" w:styleId="109">
    <w:name w:val="Char Char Char Char Char Char24211"/>
    <w:basedOn w:val="1"/>
    <w:qFormat/>
    <w:uiPriority w:val="0"/>
    <w:pPr>
      <w:widowControl/>
      <w:spacing w:after="160" w:line="240" w:lineRule="exact"/>
      <w:jc w:val="left"/>
    </w:pPr>
    <w:rPr>
      <w:rFonts w:ascii="Arial" w:hAnsi="Arial" w:eastAsia="Times New Roman"/>
      <w:b/>
      <w:kern w:val="0"/>
      <w:sz w:val="24"/>
      <w:szCs w:val="20"/>
      <w:lang w:eastAsia="en-US"/>
    </w:rPr>
  </w:style>
  <w:style w:type="paragraph" w:customStyle="1" w:styleId="110">
    <w:name w:val="Char Char Char Char Char Char2421"/>
    <w:basedOn w:val="1"/>
    <w:qFormat/>
    <w:uiPriority w:val="0"/>
    <w:pPr>
      <w:widowControl/>
      <w:spacing w:after="160" w:line="240" w:lineRule="exact"/>
      <w:jc w:val="left"/>
    </w:pPr>
    <w:rPr>
      <w:rFonts w:ascii="Arial" w:hAnsi="Arial" w:eastAsia="Times New Roman"/>
      <w:b/>
      <w:kern w:val="0"/>
      <w:sz w:val="24"/>
      <w:szCs w:val="20"/>
      <w:lang w:eastAsia="en-US"/>
    </w:rPr>
  </w:style>
  <w:style w:type="paragraph" w:customStyle="1" w:styleId="111">
    <w:name w:val="Char Char Char Char Char Char2111"/>
    <w:basedOn w:val="1"/>
    <w:qFormat/>
    <w:uiPriority w:val="0"/>
    <w:pPr>
      <w:widowControl/>
      <w:spacing w:after="160" w:line="240" w:lineRule="exact"/>
    </w:pPr>
    <w:rPr>
      <w:rFonts w:ascii="Arial" w:hAnsi="Arial"/>
      <w:b/>
      <w:kern w:val="0"/>
      <w:szCs w:val="20"/>
      <w:lang w:eastAsia="en-US"/>
    </w:rPr>
  </w:style>
  <w:style w:type="paragraph" w:customStyle="1" w:styleId="112">
    <w:name w:val="Char Char Char Char Char Char2112"/>
    <w:basedOn w:val="1"/>
    <w:qFormat/>
    <w:uiPriority w:val="0"/>
    <w:pPr>
      <w:widowControl/>
      <w:spacing w:after="160" w:line="240" w:lineRule="exact"/>
    </w:pPr>
    <w:rPr>
      <w:rFonts w:ascii="Arial" w:hAnsi="Arial"/>
      <w:b/>
      <w:kern w:val="0"/>
      <w:szCs w:val="20"/>
      <w:lang w:eastAsia="en-US"/>
    </w:rPr>
  </w:style>
  <w:style w:type="paragraph" w:customStyle="1" w:styleId="113">
    <w:name w:val="Char Char Char Char Char Char21"/>
    <w:basedOn w:val="1"/>
    <w:qFormat/>
    <w:uiPriority w:val="0"/>
    <w:pPr>
      <w:widowControl/>
      <w:spacing w:after="160" w:line="240" w:lineRule="exact"/>
    </w:pPr>
    <w:rPr>
      <w:rFonts w:ascii="Arial" w:hAnsi="Arial"/>
      <w:b/>
      <w:kern w:val="0"/>
      <w:szCs w:val="20"/>
      <w:lang w:eastAsia="en-US"/>
    </w:rPr>
  </w:style>
  <w:style w:type="paragraph" w:customStyle="1" w:styleId="114">
    <w:name w:val="Char Char Char Char Char Char4"/>
    <w:basedOn w:val="1"/>
    <w:qFormat/>
    <w:uiPriority w:val="0"/>
    <w:pPr>
      <w:widowControl/>
      <w:spacing w:after="160" w:line="240" w:lineRule="exact"/>
      <w:jc w:val="left"/>
    </w:pPr>
    <w:rPr>
      <w:rFonts w:ascii="Arial" w:hAnsi="Arial"/>
      <w:b/>
      <w:kern w:val="0"/>
      <w:sz w:val="24"/>
      <w:szCs w:val="20"/>
      <w:lang w:eastAsia="en-US"/>
    </w:rPr>
  </w:style>
  <w:style w:type="paragraph" w:customStyle="1" w:styleId="115">
    <w:name w:val="表格文字12"/>
    <w:basedOn w:val="1"/>
    <w:qFormat/>
    <w:uiPriority w:val="0"/>
    <w:pPr>
      <w:spacing w:before="25" w:after="25"/>
      <w:jc w:val="left"/>
    </w:pPr>
    <w:rPr>
      <w:bCs/>
      <w:spacing w:val="10"/>
      <w:kern w:val="0"/>
      <w:sz w:val="24"/>
    </w:rPr>
  </w:style>
  <w:style w:type="paragraph" w:customStyle="1" w:styleId="116">
    <w:name w:val="Char Char Char Char Char Char2422"/>
    <w:basedOn w:val="1"/>
    <w:qFormat/>
    <w:uiPriority w:val="0"/>
    <w:pPr>
      <w:widowControl/>
      <w:spacing w:after="160" w:line="240" w:lineRule="exact"/>
      <w:jc w:val="left"/>
    </w:pPr>
    <w:rPr>
      <w:rFonts w:ascii="Arial" w:hAnsi="Arial" w:eastAsia="Times New Roman"/>
      <w:b/>
      <w:kern w:val="0"/>
      <w:sz w:val="24"/>
      <w:szCs w:val="20"/>
      <w:lang w:eastAsia="en-US"/>
    </w:rPr>
  </w:style>
  <w:style w:type="paragraph" w:customStyle="1" w:styleId="117">
    <w:name w:val="Char Char Char Char Char Char512"/>
    <w:basedOn w:val="1"/>
    <w:qFormat/>
    <w:uiPriority w:val="0"/>
    <w:pPr>
      <w:widowControl/>
      <w:spacing w:after="160" w:line="240" w:lineRule="exact"/>
      <w:jc w:val="left"/>
    </w:pPr>
    <w:rPr>
      <w:rFonts w:ascii="Arial" w:hAnsi="Arial"/>
      <w:b/>
      <w:kern w:val="0"/>
      <w:sz w:val="24"/>
      <w:szCs w:val="20"/>
      <w:lang w:eastAsia="en-US"/>
    </w:rPr>
  </w:style>
  <w:style w:type="paragraph" w:customStyle="1" w:styleId="118">
    <w:name w:val="Char Char Char Char Char Char511"/>
    <w:basedOn w:val="1"/>
    <w:qFormat/>
    <w:uiPriority w:val="0"/>
    <w:pPr>
      <w:widowControl/>
      <w:spacing w:after="160" w:line="240" w:lineRule="exact"/>
      <w:jc w:val="left"/>
    </w:pPr>
    <w:rPr>
      <w:rFonts w:ascii="Arial" w:hAnsi="Arial"/>
      <w:b/>
      <w:kern w:val="0"/>
      <w:sz w:val="24"/>
      <w:szCs w:val="20"/>
      <w:lang w:eastAsia="en-US"/>
    </w:rPr>
  </w:style>
  <w:style w:type="paragraph" w:customStyle="1" w:styleId="119">
    <w:name w:val="Char Char Char Char Char Char111"/>
    <w:basedOn w:val="1"/>
    <w:qFormat/>
    <w:uiPriority w:val="0"/>
    <w:pPr>
      <w:widowControl/>
      <w:spacing w:after="160" w:line="240" w:lineRule="exact"/>
    </w:pPr>
    <w:rPr>
      <w:rFonts w:ascii="Arial" w:hAnsi="Arial" w:eastAsia="Times New Roman"/>
      <w:b/>
      <w:kern w:val="0"/>
      <w:szCs w:val="20"/>
      <w:lang w:eastAsia="en-US"/>
    </w:rPr>
  </w:style>
  <w:style w:type="paragraph" w:customStyle="1" w:styleId="120">
    <w:name w:val="Char Char Char Char Char Char212"/>
    <w:basedOn w:val="1"/>
    <w:qFormat/>
    <w:uiPriority w:val="0"/>
    <w:pPr>
      <w:widowControl/>
      <w:spacing w:after="160" w:line="240" w:lineRule="exact"/>
    </w:pPr>
    <w:rPr>
      <w:rFonts w:ascii="Arial" w:hAnsi="Arial"/>
      <w:b/>
      <w:kern w:val="0"/>
      <w:szCs w:val="20"/>
      <w:lang w:eastAsia="en-US"/>
    </w:rPr>
  </w:style>
  <w:style w:type="paragraph" w:customStyle="1" w:styleId="121">
    <w:name w:val="Char Char Char Char Char Char11"/>
    <w:basedOn w:val="1"/>
    <w:qFormat/>
    <w:uiPriority w:val="0"/>
    <w:pPr>
      <w:widowControl/>
      <w:spacing w:after="160" w:line="240" w:lineRule="exact"/>
    </w:pPr>
    <w:rPr>
      <w:rFonts w:ascii="Arial" w:hAnsi="Arial" w:eastAsia="Times New Roman"/>
      <w:b/>
      <w:kern w:val="0"/>
      <w:szCs w:val="20"/>
      <w:lang w:eastAsia="en-US"/>
    </w:rPr>
  </w:style>
  <w:style w:type="paragraph" w:customStyle="1" w:styleId="122">
    <w:name w:val="Char Char Char Char Char Char242"/>
    <w:basedOn w:val="1"/>
    <w:qFormat/>
    <w:uiPriority w:val="0"/>
    <w:pPr>
      <w:widowControl/>
      <w:spacing w:after="160" w:line="240" w:lineRule="exact"/>
      <w:jc w:val="left"/>
    </w:pPr>
    <w:rPr>
      <w:rFonts w:ascii="Arial" w:hAnsi="Arial" w:eastAsia="Times New Roman"/>
      <w:b/>
      <w:kern w:val="0"/>
      <w:sz w:val="24"/>
      <w:szCs w:val="20"/>
      <w:lang w:eastAsia="en-US"/>
    </w:rPr>
  </w:style>
  <w:style w:type="paragraph" w:customStyle="1" w:styleId="123">
    <w:name w:val="表格文字1152"/>
    <w:basedOn w:val="1"/>
    <w:qFormat/>
    <w:uiPriority w:val="0"/>
    <w:pPr>
      <w:spacing w:before="25" w:after="25"/>
      <w:jc w:val="left"/>
    </w:pPr>
    <w:rPr>
      <w:bCs/>
      <w:spacing w:val="10"/>
      <w:kern w:val="0"/>
      <w:sz w:val="24"/>
    </w:rPr>
  </w:style>
  <w:style w:type="paragraph" w:customStyle="1" w:styleId="124">
    <w:name w:val="表格文字11"/>
    <w:basedOn w:val="1"/>
    <w:qFormat/>
    <w:uiPriority w:val="0"/>
    <w:pPr>
      <w:jc w:val="left"/>
    </w:pPr>
    <w:rPr>
      <w:rFonts w:ascii="Calibri" w:hAnsi="Calibri"/>
      <w:bCs/>
      <w:spacing w:val="10"/>
      <w:kern w:val="0"/>
    </w:rPr>
  </w:style>
  <w:style w:type="paragraph" w:customStyle="1" w:styleId="125">
    <w:name w:val="表格文字1122"/>
    <w:basedOn w:val="1"/>
    <w:qFormat/>
    <w:uiPriority w:val="0"/>
    <w:rPr>
      <w:bCs/>
      <w:spacing w:val="10"/>
      <w:kern w:val="0"/>
    </w:rPr>
  </w:style>
  <w:style w:type="paragraph" w:customStyle="1" w:styleId="126">
    <w:name w:val="表格文字112"/>
    <w:basedOn w:val="1"/>
    <w:qFormat/>
    <w:uiPriority w:val="0"/>
    <w:rPr>
      <w:bCs/>
      <w:spacing w:val="10"/>
      <w:kern w:val="0"/>
    </w:rPr>
  </w:style>
  <w:style w:type="paragraph" w:customStyle="1" w:styleId="127">
    <w:name w:val="表格文字115"/>
    <w:basedOn w:val="1"/>
    <w:qFormat/>
    <w:uiPriority w:val="0"/>
    <w:pPr>
      <w:spacing w:before="25" w:after="25"/>
      <w:jc w:val="left"/>
    </w:pPr>
    <w:rPr>
      <w:bCs/>
      <w:spacing w:val="10"/>
      <w:kern w:val="0"/>
      <w:sz w:val="24"/>
    </w:rPr>
  </w:style>
  <w:style w:type="paragraph" w:customStyle="1" w:styleId="128">
    <w:name w:val="表格文字"/>
    <w:basedOn w:val="1"/>
    <w:qFormat/>
    <w:uiPriority w:val="0"/>
    <w:rPr>
      <w:rFonts w:ascii="Calibri" w:hAnsi="Calibri"/>
      <w:bCs/>
      <w:spacing w:val="10"/>
      <w:kern w:val="0"/>
    </w:rPr>
  </w:style>
  <w:style w:type="paragraph" w:customStyle="1" w:styleId="129">
    <w:name w:val="表格文字13"/>
    <w:basedOn w:val="1"/>
    <w:qFormat/>
    <w:uiPriority w:val="0"/>
    <w:rPr>
      <w:bCs/>
      <w:spacing w:val="10"/>
      <w:kern w:val="0"/>
    </w:rPr>
  </w:style>
  <w:style w:type="paragraph" w:customStyle="1" w:styleId="130">
    <w:name w:val="表格文字11211"/>
    <w:basedOn w:val="1"/>
    <w:qFormat/>
    <w:uiPriority w:val="0"/>
    <w:pPr>
      <w:spacing w:before="25" w:after="25"/>
      <w:jc w:val="left"/>
    </w:pPr>
    <w:rPr>
      <w:bCs/>
      <w:spacing w:val="10"/>
      <w:kern w:val="0"/>
      <w:sz w:val="24"/>
    </w:rPr>
  </w:style>
  <w:style w:type="paragraph" w:customStyle="1" w:styleId="131">
    <w:name w:val="表格文字1121"/>
    <w:basedOn w:val="1"/>
    <w:qFormat/>
    <w:uiPriority w:val="0"/>
    <w:rPr>
      <w:bCs/>
      <w:spacing w:val="10"/>
      <w:kern w:val="0"/>
    </w:rPr>
  </w:style>
  <w:style w:type="character" w:customStyle="1" w:styleId="132">
    <w:name w:val="_Style 131"/>
    <w:qFormat/>
    <w:uiPriority w:val="0"/>
    <w:rPr>
      <w:i/>
      <w:iCs/>
      <w:color w:val="808080"/>
    </w:rPr>
  </w:style>
  <w:style w:type="character" w:customStyle="1" w:styleId="133">
    <w:name w:val="1ji Char"/>
    <w:link w:val="134"/>
    <w:qFormat/>
    <w:uiPriority w:val="0"/>
    <w:rPr>
      <w:rFonts w:ascii="宋体" w:hAnsi="宋体" w:eastAsia="宋体" w:cs="Times New Roman"/>
      <w:b/>
      <w:bCs/>
      <w:kern w:val="44"/>
      <w:sz w:val="36"/>
      <w:szCs w:val="44"/>
    </w:rPr>
  </w:style>
  <w:style w:type="paragraph" w:customStyle="1" w:styleId="134">
    <w:name w:val="1ji"/>
    <w:basedOn w:val="2"/>
    <w:link w:val="133"/>
    <w:qFormat/>
    <w:uiPriority w:val="0"/>
    <w:pPr>
      <w:keepLines w:val="0"/>
      <w:widowControl/>
      <w:spacing w:before="0" w:after="0" w:line="240" w:lineRule="auto"/>
      <w:jc w:val="center"/>
    </w:pPr>
    <w:rPr>
      <w:rFonts w:ascii="宋体" w:hAnsi="宋体"/>
      <w:sz w:val="36"/>
    </w:rPr>
  </w:style>
  <w:style w:type="character" w:customStyle="1" w:styleId="135">
    <w:name w:val="批注主题 Char1"/>
    <w:qFormat/>
    <w:uiPriority w:val="0"/>
    <w:rPr>
      <w:rFonts w:ascii="Times New Roman" w:hAnsi="Times New Roman" w:eastAsia="宋体" w:cs="Times New Roman"/>
      <w:b/>
      <w:bCs/>
      <w:szCs w:val="24"/>
    </w:rPr>
  </w:style>
  <w:style w:type="character" w:customStyle="1" w:styleId="136">
    <w:name w:val="H1 Char"/>
    <w:qFormat/>
    <w:uiPriority w:val="0"/>
    <w:rPr>
      <w:rFonts w:eastAsia="宋体"/>
      <w:b/>
      <w:bCs/>
      <w:kern w:val="44"/>
      <w:sz w:val="44"/>
      <w:szCs w:val="44"/>
      <w:lang w:val="en-US" w:eastAsia="zh-CN" w:bidi="ar-SA"/>
    </w:rPr>
  </w:style>
  <w:style w:type="character" w:customStyle="1" w:styleId="137">
    <w:name w:val="Footer Char"/>
    <w:qFormat/>
    <w:uiPriority w:val="0"/>
    <w:rPr>
      <w:rFonts w:eastAsia="宋体"/>
      <w:kern w:val="2"/>
      <w:sz w:val="18"/>
      <w:szCs w:val="18"/>
      <w:lang w:val="en-US" w:eastAsia="zh-CN" w:bidi="ar-SA"/>
    </w:rPr>
  </w:style>
  <w:style w:type="character" w:customStyle="1" w:styleId="138">
    <w:name w:val="_Style 137"/>
    <w:qFormat/>
    <w:uiPriority w:val="0"/>
    <w:rPr>
      <w:b/>
      <w:bCs/>
      <w:smallCaps/>
      <w:spacing w:val="5"/>
    </w:rPr>
  </w:style>
  <w:style w:type="character" w:customStyle="1" w:styleId="139">
    <w:name w:val="Char Char20"/>
    <w:qFormat/>
    <w:uiPriority w:val="0"/>
    <w:rPr>
      <w:rFonts w:ascii="Times New Roman" w:hAnsi="Times New Roman" w:eastAsia="宋体" w:cs="Times New Roman"/>
      <w:b/>
      <w:bCs/>
      <w:sz w:val="24"/>
      <w:szCs w:val="32"/>
    </w:rPr>
  </w:style>
  <w:style w:type="character" w:customStyle="1" w:styleId="140">
    <w:name w:val="_Style 139"/>
    <w:qFormat/>
    <w:uiPriority w:val="0"/>
    <w:rPr>
      <w:b/>
      <w:bCs/>
      <w:i/>
      <w:iCs/>
      <w:color w:val="4F81BD"/>
    </w:rPr>
  </w:style>
  <w:style w:type="character" w:customStyle="1" w:styleId="141">
    <w:name w:val="Comment Text Char"/>
    <w:qFormat/>
    <w:uiPriority w:val="0"/>
    <w:rPr>
      <w:rFonts w:cs="Times New Roman"/>
      <w:sz w:val="24"/>
      <w:szCs w:val="24"/>
    </w:rPr>
  </w:style>
  <w:style w:type="character" w:customStyle="1" w:styleId="142">
    <w:name w:val="Balloon Text Char"/>
    <w:qFormat/>
    <w:uiPriority w:val="0"/>
    <w:rPr>
      <w:sz w:val="18"/>
      <w:lang w:bidi="ar-SA"/>
    </w:rPr>
  </w:style>
  <w:style w:type="character" w:customStyle="1" w:styleId="143">
    <w:name w:val="Heading 3 Char1"/>
    <w:qFormat/>
    <w:uiPriority w:val="0"/>
    <w:rPr>
      <w:rFonts w:eastAsia="宋体"/>
      <w:b/>
      <w:bCs/>
      <w:kern w:val="2"/>
      <w:sz w:val="24"/>
      <w:szCs w:val="32"/>
      <w:lang w:val="en-US" w:eastAsia="zh-CN" w:bidi="ar-SA"/>
    </w:rPr>
  </w:style>
  <w:style w:type="character" w:customStyle="1" w:styleId="144">
    <w:name w:val="Body Text Indent 2 Char"/>
    <w:qFormat/>
    <w:uiPriority w:val="0"/>
    <w:rPr>
      <w:rFonts w:eastAsia="宋体"/>
      <w:kern w:val="2"/>
      <w:sz w:val="21"/>
      <w:szCs w:val="24"/>
      <w:lang w:val="en-US" w:eastAsia="zh-CN" w:bidi="ar-SA"/>
    </w:rPr>
  </w:style>
  <w:style w:type="character" w:customStyle="1" w:styleId="145">
    <w:name w:val="普通文字 Char Char2"/>
    <w:qFormat/>
    <w:uiPriority w:val="0"/>
    <w:rPr>
      <w:rFonts w:ascii="宋体" w:hAnsi="Courier New" w:eastAsia="宋体"/>
      <w:kern w:val="2"/>
      <w:sz w:val="21"/>
      <w:lang w:val="en-US" w:eastAsia="zh-CN" w:bidi="ar-SA"/>
    </w:rPr>
  </w:style>
  <w:style w:type="character" w:customStyle="1" w:styleId="146">
    <w:name w:val="Char Char18"/>
    <w:qFormat/>
    <w:uiPriority w:val="0"/>
    <w:rPr>
      <w:rFonts w:ascii="Times New Roman" w:hAnsi="Times New Roman" w:eastAsia="宋体" w:cs="Times New Roman"/>
      <w:b/>
      <w:bCs/>
      <w:sz w:val="28"/>
      <w:szCs w:val="28"/>
    </w:rPr>
  </w:style>
  <w:style w:type="character" w:customStyle="1" w:styleId="147">
    <w:name w:val="纯文本 Char"/>
    <w:qFormat/>
    <w:uiPriority w:val="0"/>
    <w:rPr>
      <w:rFonts w:ascii="宋体" w:hAnsi="Courier New" w:eastAsia="宋体" w:cs="Courier New"/>
      <w:szCs w:val="21"/>
    </w:rPr>
  </w:style>
  <w:style w:type="character" w:customStyle="1" w:styleId="148">
    <w:name w:val="Char Char1811"/>
    <w:qFormat/>
    <w:uiPriority w:val="0"/>
    <w:rPr>
      <w:rFonts w:ascii="Arial" w:hAnsi="Arial" w:eastAsia="黑体"/>
      <w:kern w:val="2"/>
      <w:sz w:val="21"/>
      <w:szCs w:val="24"/>
      <w:lang w:val="en-US" w:eastAsia="zh-CN" w:bidi="ar-SA"/>
    </w:rPr>
  </w:style>
  <w:style w:type="character" w:customStyle="1" w:styleId="149">
    <w:name w:val="unnamed3"/>
    <w:qFormat/>
    <w:uiPriority w:val="0"/>
  </w:style>
  <w:style w:type="character" w:customStyle="1" w:styleId="150">
    <w:name w:val="Char Char23"/>
    <w:qFormat/>
    <w:uiPriority w:val="0"/>
    <w:rPr>
      <w:rFonts w:eastAsia="宋体"/>
      <w:b/>
      <w:bCs/>
      <w:kern w:val="44"/>
      <w:sz w:val="32"/>
      <w:szCs w:val="44"/>
      <w:lang w:val="en-US" w:eastAsia="zh-CN" w:bidi="ar-SA"/>
    </w:rPr>
  </w:style>
  <w:style w:type="character" w:customStyle="1" w:styleId="151">
    <w:name w:val="param-name param-explain"/>
    <w:qFormat/>
    <w:uiPriority w:val="0"/>
  </w:style>
  <w:style w:type="character" w:customStyle="1" w:styleId="152">
    <w:name w:val="gray12"/>
    <w:qFormat/>
    <w:uiPriority w:val="0"/>
  </w:style>
  <w:style w:type="character" w:customStyle="1" w:styleId="153">
    <w:name w:val="Char Char17"/>
    <w:qFormat/>
    <w:uiPriority w:val="0"/>
    <w:rPr>
      <w:rFonts w:eastAsia="黑体"/>
      <w:b/>
      <w:bCs/>
      <w:kern w:val="44"/>
      <w:sz w:val="32"/>
      <w:szCs w:val="44"/>
    </w:rPr>
  </w:style>
  <w:style w:type="character" w:customStyle="1" w:styleId="154">
    <w:name w:val="style15"/>
    <w:qFormat/>
    <w:uiPriority w:val="0"/>
  </w:style>
  <w:style w:type="character" w:customStyle="1" w:styleId="155">
    <w:name w:val="标题4 Char Char"/>
    <w:qFormat/>
    <w:uiPriority w:val="0"/>
    <w:rPr>
      <w:rFonts w:ascii="Arial" w:hAnsi="Arial"/>
      <w:b/>
      <w:bCs/>
      <w:sz w:val="24"/>
      <w:szCs w:val="32"/>
      <w:lang w:bidi="ar-SA"/>
    </w:rPr>
  </w:style>
  <w:style w:type="character" w:customStyle="1" w:styleId="156">
    <w:name w:val="param-name"/>
    <w:qFormat/>
    <w:uiPriority w:val="0"/>
  </w:style>
  <w:style w:type="character" w:customStyle="1" w:styleId="157">
    <w:name w:val="标题 Char2"/>
    <w:qFormat/>
    <w:uiPriority w:val="0"/>
    <w:rPr>
      <w:rFonts w:ascii="Cambria" w:hAnsi="Cambria" w:eastAsia="宋体" w:cs="Times New Roman"/>
      <w:b/>
      <w:bCs/>
      <w:sz w:val="32"/>
      <w:szCs w:val="32"/>
    </w:rPr>
  </w:style>
  <w:style w:type="character" w:customStyle="1" w:styleId="158">
    <w:name w:val="Char Char28"/>
    <w:qFormat/>
    <w:uiPriority w:val="0"/>
    <w:rPr>
      <w:rFonts w:eastAsia="宋体"/>
      <w:kern w:val="2"/>
      <w:sz w:val="16"/>
      <w:szCs w:val="16"/>
      <w:lang w:val="en-US" w:eastAsia="zh-CN" w:bidi="ar-SA"/>
    </w:rPr>
  </w:style>
  <w:style w:type="character" w:customStyle="1" w:styleId="159">
    <w:name w:val="Char Char22"/>
    <w:qFormat/>
    <w:uiPriority w:val="0"/>
    <w:rPr>
      <w:rFonts w:ascii="Times New Roman" w:hAnsi="Times New Roman" w:eastAsia="宋体" w:cs="Times New Roman"/>
      <w:b/>
      <w:bCs/>
      <w:kern w:val="44"/>
      <w:sz w:val="32"/>
      <w:szCs w:val="44"/>
    </w:rPr>
  </w:style>
  <w:style w:type="character" w:customStyle="1" w:styleId="160">
    <w:name w:val="f151"/>
    <w:qFormat/>
    <w:uiPriority w:val="0"/>
    <w:rPr>
      <w:sz w:val="23"/>
      <w:szCs w:val="23"/>
    </w:rPr>
  </w:style>
  <w:style w:type="character" w:customStyle="1" w:styleId="161">
    <w:name w:val="Heading 1 Char"/>
    <w:qFormat/>
    <w:uiPriority w:val="0"/>
    <w:rPr>
      <w:rFonts w:eastAsia="宋体"/>
      <w:b/>
      <w:bCs/>
      <w:kern w:val="44"/>
      <w:sz w:val="32"/>
      <w:szCs w:val="44"/>
      <w:lang w:val="en-US" w:eastAsia="zh-CN" w:bidi="ar-SA"/>
    </w:rPr>
  </w:style>
  <w:style w:type="character" w:customStyle="1" w:styleId="162">
    <w:name w:val="Char Char29"/>
    <w:qFormat/>
    <w:uiPriority w:val="0"/>
    <w:rPr>
      <w:rFonts w:ascii="宋体" w:hAnsi="Courier New" w:eastAsia="宋体" w:cs="Courier New"/>
      <w:kern w:val="2"/>
      <w:sz w:val="21"/>
      <w:szCs w:val="21"/>
      <w:lang w:val="en-US" w:eastAsia="zh-CN" w:bidi="ar-SA"/>
    </w:rPr>
  </w:style>
  <w:style w:type="character" w:customStyle="1" w:styleId="163">
    <w:name w:val="批注框文本 Char1"/>
    <w:qFormat/>
    <w:uiPriority w:val="0"/>
    <w:rPr>
      <w:rFonts w:ascii="Times New Roman" w:hAnsi="Times New Roman" w:eastAsia="宋体" w:cs="Times New Roman"/>
      <w:sz w:val="18"/>
      <w:szCs w:val="18"/>
    </w:rPr>
  </w:style>
  <w:style w:type="character" w:customStyle="1" w:styleId="164">
    <w:name w:val="明显引用 Char"/>
    <w:link w:val="165"/>
    <w:qFormat/>
    <w:uiPriority w:val="0"/>
    <w:rPr>
      <w:b/>
      <w:bCs/>
      <w:i/>
      <w:iCs/>
      <w:color w:val="4F81BD"/>
    </w:rPr>
  </w:style>
  <w:style w:type="paragraph" w:styleId="165">
    <w:name w:val="Intense Quote"/>
    <w:basedOn w:val="1"/>
    <w:next w:val="1"/>
    <w:link w:val="164"/>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66">
    <w:name w:val="仿宋缩进2字符 Char"/>
    <w:link w:val="167"/>
    <w:qFormat/>
    <w:uiPriority w:val="0"/>
    <w:rPr>
      <w:rFonts w:ascii="仿宋" w:hAnsi="仿宋" w:eastAsia="仿宋"/>
      <w:kern w:val="2"/>
      <w:sz w:val="28"/>
      <w:szCs w:val="28"/>
    </w:rPr>
  </w:style>
  <w:style w:type="paragraph" w:customStyle="1" w:styleId="167">
    <w:name w:val="仿宋缩进2字符"/>
    <w:basedOn w:val="1"/>
    <w:link w:val="166"/>
    <w:qFormat/>
    <w:uiPriority w:val="0"/>
    <w:pPr>
      <w:spacing w:line="360" w:lineRule="auto"/>
      <w:ind w:firstLine="200" w:firstLineChars="200"/>
    </w:pPr>
    <w:rPr>
      <w:rFonts w:ascii="仿宋" w:hAnsi="仿宋" w:eastAsia="仿宋"/>
      <w:sz w:val="28"/>
      <w:szCs w:val="28"/>
    </w:rPr>
  </w:style>
  <w:style w:type="character" w:customStyle="1" w:styleId="168">
    <w:name w:val="content2"/>
    <w:qFormat/>
    <w:uiPriority w:val="0"/>
  </w:style>
  <w:style w:type="character" w:customStyle="1" w:styleId="169">
    <w:name w:val="明显引用 Char1"/>
    <w:qFormat/>
    <w:uiPriority w:val="0"/>
    <w:rPr>
      <w:rFonts w:ascii="Times New Roman" w:hAnsi="Times New Roman" w:eastAsia="宋体" w:cs="Times New Roman"/>
      <w:b/>
      <w:bCs/>
      <w:i/>
      <w:iCs/>
      <w:color w:val="4F81BD"/>
      <w:szCs w:val="24"/>
    </w:rPr>
  </w:style>
  <w:style w:type="character" w:customStyle="1" w:styleId="170">
    <w:name w:val="Char Char1711"/>
    <w:qFormat/>
    <w:uiPriority w:val="0"/>
    <w:rPr>
      <w:rFonts w:eastAsia="黑体"/>
      <w:b/>
      <w:bCs/>
      <w:kern w:val="44"/>
      <w:sz w:val="32"/>
      <w:szCs w:val="44"/>
    </w:rPr>
  </w:style>
  <w:style w:type="character" w:customStyle="1" w:styleId="171">
    <w:name w:val="style21"/>
    <w:qFormat/>
    <w:uiPriority w:val="0"/>
    <w:rPr>
      <w:sz w:val="17"/>
      <w:szCs w:val="17"/>
    </w:rPr>
  </w:style>
  <w:style w:type="character" w:customStyle="1" w:styleId="172">
    <w:name w:val="Char Char9"/>
    <w:qFormat/>
    <w:uiPriority w:val="0"/>
    <w:rPr>
      <w:rFonts w:eastAsia="宋体"/>
      <w:b/>
      <w:bCs/>
      <w:kern w:val="44"/>
      <w:sz w:val="32"/>
      <w:szCs w:val="44"/>
      <w:lang w:val="en-US" w:eastAsia="zh-CN" w:bidi="ar-SA"/>
    </w:rPr>
  </w:style>
  <w:style w:type="character" w:customStyle="1" w:styleId="173">
    <w:name w:val="apple-converted-space"/>
    <w:qFormat/>
    <w:uiPriority w:val="0"/>
  </w:style>
  <w:style w:type="character" w:customStyle="1" w:styleId="174">
    <w:name w:val="1051"/>
    <w:qFormat/>
    <w:uiPriority w:val="0"/>
    <w:rPr>
      <w:sz w:val="21"/>
      <w:szCs w:val="21"/>
    </w:rPr>
  </w:style>
  <w:style w:type="character" w:customStyle="1" w:styleId="175">
    <w:name w:val="_Style 174"/>
    <w:qFormat/>
    <w:uiPriority w:val="0"/>
    <w:rPr>
      <w:smallCaps/>
      <w:color w:val="C0504D"/>
      <w:u w:val="single"/>
    </w:rPr>
  </w:style>
  <w:style w:type="character" w:customStyle="1" w:styleId="176">
    <w:name w:val="Char Char2011"/>
    <w:qFormat/>
    <w:uiPriority w:val="0"/>
    <w:rPr>
      <w:rFonts w:eastAsia="宋体"/>
      <w:b/>
      <w:kern w:val="2"/>
      <w:sz w:val="24"/>
      <w:szCs w:val="24"/>
      <w:lang w:val="en-US" w:eastAsia="zh-CN" w:bidi="ar-SA"/>
    </w:rPr>
  </w:style>
  <w:style w:type="character" w:customStyle="1" w:styleId="177">
    <w:name w:val="st"/>
    <w:qFormat/>
    <w:uiPriority w:val="0"/>
  </w:style>
  <w:style w:type="character" w:customStyle="1" w:styleId="178">
    <w:name w:val="Char Char21"/>
    <w:qFormat/>
    <w:uiPriority w:val="0"/>
    <w:rPr>
      <w:rFonts w:ascii="Arial" w:hAnsi="Arial" w:eastAsia="黑体" w:cs="Times New Roman"/>
      <w:b/>
      <w:bCs/>
      <w:sz w:val="32"/>
      <w:szCs w:val="32"/>
    </w:rPr>
  </w:style>
  <w:style w:type="character" w:customStyle="1" w:styleId="179">
    <w:name w:val="批注文字 Char"/>
    <w:qFormat/>
    <w:uiPriority w:val="0"/>
    <w:rPr>
      <w:kern w:val="2"/>
      <w:sz w:val="21"/>
      <w:szCs w:val="24"/>
    </w:rPr>
  </w:style>
  <w:style w:type="character" w:customStyle="1" w:styleId="180">
    <w:name w:val="小标题 Char"/>
    <w:qFormat/>
    <w:uiPriority w:val="0"/>
    <w:rPr>
      <w:rFonts w:eastAsia="宋体"/>
      <w:b/>
      <w:bCs/>
      <w:kern w:val="2"/>
      <w:sz w:val="32"/>
      <w:szCs w:val="32"/>
      <w:lang w:val="en-US" w:eastAsia="zh-CN" w:bidi="ar-SA"/>
    </w:rPr>
  </w:style>
  <w:style w:type="character" w:customStyle="1" w:styleId="181">
    <w:name w:val="文档结构图 Char1"/>
    <w:qFormat/>
    <w:uiPriority w:val="0"/>
    <w:rPr>
      <w:rFonts w:ascii="宋体" w:hAnsi="Times New Roman" w:eastAsia="宋体" w:cs="Times New Roman"/>
      <w:sz w:val="18"/>
      <w:szCs w:val="18"/>
    </w:rPr>
  </w:style>
  <w:style w:type="character" w:customStyle="1" w:styleId="182">
    <w:name w:val="Char Char19"/>
    <w:qFormat/>
    <w:uiPriority w:val="0"/>
    <w:rPr>
      <w:rFonts w:ascii="Arial" w:hAnsi="Arial" w:eastAsia="黑体"/>
      <w:kern w:val="2"/>
      <w:sz w:val="24"/>
      <w:szCs w:val="24"/>
      <w:lang w:val="en-US" w:eastAsia="zh-CN" w:bidi="ar-SA"/>
    </w:rPr>
  </w:style>
  <w:style w:type="character" w:customStyle="1" w:styleId="183">
    <w:name w:val="h Char"/>
    <w:qFormat/>
    <w:uiPriority w:val="0"/>
    <w:rPr>
      <w:rFonts w:eastAsia="宋体"/>
      <w:kern w:val="2"/>
      <w:sz w:val="18"/>
      <w:szCs w:val="18"/>
      <w:lang w:val="en-US" w:eastAsia="zh-CN" w:bidi="ar-SA"/>
    </w:rPr>
  </w:style>
  <w:style w:type="character" w:customStyle="1" w:styleId="184">
    <w:name w:val="引用 Char"/>
    <w:link w:val="185"/>
    <w:qFormat/>
    <w:uiPriority w:val="0"/>
    <w:rPr>
      <w:i/>
      <w:iCs/>
      <w:color w:val="000000"/>
    </w:rPr>
  </w:style>
  <w:style w:type="paragraph" w:styleId="185">
    <w:name w:val="Quote"/>
    <w:basedOn w:val="1"/>
    <w:next w:val="1"/>
    <w:link w:val="184"/>
    <w:qFormat/>
    <w:uiPriority w:val="0"/>
    <w:rPr>
      <w:i/>
      <w:iCs/>
      <w:color w:val="000000"/>
      <w:kern w:val="0"/>
      <w:sz w:val="20"/>
      <w:szCs w:val="20"/>
    </w:rPr>
  </w:style>
  <w:style w:type="character" w:customStyle="1" w:styleId="186">
    <w:name w:val="Char Char2111"/>
    <w:qFormat/>
    <w:uiPriority w:val="0"/>
    <w:rPr>
      <w:rFonts w:ascii="Arial" w:hAnsi="Arial" w:eastAsia="黑体"/>
      <w:b/>
      <w:kern w:val="2"/>
      <w:sz w:val="24"/>
      <w:szCs w:val="24"/>
      <w:lang w:val="en-US" w:eastAsia="zh-CN" w:bidi="ar-SA"/>
    </w:rPr>
  </w:style>
  <w:style w:type="character" w:customStyle="1" w:styleId="187">
    <w:name w:val="正文文字首行缩进 Char"/>
    <w:qFormat/>
    <w:uiPriority w:val="0"/>
    <w:rPr>
      <w:rFonts w:ascii="仿宋_GB2312" w:eastAsia="仿宋_GB2312"/>
      <w:kern w:val="2"/>
      <w:sz w:val="32"/>
      <w:lang w:val="en-US" w:eastAsia="zh-CN" w:bidi="ar-SA"/>
    </w:rPr>
  </w:style>
  <w:style w:type="character" w:customStyle="1" w:styleId="188">
    <w:name w:val="引用 Char1"/>
    <w:qFormat/>
    <w:uiPriority w:val="0"/>
    <w:rPr>
      <w:rFonts w:ascii="Times New Roman" w:hAnsi="Times New Roman" w:eastAsia="宋体" w:cs="Times New Roman"/>
      <w:i/>
      <w:iCs/>
      <w:color w:val="000000"/>
      <w:szCs w:val="24"/>
    </w:rPr>
  </w:style>
  <w:style w:type="character" w:customStyle="1" w:styleId="189">
    <w:name w:val="Char Char27"/>
    <w:qFormat/>
    <w:uiPriority w:val="0"/>
    <w:rPr>
      <w:rFonts w:eastAsia="宋体"/>
      <w:b/>
      <w:bCs/>
      <w:kern w:val="44"/>
      <w:sz w:val="44"/>
      <w:szCs w:val="44"/>
      <w:lang w:val="en-US" w:eastAsia="zh-CN" w:bidi="ar-SA"/>
    </w:rPr>
  </w:style>
  <w:style w:type="character" w:customStyle="1" w:styleId="190">
    <w:name w:val="header odd Char Char"/>
    <w:qFormat/>
    <w:uiPriority w:val="0"/>
    <w:rPr>
      <w:rFonts w:ascii="宋体" w:hAnsi="Courier New" w:eastAsia="宋体"/>
      <w:kern w:val="2"/>
      <w:sz w:val="18"/>
      <w:lang w:val="en-US" w:eastAsia="zh-CN" w:bidi="ar-SA"/>
    </w:rPr>
  </w:style>
  <w:style w:type="character" w:customStyle="1" w:styleId="191">
    <w:name w:val="Comment Subject Char"/>
    <w:qFormat/>
    <w:uiPriority w:val="0"/>
    <w:rPr>
      <w:b/>
      <w:sz w:val="24"/>
      <w:lang w:bidi="ar-SA"/>
    </w:rPr>
  </w:style>
  <w:style w:type="character" w:customStyle="1" w:styleId="192">
    <w:name w:val="Char Char2311"/>
    <w:qFormat/>
    <w:uiPriority w:val="0"/>
    <w:rPr>
      <w:rFonts w:ascii="Times New Roman" w:hAnsi="Times New Roman" w:eastAsia="宋体" w:cs="Times New Roman"/>
      <w:b/>
      <w:bCs/>
      <w:kern w:val="44"/>
      <w:sz w:val="44"/>
      <w:szCs w:val="44"/>
    </w:rPr>
  </w:style>
  <w:style w:type="character" w:customStyle="1" w:styleId="193">
    <w:name w:val="H1 Char1"/>
    <w:qFormat/>
    <w:uiPriority w:val="0"/>
    <w:rPr>
      <w:rFonts w:eastAsia="宋体"/>
      <w:b/>
      <w:bCs/>
      <w:kern w:val="2"/>
      <w:sz w:val="21"/>
      <w:szCs w:val="24"/>
      <w:lang w:val="en-US" w:eastAsia="zh-CN" w:bidi="ar-SA"/>
    </w:rPr>
  </w:style>
  <w:style w:type="character" w:customStyle="1" w:styleId="194">
    <w:name w:val="Title Char"/>
    <w:qFormat/>
    <w:uiPriority w:val="0"/>
    <w:rPr>
      <w:rFonts w:ascii="Cambria" w:hAnsi="Cambria"/>
      <w:b/>
      <w:sz w:val="32"/>
      <w:lang w:bidi="ar-SA"/>
    </w:rPr>
  </w:style>
  <w:style w:type="character" w:customStyle="1" w:styleId="195">
    <w:name w:val="Char Char24"/>
    <w:qFormat/>
    <w:uiPriority w:val="0"/>
    <w:rPr>
      <w:rFonts w:ascii="Arial" w:hAnsi="Arial" w:eastAsia="黑体"/>
      <w:sz w:val="28"/>
      <w:lang w:bidi="ar-SA"/>
    </w:rPr>
  </w:style>
  <w:style w:type="character" w:customStyle="1" w:styleId="196">
    <w:name w:val="Title3 Char1"/>
    <w:qFormat/>
    <w:uiPriority w:val="0"/>
    <w:rPr>
      <w:rFonts w:eastAsia="宋体"/>
      <w:b/>
      <w:bCs/>
      <w:kern w:val="2"/>
      <w:sz w:val="32"/>
      <w:szCs w:val="32"/>
      <w:lang w:val="en-US" w:eastAsia="zh-CN" w:bidi="ar-SA"/>
    </w:rPr>
  </w:style>
  <w:style w:type="character" w:customStyle="1" w:styleId="197">
    <w:name w:val="Heading 5 Char"/>
    <w:qFormat/>
    <w:uiPriority w:val="0"/>
    <w:rPr>
      <w:rFonts w:eastAsia="宋体"/>
      <w:b/>
      <w:bCs/>
      <w:kern w:val="2"/>
      <w:sz w:val="28"/>
      <w:szCs w:val="28"/>
      <w:lang w:val="en-US" w:eastAsia="zh-CN" w:bidi="ar-SA"/>
    </w:rPr>
  </w:style>
  <w:style w:type="character" w:customStyle="1" w:styleId="198">
    <w:name w:val="llyf92"/>
    <w:qFormat/>
    <w:uiPriority w:val="0"/>
    <w:rPr>
      <w:sz w:val="18"/>
      <w:szCs w:val="18"/>
    </w:rPr>
  </w:style>
  <w:style w:type="character" w:customStyle="1" w:styleId="199">
    <w:name w:val="style31"/>
    <w:qFormat/>
    <w:uiPriority w:val="0"/>
    <w:rPr>
      <w:sz w:val="18"/>
      <w:szCs w:val="18"/>
    </w:rPr>
  </w:style>
  <w:style w:type="character" w:customStyle="1" w:styleId="200">
    <w:name w:val="Body Text Indent Char"/>
    <w:qFormat/>
    <w:uiPriority w:val="0"/>
    <w:rPr>
      <w:rFonts w:ascii="宋体" w:hAnsi="宋体" w:eastAsia="宋体"/>
      <w:kern w:val="2"/>
      <w:sz w:val="21"/>
      <w:lang w:val="en-US" w:eastAsia="zh-CN" w:bidi="ar-SA"/>
    </w:rPr>
  </w:style>
  <w:style w:type="character" w:customStyle="1" w:styleId="201">
    <w:name w:val="Char Char25"/>
    <w:qFormat/>
    <w:uiPriority w:val="0"/>
    <w:rPr>
      <w:rFonts w:eastAsia="宋体"/>
      <w:b/>
      <w:bCs/>
      <w:sz w:val="32"/>
      <w:szCs w:val="32"/>
      <w:lang w:bidi="ar-SA"/>
    </w:rPr>
  </w:style>
  <w:style w:type="character" w:customStyle="1" w:styleId="202">
    <w:name w:val="H5 Char"/>
    <w:qFormat/>
    <w:uiPriority w:val="0"/>
    <w:rPr>
      <w:rFonts w:eastAsia="宋体"/>
      <w:b/>
      <w:kern w:val="2"/>
      <w:sz w:val="28"/>
      <w:lang w:val="en-US" w:eastAsia="zh-CN" w:bidi="ar-SA"/>
    </w:rPr>
  </w:style>
  <w:style w:type="character" w:customStyle="1" w:styleId="203">
    <w:name w:val="批注文字 Char Char"/>
    <w:qFormat/>
    <w:uiPriority w:val="0"/>
    <w:rPr>
      <w:rFonts w:ascii="宋体" w:hAnsi="Times New Roman" w:eastAsia="宋体" w:cs="Times New Roman"/>
      <w:sz w:val="28"/>
      <w:szCs w:val="20"/>
    </w:rPr>
  </w:style>
  <w:style w:type="character" w:customStyle="1" w:styleId="204">
    <w:name w:val="Char Char33"/>
    <w:qFormat/>
    <w:uiPriority w:val="0"/>
    <w:rPr>
      <w:rFonts w:ascii="宋体" w:hAnsi="Courier New" w:eastAsia="宋体" w:cs="Courier New"/>
      <w:szCs w:val="21"/>
    </w:rPr>
  </w:style>
  <w:style w:type="character" w:customStyle="1" w:styleId="205">
    <w:name w:val="f141"/>
    <w:qFormat/>
    <w:uiPriority w:val="0"/>
    <w:rPr>
      <w:sz w:val="21"/>
      <w:szCs w:val="21"/>
    </w:rPr>
  </w:style>
  <w:style w:type="character" w:customStyle="1" w:styleId="206">
    <w:name w:val="Footnote Text Char"/>
    <w:qFormat/>
    <w:uiPriority w:val="0"/>
    <w:rPr>
      <w:rFonts w:eastAsia="宋体"/>
      <w:sz w:val="18"/>
      <w:lang w:val="en-US" w:eastAsia="zh-CN" w:bidi="ar-SA"/>
    </w:rPr>
  </w:style>
  <w:style w:type="character" w:customStyle="1" w:styleId="207">
    <w:name w:val="Char Char2211"/>
    <w:qFormat/>
    <w:uiPriority w:val="0"/>
    <w:rPr>
      <w:rFonts w:eastAsia="宋体"/>
      <w:b/>
      <w:kern w:val="2"/>
      <w:sz w:val="28"/>
      <w:szCs w:val="24"/>
      <w:lang w:val="en-US" w:eastAsia="zh-CN" w:bidi="ar-SA"/>
    </w:rPr>
  </w:style>
  <w:style w:type="character" w:customStyle="1" w:styleId="208">
    <w:name w:val="style51"/>
    <w:qFormat/>
    <w:uiPriority w:val="0"/>
  </w:style>
  <w:style w:type="character" w:customStyle="1" w:styleId="209">
    <w:name w:val="批注文字 Char1"/>
    <w:qFormat/>
    <w:uiPriority w:val="0"/>
    <w:rPr>
      <w:rFonts w:ascii="Times New Roman" w:hAnsi="Times New Roman" w:eastAsia="宋体" w:cs="Times New Roman"/>
      <w:szCs w:val="24"/>
    </w:rPr>
  </w:style>
  <w:style w:type="character" w:customStyle="1" w:styleId="210">
    <w:name w:val="Char Char Char Char Char"/>
    <w:qFormat/>
    <w:uiPriority w:val="0"/>
    <w:rPr>
      <w:rFonts w:eastAsia="宋体"/>
      <w:b/>
      <w:bCs/>
      <w:kern w:val="44"/>
      <w:sz w:val="44"/>
      <w:szCs w:val="44"/>
      <w:lang w:val="en-US" w:eastAsia="zh-CN" w:bidi="ar-SA"/>
    </w:rPr>
  </w:style>
  <w:style w:type="character" w:customStyle="1" w:styleId="211">
    <w:name w:val="手改 Char Char"/>
    <w:qFormat/>
    <w:uiPriority w:val="0"/>
    <w:rPr>
      <w:rFonts w:ascii="宋体" w:eastAsia="宋体"/>
      <w:sz w:val="34"/>
      <w:lang w:val="en-US" w:eastAsia="zh-CN" w:bidi="ar-SA"/>
    </w:rPr>
  </w:style>
  <w:style w:type="character" w:customStyle="1" w:styleId="212">
    <w:name w:val="标题 Char1"/>
    <w:qFormat/>
    <w:uiPriority w:val="0"/>
    <w:rPr>
      <w:rFonts w:ascii="Cambria" w:hAnsi="Cambria" w:eastAsia="宋体" w:cs="Times New Roman"/>
      <w:b/>
      <w:bCs/>
      <w:sz w:val="32"/>
      <w:szCs w:val="32"/>
    </w:rPr>
  </w:style>
  <w:style w:type="character" w:customStyle="1" w:styleId="213">
    <w:name w:val="fo Char"/>
    <w:qFormat/>
    <w:uiPriority w:val="0"/>
    <w:rPr>
      <w:rFonts w:eastAsia="宋体"/>
      <w:kern w:val="2"/>
      <w:sz w:val="18"/>
      <w:szCs w:val="18"/>
      <w:lang w:val="en-US" w:eastAsia="zh-CN" w:bidi="ar-SA"/>
    </w:rPr>
  </w:style>
  <w:style w:type="character" w:customStyle="1" w:styleId="214">
    <w:name w:val="Char Char26"/>
    <w:qFormat/>
    <w:uiPriority w:val="0"/>
    <w:rPr>
      <w:rFonts w:ascii="Arial" w:hAnsi="Arial" w:eastAsia="黑体"/>
      <w:b/>
      <w:bCs/>
      <w:sz w:val="32"/>
      <w:szCs w:val="32"/>
      <w:lang w:bidi="ar-SA"/>
    </w:rPr>
  </w:style>
  <w:style w:type="character" w:customStyle="1" w:styleId="215">
    <w:name w:val="mark"/>
    <w:qFormat/>
    <w:uiPriority w:val="0"/>
  </w:style>
  <w:style w:type="character" w:customStyle="1" w:styleId="216">
    <w:name w:val="脚注文本 Char1"/>
    <w:semiHidden/>
    <w:qFormat/>
    <w:uiPriority w:val="99"/>
    <w:rPr>
      <w:rFonts w:ascii="Times New Roman" w:hAnsi="Times New Roman" w:eastAsia="宋体" w:cs="Times New Roman"/>
      <w:sz w:val="18"/>
      <w:szCs w:val="18"/>
    </w:rPr>
  </w:style>
  <w:style w:type="character" w:customStyle="1" w:styleId="217">
    <w:name w:val="Char Char30"/>
    <w:qFormat/>
    <w:uiPriority w:val="0"/>
    <w:rPr>
      <w:rFonts w:ascii="Times New Roman" w:hAnsi="Times New Roman" w:eastAsia="宋体" w:cs="Times New Roman"/>
      <w:szCs w:val="24"/>
    </w:rPr>
  </w:style>
  <w:style w:type="character" w:customStyle="1" w:styleId="218">
    <w:name w:val="style54"/>
    <w:qFormat/>
    <w:uiPriority w:val="0"/>
  </w:style>
  <w:style w:type="character" w:customStyle="1" w:styleId="219">
    <w:name w:val="H2 Char"/>
    <w:qFormat/>
    <w:uiPriority w:val="0"/>
    <w:rPr>
      <w:rFonts w:ascii="Arial" w:hAnsi="Arial" w:eastAsia="黑体" w:cs="Times New Roman"/>
      <w:b/>
      <w:bCs/>
      <w:sz w:val="32"/>
      <w:szCs w:val="32"/>
    </w:rPr>
  </w:style>
  <w:style w:type="character" w:customStyle="1" w:styleId="220">
    <w:name w:val="font91"/>
    <w:qFormat/>
    <w:uiPriority w:val="0"/>
    <w:rPr>
      <w:rFonts w:hint="eastAsia" w:ascii="宋体" w:hAnsi="宋体" w:eastAsia="宋体" w:cs="宋体"/>
      <w:color w:val="000000"/>
      <w:sz w:val="20"/>
      <w:szCs w:val="20"/>
      <w:u w:val="none"/>
      <w:vertAlign w:val="superscript"/>
    </w:rPr>
  </w:style>
  <w:style w:type="character" w:customStyle="1" w:styleId="221">
    <w:name w:val="Report Text Char"/>
    <w:link w:val="222"/>
    <w:qFormat/>
    <w:uiPriority w:val="0"/>
    <w:rPr>
      <w:rFonts w:ascii="Arial" w:hAnsi="Arial" w:eastAsia="宋体" w:cs="Tahoma"/>
      <w:kern w:val="28"/>
      <w:sz w:val="22"/>
      <w:szCs w:val="20"/>
    </w:rPr>
  </w:style>
  <w:style w:type="paragraph" w:customStyle="1" w:styleId="222">
    <w:name w:val="Report Text"/>
    <w:basedOn w:val="1"/>
    <w:link w:val="221"/>
    <w:qFormat/>
    <w:uiPriority w:val="0"/>
    <w:pPr>
      <w:widowControl/>
      <w:spacing w:before="240" w:after="120"/>
      <w:ind w:left="1080"/>
    </w:pPr>
    <w:rPr>
      <w:rFonts w:ascii="Arial" w:hAnsi="Arial"/>
      <w:kern w:val="28"/>
      <w:sz w:val="22"/>
      <w:szCs w:val="20"/>
    </w:rPr>
  </w:style>
  <w:style w:type="character" w:customStyle="1" w:styleId="223">
    <w:name w:val="批注主题 Char2"/>
    <w:semiHidden/>
    <w:qFormat/>
    <w:uiPriority w:val="99"/>
    <w:rPr>
      <w:rFonts w:ascii="Times New Roman" w:hAnsi="Times New Roman" w:eastAsia="宋体" w:cs="Times New Roman"/>
      <w:b/>
      <w:bCs/>
      <w:szCs w:val="24"/>
    </w:rPr>
  </w:style>
  <w:style w:type="character" w:customStyle="1" w:styleId="224">
    <w:name w:val="font41"/>
    <w:qFormat/>
    <w:uiPriority w:val="0"/>
    <w:rPr>
      <w:rFonts w:hint="eastAsia" w:ascii="宋体" w:hAnsi="宋体" w:eastAsia="宋体" w:cs="宋体"/>
      <w:color w:val="000000"/>
      <w:sz w:val="20"/>
      <w:szCs w:val="20"/>
      <w:u w:val="none"/>
    </w:rPr>
  </w:style>
  <w:style w:type="character" w:customStyle="1" w:styleId="225">
    <w:name w:val="Char Char191"/>
    <w:qFormat/>
    <w:uiPriority w:val="0"/>
    <w:rPr>
      <w:rFonts w:ascii="Arial" w:hAnsi="Arial" w:eastAsia="黑体"/>
      <w:kern w:val="2"/>
      <w:sz w:val="24"/>
      <w:szCs w:val="24"/>
      <w:lang w:val="en-US" w:eastAsia="zh-CN" w:bidi="ar-SA"/>
    </w:rPr>
  </w:style>
  <w:style w:type="character" w:customStyle="1" w:styleId="226">
    <w:name w:val="批注文字 Char3"/>
    <w:qFormat/>
    <w:uiPriority w:val="0"/>
    <w:rPr>
      <w:rFonts w:eastAsia="宋体"/>
      <w:kern w:val="2"/>
      <w:sz w:val="21"/>
      <w:szCs w:val="24"/>
      <w:lang w:val="en-US" w:eastAsia="zh-CN" w:bidi="ar-SA"/>
    </w:rPr>
  </w:style>
  <w:style w:type="character" w:customStyle="1" w:styleId="227">
    <w:name w:val="font51"/>
    <w:qFormat/>
    <w:uiPriority w:val="0"/>
    <w:rPr>
      <w:rFonts w:hint="eastAsia" w:ascii="宋体" w:hAnsi="宋体" w:eastAsia="宋体" w:cs="宋体"/>
      <w:color w:val="000000"/>
      <w:sz w:val="20"/>
      <w:szCs w:val="20"/>
      <w:u w:val="none"/>
      <w:vertAlign w:val="superscript"/>
    </w:rPr>
  </w:style>
  <w:style w:type="character" w:customStyle="1" w:styleId="228">
    <w:name w:val="Char Char14"/>
    <w:qFormat/>
    <w:uiPriority w:val="0"/>
    <w:rPr>
      <w:sz w:val="18"/>
      <w:szCs w:val="18"/>
    </w:rPr>
  </w:style>
  <w:style w:type="character" w:customStyle="1" w:styleId="229">
    <w:name w:val="Document Map Char"/>
    <w:qFormat/>
    <w:uiPriority w:val="0"/>
    <w:rPr>
      <w:rFonts w:eastAsia="宋体"/>
      <w:kern w:val="2"/>
      <w:sz w:val="21"/>
      <w:szCs w:val="24"/>
      <w:lang w:val="en-US" w:eastAsia="zh-CN" w:bidi="ar-SA"/>
    </w:rPr>
  </w:style>
  <w:style w:type="character" w:customStyle="1" w:styleId="230">
    <w:name w:val="无间隔 Char Char"/>
    <w:qFormat/>
    <w:uiPriority w:val="0"/>
    <w:rPr>
      <w:rFonts w:ascii="Calibri" w:hAnsi="Calibri" w:eastAsia="宋体"/>
      <w:sz w:val="22"/>
      <w:szCs w:val="22"/>
      <w:lang w:val="en-US" w:eastAsia="zh-CN" w:bidi="ar-SA"/>
    </w:rPr>
  </w:style>
  <w:style w:type="character" w:customStyle="1" w:styleId="231">
    <w:name w:val="Date Char"/>
    <w:qFormat/>
    <w:uiPriority w:val="0"/>
    <w:rPr>
      <w:rFonts w:eastAsia="宋体"/>
      <w:kern w:val="2"/>
      <w:sz w:val="21"/>
      <w:szCs w:val="24"/>
      <w:lang w:val="en-US" w:eastAsia="zh-CN" w:bidi="ar-SA"/>
    </w:rPr>
  </w:style>
  <w:style w:type="character" w:customStyle="1" w:styleId="232">
    <w:name w:val="unnamed21"/>
    <w:qFormat/>
    <w:uiPriority w:val="0"/>
  </w:style>
  <w:style w:type="character" w:customStyle="1" w:styleId="233">
    <w:name w:val="日期 Char1"/>
    <w:qFormat/>
    <w:uiPriority w:val="0"/>
    <w:rPr>
      <w:rFonts w:ascii="Times New Roman" w:hAnsi="Times New Roman" w:eastAsia="宋体" w:cs="Times New Roman"/>
      <w:szCs w:val="24"/>
    </w:rPr>
  </w:style>
  <w:style w:type="character" w:customStyle="1" w:styleId="234">
    <w:name w:val="自定义标题一 Char"/>
    <w:link w:val="235"/>
    <w:qFormat/>
    <w:uiPriority w:val="0"/>
    <w:rPr>
      <w:rFonts w:ascii="黑体" w:hAnsi="黑体" w:eastAsia="黑体"/>
      <w:b/>
      <w:bCs/>
      <w:kern w:val="44"/>
      <w:sz w:val="44"/>
      <w:szCs w:val="44"/>
      <w14:shadow w14:blurRad="50800" w14:dist="38100" w14:dir="2700000" w14:sx="100000" w14:sy="100000" w14:kx="0" w14:ky="0" w14:algn="tl">
        <w14:srgbClr w14:val="000000">
          <w14:alpha w14:val="60000"/>
        </w14:srgbClr>
      </w14:shadow>
    </w:rPr>
  </w:style>
  <w:style w:type="paragraph" w:customStyle="1" w:styleId="235">
    <w:name w:val="自定义标题一"/>
    <w:basedOn w:val="2"/>
    <w:link w:val="234"/>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36">
    <w:name w:val="Header Char"/>
    <w:qFormat/>
    <w:uiPriority w:val="0"/>
    <w:rPr>
      <w:rFonts w:eastAsia="宋体"/>
      <w:kern w:val="2"/>
      <w:sz w:val="18"/>
      <w:szCs w:val="18"/>
      <w:lang w:val="en-US" w:eastAsia="zh-CN" w:bidi="ar-SA"/>
    </w:rPr>
  </w:style>
  <w:style w:type="character" w:customStyle="1" w:styleId="237">
    <w:name w:val="Char Char181"/>
    <w:qFormat/>
    <w:uiPriority w:val="0"/>
    <w:rPr>
      <w:rFonts w:ascii="Arial" w:hAnsi="Arial" w:eastAsia="黑体"/>
      <w:kern w:val="2"/>
      <w:sz w:val="21"/>
      <w:szCs w:val="24"/>
      <w:lang w:val="en-US" w:eastAsia="zh-CN" w:bidi="ar-SA"/>
    </w:rPr>
  </w:style>
  <w:style w:type="character" w:customStyle="1" w:styleId="238">
    <w:name w:val="Char Char201"/>
    <w:qFormat/>
    <w:uiPriority w:val="0"/>
    <w:rPr>
      <w:rFonts w:eastAsia="宋体"/>
      <w:b/>
      <w:kern w:val="2"/>
      <w:sz w:val="24"/>
      <w:szCs w:val="24"/>
      <w:lang w:val="en-US" w:eastAsia="zh-CN" w:bidi="ar-SA"/>
    </w:rPr>
  </w:style>
  <w:style w:type="character" w:customStyle="1" w:styleId="239">
    <w:name w:val="标题 Char3"/>
    <w:qFormat/>
    <w:uiPriority w:val="0"/>
    <w:rPr>
      <w:rFonts w:ascii="Cambria" w:hAnsi="Cambria" w:eastAsia="宋体" w:cs="Times New Roman"/>
      <w:b/>
      <w:bCs/>
      <w:sz w:val="32"/>
      <w:szCs w:val="32"/>
    </w:rPr>
  </w:style>
  <w:style w:type="character" w:customStyle="1" w:styleId="240">
    <w:name w:val="style161"/>
    <w:qFormat/>
    <w:uiPriority w:val="0"/>
    <w:rPr>
      <w:color w:val="666666"/>
    </w:rPr>
  </w:style>
  <w:style w:type="character" w:customStyle="1" w:styleId="241">
    <w:name w:val="Char Char2"/>
    <w:qFormat/>
    <w:uiPriority w:val="0"/>
    <w:rPr>
      <w:rFonts w:ascii="宋体" w:hAnsi="Courier New" w:eastAsia="宋体"/>
      <w:kern w:val="2"/>
      <w:sz w:val="21"/>
      <w:szCs w:val="24"/>
      <w:lang w:val="en-US" w:eastAsia="zh-CN" w:bidi="ar-SA"/>
    </w:rPr>
  </w:style>
  <w:style w:type="character" w:customStyle="1" w:styleId="242">
    <w:name w:val="Char Char16"/>
    <w:qFormat/>
    <w:uiPriority w:val="0"/>
    <w:rPr>
      <w:rFonts w:ascii="Arial" w:hAnsi="Arial" w:eastAsia="宋体"/>
      <w:b/>
      <w:bCs/>
      <w:kern w:val="2"/>
      <w:sz w:val="32"/>
      <w:szCs w:val="32"/>
      <w:lang w:bidi="ar-SA"/>
    </w:rPr>
  </w:style>
  <w:style w:type="character" w:customStyle="1" w:styleId="243">
    <w:name w:val="_Style 242"/>
    <w:qFormat/>
    <w:uiPriority w:val="0"/>
    <w:rPr>
      <w:b/>
      <w:bCs/>
      <w:smallCaps/>
      <w:color w:val="C0504D"/>
      <w:spacing w:val="5"/>
      <w:u w:val="single"/>
    </w:rPr>
  </w:style>
  <w:style w:type="character" w:customStyle="1" w:styleId="244">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245">
    <w:name w:val="textcontents"/>
    <w:qFormat/>
    <w:uiPriority w:val="0"/>
    <w:rPr>
      <w:rFonts w:cs="Times New Roman"/>
    </w:rPr>
  </w:style>
  <w:style w:type="character" w:customStyle="1" w:styleId="246">
    <w:name w:val="Char Char11"/>
    <w:qFormat/>
    <w:uiPriority w:val="0"/>
    <w:rPr>
      <w:rFonts w:ascii="Times New Roman" w:hAnsi="Times New Roman" w:eastAsia="宋体" w:cs="Times New Roman"/>
      <w:sz w:val="30"/>
      <w:szCs w:val="24"/>
    </w:rPr>
  </w:style>
  <w:style w:type="character" w:customStyle="1" w:styleId="247">
    <w:name w:val="Char Char192"/>
    <w:qFormat/>
    <w:uiPriority w:val="0"/>
    <w:rPr>
      <w:rFonts w:ascii="Arial" w:hAnsi="Arial" w:eastAsia="宋体" w:cs="Times New Roman"/>
      <w:b/>
      <w:bCs/>
      <w:szCs w:val="28"/>
    </w:rPr>
  </w:style>
  <w:style w:type="character" w:customStyle="1" w:styleId="248">
    <w:name w:val="Char Char271"/>
    <w:qFormat/>
    <w:uiPriority w:val="0"/>
    <w:rPr>
      <w:rFonts w:eastAsia="宋体"/>
      <w:b/>
      <w:bCs/>
      <w:kern w:val="44"/>
      <w:sz w:val="44"/>
      <w:szCs w:val="44"/>
      <w:lang w:val="en-US" w:eastAsia="zh-CN" w:bidi="ar-SA"/>
    </w:rPr>
  </w:style>
  <w:style w:type="character" w:customStyle="1" w:styleId="249">
    <w:name w:val="正文文本 Char1"/>
    <w:qFormat/>
    <w:uiPriority w:val="0"/>
    <w:rPr>
      <w:kern w:val="2"/>
      <w:sz w:val="21"/>
      <w:szCs w:val="22"/>
    </w:rPr>
  </w:style>
  <w:style w:type="character" w:customStyle="1" w:styleId="250">
    <w:name w:val="Char Char15"/>
    <w:qFormat/>
    <w:uiPriority w:val="0"/>
    <w:rPr>
      <w:sz w:val="18"/>
      <w:szCs w:val="18"/>
    </w:rPr>
  </w:style>
  <w:style w:type="character" w:customStyle="1" w:styleId="251">
    <w:name w:val="Plain Text Char"/>
    <w:link w:val="252"/>
    <w:qFormat/>
    <w:uiPriority w:val="0"/>
    <w:rPr>
      <w:rFonts w:ascii="宋体" w:hAnsi="Courier New" w:eastAsia="宋体"/>
      <w:sz w:val="24"/>
    </w:rPr>
  </w:style>
  <w:style w:type="paragraph" w:customStyle="1" w:styleId="252">
    <w:name w:val="纯文本1"/>
    <w:basedOn w:val="1"/>
    <w:link w:val="251"/>
    <w:qFormat/>
    <w:uiPriority w:val="0"/>
    <w:rPr>
      <w:rFonts w:ascii="宋体" w:hAnsi="Courier New"/>
      <w:kern w:val="0"/>
      <w:sz w:val="24"/>
      <w:szCs w:val="20"/>
    </w:rPr>
  </w:style>
  <w:style w:type="character" w:customStyle="1" w:styleId="253">
    <w:name w:val="Char Char231"/>
    <w:qFormat/>
    <w:uiPriority w:val="0"/>
    <w:rPr>
      <w:rFonts w:ascii="Times New Roman" w:hAnsi="Times New Roman" w:eastAsia="宋体" w:cs="Times New Roman"/>
      <w:b/>
      <w:bCs/>
      <w:kern w:val="44"/>
      <w:sz w:val="44"/>
      <w:szCs w:val="44"/>
    </w:rPr>
  </w:style>
  <w:style w:type="character" w:customStyle="1" w:styleId="254">
    <w:name w:val="Heading 2 Char"/>
    <w:qFormat/>
    <w:uiPriority w:val="0"/>
    <w:rPr>
      <w:rFonts w:ascii="Arial" w:hAnsi="Arial" w:eastAsia="黑体"/>
      <w:b/>
      <w:bCs/>
      <w:kern w:val="2"/>
      <w:sz w:val="32"/>
      <w:szCs w:val="32"/>
      <w:lang w:val="en-US" w:eastAsia="zh-CN" w:bidi="ar-SA"/>
    </w:rPr>
  </w:style>
  <w:style w:type="character" w:customStyle="1" w:styleId="255">
    <w:name w:val="1ji Char Char"/>
    <w:qFormat/>
    <w:locked/>
    <w:uiPriority w:val="0"/>
    <w:rPr>
      <w:rFonts w:ascii="宋体" w:hAnsi="宋体" w:eastAsia="宋体"/>
      <w:b/>
      <w:bCs/>
      <w:kern w:val="44"/>
      <w:sz w:val="36"/>
      <w:szCs w:val="44"/>
    </w:rPr>
  </w:style>
  <w:style w:type="character" w:customStyle="1" w:styleId="256">
    <w:name w:val="Heading 3 Char"/>
    <w:qFormat/>
    <w:uiPriority w:val="0"/>
    <w:rPr>
      <w:rFonts w:cs="Times New Roman"/>
      <w:b/>
      <w:bCs/>
      <w:kern w:val="2"/>
      <w:sz w:val="32"/>
      <w:szCs w:val="32"/>
    </w:rPr>
  </w:style>
  <w:style w:type="character" w:customStyle="1" w:styleId="257">
    <w:name w:val="Char Char91"/>
    <w:qFormat/>
    <w:uiPriority w:val="0"/>
    <w:rPr>
      <w:rFonts w:eastAsia="宋体"/>
      <w:sz w:val="24"/>
      <w:lang w:bidi="ar-SA"/>
    </w:rPr>
  </w:style>
  <w:style w:type="character" w:customStyle="1" w:styleId="258">
    <w:name w:val="Comment Text Char1"/>
    <w:qFormat/>
    <w:uiPriority w:val="0"/>
    <w:rPr>
      <w:sz w:val="24"/>
      <w:lang w:bidi="ar-SA"/>
    </w:rPr>
  </w:style>
  <w:style w:type="character" w:customStyle="1" w:styleId="259">
    <w:name w:val="Char Char251"/>
    <w:qFormat/>
    <w:uiPriority w:val="0"/>
    <w:rPr>
      <w:rFonts w:eastAsia="宋体"/>
      <w:b/>
      <w:bCs/>
      <w:sz w:val="32"/>
      <w:szCs w:val="32"/>
      <w:lang w:bidi="ar-SA"/>
    </w:rPr>
  </w:style>
  <w:style w:type="character" w:customStyle="1" w:styleId="260">
    <w:name w:val="Char Char2411"/>
    <w:qFormat/>
    <w:uiPriority w:val="0"/>
    <w:rPr>
      <w:rFonts w:eastAsia="宋体"/>
      <w:b/>
      <w:bCs/>
      <w:kern w:val="44"/>
      <w:sz w:val="32"/>
      <w:szCs w:val="44"/>
      <w:lang w:val="en-US" w:eastAsia="zh-CN" w:bidi="ar-SA"/>
    </w:rPr>
  </w:style>
  <w:style w:type="character" w:customStyle="1" w:styleId="261">
    <w:name w:val="Char Char Char Char Char1"/>
    <w:qFormat/>
    <w:uiPriority w:val="0"/>
    <w:rPr>
      <w:rFonts w:eastAsia="宋体"/>
      <w:b/>
      <w:bCs/>
      <w:kern w:val="44"/>
      <w:sz w:val="44"/>
      <w:szCs w:val="44"/>
      <w:lang w:val="en-US" w:eastAsia="zh-CN" w:bidi="ar-SA"/>
    </w:rPr>
  </w:style>
  <w:style w:type="character" w:customStyle="1" w:styleId="262">
    <w:name w:val="标题5 Char Char"/>
    <w:link w:val="263"/>
    <w:qFormat/>
    <w:uiPriority w:val="0"/>
    <w:rPr>
      <w:rFonts w:ascii="Arial" w:hAnsi="Arial"/>
      <w:b/>
      <w:bCs/>
      <w:sz w:val="24"/>
      <w:szCs w:val="32"/>
    </w:rPr>
  </w:style>
  <w:style w:type="paragraph" w:customStyle="1" w:styleId="263">
    <w:name w:val="标题5"/>
    <w:basedOn w:val="4"/>
    <w:link w:val="262"/>
    <w:qFormat/>
    <w:uiPriority w:val="0"/>
    <w:pPr>
      <w:spacing w:before="260" w:after="260" w:line="413" w:lineRule="auto"/>
    </w:pPr>
    <w:rPr>
      <w:rFonts w:ascii="Arial" w:hAnsi="Arial" w:eastAsia="宋体"/>
      <w:sz w:val="24"/>
    </w:rPr>
  </w:style>
  <w:style w:type="character" w:customStyle="1" w:styleId="264">
    <w:name w:val="Char Char6"/>
    <w:qFormat/>
    <w:uiPriority w:val="0"/>
    <w:rPr>
      <w:rFonts w:eastAsia="宋体"/>
      <w:b/>
      <w:bCs/>
      <w:kern w:val="44"/>
      <w:sz w:val="32"/>
      <w:szCs w:val="44"/>
      <w:lang w:val="en-US" w:eastAsia="zh-CN" w:bidi="ar-SA"/>
    </w:rPr>
  </w:style>
  <w:style w:type="character" w:customStyle="1" w:styleId="265">
    <w:name w:val="Char Char171"/>
    <w:qFormat/>
    <w:uiPriority w:val="0"/>
    <w:rPr>
      <w:rFonts w:hint="default" w:ascii="Times New Roman" w:hAnsi="Times New Roman" w:cs="Times New Roman"/>
      <w:b/>
      <w:bCs/>
      <w:kern w:val="2"/>
      <w:sz w:val="21"/>
      <w:szCs w:val="24"/>
    </w:rPr>
  </w:style>
  <w:style w:type="character" w:customStyle="1" w:styleId="266">
    <w:name w:val="Heading 4 Char"/>
    <w:qFormat/>
    <w:uiPriority w:val="0"/>
    <w:rPr>
      <w:rFonts w:ascii="Arial" w:hAnsi="Arial" w:eastAsia="宋体"/>
      <w:b/>
      <w:bCs/>
      <w:kern w:val="2"/>
      <w:sz w:val="21"/>
      <w:szCs w:val="28"/>
      <w:lang w:val="en-US" w:eastAsia="zh-CN" w:bidi="ar-SA"/>
    </w:rPr>
  </w:style>
  <w:style w:type="character" w:customStyle="1" w:styleId="267">
    <w:name w:val="普通文字 Char Char4"/>
    <w:qFormat/>
    <w:uiPriority w:val="0"/>
    <w:rPr>
      <w:rFonts w:ascii="宋体" w:hAnsi="Courier New" w:eastAsia="宋体" w:cs="Courier New"/>
      <w:kern w:val="2"/>
      <w:sz w:val="21"/>
      <w:szCs w:val="21"/>
      <w:lang w:val="en-US" w:eastAsia="zh-CN" w:bidi="ar-SA"/>
    </w:rPr>
  </w:style>
  <w:style w:type="character" w:customStyle="1" w:styleId="268">
    <w:name w:val="Char Char211"/>
    <w:qFormat/>
    <w:uiPriority w:val="0"/>
    <w:rPr>
      <w:rFonts w:ascii="Arial" w:hAnsi="Arial" w:eastAsia="黑体"/>
      <w:b/>
      <w:kern w:val="2"/>
      <w:sz w:val="24"/>
      <w:szCs w:val="24"/>
      <w:lang w:val="en-US" w:eastAsia="zh-CN" w:bidi="ar-SA"/>
    </w:rPr>
  </w:style>
  <w:style w:type="character" w:customStyle="1" w:styleId="269">
    <w:name w:val="无间隔 Char"/>
    <w:link w:val="270"/>
    <w:qFormat/>
    <w:uiPriority w:val="0"/>
    <w:rPr>
      <w:szCs w:val="24"/>
      <w:lang w:val="en-US" w:eastAsia="zh-CN" w:bidi="ar-SA"/>
    </w:rPr>
  </w:style>
  <w:style w:type="paragraph" w:styleId="270">
    <w:name w:val="No Spacing"/>
    <w:link w:val="269"/>
    <w:qFormat/>
    <w:uiPriority w:val="1"/>
    <w:pPr>
      <w:widowControl w:val="0"/>
      <w:jc w:val="both"/>
    </w:pPr>
    <w:rPr>
      <w:rFonts w:ascii="Times New Roman" w:hAnsi="Times New Roman" w:eastAsia="宋体" w:cs="Times New Roman"/>
      <w:szCs w:val="24"/>
      <w:lang w:val="en-US" w:eastAsia="zh-CN" w:bidi="ar-SA"/>
    </w:rPr>
  </w:style>
  <w:style w:type="character" w:customStyle="1" w:styleId="271">
    <w:name w:val="p1"/>
    <w:qFormat/>
    <w:uiPriority w:val="0"/>
  </w:style>
  <w:style w:type="character" w:customStyle="1" w:styleId="272">
    <w:name w:val="列出段落 Char"/>
    <w:link w:val="273"/>
    <w:qFormat/>
    <w:uiPriority w:val="0"/>
    <w:rPr>
      <w:rFonts w:ascii="Calibri" w:hAnsi="Calibri" w:eastAsia="宋体" w:cs="Times New Roman"/>
    </w:rPr>
  </w:style>
  <w:style w:type="paragraph" w:customStyle="1" w:styleId="273">
    <w:name w:val="列出段落2"/>
    <w:basedOn w:val="1"/>
    <w:link w:val="272"/>
    <w:qFormat/>
    <w:uiPriority w:val="0"/>
    <w:pPr>
      <w:ind w:firstLine="420" w:firstLineChars="200"/>
    </w:pPr>
    <w:rPr>
      <w:rFonts w:ascii="Calibri" w:hAnsi="Calibri"/>
      <w:kern w:val="0"/>
      <w:sz w:val="20"/>
      <w:szCs w:val="20"/>
    </w:rPr>
  </w:style>
  <w:style w:type="character" w:customStyle="1" w:styleId="274">
    <w:name w:val="Body Text Char"/>
    <w:qFormat/>
    <w:locked/>
    <w:uiPriority w:val="0"/>
    <w:rPr>
      <w:rFonts w:eastAsia="宋体"/>
      <w:kern w:val="2"/>
      <w:sz w:val="24"/>
      <w:szCs w:val="24"/>
      <w:lang w:val="en-US" w:eastAsia="zh-CN" w:bidi="ar-SA"/>
    </w:rPr>
  </w:style>
  <w:style w:type="character" w:customStyle="1" w:styleId="275">
    <w:name w:val="标题 3 Char Char Char"/>
    <w:qFormat/>
    <w:locked/>
    <w:uiPriority w:val="0"/>
    <w:rPr>
      <w:rFonts w:ascii="宋体" w:hAnsi="宋体" w:eastAsia="宋体"/>
      <w:b/>
      <w:bCs/>
      <w:sz w:val="24"/>
      <w:szCs w:val="32"/>
      <w:lang w:val="en-US" w:eastAsia="zh-CN" w:bidi="ar-SA"/>
    </w:rPr>
  </w:style>
  <w:style w:type="character" w:customStyle="1" w:styleId="276">
    <w:name w:val="目录文字 Char"/>
    <w:link w:val="277"/>
    <w:qFormat/>
    <w:locked/>
    <w:uiPriority w:val="0"/>
    <w:rPr>
      <w:rFonts w:ascii="宋体" w:hAnsi="宋体" w:eastAsia="宋体" w:cs="Times New Roman"/>
      <w:kern w:val="0"/>
      <w:sz w:val="24"/>
      <w:szCs w:val="20"/>
    </w:rPr>
  </w:style>
  <w:style w:type="paragraph" w:customStyle="1" w:styleId="277">
    <w:name w:val="目录文字"/>
    <w:basedOn w:val="1"/>
    <w:link w:val="276"/>
    <w:qFormat/>
    <w:uiPriority w:val="0"/>
    <w:pPr>
      <w:widowControl/>
      <w:spacing w:line="480" w:lineRule="auto"/>
      <w:jc w:val="left"/>
    </w:pPr>
    <w:rPr>
      <w:rFonts w:ascii="宋体" w:hAnsi="宋体"/>
      <w:kern w:val="0"/>
      <w:sz w:val="24"/>
      <w:szCs w:val="20"/>
    </w:rPr>
  </w:style>
  <w:style w:type="character" w:customStyle="1" w:styleId="278">
    <w:name w:val="mark8"/>
    <w:qFormat/>
    <w:uiPriority w:val="0"/>
    <w:rPr>
      <w:b/>
      <w:bCs/>
      <w:sz w:val="21"/>
      <w:szCs w:val="21"/>
    </w:rPr>
  </w:style>
  <w:style w:type="character" w:customStyle="1" w:styleId="279">
    <w:name w:val="Para head"/>
    <w:qFormat/>
    <w:uiPriority w:val="0"/>
    <w:rPr>
      <w:rFonts w:ascii="Arial" w:hAnsi="Arial" w:eastAsia="Times New Roman"/>
      <w:sz w:val="20"/>
    </w:rPr>
  </w:style>
  <w:style w:type="character" w:customStyle="1" w:styleId="280">
    <w:name w:val="apple-style-span"/>
    <w:qFormat/>
    <w:uiPriority w:val="0"/>
  </w:style>
  <w:style w:type="character" w:customStyle="1" w:styleId="281">
    <w:name w:val="case31"/>
    <w:qFormat/>
    <w:uiPriority w:val="0"/>
    <w:rPr>
      <w:rFonts w:hint="default"/>
      <w:spacing w:val="390"/>
      <w:sz w:val="21"/>
      <w:szCs w:val="21"/>
    </w:rPr>
  </w:style>
  <w:style w:type="character" w:customStyle="1" w:styleId="282">
    <w:name w:val="Char Char261"/>
    <w:qFormat/>
    <w:uiPriority w:val="0"/>
    <w:rPr>
      <w:rFonts w:ascii="Arial" w:hAnsi="Arial" w:eastAsia="黑体"/>
      <w:b/>
      <w:bCs/>
      <w:sz w:val="32"/>
      <w:szCs w:val="32"/>
      <w:lang w:bidi="ar-SA"/>
    </w:rPr>
  </w:style>
  <w:style w:type="character" w:customStyle="1" w:styleId="283">
    <w:name w:val="062"/>
    <w:qFormat/>
    <w:uiPriority w:val="0"/>
    <w:rPr>
      <w:rFonts w:ascii="宋体" w:hAnsi="宋体"/>
      <w:b/>
      <w:bCs/>
      <w:sz w:val="32"/>
    </w:rPr>
  </w:style>
  <w:style w:type="character" w:customStyle="1" w:styleId="284">
    <w:name w:val="Char Char241"/>
    <w:qFormat/>
    <w:uiPriority w:val="0"/>
    <w:rPr>
      <w:rFonts w:ascii="Arial" w:hAnsi="Arial" w:eastAsia="黑体"/>
      <w:sz w:val="28"/>
      <w:lang w:bidi="ar-SA"/>
    </w:rPr>
  </w:style>
  <w:style w:type="character" w:customStyle="1" w:styleId="285">
    <w:name w:val="small"/>
    <w:qFormat/>
    <w:uiPriority w:val="0"/>
  </w:style>
  <w:style w:type="character" w:customStyle="1" w:styleId="286">
    <w:name w:val="Char Char331"/>
    <w:qFormat/>
    <w:uiPriority w:val="0"/>
    <w:rPr>
      <w:rFonts w:ascii="宋体" w:hAnsi="Courier New" w:eastAsia="宋体" w:cs="Courier New"/>
      <w:szCs w:val="21"/>
    </w:rPr>
  </w:style>
  <w:style w:type="character" w:customStyle="1" w:styleId="287">
    <w:name w:val="graytext1"/>
    <w:qFormat/>
    <w:uiPriority w:val="0"/>
    <w:rPr>
      <w:color w:val="666666"/>
    </w:rPr>
  </w:style>
  <w:style w:type="character" w:customStyle="1" w:styleId="288">
    <w:name w:val="Char Char221"/>
    <w:qFormat/>
    <w:uiPriority w:val="0"/>
    <w:rPr>
      <w:rFonts w:eastAsia="宋体"/>
      <w:b/>
      <w:kern w:val="2"/>
      <w:sz w:val="28"/>
      <w:szCs w:val="24"/>
      <w:lang w:val="en-US" w:eastAsia="zh-CN" w:bidi="ar-SA"/>
    </w:rPr>
  </w:style>
  <w:style w:type="character" w:customStyle="1" w:styleId="289">
    <w:name w:val="style11"/>
    <w:qFormat/>
    <w:uiPriority w:val="0"/>
    <w:rPr>
      <w:rFonts w:hint="default" w:ascii="Arial" w:hAnsi="Arial" w:cs="Arial"/>
    </w:rPr>
  </w:style>
  <w:style w:type="character" w:customStyle="1" w:styleId="290">
    <w:name w:val="Char Char12"/>
    <w:qFormat/>
    <w:uiPriority w:val="0"/>
    <w:rPr>
      <w:sz w:val="18"/>
    </w:rPr>
  </w:style>
  <w:style w:type="character" w:customStyle="1" w:styleId="291">
    <w:name w:val="white"/>
    <w:qFormat/>
    <w:uiPriority w:val="0"/>
  </w:style>
  <w:style w:type="character" w:customStyle="1" w:styleId="292">
    <w:name w:val="批注文字 Char2"/>
    <w:qFormat/>
    <w:uiPriority w:val="0"/>
    <w:rPr>
      <w:rFonts w:eastAsia="宋体"/>
      <w:kern w:val="2"/>
      <w:sz w:val="21"/>
      <w:szCs w:val="24"/>
      <w:lang w:val="en-US" w:eastAsia="zh-CN" w:bidi="ar-SA"/>
    </w:rPr>
  </w:style>
  <w:style w:type="character" w:customStyle="1" w:styleId="293">
    <w:name w:val="text11"/>
    <w:qFormat/>
    <w:uiPriority w:val="0"/>
    <w:rPr>
      <w:rFonts w:hint="default" w:ascii="Verdana" w:hAnsi="Verdana"/>
      <w:color w:val="4E4E4E"/>
      <w:sz w:val="18"/>
      <w:szCs w:val="18"/>
    </w:rPr>
  </w:style>
  <w:style w:type="character" w:customStyle="1" w:styleId="294">
    <w:name w:val="Char Char301"/>
    <w:qFormat/>
    <w:uiPriority w:val="0"/>
    <w:rPr>
      <w:rFonts w:ascii="Times New Roman" w:hAnsi="Times New Roman" w:eastAsia="宋体" w:cs="Times New Roman"/>
      <w:szCs w:val="24"/>
    </w:rPr>
  </w:style>
  <w:style w:type="character" w:customStyle="1" w:styleId="295">
    <w:name w:val="cubane_hilight1"/>
    <w:qFormat/>
    <w:uiPriority w:val="0"/>
    <w:rPr>
      <w:color w:val="CC0000"/>
    </w:rPr>
  </w:style>
  <w:style w:type="character" w:customStyle="1" w:styleId="296">
    <w:name w:val="ca-0"/>
    <w:qFormat/>
    <w:uiPriority w:val="0"/>
  </w:style>
  <w:style w:type="paragraph" w:customStyle="1" w:styleId="29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98">
    <w:name w:val="表格题注"/>
    <w:next w:val="1"/>
    <w:qFormat/>
    <w:uiPriority w:val="0"/>
    <w:pPr>
      <w:keepLines/>
      <w:spacing w:beforeLines="100"/>
      <w:ind w:left="1089" w:hanging="369"/>
      <w:jc w:val="center"/>
    </w:pPr>
    <w:rPr>
      <w:rFonts w:ascii="Arial" w:hAnsi="Arial" w:eastAsia="宋体" w:cs="Times New Roman"/>
      <w:sz w:val="18"/>
      <w:szCs w:val="18"/>
      <w:lang w:val="en-US" w:eastAsia="zh-CN" w:bidi="ar-SA"/>
    </w:rPr>
  </w:style>
  <w:style w:type="paragraph" w:customStyle="1" w:styleId="299">
    <w:name w:val="Char Char4 Char Char Char Char"/>
    <w:basedOn w:val="1"/>
    <w:qFormat/>
    <w:uiPriority w:val="0"/>
    <w:pPr>
      <w:widowControl/>
      <w:spacing w:after="160" w:line="240" w:lineRule="exact"/>
      <w:jc w:val="left"/>
    </w:pPr>
  </w:style>
  <w:style w:type="paragraph" w:customStyle="1" w:styleId="300">
    <w:name w:val="444"/>
    <w:basedOn w:val="1"/>
    <w:qFormat/>
    <w:uiPriority w:val="0"/>
    <w:pPr>
      <w:adjustRightInd w:val="0"/>
      <w:spacing w:line="312" w:lineRule="atLeast"/>
      <w:jc w:val="center"/>
      <w:textAlignment w:val="baseline"/>
    </w:pPr>
    <w:rPr>
      <w:b/>
      <w:kern w:val="0"/>
      <w:sz w:val="36"/>
      <w:szCs w:val="36"/>
    </w:rPr>
  </w:style>
  <w:style w:type="paragraph" w:customStyle="1" w:styleId="301">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302">
    <w:name w:val="样式 标题 2 + (西文) 宋体 非加粗 居中"/>
    <w:basedOn w:val="3"/>
    <w:qFormat/>
    <w:uiPriority w:val="0"/>
    <w:pPr>
      <w:spacing w:before="260" w:after="260" w:line="416" w:lineRule="auto"/>
      <w:jc w:val="center"/>
    </w:pPr>
    <w:rPr>
      <w:rFonts w:ascii="宋体" w:hAnsi="宋体" w:cs="宋体"/>
      <w:b w:val="0"/>
      <w:bCs w:val="0"/>
      <w:spacing w:val="2"/>
      <w:sz w:val="28"/>
      <w:szCs w:val="20"/>
    </w:rPr>
  </w:style>
  <w:style w:type="paragraph" w:customStyle="1" w:styleId="303">
    <w:name w:val="样式1"/>
    <w:basedOn w:val="1"/>
    <w:next w:val="5"/>
    <w:qFormat/>
    <w:uiPriority w:val="0"/>
    <w:pPr>
      <w:spacing w:line="360" w:lineRule="auto"/>
      <w:ind w:firstLine="420" w:firstLineChars="200"/>
    </w:pPr>
    <w:rPr>
      <w:rFonts w:ascii="宋体" w:hAnsi="宋体"/>
      <w:szCs w:val="21"/>
    </w:rPr>
  </w:style>
  <w:style w:type="paragraph" w:customStyle="1" w:styleId="304">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5">
    <w:name w:val="Char1 Char Char Char Char Char Char"/>
    <w:basedOn w:val="1"/>
    <w:qFormat/>
    <w:uiPriority w:val="0"/>
    <w:rPr>
      <w:rFonts w:ascii="Tahoma" w:hAnsi="Tahoma"/>
      <w:sz w:val="24"/>
      <w:szCs w:val="20"/>
    </w:rPr>
  </w:style>
  <w:style w:type="paragraph" w:customStyle="1" w:styleId="306">
    <w:name w:val="Report List"/>
    <w:basedOn w:val="1"/>
    <w:qFormat/>
    <w:uiPriority w:val="0"/>
    <w:pPr>
      <w:widowControl/>
      <w:tabs>
        <w:tab w:val="left" w:pos="1440"/>
      </w:tabs>
      <w:spacing w:before="120" w:after="120"/>
      <w:ind w:left="1440" w:hanging="360"/>
    </w:pPr>
    <w:rPr>
      <w:rFonts w:ascii="Arial" w:hAnsi="Arial" w:cs="Tahoma"/>
      <w:kern w:val="28"/>
      <w:sz w:val="22"/>
      <w:szCs w:val="20"/>
    </w:rPr>
  </w:style>
  <w:style w:type="paragraph" w:customStyle="1" w:styleId="307">
    <w:name w:val="次小点说明 Char"/>
    <w:basedOn w:val="7"/>
    <w:qFormat/>
    <w:uiPriority w:val="0"/>
    <w:pPr>
      <w:ind w:firstLine="0"/>
    </w:pPr>
    <w:rPr>
      <w:sz w:val="24"/>
      <w:szCs w:val="24"/>
    </w:rPr>
  </w:style>
  <w:style w:type="paragraph" w:customStyle="1" w:styleId="308">
    <w:name w:val="_Style 37"/>
    <w:basedOn w:val="1"/>
    <w:next w:val="1"/>
    <w:qFormat/>
    <w:uiPriority w:val="0"/>
  </w:style>
  <w:style w:type="paragraph" w:customStyle="1" w:styleId="30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0">
    <w:name w:val="默认段落字体 Para Char Char Char Char Char Char Char Char Char1 Char Char Char Char"/>
    <w:basedOn w:val="1"/>
    <w:qFormat/>
    <w:uiPriority w:val="0"/>
    <w:rPr>
      <w:rFonts w:ascii="Tahoma" w:hAnsi="Tahoma"/>
      <w:sz w:val="24"/>
      <w:szCs w:val="20"/>
    </w:rPr>
  </w:style>
  <w:style w:type="paragraph" w:customStyle="1" w:styleId="311">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31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31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14">
    <w:name w:val="正文段"/>
    <w:basedOn w:val="1"/>
    <w:qFormat/>
    <w:uiPriority w:val="0"/>
    <w:pPr>
      <w:widowControl/>
      <w:snapToGrid w:val="0"/>
      <w:spacing w:afterLines="50"/>
      <w:ind w:firstLine="200" w:firstLineChars="200"/>
    </w:pPr>
    <w:rPr>
      <w:kern w:val="0"/>
      <w:sz w:val="24"/>
      <w:szCs w:val="20"/>
    </w:rPr>
  </w:style>
  <w:style w:type="paragraph" w:customStyle="1" w:styleId="315">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316">
    <w:name w:val="Char Char Char Char Char Char Char1"/>
    <w:basedOn w:val="1"/>
    <w:qFormat/>
    <w:uiPriority w:val="0"/>
  </w:style>
  <w:style w:type="paragraph" w:customStyle="1" w:styleId="317">
    <w:name w:val="表内文字"/>
    <w:basedOn w:val="1"/>
    <w:qFormat/>
    <w:uiPriority w:val="0"/>
    <w:pPr>
      <w:snapToGrid w:val="0"/>
      <w:spacing w:line="320" w:lineRule="exact"/>
      <w:ind w:firstLine="452" w:firstLineChars="150"/>
    </w:pPr>
    <w:rPr>
      <w:rFonts w:ascii="宋体" w:hAnsi="宋体"/>
      <w:b/>
      <w:sz w:val="30"/>
      <w:szCs w:val="30"/>
    </w:rPr>
  </w:style>
  <w:style w:type="paragraph" w:customStyle="1" w:styleId="318">
    <w:name w:val="Body"/>
    <w:basedOn w:val="1"/>
    <w:qFormat/>
    <w:uiPriority w:val="0"/>
    <w:pPr>
      <w:widowControl/>
      <w:tabs>
        <w:tab w:val="left" w:pos="1980"/>
      </w:tabs>
      <w:spacing w:before="80" w:after="80" w:line="360" w:lineRule="auto"/>
      <w:jc w:val="center"/>
    </w:pPr>
    <w:rPr>
      <w:szCs w:val="21"/>
    </w:rPr>
  </w:style>
  <w:style w:type="paragraph" w:customStyle="1" w:styleId="31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
    <w:name w:val="Char Char Char Char Char Char Char Char Char Char Char Char Char Char Char Char1"/>
    <w:basedOn w:val="1"/>
    <w:qFormat/>
    <w:uiPriority w:val="0"/>
    <w:pPr>
      <w:tabs>
        <w:tab w:val="left" w:pos="360"/>
      </w:tabs>
      <w:spacing w:line="360" w:lineRule="auto"/>
      <w:ind w:left="482" w:firstLine="200" w:firstLineChars="200"/>
    </w:pPr>
  </w:style>
  <w:style w:type="paragraph" w:customStyle="1" w:styleId="321">
    <w:name w:val="1"/>
    <w:basedOn w:val="1"/>
    <w:next w:val="29"/>
    <w:qFormat/>
    <w:uiPriority w:val="0"/>
    <w:rPr>
      <w:rFonts w:ascii="宋体" w:hAnsi="Courier New"/>
      <w:szCs w:val="20"/>
    </w:rPr>
  </w:style>
  <w:style w:type="paragraph" w:customStyle="1" w:styleId="322">
    <w:name w:val="目录2"/>
    <w:basedOn w:val="1"/>
    <w:next w:val="1"/>
    <w:qFormat/>
    <w:uiPriority w:val="0"/>
    <w:pPr>
      <w:widowControl/>
      <w:tabs>
        <w:tab w:val="left" w:leader="dot" w:pos="8503"/>
      </w:tabs>
      <w:spacing w:line="317" w:lineRule="atLeast"/>
      <w:ind w:firstLine="209"/>
      <w:textAlignment w:val="baseline"/>
    </w:pPr>
    <w:rPr>
      <w:color w:val="000000"/>
      <w:kern w:val="0"/>
      <w:szCs w:val="20"/>
      <w:u w:color="000000"/>
    </w:rPr>
  </w:style>
  <w:style w:type="paragraph" w:customStyle="1" w:styleId="323">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324">
    <w:name w:val="Char"/>
    <w:basedOn w:val="16"/>
    <w:qFormat/>
    <w:uiPriority w:val="0"/>
    <w:pPr>
      <w:widowControl/>
      <w:ind w:firstLine="454"/>
      <w:jc w:val="left"/>
    </w:pPr>
    <w:rPr>
      <w:rFonts w:ascii="Tahoma" w:hAnsi="Tahoma" w:cs="宋体"/>
      <w:sz w:val="24"/>
      <w:szCs w:val="20"/>
    </w:rPr>
  </w:style>
  <w:style w:type="paragraph" w:customStyle="1" w:styleId="3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6">
    <w:name w:val="bb"/>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27">
    <w:name w:val="reader-word-layer reader-word-s2-3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328">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32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3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331">
    <w:name w:val="_Style 5"/>
    <w:basedOn w:val="1"/>
    <w:qFormat/>
    <w:uiPriority w:val="0"/>
    <w:pPr>
      <w:spacing w:afterLines="25"/>
    </w:pPr>
    <w:rPr>
      <w:rFonts w:ascii="Arial" w:hAnsi="Arial"/>
    </w:rPr>
  </w:style>
  <w:style w:type="paragraph" w:customStyle="1" w:styleId="332">
    <w:name w:val="文章总标题"/>
    <w:basedOn w:val="1"/>
    <w:next w:val="333"/>
    <w:qFormat/>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333">
    <w:name w:val="文章附标题"/>
    <w:basedOn w:val="1"/>
    <w:next w:val="2"/>
    <w:qFormat/>
    <w:uiPriority w:val="0"/>
    <w:pPr>
      <w:widowControl/>
      <w:spacing w:before="187" w:after="175" w:line="374" w:lineRule="atLeast"/>
      <w:jc w:val="center"/>
      <w:textAlignment w:val="baseline"/>
    </w:pPr>
    <w:rPr>
      <w:color w:val="000000"/>
      <w:kern w:val="0"/>
      <w:sz w:val="36"/>
      <w:szCs w:val="20"/>
      <w:u w:color="000000"/>
    </w:rPr>
  </w:style>
  <w:style w:type="paragraph" w:customStyle="1" w:styleId="334">
    <w:name w:val="样式3"/>
    <w:basedOn w:val="21"/>
    <w:qFormat/>
    <w:uiPriority w:val="0"/>
    <w:pPr>
      <w:spacing w:after="120" w:line="360" w:lineRule="auto"/>
    </w:pPr>
    <w:rPr>
      <w:rFonts w:ascii="宋体"/>
      <w:sz w:val="21"/>
    </w:rPr>
  </w:style>
  <w:style w:type="paragraph" w:customStyle="1" w:styleId="335">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6">
    <w:name w:val="cn"/>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37">
    <w:name w:val="插图题注"/>
    <w:next w:val="1"/>
    <w:qFormat/>
    <w:uiPriority w:val="0"/>
    <w:pPr>
      <w:spacing w:afterLines="100"/>
      <w:ind w:left="1089" w:hanging="369"/>
      <w:jc w:val="center"/>
    </w:pPr>
    <w:rPr>
      <w:rFonts w:ascii="Arial" w:hAnsi="Arial" w:eastAsia="宋体" w:cs="Times New Roman"/>
      <w:sz w:val="18"/>
      <w:szCs w:val="18"/>
      <w:lang w:val="en-US" w:eastAsia="zh-CN" w:bidi="ar-SA"/>
    </w:rPr>
  </w:style>
  <w:style w:type="paragraph" w:customStyle="1" w:styleId="338">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33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40">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341">
    <w:name w:val="Char11"/>
    <w:basedOn w:val="16"/>
    <w:qFormat/>
    <w:uiPriority w:val="0"/>
    <w:pPr>
      <w:widowControl/>
      <w:ind w:firstLine="454"/>
      <w:jc w:val="left"/>
    </w:pPr>
    <w:rPr>
      <w:rFonts w:ascii="Tahoma" w:hAnsi="Tahoma" w:cs="宋体"/>
      <w:sz w:val="24"/>
      <w:szCs w:val="20"/>
    </w:rPr>
  </w:style>
  <w:style w:type="paragraph" w:customStyle="1" w:styleId="342">
    <w:name w:val="菲页2"/>
    <w:basedOn w:val="4"/>
    <w:qFormat/>
    <w:uiPriority w:val="0"/>
    <w:pPr>
      <w:widowControl/>
      <w:tabs>
        <w:tab w:val="left" w:pos="1800"/>
      </w:tabs>
      <w:spacing w:before="120" w:after="120"/>
      <w:ind w:left="1800" w:hanging="420"/>
      <w:jc w:val="center"/>
    </w:pPr>
    <w:rPr>
      <w:rFonts w:ascii="黑体" w:hAnsi="宋体"/>
      <w:b w:val="0"/>
      <w:bCs w:val="0"/>
      <w:sz w:val="44"/>
      <w:szCs w:val="20"/>
    </w:rPr>
  </w:style>
  <w:style w:type="paragraph" w:customStyle="1" w:styleId="343">
    <w:name w:val="reader-word-layer reader-word-s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4">
    <w:name w:val="F2"/>
    <w:basedOn w:val="1"/>
    <w:qFormat/>
    <w:uiPriority w:val="0"/>
    <w:pPr>
      <w:autoSpaceDE w:val="0"/>
      <w:autoSpaceDN w:val="0"/>
      <w:adjustRightInd w:val="0"/>
      <w:ind w:firstLine="601"/>
      <w:textAlignment w:val="baseline"/>
    </w:pPr>
    <w:rPr>
      <w:kern w:val="0"/>
      <w:sz w:val="24"/>
      <w:szCs w:val="20"/>
    </w:rPr>
  </w:style>
  <w:style w:type="paragraph" w:customStyle="1" w:styleId="345">
    <w:name w:val="_Style 35"/>
    <w:basedOn w:val="16"/>
    <w:qFormat/>
    <w:uiPriority w:val="0"/>
    <w:pPr>
      <w:widowControl/>
      <w:ind w:firstLine="454"/>
      <w:jc w:val="left"/>
    </w:pPr>
  </w:style>
  <w:style w:type="paragraph" w:customStyle="1" w:styleId="346">
    <w:name w:val="目录"/>
    <w:basedOn w:val="1"/>
    <w:qFormat/>
    <w:uiPriority w:val="0"/>
    <w:pPr>
      <w:widowControl/>
      <w:jc w:val="center"/>
    </w:pPr>
    <w:rPr>
      <w:rFonts w:ascii="宋体"/>
      <w:b/>
      <w:kern w:val="0"/>
      <w:sz w:val="36"/>
      <w:szCs w:val="20"/>
    </w:rPr>
  </w:style>
  <w:style w:type="paragraph" w:customStyle="1" w:styleId="347">
    <w:name w:val="Char3"/>
    <w:basedOn w:val="16"/>
    <w:qFormat/>
    <w:uiPriority w:val="0"/>
    <w:pPr>
      <w:widowControl/>
      <w:ind w:firstLine="454"/>
      <w:jc w:val="left"/>
    </w:pPr>
    <w:rPr>
      <w:rFonts w:ascii="Tahoma" w:hAnsi="Tahoma" w:cs="宋体"/>
      <w:sz w:val="24"/>
      <w:szCs w:val="20"/>
    </w:rPr>
  </w:style>
  <w:style w:type="paragraph" w:customStyle="1" w:styleId="348">
    <w:name w:val="纯文本2"/>
    <w:basedOn w:val="1"/>
    <w:qFormat/>
    <w:uiPriority w:val="0"/>
    <w:rPr>
      <w:rFonts w:ascii="宋体" w:hAnsi="Courier New"/>
      <w:kern w:val="0"/>
      <w:sz w:val="24"/>
      <w:szCs w:val="20"/>
    </w:rPr>
  </w:style>
  <w:style w:type="paragraph" w:customStyle="1" w:styleId="349">
    <w:name w:val="Char Char Char1"/>
    <w:basedOn w:val="16"/>
    <w:qFormat/>
    <w:uiPriority w:val="0"/>
    <w:rPr>
      <w:rFonts w:ascii="Tahoma" w:hAnsi="Tahoma"/>
      <w:sz w:val="24"/>
    </w:rPr>
  </w:style>
  <w:style w:type="paragraph" w:customStyle="1" w:styleId="350">
    <w:name w:val="Char1 Char Char Char"/>
    <w:basedOn w:val="1"/>
    <w:qFormat/>
    <w:uiPriority w:val="0"/>
    <w:rPr>
      <w:rFonts w:ascii="Tahoma" w:hAnsi="Tahoma"/>
      <w:sz w:val="24"/>
      <w:szCs w:val="20"/>
    </w:rPr>
  </w:style>
  <w:style w:type="paragraph" w:customStyle="1" w:styleId="351">
    <w:name w:val="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2">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353">
    <w:name w:val="Char Char1 Char Char Char Char"/>
    <w:basedOn w:val="16"/>
    <w:qFormat/>
    <w:uiPriority w:val="0"/>
    <w:rPr>
      <w:rFonts w:ascii="Tahoma" w:hAnsi="Tahoma"/>
      <w:sz w:val="24"/>
    </w:rPr>
  </w:style>
  <w:style w:type="paragraph" w:customStyle="1" w:styleId="35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35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6">
    <w:name w:val="Char Char4 Char Char Char Char1"/>
    <w:basedOn w:val="1"/>
    <w:qFormat/>
    <w:uiPriority w:val="0"/>
    <w:pPr>
      <w:widowControl/>
      <w:spacing w:after="160" w:line="240" w:lineRule="exact"/>
      <w:jc w:val="left"/>
    </w:pPr>
  </w:style>
  <w:style w:type="paragraph" w:customStyle="1" w:styleId="35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Char Char Char Char Char Char Char"/>
    <w:basedOn w:val="1"/>
    <w:qFormat/>
    <w:uiPriority w:val="0"/>
  </w:style>
  <w:style w:type="paragraph" w:customStyle="1" w:styleId="359">
    <w:name w:val="小节标题"/>
    <w:basedOn w:val="1"/>
    <w:next w:val="1"/>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36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6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362">
    <w:name w:val="列出段落1"/>
    <w:basedOn w:val="1"/>
    <w:qFormat/>
    <w:uiPriority w:val="0"/>
    <w:pPr>
      <w:ind w:firstLine="420" w:firstLineChars="200"/>
    </w:pPr>
    <w:rPr>
      <w:rFonts w:ascii="Calibri" w:hAnsi="Calibri"/>
      <w:szCs w:val="22"/>
    </w:rPr>
  </w:style>
  <w:style w:type="paragraph" w:customStyle="1" w:styleId="36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4">
    <w:name w:val="样式 标题 3 + (中文) 黑体 小四 非加粗 段前: 7.8 磅 段后: 0 磅 行距: 固定值 20 磅"/>
    <w:basedOn w:val="4"/>
    <w:qFormat/>
    <w:uiPriority w:val="0"/>
    <w:pPr>
      <w:spacing w:line="400" w:lineRule="exact"/>
    </w:pPr>
    <w:rPr>
      <w:rFonts w:cs="宋体"/>
      <w:b w:val="0"/>
      <w:bCs w:val="0"/>
      <w:szCs w:val="20"/>
    </w:rPr>
  </w:style>
  <w:style w:type="paragraph" w:customStyle="1" w:styleId="365">
    <w:name w:val="Char1"/>
    <w:basedOn w:val="1"/>
    <w:qFormat/>
    <w:uiPriority w:val="0"/>
    <w:rPr>
      <w:szCs w:val="21"/>
    </w:rPr>
  </w:style>
  <w:style w:type="paragraph" w:customStyle="1" w:styleId="366">
    <w:name w:val="2-2ji"/>
    <w:basedOn w:val="3"/>
    <w:qFormat/>
    <w:uiPriority w:val="0"/>
    <w:pPr>
      <w:spacing w:before="0" w:after="0" w:line="360" w:lineRule="auto"/>
      <w:jc w:val="center"/>
    </w:pPr>
    <w:rPr>
      <w:rFonts w:ascii="宋体" w:hAnsi="宋体" w:eastAsia="宋体"/>
      <w:sz w:val="36"/>
      <w:szCs w:val="24"/>
    </w:rPr>
  </w:style>
  <w:style w:type="paragraph" w:customStyle="1" w:styleId="367">
    <w:name w:val="Char Char Char"/>
    <w:basedOn w:val="1"/>
    <w:qFormat/>
    <w:uiPriority w:val="0"/>
    <w:rPr>
      <w:rFonts w:ascii="Tahoma" w:hAnsi="Tahoma"/>
      <w:sz w:val="24"/>
      <w:szCs w:val="20"/>
    </w:rPr>
  </w:style>
  <w:style w:type="paragraph" w:customStyle="1" w:styleId="368">
    <w:name w:val="_Style 367"/>
    <w:basedOn w:val="2"/>
    <w:next w:val="1"/>
    <w:qFormat/>
    <w:uiPriority w:val="0"/>
    <w:pPr>
      <w:spacing w:line="576" w:lineRule="auto"/>
      <w:outlineLvl w:val="9"/>
    </w:pPr>
    <w:rPr>
      <w:rFonts w:ascii="Calibri" w:hAnsi="Calibri" w:eastAsia="黑体"/>
    </w:rPr>
  </w:style>
  <w:style w:type="paragraph" w:customStyle="1" w:styleId="369">
    <w:name w:val="p15"/>
    <w:basedOn w:val="1"/>
    <w:qFormat/>
    <w:uiPriority w:val="0"/>
    <w:pPr>
      <w:widowControl/>
    </w:pPr>
    <w:rPr>
      <w:rFonts w:ascii="宋体" w:hAnsi="宋体" w:cs="宋体"/>
      <w:kern w:val="0"/>
      <w:szCs w:val="21"/>
    </w:rPr>
  </w:style>
  <w:style w:type="paragraph" w:customStyle="1" w:styleId="37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71">
    <w:name w:val="Char Char Char Char Char Char Char Char Char Char Char Char Char"/>
    <w:basedOn w:val="16"/>
    <w:qFormat/>
    <w:uiPriority w:val="0"/>
    <w:rPr>
      <w:rFonts w:ascii="Tahoma" w:hAnsi="Tahoma"/>
      <w:kern w:val="2"/>
      <w:sz w:val="24"/>
    </w:rPr>
  </w:style>
  <w:style w:type="paragraph" w:customStyle="1" w:styleId="3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73">
    <w:name w:val="p0"/>
    <w:basedOn w:val="1"/>
    <w:qFormat/>
    <w:uiPriority w:val="0"/>
    <w:pPr>
      <w:widowControl/>
    </w:pPr>
    <w:rPr>
      <w:rFonts w:ascii="Calibri" w:hAnsi="Calibri" w:cs="宋体"/>
      <w:kern w:val="0"/>
      <w:szCs w:val="21"/>
    </w:rPr>
  </w:style>
  <w:style w:type="paragraph" w:customStyle="1" w:styleId="374">
    <w:name w:val="Char1 Char Char Char Char Char Char1"/>
    <w:basedOn w:val="1"/>
    <w:qFormat/>
    <w:uiPriority w:val="0"/>
    <w:rPr>
      <w:rFonts w:ascii="Tahoma" w:hAnsi="Tahoma"/>
      <w:sz w:val="24"/>
      <w:szCs w:val="20"/>
    </w:rPr>
  </w:style>
  <w:style w:type="paragraph" w:customStyle="1" w:styleId="375">
    <w:name w:val="Char Char Char Char Char Char Char Char Char"/>
    <w:basedOn w:val="1"/>
    <w:qFormat/>
    <w:uiPriority w:val="0"/>
    <w:pPr>
      <w:widowControl/>
      <w:spacing w:after="160" w:line="240" w:lineRule="exact"/>
      <w:jc w:val="left"/>
    </w:pPr>
    <w:rPr>
      <w:szCs w:val="20"/>
    </w:rPr>
  </w:style>
  <w:style w:type="paragraph" w:customStyle="1" w:styleId="3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377">
    <w:name w:val="缺省文本"/>
    <w:basedOn w:val="1"/>
    <w:qFormat/>
    <w:uiPriority w:val="0"/>
    <w:pPr>
      <w:autoSpaceDE w:val="0"/>
      <w:autoSpaceDN w:val="0"/>
      <w:adjustRightInd w:val="0"/>
      <w:spacing w:line="360" w:lineRule="auto"/>
      <w:jc w:val="left"/>
    </w:pPr>
    <w:rPr>
      <w:kern w:val="0"/>
      <w:sz w:val="24"/>
      <w:szCs w:val="20"/>
    </w:rPr>
  </w:style>
  <w:style w:type="paragraph" w:customStyle="1" w:styleId="378">
    <w:name w:val="Char Char Char Char Char Char Char2"/>
    <w:basedOn w:val="1"/>
    <w:qFormat/>
    <w:uiPriority w:val="0"/>
    <w:pPr>
      <w:widowControl/>
      <w:spacing w:after="160" w:line="240" w:lineRule="exact"/>
      <w:jc w:val="left"/>
    </w:pPr>
  </w:style>
  <w:style w:type="paragraph" w:customStyle="1" w:styleId="379">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81">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2">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383">
    <w:name w:val="_Style 382"/>
    <w:qFormat/>
    <w:uiPriority w:val="0"/>
    <w:rPr>
      <w:rFonts w:ascii="Times New Roman" w:hAnsi="Times New Roman" w:eastAsia="宋体" w:cs="Times New Roman"/>
      <w:kern w:val="2"/>
      <w:sz w:val="21"/>
      <w:szCs w:val="24"/>
      <w:lang w:val="en-US" w:eastAsia="zh-CN" w:bidi="ar-SA"/>
    </w:rPr>
  </w:style>
  <w:style w:type="paragraph" w:customStyle="1" w:styleId="384">
    <w:name w:val="p16"/>
    <w:basedOn w:val="1"/>
    <w:qFormat/>
    <w:uiPriority w:val="0"/>
    <w:pPr>
      <w:widowControl/>
    </w:pPr>
    <w:rPr>
      <w:rFonts w:ascii="宋体" w:hAnsi="宋体" w:cs="宋体"/>
      <w:kern w:val="0"/>
      <w:szCs w:val="21"/>
    </w:rPr>
  </w:style>
  <w:style w:type="paragraph" w:customStyle="1" w:styleId="385">
    <w:name w:val="Char1 Char Char Char1"/>
    <w:basedOn w:val="1"/>
    <w:qFormat/>
    <w:uiPriority w:val="0"/>
    <w:rPr>
      <w:rFonts w:ascii="Tahoma" w:hAnsi="Tahoma"/>
      <w:sz w:val="24"/>
      <w:szCs w:val="20"/>
    </w:rPr>
  </w:style>
  <w:style w:type="paragraph" w:customStyle="1" w:styleId="38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387">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8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9">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0">
    <w:name w:val="正文文本缩进 Char Char Char Char"/>
    <w:basedOn w:val="1"/>
    <w:qFormat/>
    <w:uiPriority w:val="0"/>
    <w:pPr>
      <w:ind w:firstLine="540"/>
    </w:pPr>
    <w:rPr>
      <w:rFonts w:hint="eastAsia" w:ascii="宋体" w:hAnsi="Courier New"/>
      <w:szCs w:val="20"/>
    </w:rPr>
  </w:style>
  <w:style w:type="paragraph" w:customStyle="1" w:styleId="391">
    <w:name w:val="Char Char Char Char Char Char Char Char Char Char Char Char Char1"/>
    <w:basedOn w:val="16"/>
    <w:qFormat/>
    <w:uiPriority w:val="0"/>
    <w:rPr>
      <w:rFonts w:ascii="Tahoma" w:hAnsi="Tahoma"/>
      <w:sz w:val="24"/>
    </w:rPr>
  </w:style>
  <w:style w:type="paragraph" w:customStyle="1" w:styleId="392">
    <w:name w:val="菲页1"/>
    <w:basedOn w:val="3"/>
    <w:qFormat/>
    <w:uiPriority w:val="0"/>
    <w:pPr>
      <w:widowControl/>
      <w:spacing w:before="260" w:after="260" w:line="416" w:lineRule="auto"/>
      <w:jc w:val="center"/>
    </w:pPr>
    <w:rPr>
      <w:rFonts w:ascii="黑体" w:hAnsi="宋体" w:eastAsia="宋体"/>
      <w:b w:val="0"/>
      <w:bCs w:val="0"/>
      <w:sz w:val="52"/>
      <w:szCs w:val="20"/>
    </w:rPr>
  </w:style>
  <w:style w:type="paragraph" w:customStyle="1" w:styleId="393">
    <w:name w:val="List Paragraph1"/>
    <w:basedOn w:val="1"/>
    <w:qFormat/>
    <w:uiPriority w:val="0"/>
    <w:pPr>
      <w:ind w:firstLine="420" w:firstLineChars="200"/>
    </w:pPr>
    <w:rPr>
      <w:rFonts w:ascii="Calibri" w:hAnsi="Calibri"/>
      <w:szCs w:val="22"/>
    </w:rPr>
  </w:style>
  <w:style w:type="paragraph" w:customStyle="1" w:styleId="394">
    <w:name w:val="菲页(卷)"/>
    <w:basedOn w:val="2"/>
    <w:next w:val="389"/>
    <w:qFormat/>
    <w:uiPriority w:val="0"/>
    <w:pPr>
      <w:keepLines w:val="0"/>
      <w:widowControl/>
      <w:tabs>
        <w:tab w:val="left" w:pos="900"/>
      </w:tabs>
      <w:spacing w:before="0" w:after="0" w:line="240" w:lineRule="auto"/>
      <w:ind w:left="900" w:hanging="360"/>
      <w:jc w:val="center"/>
      <w:outlineLvl w:val="1"/>
    </w:pPr>
    <w:rPr>
      <w:rFonts w:ascii="黑体" w:eastAsia="黑体"/>
      <w:b w:val="0"/>
      <w:bCs w:val="0"/>
      <w:kern w:val="0"/>
      <w:sz w:val="52"/>
      <w:szCs w:val="20"/>
    </w:rPr>
  </w:style>
  <w:style w:type="paragraph" w:customStyle="1" w:styleId="395">
    <w:name w:val="2ji"/>
    <w:basedOn w:val="3"/>
    <w:qFormat/>
    <w:uiPriority w:val="0"/>
    <w:pPr>
      <w:adjustRightInd w:val="0"/>
      <w:spacing w:before="0" w:after="0" w:line="360" w:lineRule="auto"/>
      <w:textAlignment w:val="baseline"/>
    </w:pPr>
    <w:rPr>
      <w:rFonts w:ascii="宋体" w:hAnsi="宋体" w:eastAsia="宋体"/>
      <w:szCs w:val="21"/>
    </w:rPr>
  </w:style>
  <w:style w:type="paragraph" w:customStyle="1" w:styleId="39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97">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398">
    <w:name w:val="tgt1"/>
    <w:basedOn w:val="1"/>
    <w:qFormat/>
    <w:uiPriority w:val="0"/>
    <w:pPr>
      <w:widowControl/>
      <w:spacing w:after="150"/>
      <w:jc w:val="left"/>
    </w:pPr>
    <w:rPr>
      <w:rFonts w:ascii="宋体" w:hAnsi="宋体" w:cs="宋体"/>
      <w:kern w:val="0"/>
      <w:sz w:val="24"/>
    </w:rPr>
  </w:style>
  <w:style w:type="paragraph" w:customStyle="1" w:styleId="399">
    <w:name w:val="正文首行缩进两字符"/>
    <w:basedOn w:val="1"/>
    <w:qFormat/>
    <w:uiPriority w:val="0"/>
    <w:pPr>
      <w:spacing w:line="360" w:lineRule="auto"/>
      <w:ind w:firstLine="200" w:firstLineChars="200"/>
    </w:pPr>
  </w:style>
  <w:style w:type="paragraph" w:customStyle="1" w:styleId="400">
    <w:name w:val="样式 首行缩进:  2 字符"/>
    <w:basedOn w:val="1"/>
    <w:qFormat/>
    <w:uiPriority w:val="0"/>
    <w:pPr>
      <w:spacing w:line="400" w:lineRule="exact"/>
      <w:ind w:firstLine="200" w:firstLineChars="200"/>
    </w:pPr>
    <w:rPr>
      <w:rFonts w:cs="宋体"/>
      <w:sz w:val="24"/>
    </w:rPr>
  </w:style>
  <w:style w:type="paragraph" w:customStyle="1" w:styleId="401">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02">
    <w:name w:val="Char Char Char Char Char Char1 Char1"/>
    <w:basedOn w:val="16"/>
    <w:qFormat/>
    <w:uiPriority w:val="0"/>
    <w:rPr>
      <w:rFonts w:ascii="Tahoma" w:hAnsi="Tahoma"/>
      <w:sz w:val="24"/>
    </w:rPr>
  </w:style>
  <w:style w:type="paragraph" w:customStyle="1" w:styleId="403">
    <w:name w:val="表格"/>
    <w:basedOn w:val="1"/>
    <w:qFormat/>
    <w:uiPriority w:val="0"/>
    <w:pPr>
      <w:spacing w:line="400" w:lineRule="exact"/>
    </w:pPr>
    <w:rPr>
      <w:sz w:val="24"/>
    </w:rPr>
  </w:style>
  <w:style w:type="paragraph" w:customStyle="1" w:styleId="40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405">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40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07">
    <w:name w:val="五号正文（标准）"/>
    <w:basedOn w:val="1"/>
    <w:qFormat/>
    <w:uiPriority w:val="0"/>
    <w:pPr>
      <w:spacing w:line="360" w:lineRule="auto"/>
      <w:ind w:right="55" w:firstLine="560" w:firstLineChars="200"/>
    </w:pPr>
    <w:rPr>
      <w:rFonts w:eastAsia="仿宋_GB2312"/>
      <w:sz w:val="28"/>
      <w:szCs w:val="20"/>
    </w:rPr>
  </w:style>
  <w:style w:type="paragraph" w:customStyle="1" w:styleId="408">
    <w:name w:val="样式 正文缩进 + 首行缩进:  2 字符 段前: 0.5 行"/>
    <w:basedOn w:val="1"/>
    <w:qFormat/>
    <w:uiPriority w:val="0"/>
    <w:pPr>
      <w:spacing w:beforeLines="50" w:line="300" w:lineRule="auto"/>
      <w:ind w:firstLine="480" w:firstLineChars="200"/>
    </w:pPr>
    <w:rPr>
      <w:rFonts w:cs="宋体"/>
      <w:szCs w:val="20"/>
    </w:rPr>
  </w:style>
  <w:style w:type="paragraph" w:customStyle="1" w:styleId="40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410">
    <w:name w:val="Char Char Char Char Char Char1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11">
    <w:name w:val="Char Char1 Char Char Char Char1"/>
    <w:basedOn w:val="16"/>
    <w:qFormat/>
    <w:uiPriority w:val="0"/>
    <w:rPr>
      <w:rFonts w:ascii="Tahoma" w:hAnsi="Tahoma"/>
      <w:sz w:val="24"/>
    </w:rPr>
  </w:style>
  <w:style w:type="paragraph" w:customStyle="1" w:styleId="412">
    <w:name w:val="默认段落字体 Para Char"/>
    <w:basedOn w:val="1"/>
    <w:qFormat/>
    <w:uiPriority w:val="0"/>
    <w:pPr>
      <w:adjustRightInd w:val="0"/>
      <w:spacing w:line="360" w:lineRule="auto"/>
    </w:pPr>
    <w:rPr>
      <w:kern w:val="0"/>
      <w:sz w:val="24"/>
      <w:szCs w:val="20"/>
    </w:rPr>
  </w:style>
  <w:style w:type="paragraph" w:styleId="413">
    <w:name w:val="List Paragraph"/>
    <w:basedOn w:val="1"/>
    <w:qFormat/>
    <w:uiPriority w:val="34"/>
    <w:pPr>
      <w:spacing w:line="360" w:lineRule="auto"/>
      <w:ind w:firstLine="420" w:firstLineChars="200"/>
    </w:pPr>
    <w:rPr>
      <w:sz w:val="28"/>
    </w:rPr>
  </w:style>
  <w:style w:type="paragraph" w:customStyle="1" w:styleId="41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15">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41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417">
    <w:name w:val="节标题"/>
    <w:basedOn w:val="1"/>
    <w:next w:val="359"/>
    <w:qFormat/>
    <w:uiPriority w:val="0"/>
    <w:pPr>
      <w:widowControl/>
      <w:spacing w:line="289" w:lineRule="atLeast"/>
      <w:jc w:val="center"/>
      <w:textAlignment w:val="baseline"/>
    </w:pPr>
    <w:rPr>
      <w:color w:val="000000"/>
      <w:kern w:val="0"/>
      <w:sz w:val="28"/>
      <w:szCs w:val="20"/>
      <w:u w:color="000000"/>
    </w:rPr>
  </w:style>
  <w:style w:type="paragraph" w:customStyle="1" w:styleId="418">
    <w:name w:val="Main_heading"/>
    <w:basedOn w:val="1"/>
    <w:next w:val="1"/>
    <w:qFormat/>
    <w:uiPriority w:val="0"/>
    <w:pPr>
      <w:widowControl/>
      <w:spacing w:before="240" w:after="240" w:line="240" w:lineRule="atLeast"/>
      <w:jc w:val="left"/>
    </w:pPr>
    <w:rPr>
      <w:rFonts w:eastAsia="MS Mincho"/>
      <w:b/>
      <w:kern w:val="0"/>
      <w:sz w:val="28"/>
      <w:szCs w:val="20"/>
      <w:lang w:eastAsia="ja-JP"/>
    </w:rPr>
  </w:style>
  <w:style w:type="paragraph" w:customStyle="1" w:styleId="419">
    <w:name w:val="Char Char Char2"/>
    <w:basedOn w:val="16"/>
    <w:qFormat/>
    <w:uiPriority w:val="0"/>
    <w:rPr>
      <w:rFonts w:ascii="Tahoma" w:hAnsi="Tahoma"/>
      <w:kern w:val="2"/>
      <w:sz w:val="24"/>
    </w:rPr>
  </w:style>
  <w:style w:type="paragraph" w:customStyle="1" w:styleId="420">
    <w:name w:val="默认段落字体 Para Char Char Char Char Char Char Char Char Char Char"/>
    <w:basedOn w:val="1"/>
    <w:qFormat/>
    <w:uiPriority w:val="0"/>
    <w:rPr>
      <w:kern w:val="0"/>
      <w:szCs w:val="20"/>
    </w:rPr>
  </w:style>
  <w:style w:type="paragraph" w:customStyle="1" w:styleId="421">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422">
    <w:name w:val="列出段落3"/>
    <w:basedOn w:val="1"/>
    <w:qFormat/>
    <w:uiPriority w:val="0"/>
    <w:pPr>
      <w:ind w:firstLine="420" w:firstLineChars="200"/>
    </w:pPr>
    <w:rPr>
      <w:rFonts w:ascii="Calibri" w:hAnsi="Calibri"/>
      <w:szCs w:val="22"/>
    </w:rPr>
  </w:style>
  <w:style w:type="paragraph" w:customStyle="1" w:styleId="42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424">
    <w:name w:val="标题1"/>
    <w:basedOn w:val="2"/>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425">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26">
    <w:name w:val="标题3"/>
    <w:basedOn w:val="4"/>
    <w:qFormat/>
    <w:uiPriority w:val="0"/>
    <w:pPr>
      <w:keepLines w:val="0"/>
      <w:widowControl/>
      <w:tabs>
        <w:tab w:val="left" w:pos="1247"/>
      </w:tabs>
      <w:spacing w:before="240" w:after="120"/>
      <w:ind w:left="1247" w:hanging="1247"/>
      <w:jc w:val="left"/>
    </w:pPr>
    <w:rPr>
      <w:rFonts w:ascii="Arial" w:hAnsi="Arial" w:eastAsia="宋体"/>
      <w:sz w:val="52"/>
      <w:szCs w:val="52"/>
    </w:rPr>
  </w:style>
  <w:style w:type="paragraph" w:customStyle="1" w:styleId="427">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428">
    <w:name w:val="目录4"/>
    <w:basedOn w:val="1"/>
    <w:next w:val="1"/>
    <w:qFormat/>
    <w:uiPriority w:val="0"/>
    <w:pPr>
      <w:widowControl/>
      <w:tabs>
        <w:tab w:val="left" w:leader="dot" w:pos="8503"/>
      </w:tabs>
      <w:spacing w:line="317" w:lineRule="atLeast"/>
      <w:ind w:firstLine="629"/>
      <w:textAlignment w:val="baseline"/>
    </w:pPr>
    <w:rPr>
      <w:color w:val="000000"/>
      <w:kern w:val="0"/>
      <w:szCs w:val="20"/>
      <w:u w:color="000000"/>
    </w:rPr>
  </w:style>
  <w:style w:type="paragraph" w:customStyle="1" w:styleId="429">
    <w:name w:val="目录3"/>
    <w:basedOn w:val="1"/>
    <w:next w:val="1"/>
    <w:qFormat/>
    <w:uiPriority w:val="0"/>
    <w:pPr>
      <w:widowControl/>
      <w:tabs>
        <w:tab w:val="left" w:leader="dot" w:pos="8503"/>
      </w:tabs>
      <w:spacing w:line="317" w:lineRule="atLeast"/>
      <w:ind w:firstLine="419"/>
      <w:textAlignment w:val="baseline"/>
    </w:pPr>
    <w:rPr>
      <w:color w:val="000000"/>
      <w:kern w:val="0"/>
      <w:szCs w:val="20"/>
      <w:u w:color="000000"/>
    </w:rPr>
  </w:style>
  <w:style w:type="paragraph" w:customStyle="1" w:styleId="430">
    <w:name w:val="Char Char Char Char Char Char Char Char Char1 Char1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431">
    <w:name w:val="Char Char1 Char Char Char Char2"/>
    <w:basedOn w:val="16"/>
    <w:qFormat/>
    <w:uiPriority w:val="0"/>
    <w:rPr>
      <w:rFonts w:ascii="Tahoma" w:hAnsi="Tahoma"/>
      <w:kern w:val="2"/>
      <w:sz w:val="24"/>
    </w:rPr>
  </w:style>
  <w:style w:type="paragraph" w:customStyle="1" w:styleId="432">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433">
    <w:name w:val="普通文字 Char Char1"/>
    <w:qFormat/>
    <w:uiPriority w:val="0"/>
    <w:rPr>
      <w:rFonts w:ascii="宋体" w:hAnsi="Courier New" w:eastAsia="宋体"/>
      <w:kern w:val="2"/>
      <w:sz w:val="21"/>
      <w:lang w:val="en-US" w:eastAsia="zh-CN" w:bidi="ar-SA"/>
    </w:rPr>
  </w:style>
  <w:style w:type="character" w:customStyle="1" w:styleId="434">
    <w:name w:val="普通文字 Char Char3"/>
    <w:qFormat/>
    <w:uiPriority w:val="0"/>
    <w:rPr>
      <w:rFonts w:ascii="宋体" w:hAnsi="Courier New" w:eastAsia="宋体"/>
      <w:szCs w:val="21"/>
      <w:lang w:bidi="ar-SA"/>
    </w:rPr>
  </w:style>
  <w:style w:type="character" w:customStyle="1" w:styleId="435">
    <w:name w:val="Char Char44"/>
    <w:qFormat/>
    <w:uiPriority w:val="0"/>
    <w:rPr>
      <w:rFonts w:ascii="Arial" w:hAnsi="Arial" w:eastAsia="黑体" w:cs="Times New Roman"/>
      <w:b/>
      <w:bCs/>
      <w:szCs w:val="32"/>
    </w:rPr>
  </w:style>
  <w:style w:type="character" w:customStyle="1" w:styleId="436">
    <w:name w:val="纯文本 Char2"/>
    <w:qFormat/>
    <w:uiPriority w:val="0"/>
    <w:rPr>
      <w:rFonts w:ascii="宋体" w:hAnsi="Courier New" w:eastAsia="宋体" w:cs="Courier New"/>
      <w:szCs w:val="21"/>
    </w:rPr>
  </w:style>
  <w:style w:type="character" w:customStyle="1" w:styleId="437">
    <w:name w:val="纯文本 字符"/>
    <w:qFormat/>
    <w:uiPriority w:val="0"/>
    <w:rPr>
      <w:rFonts w:ascii="宋体" w:hAnsi="Courier New" w:eastAsia="宋体" w:cs="Courier New"/>
      <w:szCs w:val="21"/>
    </w:rPr>
  </w:style>
  <w:style w:type="character" w:customStyle="1" w:styleId="438">
    <w:name w:val="正文文本缩进 Char1"/>
    <w:semiHidden/>
    <w:qFormat/>
    <w:uiPriority w:val="99"/>
    <w:rPr>
      <w:rFonts w:ascii="Times New Roman" w:hAnsi="Times New Roman" w:eastAsia="宋体" w:cs="Times New Roman"/>
      <w:szCs w:val="24"/>
    </w:rPr>
  </w:style>
  <w:style w:type="character" w:customStyle="1" w:styleId="439">
    <w:name w:val="页脚 Char1"/>
    <w:semiHidden/>
    <w:qFormat/>
    <w:uiPriority w:val="99"/>
    <w:rPr>
      <w:rFonts w:ascii="Times New Roman" w:hAnsi="Times New Roman" w:eastAsia="宋体" w:cs="Times New Roman"/>
      <w:sz w:val="18"/>
      <w:szCs w:val="18"/>
    </w:rPr>
  </w:style>
  <w:style w:type="character" w:customStyle="1" w:styleId="440">
    <w:name w:val="正文文本 2 Char1"/>
    <w:semiHidden/>
    <w:qFormat/>
    <w:uiPriority w:val="99"/>
    <w:rPr>
      <w:rFonts w:ascii="Times New Roman" w:hAnsi="Times New Roman" w:eastAsia="宋体" w:cs="Times New Roman"/>
      <w:szCs w:val="24"/>
    </w:rPr>
  </w:style>
  <w:style w:type="character" w:customStyle="1" w:styleId="441">
    <w:name w:val="正文文本缩进 2 Char1"/>
    <w:semiHidden/>
    <w:qFormat/>
    <w:uiPriority w:val="99"/>
    <w:rPr>
      <w:rFonts w:ascii="Times New Roman" w:hAnsi="Times New Roman" w:eastAsia="宋体" w:cs="Times New Roman"/>
      <w:szCs w:val="24"/>
    </w:rPr>
  </w:style>
  <w:style w:type="character" w:customStyle="1" w:styleId="442">
    <w:name w:val="页眉 Char1"/>
    <w:semiHidden/>
    <w:qFormat/>
    <w:uiPriority w:val="99"/>
    <w:rPr>
      <w:rFonts w:ascii="Times New Roman" w:hAnsi="Times New Roman" w:eastAsia="宋体" w:cs="Times New Roman"/>
      <w:sz w:val="18"/>
      <w:szCs w:val="18"/>
    </w:rPr>
  </w:style>
  <w:style w:type="character" w:customStyle="1" w:styleId="443">
    <w:name w:val="正文文本 3 Char1"/>
    <w:semiHidden/>
    <w:qFormat/>
    <w:uiPriority w:val="99"/>
    <w:rPr>
      <w:rFonts w:ascii="Times New Roman" w:hAnsi="Times New Roman" w:eastAsia="宋体" w:cs="Times New Roman"/>
      <w:sz w:val="16"/>
      <w:szCs w:val="16"/>
    </w:rPr>
  </w:style>
  <w:style w:type="character" w:customStyle="1" w:styleId="444">
    <w:name w:val="正文文本缩进 3 Char1"/>
    <w:semiHidden/>
    <w:qFormat/>
    <w:uiPriority w:val="99"/>
    <w:rPr>
      <w:rFonts w:ascii="Times New Roman" w:hAnsi="Times New Roman" w:eastAsia="宋体" w:cs="Times New Roman"/>
      <w:sz w:val="16"/>
      <w:szCs w:val="16"/>
    </w:rPr>
  </w:style>
  <w:style w:type="character" w:customStyle="1" w:styleId="445">
    <w:name w:val="正文首行缩进 2 Char1"/>
    <w:semiHidden/>
    <w:qFormat/>
    <w:uiPriority w:val="99"/>
  </w:style>
  <w:style w:type="character" w:customStyle="1" w:styleId="446">
    <w:name w:val="正文首行缩进 Char1"/>
    <w:semiHidden/>
    <w:qFormat/>
    <w:uiPriority w:val="99"/>
    <w:rPr>
      <w:rFonts w:ascii="Times New Roman" w:hAnsi="Times New Roman" w:eastAsia="宋体" w:cs="Times New Roman"/>
      <w:kern w:val="2"/>
      <w:sz w:val="21"/>
      <w:szCs w:val="24"/>
    </w:rPr>
  </w:style>
  <w:style w:type="character" w:customStyle="1" w:styleId="447">
    <w:name w:val="Char Char281"/>
    <w:qFormat/>
    <w:uiPriority w:val="0"/>
    <w:rPr>
      <w:rFonts w:eastAsia="宋体"/>
      <w:kern w:val="2"/>
      <w:sz w:val="16"/>
      <w:szCs w:val="16"/>
      <w:lang w:val="en-US" w:eastAsia="zh-CN" w:bidi="ar-SA"/>
    </w:rPr>
  </w:style>
  <w:style w:type="character" w:customStyle="1" w:styleId="448">
    <w:name w:val="Char Char291"/>
    <w:qFormat/>
    <w:uiPriority w:val="0"/>
    <w:rPr>
      <w:rFonts w:ascii="宋体" w:hAnsi="Courier New" w:eastAsia="宋体" w:cs="Courier New"/>
      <w:kern w:val="2"/>
      <w:sz w:val="21"/>
      <w:szCs w:val="21"/>
      <w:lang w:val="en-US" w:eastAsia="zh-CN" w:bidi="ar-SA"/>
    </w:rPr>
  </w:style>
  <w:style w:type="character" w:customStyle="1" w:styleId="449">
    <w:name w:val="副标题 Char1"/>
    <w:qFormat/>
    <w:uiPriority w:val="11"/>
    <w:rPr>
      <w:rFonts w:ascii="Cambria" w:hAnsi="Cambria" w:eastAsia="宋体" w:cs="Times New Roman"/>
      <w:b/>
      <w:bCs/>
      <w:kern w:val="28"/>
      <w:sz w:val="32"/>
      <w:szCs w:val="32"/>
    </w:rPr>
  </w:style>
  <w:style w:type="character" w:customStyle="1" w:styleId="450">
    <w:name w:val="称呼 Char1"/>
    <w:semiHidden/>
    <w:qFormat/>
    <w:uiPriority w:val="99"/>
    <w:rPr>
      <w:rFonts w:ascii="Times New Roman" w:hAnsi="Times New Roman" w:eastAsia="宋体" w:cs="Times New Roman"/>
      <w:szCs w:val="24"/>
    </w:rPr>
  </w:style>
  <w:style w:type="character" w:customStyle="1" w:styleId="451">
    <w:name w:val="HTML 预设格式 Char1"/>
    <w:semiHidden/>
    <w:qFormat/>
    <w:uiPriority w:val="99"/>
    <w:rPr>
      <w:rFonts w:ascii="Courier New" w:hAnsi="Courier New" w:eastAsia="宋体" w:cs="Courier New"/>
      <w:sz w:val="20"/>
      <w:szCs w:val="20"/>
    </w:rPr>
  </w:style>
  <w:style w:type="character" w:customStyle="1" w:styleId="452">
    <w:name w:val="尾注文本 Char1"/>
    <w:semiHidden/>
    <w:qFormat/>
    <w:uiPriority w:val="99"/>
    <w:rPr>
      <w:rFonts w:ascii="Times New Roman" w:hAnsi="Times New Roman" w:eastAsia="宋体" w:cs="Times New Roman"/>
      <w:szCs w:val="24"/>
    </w:rPr>
  </w:style>
  <w:style w:type="paragraph" w:customStyle="1" w:styleId="453">
    <w:name w:val="纯文本21"/>
    <w:basedOn w:val="1"/>
    <w:qFormat/>
    <w:uiPriority w:val="0"/>
    <w:rPr>
      <w:rFonts w:ascii="宋体" w:hAnsi="Courier New"/>
      <w:kern w:val="0"/>
      <w:sz w:val="24"/>
      <w:szCs w:val="20"/>
    </w:rPr>
  </w:style>
  <w:style w:type="table" w:customStyle="1" w:styleId="454">
    <w:name w:val="网格型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55">
    <w:name w:val="Char Char441"/>
    <w:qFormat/>
    <w:uiPriority w:val="0"/>
    <w:rPr>
      <w:rFonts w:ascii="Arial" w:hAnsi="Arial" w:eastAsia="黑体" w:cs="Times New Roman"/>
      <w:b/>
      <w:bCs/>
      <w:szCs w:val="32"/>
    </w:rPr>
  </w:style>
  <w:style w:type="paragraph" w:customStyle="1" w:styleId="456">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57">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58">
    <w:name w:val="xl74"/>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459">
    <w:name w:val="xl75"/>
    <w:basedOn w:val="1"/>
    <w:qFormat/>
    <w:uiPriority w:val="0"/>
    <w:pPr>
      <w:widowControl/>
      <w:spacing w:before="100" w:beforeAutospacing="1" w:after="100" w:afterAutospacing="1"/>
      <w:jc w:val="left"/>
    </w:pPr>
    <w:rPr>
      <w:rFonts w:ascii="宋体" w:hAnsi="宋体" w:cs="宋体"/>
      <w:kern w:val="0"/>
      <w:sz w:val="24"/>
    </w:rPr>
  </w:style>
  <w:style w:type="paragraph" w:customStyle="1" w:styleId="460">
    <w:name w:val="xl76"/>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461">
    <w:name w:val="xl77"/>
    <w:basedOn w:val="1"/>
    <w:qFormat/>
    <w:uiPriority w:val="0"/>
    <w:pPr>
      <w:widowControl/>
      <w:spacing w:before="100" w:beforeAutospacing="1" w:after="100" w:afterAutospacing="1"/>
      <w:jc w:val="center"/>
    </w:pPr>
    <w:rPr>
      <w:rFonts w:ascii="宋体" w:hAnsi="宋体" w:cs="宋体"/>
      <w:color w:val="000000"/>
      <w:kern w:val="0"/>
      <w:sz w:val="24"/>
    </w:rPr>
  </w:style>
  <w:style w:type="paragraph" w:customStyle="1" w:styleId="462">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63">
    <w:name w:val="xl7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64">
    <w:name w:val="xl8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65">
    <w:name w:val="xl81"/>
    <w:basedOn w:val="1"/>
    <w:qFormat/>
    <w:uiPriority w:val="0"/>
    <w:pPr>
      <w:widowControl/>
      <w:spacing w:before="100" w:beforeAutospacing="1" w:after="100" w:afterAutospacing="1"/>
      <w:jc w:val="left"/>
    </w:pPr>
    <w:rPr>
      <w:rFonts w:ascii="宋体" w:hAnsi="宋体" w:cs="宋体"/>
      <w:kern w:val="0"/>
      <w:sz w:val="24"/>
    </w:rPr>
  </w:style>
  <w:style w:type="paragraph" w:customStyle="1" w:styleId="466">
    <w:name w:val="xl82"/>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46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6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7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7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7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7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7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仿宋_GB2312" w:hAnsi="宋体" w:eastAsia="仿宋_GB2312" w:cs="宋体"/>
      <w:kern w:val="0"/>
      <w:sz w:val="20"/>
      <w:szCs w:val="20"/>
    </w:rPr>
  </w:style>
  <w:style w:type="paragraph" w:customStyle="1" w:styleId="47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7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47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48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8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48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8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8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48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8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48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48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8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9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9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9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9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9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9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4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98">
    <w:name w:val="标书正文"/>
    <w:basedOn w:val="1"/>
    <w:qFormat/>
    <w:uiPriority w:val="0"/>
    <w:pPr>
      <w:adjustRightInd w:val="0"/>
      <w:snapToGrid w:val="0"/>
      <w:spacing w:line="360" w:lineRule="auto"/>
      <w:jc w:val="left"/>
    </w:pPr>
    <w:rPr>
      <w:rFonts w:ascii="Calibri" w:hAnsi="Calibri" w:cs="宋体"/>
      <w:sz w:val="24"/>
    </w:rPr>
  </w:style>
  <w:style w:type="character" w:customStyle="1" w:styleId="499">
    <w:name w:val="font31"/>
    <w:basedOn w:val="60"/>
    <w:qFormat/>
    <w:uiPriority w:val="0"/>
    <w:rPr>
      <w:rFonts w:hint="eastAsia" w:ascii="宋体" w:hAnsi="宋体" w:eastAsia="宋体" w:cs="宋体"/>
      <w:b/>
      <w:color w:val="000000"/>
      <w:sz w:val="24"/>
      <w:szCs w:val="24"/>
      <w:u w:val="none"/>
    </w:rPr>
  </w:style>
  <w:style w:type="character" w:customStyle="1" w:styleId="500">
    <w:name w:val="font81"/>
    <w:qFormat/>
    <w:uiPriority w:val="0"/>
    <w:rPr>
      <w:rFonts w:hint="default" w:ascii="Times New Roman" w:hAnsi="Times New Roman" w:cs="Times New Roman"/>
      <w:color w:val="000000"/>
      <w:sz w:val="20"/>
      <w:szCs w:val="20"/>
      <w:u w:val="none"/>
    </w:rPr>
  </w:style>
  <w:style w:type="table" w:customStyle="1" w:styleId="501">
    <w:name w:val="网格型2"/>
    <w:basedOn w:val="5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02">
    <w:name w:val="font101"/>
    <w:qFormat/>
    <w:uiPriority w:val="0"/>
    <w:rPr>
      <w:rFonts w:hint="default" w:ascii="Times New Roman" w:hAnsi="Times New Roman" w:cs="Times New Roman"/>
      <w:color w:val="000000"/>
      <w:sz w:val="20"/>
      <w:szCs w:val="20"/>
      <w:u w:val="none"/>
    </w:rPr>
  </w:style>
  <w:style w:type="character" w:customStyle="1" w:styleId="503">
    <w:name w:val="font71"/>
    <w:qFormat/>
    <w:uiPriority w:val="0"/>
    <w:rPr>
      <w:rFonts w:hint="eastAsia" w:ascii="宋体" w:hAnsi="宋体" w:eastAsia="宋体" w:cs="宋体"/>
      <w:color w:val="000000"/>
      <w:sz w:val="20"/>
      <w:szCs w:val="20"/>
      <w:u w:val="none"/>
    </w:rPr>
  </w:style>
  <w:style w:type="character" w:customStyle="1" w:styleId="504">
    <w:name w:val="font112"/>
    <w:qFormat/>
    <w:uiPriority w:val="0"/>
    <w:rPr>
      <w:rFonts w:ascii="Wingdings 2" w:hAnsi="Wingdings 2" w:eastAsia="Wingdings 2" w:cs="Wingdings 2"/>
      <w:color w:val="000000"/>
      <w:sz w:val="20"/>
      <w:szCs w:val="20"/>
      <w:u w:val="none"/>
    </w:rPr>
  </w:style>
  <w:style w:type="character" w:customStyle="1" w:styleId="505">
    <w:name w:val="纯文本 字符1"/>
    <w:qFormat/>
    <w:uiPriority w:val="0"/>
    <w:rPr>
      <w:rFonts w:ascii="宋体" w:hAnsi="Courier New" w:eastAsia="宋体" w:cs="Courier New"/>
      <w:szCs w:val="21"/>
    </w:rPr>
  </w:style>
  <w:style w:type="character" w:customStyle="1" w:styleId="506">
    <w:name w:val="页眉 Char"/>
    <w:qFormat/>
    <w:uiPriority w:val="0"/>
    <w:rPr>
      <w:rFonts w:ascii="Times New Roman" w:hAnsi="Times New Roman" w:eastAsia="宋体" w:cs="Times New Roman"/>
      <w:sz w:val="18"/>
      <w:szCs w:val="18"/>
    </w:rPr>
  </w:style>
  <w:style w:type="paragraph" w:customStyle="1" w:styleId="507">
    <w:name w:val="_Style 1"/>
    <w:basedOn w:val="1"/>
    <w:qFormat/>
    <w:uiPriority w:val="0"/>
    <w:pPr>
      <w:ind w:firstLine="420" w:firstLineChars="200"/>
    </w:pPr>
    <w:rPr>
      <w:rFonts w:ascii="Calibri" w:hAnsi="Calibri"/>
      <w:szCs w:val="22"/>
    </w:rPr>
  </w:style>
  <w:style w:type="paragraph" w:customStyle="1" w:styleId="508">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09">
    <w:name w:val="font21"/>
    <w:basedOn w:val="60"/>
    <w:qFormat/>
    <w:uiPriority w:val="0"/>
    <w:rPr>
      <w:rFonts w:hint="eastAsia" w:ascii="宋体" w:hAnsi="宋体" w:eastAsia="宋体" w:cs="宋体"/>
      <w:color w:val="000000"/>
      <w:sz w:val="21"/>
      <w:szCs w:val="21"/>
      <w:u w:val="none"/>
    </w:rPr>
  </w:style>
  <w:style w:type="paragraph" w:customStyle="1" w:styleId="510">
    <w:name w:val="BodyText"/>
    <w:basedOn w:val="1"/>
    <w:next w:val="1"/>
    <w:qFormat/>
    <w:uiPriority w:val="0"/>
    <w:pPr>
      <w:textAlignment w:val="baseline"/>
    </w:pPr>
    <w:rPr>
      <w:sz w:val="32"/>
    </w:rPr>
  </w:style>
  <w:style w:type="paragraph" w:customStyle="1" w:styleId="511">
    <w:name w:val="1.2_一、……"/>
    <w:basedOn w:val="1"/>
    <w:qFormat/>
    <w:uiPriority w:val="0"/>
    <w:pPr>
      <w:keepNext/>
      <w:numPr>
        <w:ilvl w:val="0"/>
        <w:numId w:val="2"/>
      </w:numPr>
      <w:spacing w:line="560" w:lineRule="exact"/>
      <w:ind w:firstLine="640" w:firstLineChars="200"/>
    </w:pPr>
    <w:rPr>
      <w:rFonts w:ascii="黑体" w:hAnsi="黑体" w:eastAsia="黑体" w:cs="仿宋_GB2312"/>
      <w:color w:val="0C0C0C"/>
      <w:sz w:val="32"/>
      <w:szCs w:val="32"/>
    </w:rPr>
  </w:style>
  <w:style w:type="paragraph" w:customStyle="1" w:styleId="512">
    <w:name w:val="1.3_（一）……"/>
    <w:basedOn w:val="1"/>
    <w:qFormat/>
    <w:uiPriority w:val="0"/>
    <w:pPr>
      <w:keepNext/>
      <w:numPr>
        <w:ilvl w:val="0"/>
        <w:numId w:val="3"/>
      </w:numPr>
      <w:spacing w:line="560" w:lineRule="exact"/>
      <w:ind w:firstLine="643" w:firstLineChars="200"/>
    </w:pPr>
    <w:rPr>
      <w:rFonts w:ascii="楷体" w:hAnsi="楷体" w:eastAsia="楷体" w:cs="楷体"/>
      <w:b/>
      <w:bCs/>
      <w:color w:val="0C0C0C"/>
      <w:sz w:val="32"/>
      <w:szCs w:val="32"/>
    </w:rPr>
  </w:style>
  <w:style w:type="paragraph" w:customStyle="1" w:styleId="513">
    <w:name w:val="正文缩进1"/>
    <w:basedOn w:val="1"/>
    <w:next w:val="2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514">
    <w:name w:val="1.5.2_正文_仿宋"/>
    <w:basedOn w:val="1"/>
    <w:qFormat/>
    <w:uiPriority w:val="0"/>
    <w:pPr>
      <w:spacing w:line="560" w:lineRule="exact"/>
      <w:ind w:firstLine="640" w:firstLineChars="200"/>
    </w:pPr>
    <w:rPr>
      <w:rFonts w:hint="eastAsia" w:ascii="仿宋" w:hAnsi="仿宋" w:cs="仿宋"/>
      <w:color w:val="0C0C0C"/>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82</Pages>
  <Words>19019</Words>
  <Characters>19992</Characters>
  <Lines>59</Lines>
  <Paragraphs>116</Paragraphs>
  <TotalTime>37</TotalTime>
  <ScaleCrop>false</ScaleCrop>
  <LinksUpToDate>false</LinksUpToDate>
  <CharactersWithSpaces>20256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2022-12-13T02:17:00Z</dcterms:created>
  <dc:creator>User</dc:creator>
  <cp:lastModifiedBy>小黑</cp:lastModifiedBy>
  <cp:lastPrinted>2026-03-24T00:03:00Z</cp:lastPrinted>
  <dcterms:modified xsi:type="dcterms:W3CDTF">2026-04-09T09:20:42Z</dcterms:modified>
  <dc:title>北 海 市 政 府 采 购 中 心</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F072CB5E523E431CA775F76A08EE630C_13</vt:lpwstr>
  </property>
  <property fmtid="{D5CDD505-2E9C-101B-9397-08002B2CF9AE}" pid="4" name="KSOTemplateDocerSaveRecord">
    <vt:lpwstr>eyJoZGlkIjoiYWE0MTY0NjlmMjAwNDI5MjliZjdjNzhlNTQxNWNiYjUiLCJ1c2VySWQiOiI5NDE4NzAyMTUifQ==</vt:lpwstr>
  </property>
</Properties>
</file>