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eastAsia="宋体" w:cs="宋体"/>
          <w:color w:val="auto"/>
          <w:sz w:val="48"/>
          <w:szCs w:val="48"/>
          <w:highlight w:val="none"/>
          <w:lang w:eastAsia="zh-CN"/>
        </w:rPr>
      </w:pPr>
      <w:bookmarkStart w:id="0" w:name="OLE_LINK6"/>
      <w:bookmarkStart w:id="1" w:name="OLE_LINK210"/>
      <w:bookmarkStart w:id="2" w:name="OLE_LINK5"/>
      <w:r>
        <w:rPr>
          <w:rFonts w:hint="eastAsia" w:ascii="宋体" w:hAnsi="宋体" w:cs="宋体"/>
          <w:color w:val="auto"/>
          <w:sz w:val="48"/>
          <w:szCs w:val="48"/>
          <w:highlight w:val="none"/>
          <w:lang w:eastAsia="zh-CN"/>
        </w:rPr>
        <w:t>2025年第一批义务教育薄弱环节改善与能力提升补助资金项目（伙房设备）</w:t>
      </w:r>
    </w:p>
    <w:bookmarkEnd w:id="0"/>
    <w:bookmarkEnd w:id="1"/>
    <w:bookmarkEnd w:id="2"/>
    <w:p>
      <w:pPr>
        <w:pStyle w:val="3"/>
        <w:rPr>
          <w:color w:val="auto"/>
          <w:highlight w:val="none"/>
          <w:lang w:val="en-US"/>
        </w:rPr>
      </w:pPr>
    </w:p>
    <w:p>
      <w:pPr>
        <w:adjustRightInd/>
        <w:spacing w:line="360" w:lineRule="auto"/>
        <w:jc w:val="center"/>
        <w:rPr>
          <w:rFonts w:hint="eastAsia" w:ascii="宋体" w:hAnsi="宋体" w:cs="宋体"/>
          <w:color w:val="auto"/>
          <w:sz w:val="48"/>
          <w:szCs w:val="48"/>
          <w:highlight w:val="none"/>
        </w:rPr>
      </w:pP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BHZC2025-G1-210173-CGZX</w:t>
      </w:r>
      <w:r>
        <w:rPr>
          <w:rFonts w:hint="eastAsia" w:ascii="宋体" w:hAnsi="宋体" w:cs="宋体"/>
          <w:color w:val="auto"/>
          <w:sz w:val="30"/>
          <w:szCs w:val="30"/>
          <w:highlight w:val="none"/>
        </w:rPr>
        <w:t>）</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合浦县教育局</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北海市政府采购中心</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二〇二五年</w:t>
      </w:r>
      <w:r>
        <w:rPr>
          <w:rFonts w:hint="eastAsia" w:ascii="宋体" w:hAnsi="宋体" w:cs="宋体"/>
          <w:bCs/>
          <w:color w:val="auto"/>
          <w:sz w:val="32"/>
          <w:szCs w:val="32"/>
          <w:highlight w:val="none"/>
          <w:lang w:val="en-US" w:eastAsia="zh-CN"/>
        </w:rPr>
        <w:t>十一</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二十七</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3" w:name="_Hlt67893495"/>
      <w:bookmarkEnd w:id="3"/>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pStyle w:val="44"/>
        <w:tabs>
          <w:tab w:val="right" w:leader="dot" w:pos="9060"/>
        </w:tabs>
        <w:spacing w:line="360" w:lineRule="auto"/>
        <w:rPr>
          <w:rFonts w:ascii="宋体" w:hAnsi="宋体" w:cstheme="minorBidi"/>
          <w:color w:val="auto"/>
          <w:sz w:val="32"/>
          <w:szCs w:val="32"/>
          <w:highlight w:val="none"/>
        </w:rPr>
      </w:pPr>
      <w:bookmarkStart w:id="4" w:name="_Hlt91233176"/>
      <w:bookmarkEnd w:id="4"/>
      <w:bookmarkStart w:id="5"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"_Toc176343848" </w:instrText>
      </w:r>
      <w:r>
        <w:rPr>
          <w:color w:val="auto"/>
          <w:highlight w:val="none"/>
        </w:rPr>
        <w:fldChar w:fldCharType="separate"/>
      </w:r>
      <w:r>
        <w:rPr>
          <w:rStyle w:val="78"/>
          <w:rFonts w:hint="eastAsia" w:ascii="宋体" w:hAnsi="宋体" w:eastAsia="宋体" w:cs="宋体"/>
          <w:color w:val="auto"/>
          <w:sz w:val="32"/>
          <w:szCs w:val="32"/>
          <w:highlight w:val="none"/>
        </w:rPr>
        <w:t>第一部分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招标公告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_Toc176343848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4"/>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"_Toc176343849" </w:instrText>
      </w:r>
      <w:r>
        <w:rPr>
          <w:color w:val="auto"/>
          <w:highlight w:val="none"/>
        </w:rPr>
        <w:fldChar w:fldCharType="separate"/>
      </w:r>
      <w:r>
        <w:rPr>
          <w:rStyle w:val="78"/>
          <w:rFonts w:hint="eastAsia" w:ascii="宋体" w:hAnsi="宋体" w:eastAsia="宋体" w:cs="宋体"/>
          <w:color w:val="auto"/>
          <w:sz w:val="32"/>
          <w:szCs w:val="32"/>
          <w:highlight w:val="none"/>
        </w:rPr>
        <w:t>第二部分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投标人须知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_Toc176343849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4"/>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"_Toc176343850" </w:instrText>
      </w:r>
      <w:r>
        <w:rPr>
          <w:color w:val="auto"/>
          <w:highlight w:val="none"/>
        </w:rPr>
        <w:fldChar w:fldCharType="separate"/>
      </w:r>
      <w:r>
        <w:rPr>
          <w:rStyle w:val="78"/>
          <w:rFonts w:hint="eastAsia" w:ascii="宋体" w:hAnsi="宋体" w:eastAsia="宋体" w:cs="宋体"/>
          <w:color w:val="auto"/>
          <w:sz w:val="32"/>
          <w:szCs w:val="32"/>
          <w:highlight w:val="none"/>
        </w:rPr>
        <w:t>第三部分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采购需求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_Toc176343850 \h </w:instrText>
      </w:r>
      <w:r>
        <w:rPr>
          <w:rFonts w:ascii="宋体" w:hAnsi="宋体"/>
          <w:color w:val="auto"/>
          <w:sz w:val="32"/>
          <w:szCs w:val="32"/>
          <w:highlight w:val="none"/>
        </w:rPr>
        <w:fldChar w:fldCharType="separate"/>
      </w:r>
      <w:r>
        <w:rPr>
          <w:rFonts w:ascii="宋体" w:hAnsi="宋体"/>
          <w:color w:val="auto"/>
          <w:sz w:val="32"/>
          <w:szCs w:val="32"/>
          <w:highlight w:val="none"/>
        </w:rPr>
        <w:t>25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4"/>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"_Toc176343851" </w:instrText>
      </w:r>
      <w:r>
        <w:rPr>
          <w:color w:val="auto"/>
          <w:highlight w:val="none"/>
        </w:rPr>
        <w:fldChar w:fldCharType="separate"/>
      </w:r>
      <w:r>
        <w:rPr>
          <w:rStyle w:val="78"/>
          <w:rFonts w:hint="eastAsia" w:ascii="宋体" w:hAnsi="宋体" w:eastAsia="宋体" w:cs="宋体"/>
          <w:color w:val="auto"/>
          <w:sz w:val="32"/>
          <w:szCs w:val="32"/>
          <w:highlight w:val="none"/>
        </w:rPr>
        <w:t>第四部分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评标办法</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_Toc176343851 \h </w:instrText>
      </w:r>
      <w:r>
        <w:rPr>
          <w:rFonts w:ascii="宋体" w:hAnsi="宋体"/>
          <w:color w:val="auto"/>
          <w:sz w:val="32"/>
          <w:szCs w:val="32"/>
          <w:highlight w:val="none"/>
        </w:rPr>
        <w:fldChar w:fldCharType="separate"/>
      </w:r>
      <w:r>
        <w:rPr>
          <w:rFonts w:ascii="宋体" w:hAnsi="宋体"/>
          <w:color w:val="auto"/>
          <w:sz w:val="32"/>
          <w:szCs w:val="32"/>
          <w:highlight w:val="none"/>
        </w:rPr>
        <w:t>33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4"/>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"_Toc176343852" </w:instrText>
      </w:r>
      <w:r>
        <w:rPr>
          <w:color w:val="auto"/>
          <w:highlight w:val="none"/>
        </w:rPr>
        <w:fldChar w:fldCharType="separate"/>
      </w:r>
      <w:r>
        <w:rPr>
          <w:rStyle w:val="78"/>
          <w:rFonts w:hint="eastAsia" w:ascii="宋体" w:hAnsi="宋体" w:eastAsia="宋体" w:cs="宋体"/>
          <w:color w:val="auto"/>
          <w:sz w:val="32"/>
          <w:szCs w:val="32"/>
          <w:highlight w:val="none"/>
        </w:rPr>
        <w:t>第五部分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拟签订的合同文本</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_Toc176343852 \h </w:instrText>
      </w:r>
      <w:r>
        <w:rPr>
          <w:rFonts w:ascii="宋体" w:hAnsi="宋体"/>
          <w:color w:val="auto"/>
          <w:sz w:val="32"/>
          <w:szCs w:val="32"/>
          <w:highlight w:val="none"/>
        </w:rPr>
        <w:fldChar w:fldCharType="separate"/>
      </w:r>
      <w:r>
        <w:rPr>
          <w:rFonts w:ascii="宋体" w:hAnsi="宋体"/>
          <w:color w:val="auto"/>
          <w:sz w:val="32"/>
          <w:szCs w:val="32"/>
          <w:highlight w:val="none"/>
        </w:rPr>
        <w:t>41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pStyle w:val="44"/>
        <w:tabs>
          <w:tab w:val="right" w:leader="dot" w:pos="9060"/>
        </w:tabs>
        <w:spacing w:line="360" w:lineRule="auto"/>
        <w:rPr>
          <w:rFonts w:ascii="宋体" w:hAnsi="宋体" w:cstheme="minorBidi"/>
          <w:color w:val="auto"/>
          <w:sz w:val="32"/>
          <w:szCs w:val="32"/>
          <w:highlight w:val="none"/>
        </w:rPr>
      </w:pPr>
      <w:r>
        <w:rPr>
          <w:color w:val="auto"/>
          <w:highlight w:val="none"/>
        </w:rPr>
        <w:fldChar w:fldCharType="begin"/>
      </w:r>
      <w:r>
        <w:rPr>
          <w:color w:val="auto"/>
          <w:highlight w:val="none"/>
        </w:rPr>
        <w:instrText xml:space="preserve"> HYPERLINK \l "_Toc176343853" </w:instrText>
      </w:r>
      <w:r>
        <w:rPr>
          <w:color w:val="auto"/>
          <w:highlight w:val="none"/>
        </w:rPr>
        <w:fldChar w:fldCharType="separate"/>
      </w:r>
      <w:r>
        <w:rPr>
          <w:rStyle w:val="78"/>
          <w:rFonts w:hint="eastAsia" w:ascii="宋体" w:hAnsi="宋体" w:eastAsia="宋体" w:cs="宋体"/>
          <w:color w:val="auto"/>
          <w:sz w:val="32"/>
          <w:szCs w:val="32"/>
          <w:highlight w:val="none"/>
        </w:rPr>
        <w:t>第六部分</w:t>
      </w:r>
      <w:r>
        <w:rPr>
          <w:rStyle w:val="78"/>
          <w:rFonts w:ascii="宋体" w:hAnsi="宋体" w:eastAsia="宋体" w:cs="宋体"/>
          <w:color w:val="auto"/>
          <w:sz w:val="32"/>
          <w:szCs w:val="32"/>
          <w:highlight w:val="none"/>
        </w:rPr>
        <w:t xml:space="preserve">  </w:t>
      </w:r>
      <w:r>
        <w:rPr>
          <w:rStyle w:val="78"/>
          <w:rFonts w:hint="eastAsia" w:ascii="宋体" w:hAnsi="宋体" w:eastAsia="宋体" w:cs="宋体"/>
          <w:color w:val="auto"/>
          <w:sz w:val="32"/>
          <w:szCs w:val="32"/>
          <w:highlight w:val="none"/>
        </w:rPr>
        <w:t>应提交的有关格式范例</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_Toc176343853 \h </w:instrText>
      </w:r>
      <w:r>
        <w:rPr>
          <w:rFonts w:ascii="宋体" w:hAnsi="宋体"/>
          <w:color w:val="auto"/>
          <w:sz w:val="32"/>
          <w:szCs w:val="32"/>
          <w:highlight w:val="none"/>
        </w:rPr>
        <w:fldChar w:fldCharType="separate"/>
      </w:r>
      <w:r>
        <w:rPr>
          <w:rFonts w:ascii="宋体" w:hAnsi="宋体"/>
          <w:color w:val="auto"/>
          <w:sz w:val="32"/>
          <w:szCs w:val="32"/>
          <w:highlight w:val="none"/>
        </w:rPr>
        <w:t>59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6" w:name="第一部分"/>
      <w:r>
        <w:rPr>
          <w:rFonts w:hint="eastAsia" w:ascii="宋体" w:hAnsi="宋体" w:cs="宋体"/>
          <w:b/>
          <w:color w:val="auto"/>
          <w:sz w:val="36"/>
          <w:szCs w:val="36"/>
          <w:highlight w:val="none"/>
        </w:rPr>
        <w:br w:type="page"/>
      </w:r>
      <w:bookmarkEnd w:id="5"/>
      <w:bookmarkEnd w:id="6"/>
      <w:bookmarkStart w:id="7" w:name="_Hlt74728647"/>
      <w:bookmarkEnd w:id="7"/>
      <w:bookmarkStart w:id="8" w:name="_Hlt74649545"/>
      <w:bookmarkEnd w:id="8"/>
      <w:bookmarkStart w:id="9" w:name="_Hlt74729822"/>
      <w:bookmarkEnd w:id="9"/>
      <w:bookmarkStart w:id="10" w:name="_Hlt74707423"/>
      <w:bookmarkEnd w:id="10"/>
      <w:bookmarkStart w:id="11" w:name="_Toc176185119"/>
      <w:bookmarkStart w:id="12" w:name="_Toc176343848"/>
      <w:bookmarkStart w:id="13" w:name="第二部分"/>
      <w:bookmarkStart w:id="14" w:name="_Toc91899870"/>
      <w:bookmarkStart w:id="15" w:name="_Toc91899871"/>
      <w:r>
        <w:rPr>
          <w:rFonts w:hint="eastAsia" w:ascii="宋体" w:hAnsi="宋体" w:cs="宋体"/>
          <w:b/>
          <w:color w:val="auto"/>
          <w:sz w:val="36"/>
          <w:szCs w:val="20"/>
          <w:highlight w:val="none"/>
        </w:rPr>
        <w:t>第一部分  招标公告</w:t>
      </w:r>
      <w:bookmarkEnd w:id="11"/>
      <w:bookmarkEnd w:id="12"/>
    </w:p>
    <w:p>
      <w:pPr>
        <w:pStyle w:val="42"/>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auto"/>
          <w:sz w:val="36"/>
          <w:szCs w:val="20"/>
          <w:highlight w:val="none"/>
          <w:lang w:eastAsia="zh-CN"/>
        </w:rPr>
      </w:pPr>
      <w:bookmarkStart w:id="16" w:name="OLE_LINK2"/>
      <w:bookmarkStart w:id="17" w:name="OLE_LINK11"/>
      <w:bookmarkStart w:id="18" w:name="OLE_LINK40"/>
      <w:bookmarkStart w:id="19" w:name="OLE_LINK41"/>
      <w:bookmarkStart w:id="20" w:name="OLE_LINK202"/>
      <w:r>
        <w:rPr>
          <w:rFonts w:hint="eastAsia" w:ascii="宋体" w:hAnsi="宋体" w:cs="宋体"/>
          <w:b/>
          <w:color w:val="auto"/>
          <w:sz w:val="32"/>
          <w:szCs w:val="32"/>
          <w:highlight w:val="none"/>
        </w:rPr>
        <w:t>北海市政府采购中心关于</w:t>
      </w:r>
      <w:r>
        <w:rPr>
          <w:rFonts w:hint="eastAsia" w:ascii="宋体" w:hAnsi="宋体" w:cs="宋体"/>
          <w:b/>
          <w:color w:val="auto"/>
          <w:sz w:val="32"/>
          <w:szCs w:val="32"/>
          <w:highlight w:val="none"/>
          <w:lang w:eastAsia="zh-CN"/>
        </w:rPr>
        <w:t>合浦县教育局2025年第一批义务教育薄弱环节改善与能力提升补助资金项目（伙房设备）</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eastAsia="zh-CN"/>
        </w:rPr>
        <w:t>BHZC2025-G1-210173-CGZX</w:t>
      </w:r>
      <w:r>
        <w:rPr>
          <w:rFonts w:hint="eastAsia" w:ascii="宋体" w:hAnsi="宋体" w:cs="宋体"/>
          <w:b/>
          <w:color w:val="auto"/>
          <w:sz w:val="32"/>
          <w:szCs w:val="32"/>
          <w:highlight w:val="none"/>
        </w:rPr>
        <w:t>)</w:t>
      </w:r>
      <w:bookmarkEnd w:id="16"/>
      <w:r>
        <w:rPr>
          <w:rFonts w:hint="eastAsia" w:ascii="宋体" w:hAnsi="宋体" w:cs="宋体"/>
          <w:b/>
          <w:color w:val="auto"/>
          <w:sz w:val="32"/>
          <w:szCs w:val="32"/>
          <w:highlight w:val="none"/>
        </w:rPr>
        <w:t>公开招标公告（远程异地评标）</w:t>
      </w:r>
      <w:r>
        <w:rPr>
          <w:rFonts w:hint="eastAsia" w:ascii="宋体" w:hAnsi="宋体" w:cs="宋体"/>
          <w:b/>
          <w:color w:val="auto"/>
          <w:sz w:val="32"/>
          <w:szCs w:val="32"/>
          <w:highlight w:val="none"/>
          <w:lang w:eastAsia="zh-CN"/>
        </w:rPr>
        <w:t>（二次公告）</w:t>
      </w:r>
      <w:bookmarkEnd w:id="17"/>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2025年第一批义务教育薄弱环节改善与能力提升补助资金项目（伙房设备）</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color w:val="auto"/>
          <w:highlight w:val="none"/>
        </w:rPr>
        <w:fldChar w:fldCharType="begin"/>
      </w:r>
      <w:r>
        <w:rPr>
          <w:color w:val="auto"/>
          <w:highlight w:val="none"/>
        </w:rPr>
        <w:instrText xml:space="preserve"> HYPERLINK "https://www.gcy.zfcg.gxzf.gov.cn/）获取（下载）招标文件，并于2025年" </w:instrText>
      </w:r>
      <w:r>
        <w:rPr>
          <w:color w:val="auto"/>
          <w:highlight w:val="none"/>
        </w:rPr>
        <w:fldChar w:fldCharType="separate"/>
      </w:r>
      <w:r>
        <w:rPr>
          <w:rStyle w:val="78"/>
          <w:rFonts w:hint="eastAsia" w:ascii="宋体" w:hAnsi="宋体" w:eastAsia="宋体" w:cs="宋体"/>
          <w:color w:val="auto"/>
          <w:sz w:val="24"/>
          <w:szCs w:val="24"/>
          <w:highlight w:val="none"/>
        </w:rPr>
        <w:t>https://www.gcy.zfcg.gxzf.gov.cn/）</w:t>
      </w:r>
      <w:r>
        <w:rPr>
          <w:rStyle w:val="78"/>
          <w:rFonts w:cs="Times New Roman" w:asciiTheme="minorEastAsia" w:hAnsiTheme="minorEastAsia" w:eastAsiaTheme="minorEastAsia"/>
          <w:color w:val="auto"/>
          <w:sz w:val="24"/>
          <w:szCs w:val="24"/>
          <w:highlight w:val="none"/>
        </w:rPr>
        <w:t>获取（下载）招标文件，并于</w:t>
      </w:r>
      <w:r>
        <w:rPr>
          <w:rStyle w:val="78"/>
          <w:rFonts w:hint="eastAsia" w:cs="Times New Roman" w:asciiTheme="minorEastAsia" w:hAnsiTheme="minorEastAsia" w:eastAsiaTheme="minorEastAsia"/>
          <w:color w:val="auto"/>
          <w:sz w:val="24"/>
          <w:szCs w:val="24"/>
          <w:highlight w:val="none"/>
        </w:rPr>
        <w:t>2025年</w:t>
      </w:r>
      <w:r>
        <w:rPr>
          <w:rStyle w:val="78"/>
          <w:rFonts w:hint="eastAsia" w:cs="Times New Roman" w:asciiTheme="minorEastAsia" w:hAnsiTheme="minorEastAsia" w:eastAsiaTheme="minorEastAsia"/>
          <w:color w:val="auto"/>
          <w:sz w:val="24"/>
          <w:szCs w:val="24"/>
          <w:highlight w:val="none"/>
        </w:rPr>
        <w:fldChar w:fldCharType="end"/>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日9点00分00秒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bookmarkStart w:id="21" w:name="OLE_LINK8"/>
      <w:r>
        <w:rPr>
          <w:rFonts w:hint="eastAsia" w:ascii="宋体" w:hAnsi="宋体" w:cs="宋体"/>
          <w:color w:val="auto"/>
          <w:sz w:val="24"/>
          <w:highlight w:val="none"/>
          <w:lang w:eastAsia="zh-CN"/>
        </w:rPr>
        <w:t>BHZC2025-G1-210173-CGZX</w:t>
      </w:r>
      <w:bookmarkEnd w:id="21"/>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bookmarkStart w:id="22" w:name="OLE_LINK99"/>
      <w:bookmarkStart w:id="23" w:name="OLE_LINK100"/>
      <w:r>
        <w:rPr>
          <w:rFonts w:hint="eastAsia" w:ascii="宋体" w:hAnsi="宋体" w:cs="宋体"/>
          <w:color w:val="auto"/>
          <w:sz w:val="24"/>
          <w:highlight w:val="none"/>
          <w:lang w:eastAsia="zh-CN"/>
        </w:rPr>
        <w:t>2025年第一批义务教育薄弱环节改善与能力提升补助资金项目（伙房设备）</w:t>
      </w:r>
    </w:p>
    <w:bookmarkEnd w:id="22"/>
    <w:bookmarkEnd w:id="23"/>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预算金额（元）：</w:t>
      </w:r>
      <w:bookmarkStart w:id="24" w:name="OLE_LINK4"/>
      <w:r>
        <w:rPr>
          <w:rFonts w:hint="eastAsia" w:ascii="宋体" w:hAnsi="宋体" w:cs="宋体"/>
          <w:color w:val="auto"/>
          <w:sz w:val="24"/>
          <w:highlight w:val="none"/>
          <w:lang w:eastAsia="zh-CN"/>
        </w:rPr>
        <w:t>3520000.00</w:t>
      </w:r>
      <w:bookmarkEnd w:id="24"/>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w:t>
      </w:r>
    </w:p>
    <w:p>
      <w:pPr>
        <w:spacing w:line="320" w:lineRule="exact"/>
        <w:ind w:firstLine="420" w:firstLineChars="200"/>
        <w:jc w:val="left"/>
        <w:rPr>
          <w:rFonts w:ascii="宋体" w:hAnsi="宋体" w:cs="宋体"/>
          <w:color w:val="auto"/>
          <w:szCs w:val="21"/>
          <w:highlight w:val="none"/>
        </w:rPr>
      </w:pP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标项名称:</w:t>
      </w:r>
      <w:r>
        <w:rPr>
          <w:rFonts w:hint="eastAsia" w:hAnsi="宋体" w:cs="宋体"/>
          <w:color w:val="auto"/>
          <w:kern w:val="0"/>
          <w:sz w:val="24"/>
          <w:highlight w:val="none"/>
          <w:lang w:eastAsia="zh-CN"/>
        </w:rPr>
        <w:t>2025年第一批义务教育薄弱环节改善与能力提升补助资金项目（伙房设备）</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数量:1项</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int="default" w:hAnsi="宋体" w:eastAsia="宋体" w:cs="宋体"/>
          <w:color w:val="auto"/>
          <w:kern w:val="0"/>
          <w:sz w:val="24"/>
          <w:highlight w:val="none"/>
          <w:lang w:val="en-US" w:eastAsia="zh-CN"/>
        </w:rPr>
      </w:pPr>
      <w:r>
        <w:rPr>
          <w:rFonts w:hint="eastAsia" w:hAnsi="宋体" w:cs="宋体"/>
          <w:color w:val="auto"/>
          <w:kern w:val="0"/>
          <w:sz w:val="24"/>
          <w:highlight w:val="none"/>
        </w:rPr>
        <w:t xml:space="preserve">预算金额（元）: </w:t>
      </w:r>
      <w:r>
        <w:rPr>
          <w:rFonts w:hint="eastAsia" w:hAnsi="宋体" w:cs="宋体"/>
          <w:color w:val="auto"/>
          <w:kern w:val="0"/>
          <w:sz w:val="24"/>
          <w:highlight w:val="none"/>
          <w:lang w:eastAsia="zh-CN"/>
        </w:rPr>
        <w:t>3520000.00</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简要规格描述或项目基本概况介绍、用途：</w:t>
      </w:r>
      <w:bookmarkStart w:id="25" w:name="OLE_LINK7"/>
      <w:r>
        <w:rPr>
          <w:rFonts w:hint="eastAsia" w:hAnsi="宋体" w:cs="宋体"/>
          <w:color w:val="auto"/>
          <w:kern w:val="0"/>
          <w:sz w:val="24"/>
          <w:highlight w:val="none"/>
          <w:lang w:eastAsia="zh-CN"/>
        </w:rPr>
        <w:t>采购电磁炒菜机+拼台、24盘蒸饭柜、12盘蒸饭柜</w:t>
      </w:r>
      <w:r>
        <w:rPr>
          <w:rFonts w:hint="eastAsia" w:hAnsi="宋体" w:cs="宋体"/>
          <w:color w:val="auto"/>
          <w:kern w:val="0"/>
          <w:sz w:val="24"/>
          <w:highlight w:val="none"/>
        </w:rPr>
        <w:t>等</w:t>
      </w:r>
      <w:r>
        <w:rPr>
          <w:rFonts w:hint="eastAsia" w:hAnsi="宋体" w:cs="宋体"/>
          <w:color w:val="auto"/>
          <w:kern w:val="0"/>
          <w:sz w:val="24"/>
          <w:highlight w:val="none"/>
          <w:lang w:eastAsia="zh-CN"/>
        </w:rPr>
        <w:t>一批</w:t>
      </w:r>
      <w:r>
        <w:rPr>
          <w:rFonts w:hint="eastAsia" w:hAnsi="宋体" w:cs="宋体"/>
          <w:color w:val="auto"/>
          <w:kern w:val="0"/>
          <w:sz w:val="24"/>
          <w:highlight w:val="none"/>
        </w:rPr>
        <w:t>，具体以招标文件第三部分采购需求为准。</w:t>
      </w:r>
      <w:bookmarkEnd w:id="25"/>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最高限价（如有）：</w:t>
      </w:r>
      <w:r>
        <w:rPr>
          <w:rFonts w:hint="eastAsia" w:hAnsi="宋体" w:cs="宋体"/>
          <w:color w:val="auto"/>
          <w:kern w:val="0"/>
          <w:sz w:val="24"/>
          <w:highlight w:val="none"/>
          <w:lang w:eastAsia="zh-CN"/>
        </w:rPr>
        <w:t>3520000.00</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合同履约期限：签订合同后30个日历日，如因甲方及其他客观原因导致交付延期，不算作乙方违约，交付周期可视延期时问往后顺延。</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highlight w:val="none"/>
        </w:rPr>
      </w:pPr>
      <w:r>
        <w:rPr>
          <w:rFonts w:hint="eastAsia" w:hAnsi="宋体" w:cs="宋体"/>
          <w:color w:val="auto"/>
          <w:kern w:val="0"/>
          <w:sz w:val="24"/>
          <w:highlight w:val="none"/>
        </w:rPr>
        <w:t>本标项（否）接受联合体投标</w:t>
      </w:r>
    </w:p>
    <w:p>
      <w:pPr>
        <w:keepNext w:val="0"/>
        <w:keepLines w:val="0"/>
        <w:pageBreakBefore w:val="0"/>
        <w:kinsoku/>
        <w:wordWrap/>
        <w:overflowPunct/>
        <w:topLinePunct w:val="0"/>
        <w:autoSpaceDE/>
        <w:autoSpaceDN/>
        <w:bidi w:val="0"/>
        <w:adjustRightInd w:val="0"/>
        <w:spacing w:line="360" w:lineRule="auto"/>
        <w:ind w:firstLine="480" w:firstLineChars="200"/>
        <w:jc w:val="left"/>
        <w:textAlignment w:val="auto"/>
        <w:rPr>
          <w:rFonts w:hAnsi="宋体" w:cs="宋体"/>
          <w:color w:val="auto"/>
          <w:kern w:val="0"/>
          <w:sz w:val="24"/>
          <w:highlight w:val="none"/>
        </w:rPr>
      </w:pPr>
      <w:r>
        <w:rPr>
          <w:rFonts w:hint="eastAsia" w:hAnsi="宋体" w:cs="宋体"/>
          <w:color w:val="auto"/>
          <w:kern w:val="0"/>
          <w:sz w:val="24"/>
          <w:highlight w:val="none"/>
        </w:rPr>
        <w:t>备注：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26" w:name="_Hlk101132948"/>
      <w:r>
        <w:rPr>
          <w:rFonts w:hint="eastAsia" w:ascii="宋体" w:hAnsi="宋体" w:cs="宋体"/>
          <w:b/>
          <w:color w:val="auto"/>
          <w:sz w:val="24"/>
          <w:highlight w:val="none"/>
        </w:rPr>
        <w:t>申请人的资格要求</w:t>
      </w:r>
      <w:bookmarkEnd w:id="26"/>
      <w:r>
        <w:rPr>
          <w:rFonts w:hint="eastAsia" w:ascii="宋体" w:hAnsi="宋体" w:cs="宋体"/>
          <w:b/>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pPr>
        <w:pStyle w:val="6"/>
        <w:spacing w:line="360" w:lineRule="auto"/>
        <w:ind w:firstLine="480"/>
        <w:rPr>
          <w:rFonts w:hAnsi="宋体" w:cs="宋体"/>
          <w:color w:val="auto"/>
          <w:sz w:val="24"/>
          <w:highlight w:val="none"/>
        </w:rPr>
      </w:pPr>
      <w:r>
        <w:rPr>
          <w:rFonts w:hint="eastAsia" w:hAnsi="宋体" w:cs="宋体"/>
          <w:color w:val="auto"/>
          <w:sz w:val="24"/>
          <w:highlight w:val="none"/>
        </w:rPr>
        <w:t>3.本项目的特定资格要求：无。</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bookmarkStart w:id="27" w:name="OLE_LINK22"/>
      <w:bookmarkStart w:id="28" w:name="OLE_LINK21"/>
      <w:r>
        <w:rPr>
          <w:rFonts w:hint="eastAsia" w:ascii="宋体" w:hAnsi="宋体" w:cs="宋体"/>
          <w:color w:val="auto"/>
          <w:sz w:val="24"/>
          <w:highlight w:val="none"/>
          <w:u w:val="single"/>
          <w:lang w:eastAsia="zh-CN"/>
        </w:rPr>
        <w:t>2025年12月22日</w:t>
      </w:r>
      <w:r>
        <w:rPr>
          <w:rFonts w:hint="eastAsia" w:ascii="宋体" w:hAnsi="宋体" w:cs="宋体"/>
          <w:color w:val="auto"/>
          <w:sz w:val="24"/>
          <w:highlight w:val="none"/>
          <w:u w:val="single"/>
        </w:rPr>
        <w:t>9点00分00秒</w:t>
      </w:r>
      <w:bookmarkEnd w:id="27"/>
      <w:bookmarkEnd w:id="28"/>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2025年12月22日</w:t>
      </w:r>
      <w:r>
        <w:rPr>
          <w:rFonts w:hint="eastAsia" w:ascii="宋体" w:hAnsi="宋体" w:cs="宋体"/>
          <w:color w:val="auto"/>
          <w:sz w:val="24"/>
          <w:highlight w:val="none"/>
          <w:u w:val="single"/>
        </w:rPr>
        <w:t>9点00分00秒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bookmarkStart w:id="29" w:name="OLE_LINK134"/>
      <w:bookmarkStart w:id="30" w:name="OLE_LINK135"/>
      <w:bookmarkStart w:id="31" w:name="OLE_LINK133"/>
      <w:r>
        <w:rPr>
          <w:rFonts w:hint="eastAsia" w:ascii="宋体" w:hAnsi="宋体" w:cs="宋体"/>
          <w:color w:val="auto"/>
          <w:sz w:val="24"/>
          <w:highlight w:val="none"/>
        </w:rPr>
        <w:t>1.本项目不收取投标保证金。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32" w:name="OLE_LINK124"/>
      <w:bookmarkStart w:id="33" w:name="OLE_LINK33"/>
      <w:bookmarkStart w:id="34" w:name="OLE_LINK123"/>
      <w:bookmarkStart w:id="35" w:name="OLE_LINK32"/>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32"/>
      <w:bookmarkEnd w:id="33"/>
      <w:bookmarkEnd w:id="34"/>
      <w:bookmarkEnd w:id="35"/>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供应商应当在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7.本项目采用远程异地评标。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rPr>
        <w:t>8.本项目为北海市推动解决政府采购异常低价试点项目。</w:t>
      </w:r>
    </w:p>
    <w:bookmarkEnd w:id="29"/>
    <w:bookmarkEnd w:id="30"/>
    <w:bookmarkEnd w:id="31"/>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合浦县教育局</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址：合浦县廉州镇小北街44号      </w:t>
      </w:r>
    </w:p>
    <w:p>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包昌海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项目联系方式：0779-7293139</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outlineLvl w:val="0"/>
        <w:rPr>
          <w:rFonts w:ascii="宋体" w:hAnsi="宋体" w:cs="宋体"/>
          <w:color w:val="auto"/>
          <w:sz w:val="24"/>
          <w:highlight w:val="none"/>
        </w:rPr>
      </w:pPr>
      <w:bookmarkStart w:id="36" w:name="_Toc6543"/>
      <w:r>
        <w:rPr>
          <w:rFonts w:hint="eastAsia" w:ascii="宋体" w:hAnsi="宋体" w:cs="宋体"/>
          <w:color w:val="auto"/>
          <w:sz w:val="24"/>
          <w:highlight w:val="none"/>
        </w:rPr>
        <w:t>项目联系方式(询问)：0779-3071101</w:t>
      </w:r>
      <w:bookmarkEnd w:id="36"/>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8"/>
    <w:bookmarkEnd w:id="19"/>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bookmarkEnd w:id="20"/>
    <w:p>
      <w:pPr>
        <w:spacing w:line="360" w:lineRule="auto"/>
        <w:ind w:firstLine="480" w:firstLineChars="200"/>
        <w:rPr>
          <w:rFonts w:ascii="宋体" w:hAnsi="宋体" w:cs="宋体"/>
          <w:color w:val="auto"/>
          <w:sz w:val="24"/>
          <w:highlight w:val="none"/>
        </w:rPr>
      </w:pPr>
    </w:p>
    <w:p>
      <w:pPr>
        <w:pStyle w:val="34"/>
        <w:spacing w:line="360" w:lineRule="auto"/>
        <w:jc w:val="center"/>
        <w:rPr>
          <w:rFonts w:hAnsi="宋体" w:cs="宋体"/>
          <w:b/>
          <w:color w:val="auto"/>
          <w:sz w:val="36"/>
          <w:szCs w:val="20"/>
          <w:highlight w:val="none"/>
        </w:rPr>
      </w:pPr>
      <w:bookmarkStart w:id="37" w:name="_Toc176185120"/>
      <w:bookmarkStart w:id="38" w:name="_Toc176343849"/>
      <w:r>
        <w:rPr>
          <w:rFonts w:hint="eastAsia" w:hAnsi="宋体" w:cs="宋体"/>
          <w:b/>
          <w:color w:val="auto"/>
          <w:sz w:val="36"/>
          <w:szCs w:val="20"/>
          <w:highlight w:val="none"/>
        </w:rPr>
        <w:t>第二部分</w:t>
      </w:r>
      <w:bookmarkEnd w:id="13"/>
      <w:r>
        <w:rPr>
          <w:rFonts w:hint="eastAsia" w:hAnsi="宋体" w:cs="宋体"/>
          <w:b/>
          <w:color w:val="auto"/>
          <w:sz w:val="36"/>
          <w:szCs w:val="20"/>
          <w:highlight w:val="none"/>
        </w:rPr>
        <w:t xml:space="preserve">  投标人须知</w:t>
      </w:r>
      <w:bookmarkEnd w:id="14"/>
      <w:bookmarkEnd w:id="37"/>
      <w:bookmarkEnd w:id="38"/>
    </w:p>
    <w:p>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94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color w:val="auto"/>
                <w:highlight w:val="none"/>
              </w:rPr>
            </w:pPr>
            <w:bookmarkStart w:id="39" w:name="OLE_LINK1"/>
            <w:bookmarkStart w:id="40" w:name="OLE_LINK3"/>
            <w:r>
              <w:rPr>
                <w:rFonts w:hint="eastAsia" w:ascii="宋体" w:hAnsi="宋体" w:cs="宋体"/>
                <w:color w:val="auto"/>
                <w:sz w:val="24"/>
                <w:highlight w:val="none"/>
              </w:rPr>
              <w:t>货物类，单一产品或核心产品为：电磁炒菜机+拼台。</w:t>
            </w:r>
            <w:bookmarkEnd w:id="39"/>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41" w:type="dxa"/>
            <w:tcBorders>
              <w:top w:val="single" w:color="000000" w:sz="8" w:space="0"/>
              <w:left w:val="single" w:color="000000" w:sz="2" w:space="0"/>
              <w:bottom w:val="single" w:color="000000" w:sz="8" w:space="0"/>
              <w:right w:val="single" w:color="000000" w:sz="8" w:space="0"/>
            </w:tcBorders>
            <w:vAlign w:val="center"/>
          </w:tcPr>
          <w:p>
            <w:pPr>
              <w:pageBreakBefore w:val="0"/>
              <w:widowControl w:val="0"/>
              <w:kinsoku/>
              <w:wordWrap/>
              <w:overflowPunct/>
              <w:topLinePunct w:val="0"/>
              <w:autoSpaceDE/>
              <w:autoSpaceDN/>
              <w:bidi w:val="0"/>
              <w:snapToGrid w:val="0"/>
              <w:spacing w:line="360" w:lineRule="auto"/>
              <w:ind w:left="0" w:firstLine="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标的：</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u w:val="single"/>
                <w:lang w:eastAsia="zh-CN"/>
              </w:rPr>
              <w:t>采购需求中所列的货物</w:t>
            </w:r>
            <w:r>
              <w:rPr>
                <w:rFonts w:hint="eastAsia" w:ascii="宋体" w:hAnsi="宋体" w:cs="宋体"/>
                <w:b w:val="0"/>
                <w:bCs w:val="0"/>
                <w:color w:val="auto"/>
                <w:kern w:val="0"/>
                <w:sz w:val="24"/>
                <w:highlight w:val="none"/>
                <w:u w:val="single"/>
                <w:lang w:val="en-US" w:eastAsia="zh-CN"/>
              </w:rPr>
              <w:t xml:space="preserve"> </w:t>
            </w:r>
            <w:r>
              <w:rPr>
                <w:rFonts w:hint="eastAsia" w:ascii="宋体" w:hAnsi="宋体" w:eastAsia="宋体" w:cs="宋体"/>
                <w:b w:val="0"/>
                <w:bCs w:val="0"/>
                <w:color w:val="auto"/>
                <w:kern w:val="0"/>
                <w:sz w:val="24"/>
                <w:highlight w:val="none"/>
              </w:rPr>
              <w:t>，属于</w:t>
            </w:r>
            <w:r>
              <w:rPr>
                <w:rFonts w:hint="eastAsia" w:ascii="宋体" w:hAnsi="宋体" w:eastAsia="宋体" w:cs="宋体"/>
                <w:b w:val="0"/>
                <w:bCs w:val="0"/>
                <w:color w:val="auto"/>
                <w:kern w:val="0"/>
                <w:sz w:val="24"/>
                <w:highlight w:val="none"/>
                <w:u w:val="single"/>
              </w:rPr>
              <w:t xml:space="preserve"> </w:t>
            </w:r>
            <w:r>
              <w:rPr>
                <w:rFonts w:hint="eastAsia" w:ascii="宋体" w:hAnsi="宋体" w:cs="宋体"/>
                <w:b w:val="0"/>
                <w:bCs w:val="0"/>
                <w:color w:val="auto"/>
                <w:kern w:val="0"/>
                <w:sz w:val="24"/>
                <w:highlight w:val="none"/>
                <w:u w:val="single"/>
                <w:lang w:eastAsia="zh-CN"/>
              </w:rPr>
              <w:t>工业</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rPr>
              <w:t>行业</w:t>
            </w:r>
            <w:r>
              <w:rPr>
                <w:rFonts w:hint="eastAsia" w:ascii="宋体" w:hAnsi="宋体" w:cs="宋体"/>
                <w:b w:val="0"/>
                <w:bCs w:val="0"/>
                <w:color w:val="auto"/>
                <w:kern w:val="0"/>
                <w:sz w:val="24"/>
                <w:highlight w:val="none"/>
                <w:lang w:eastAsia="zh-CN"/>
              </w:rPr>
              <w:t>。</w:t>
            </w:r>
          </w:p>
          <w:p>
            <w:pPr>
              <w:pStyle w:val="3"/>
              <w:pageBreakBefore w:val="0"/>
              <w:widowControl w:val="0"/>
              <w:kinsoku/>
              <w:wordWrap/>
              <w:overflowPunct/>
              <w:topLinePunct w:val="0"/>
              <w:autoSpaceDE/>
              <w:autoSpaceDN/>
              <w:bidi w:val="0"/>
              <w:ind w:left="0" w:firstLine="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94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94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941"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4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color w:val="auto"/>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94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Cs/>
                <w:color w:val="auto"/>
                <w:kern w:val="0"/>
                <w:sz w:val="24"/>
                <w:lang w:val="zh-CN"/>
              </w:rPr>
              <w:t>投标文件</w:t>
            </w:r>
            <w:r>
              <w:rPr>
                <w:rFonts w:hint="eastAsia" w:ascii="宋体" w:hAnsi="宋体" w:cs="宋体"/>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投标报价出现下列情形的，投标无效：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投标报价超过招标文件中规定的预算金额或者最高限价的;</w:t>
            </w:r>
          </w:p>
          <w:p>
            <w:pPr>
              <w:spacing w:line="360" w:lineRule="auto"/>
              <w:ind w:firstLine="480" w:firstLineChars="200"/>
              <w:rPr>
                <w:rFonts w:ascii="宋体" w:hAnsi="宋体" w:cs="宋体"/>
                <w:color w:val="auto"/>
                <w:sz w:val="24"/>
              </w:rPr>
            </w:pPr>
            <w:bookmarkStart w:id="41" w:name="OLE_LINK48"/>
            <w:r>
              <w:rPr>
                <w:rFonts w:hint="eastAsia" w:ascii="宋体" w:hAnsi="宋体" w:cs="宋体"/>
                <w:color w:val="auto"/>
                <w:kern w:val="0"/>
                <w:sz w:val="24"/>
              </w:rPr>
              <w:t>报价属于采购文件规定的异常低价情形之一，且</w:t>
            </w:r>
            <w:bookmarkEnd w:id="41"/>
            <w:r>
              <w:rPr>
                <w:rFonts w:hint="eastAsia" w:ascii="宋体" w:hAnsi="宋体" w:cs="宋体"/>
                <w:color w:val="auto"/>
                <w:kern w:val="0"/>
                <w:sz w:val="24"/>
              </w:rPr>
              <w:t>未能按要求提供书面说明或者提交相关证明材料证明其报价合理性的</w:t>
            </w:r>
            <w:r>
              <w:rPr>
                <w:rFonts w:hint="eastAsia" w:ascii="宋体" w:hAnsi="宋体" w:cs="宋体"/>
                <w:color w:val="auto"/>
                <w:sz w:val="24"/>
                <w:szCs w:val="21"/>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rPr>
              <w:t>投标人对根据修正原则修正后的报价不确认的</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941"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94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hAnsi="宋体" w:cs="宋体"/>
                <w:color w:val="auto"/>
                <w:kern w:val="28"/>
                <w:sz w:val="24"/>
                <w:highlight w:val="none"/>
              </w:rPr>
            </w:pPr>
            <w:sdt>
              <w:sdtPr>
                <w:rPr>
                  <w:rFonts w:hint="eastAsia" w:ascii="宋体"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接受</w:t>
            </w:r>
            <w:r>
              <w:rPr>
                <w:rFonts w:hint="eastAsia" w:ascii="宋体"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p>
        </w:tc>
        <w:tc>
          <w:tcPr>
            <w:tcW w:w="6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15"/>
    <w:p>
      <w:pPr>
        <w:adjustRightInd/>
        <w:spacing w:line="360" w:lineRule="auto"/>
        <w:ind w:firstLine="3845" w:firstLineChars="1197"/>
        <w:outlineLvl w:val="1"/>
        <w:rPr>
          <w:rFonts w:ascii="宋体" w:hAnsi="宋体" w:cs="宋体"/>
          <w:b/>
          <w:color w:val="auto"/>
          <w:sz w:val="32"/>
          <w:szCs w:val="20"/>
          <w:highlight w:val="none"/>
        </w:rPr>
      </w:pPr>
      <w:bookmarkStart w:id="42" w:name="第三部分"/>
      <w:bookmarkStart w:id="43" w:name="_Toc164416483"/>
      <w:r>
        <w:rPr>
          <w:rFonts w:hint="eastAsia" w:ascii="宋体" w:hAnsi="宋体" w:cs="宋体"/>
          <w:b/>
          <w:color w:val="auto"/>
          <w:sz w:val="32"/>
          <w:szCs w:val="20"/>
          <w:highlight w:val="none"/>
        </w:rPr>
        <w:t>一、总则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4"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4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45" w:name="_Hlk101132181"/>
      <w:r>
        <w:rPr>
          <w:rFonts w:hint="eastAsia" w:ascii="宋体" w:hAnsi="宋体" w:cs="宋体"/>
          <w:color w:val="auto"/>
          <w:sz w:val="24"/>
          <w:highlight w:val="none"/>
        </w:rPr>
        <w:t>联合协议或者分包意向协议约定小微企业的合同份额占到合同总金额30%以上的</w:t>
      </w:r>
      <w:bookmarkEnd w:id="45"/>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4"/>
        <w:rPr>
          <w:bCs/>
          <w:color w:val="auto"/>
          <w:highlight w:val="none"/>
        </w:rPr>
      </w:pPr>
      <w:r>
        <w:rPr>
          <w:rFonts w:hint="eastAsia"/>
          <w:color w:val="auto"/>
          <w:highlight w:val="none"/>
        </w:rPr>
        <w:t>3.6平等对待符合条件的破产重整企业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color w:val="auto"/>
          <w:highlight w:val="none"/>
        </w:rPr>
      </w:pPr>
      <w:r>
        <w:rPr>
          <w:rFonts w:hint="eastAsia" w:ascii="宋体" w:hAnsi="宋体"/>
          <w:b/>
          <w:color w:val="auto"/>
          <w:sz w:val="24"/>
          <w:highlight w:val="none"/>
        </w:rPr>
        <w:t>4. 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84"/>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84"/>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84"/>
        <w:rPr>
          <w:color w:val="auto"/>
          <w:highlight w:val="none"/>
        </w:rPr>
      </w:pPr>
      <w:r>
        <w:rPr>
          <w:rFonts w:hint="eastAsia"/>
          <w:color w:val="auto"/>
        </w:rPr>
        <w:t>投诉联系部门：</w:t>
      </w:r>
      <w:r>
        <w:rPr>
          <w:rFonts w:hint="eastAsia"/>
          <w:color w:val="auto"/>
          <w:lang w:eastAsia="zh-CN"/>
        </w:rPr>
        <w:t>合浦县</w:t>
      </w:r>
      <w:r>
        <w:rPr>
          <w:rFonts w:hint="eastAsia"/>
          <w:color w:val="auto"/>
        </w:rPr>
        <w:t>财政局  联系电话：</w:t>
      </w:r>
      <w:bookmarkStart w:id="46" w:name="OLE_LINK9"/>
      <w:r>
        <w:rPr>
          <w:rFonts w:hint="eastAsia"/>
          <w:color w:val="auto"/>
        </w:rPr>
        <w:t>0779-7213187</w:t>
      </w:r>
      <w:bookmarkEnd w:id="46"/>
      <w:r>
        <w:rPr>
          <w:rFonts w:hint="eastAsia"/>
          <w:color w:val="auto"/>
        </w:rPr>
        <w:t xml:space="preserve">  地址：北海市合浦县廉州镇明园南路50号</w:t>
      </w:r>
    </w:p>
    <w:p>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4.2供应商询问</w:t>
      </w:r>
    </w:p>
    <w:p>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4"/>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采购人或代理机构应当协助质疑答复责任主体及时答复</w:t>
      </w:r>
      <w:r>
        <w:rPr>
          <w:rFonts w:hint="eastAsia"/>
          <w:color w:val="auto"/>
          <w:highlight w:val="none"/>
        </w:rPr>
        <w:t>供应商的书面质疑。</w:t>
      </w:r>
    </w:p>
    <w:p>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 以联合体形式参加政府采购活动的，其投诉应当由组成联合体的所有供应商共同提出。</w:t>
      </w: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6"/>
        <w:spacing w:line="360" w:lineRule="auto"/>
        <w:ind w:firstLine="470" w:firstLineChars="196"/>
        <w:rPr>
          <w:rFonts w:hint="eastAsia" w:hAnsi="宋体" w:eastAsia="宋体" w:cs="宋体"/>
          <w:color w:val="auto"/>
          <w:sz w:val="24"/>
          <w:highlight w:val="none"/>
          <w:lang w:eastAsia="zh-CN"/>
        </w:rPr>
      </w:pPr>
      <w:r>
        <w:rPr>
          <w:rFonts w:hint="eastAsia" w:hAnsi="宋体" w:cs="宋体"/>
          <w:color w:val="auto"/>
          <w:sz w:val="24"/>
          <w:highlight w:val="none"/>
          <w:lang w:eastAsia="zh-CN"/>
        </w:rPr>
        <w:t>本项目不收取保证金。</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47" w:name="_Hlk101259339"/>
      <w:r>
        <w:rPr>
          <w:rFonts w:hint="eastAsia" w:ascii="宋体" w:hAnsi="宋体" w:cs="宋体"/>
          <w:snapToGrid w:val="0"/>
          <w:color w:val="auto"/>
          <w:kern w:val="28"/>
          <w:sz w:val="24"/>
          <w:szCs w:val="20"/>
          <w:highlight w:val="none"/>
        </w:rPr>
        <w:t>联合协议</w:t>
      </w:r>
      <w:bookmarkEnd w:id="47"/>
      <w:r>
        <w:rPr>
          <w:rFonts w:hint="eastAsia" w:ascii="宋体" w:hAnsi="宋体" w:cs="宋体"/>
          <w:snapToGrid w:val="0"/>
          <w:color w:val="auto"/>
          <w:kern w:val="28"/>
          <w:sz w:val="24"/>
          <w:szCs w:val="20"/>
          <w:highlight w:val="none"/>
        </w:rPr>
        <w:t>（如果有)；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4"/>
        <w:rPr>
          <w:color w:val="auto"/>
          <w:highlight w:val="none"/>
        </w:rPr>
      </w:pPr>
      <w:r>
        <w:rPr>
          <w:rFonts w:hint="eastAsia" w:cs="宋体"/>
          <w:b/>
          <w:color w:val="auto"/>
          <w:szCs w:val="24"/>
          <w:highlight w:val="none"/>
        </w:rPr>
        <w:t>▲</w:t>
      </w:r>
      <w:r>
        <w:rPr>
          <w:rFonts w:hint="eastAsia"/>
          <w:color w:val="auto"/>
          <w:highlight w:val="none"/>
        </w:rPr>
        <w:t>11.2.9承诺函；</w:t>
      </w:r>
    </w:p>
    <w:p>
      <w:pPr>
        <w:pStyle w:val="84"/>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4"/>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pPr>
        <w:pStyle w:val="84"/>
        <w:rPr>
          <w:color w:val="auto"/>
          <w:highlight w:val="none"/>
        </w:rPr>
      </w:pPr>
      <w:r>
        <w:rPr>
          <w:rFonts w:hint="eastAsia" w:cs="宋体"/>
          <w:b/>
          <w:color w:val="auto"/>
          <w:szCs w:val="24"/>
          <w:highlight w:val="none"/>
        </w:rPr>
        <w:t>▲</w:t>
      </w:r>
      <w:r>
        <w:rPr>
          <w:rFonts w:hint="eastAsia"/>
          <w:color w:val="auto"/>
          <w:highlight w:val="none"/>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15.2备份投标文件须在“广西政府采购云平台投标客户端”制作生成，并储存在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6"/>
        <w:spacing w:line="360" w:lineRule="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30"/>
        <w:spacing w:before="0"/>
        <w:ind w:firstLine="643"/>
        <w:rPr>
          <w:rFonts w:ascii="宋体" w:hAnsi="宋体" w:cs="宋体"/>
          <w:b/>
          <w:color w:val="auto"/>
          <w:sz w:val="32"/>
          <w:highlight w:val="none"/>
        </w:rPr>
      </w:pPr>
    </w:p>
    <w:p>
      <w:pPr>
        <w:pStyle w:val="130"/>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6"/>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highlight w:val="none"/>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0"/>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48" w:name="_Toc91899903"/>
      <w:r>
        <w:rPr>
          <w:rFonts w:hint="eastAsia" w:ascii="宋体" w:hAnsi="宋体" w:cs="宋体"/>
          <w:b/>
          <w:color w:val="auto"/>
          <w:sz w:val="24"/>
          <w:highlight w:val="none"/>
        </w:rPr>
        <w:t>21.评标</w:t>
      </w:r>
    </w:p>
    <w:p>
      <w:pPr>
        <w:pStyle w:val="84"/>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4"/>
        <w:rPr>
          <w:rFonts w:cs="宋体"/>
          <w:b/>
          <w:color w:val="auto"/>
          <w:highlight w:val="none"/>
        </w:rPr>
      </w:pPr>
      <w:r>
        <w:rPr>
          <w:rFonts w:hint="eastAsia" w:cs="宋体"/>
          <w:b/>
          <w:color w:val="auto"/>
          <w:highlight w:val="none"/>
        </w:rPr>
        <w:t>21.2</w:t>
      </w:r>
      <w:r>
        <w:rPr>
          <w:rFonts w:hint="eastAsia" w:cs="宋体"/>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highlight w:val="none"/>
        </w:rPr>
        <w:t>详见招标文件第四部分评标办法。</w:t>
      </w:r>
    </w:p>
    <w:p>
      <w:pPr>
        <w:pStyle w:val="84"/>
        <w:rPr>
          <w:color w:val="auto"/>
          <w:highlight w:val="none"/>
        </w:rPr>
      </w:pP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b/>
          <w:bCs/>
          <w:color w:val="auto"/>
          <w:highlight w:val="none"/>
        </w:rPr>
        <w:t>合同主要条款详见第五部分拟签订的合同文本。</w:t>
      </w:r>
    </w:p>
    <w:p>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4"/>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8"/>
          <w:rFonts w:ascii="宋体" w:hAnsi="宋体" w:eastAsia="宋体" w:cs="Times New Roman"/>
          <w:snapToGrid/>
          <w:color w:val="auto"/>
          <w:sz w:val="24"/>
          <w:szCs w:val="20"/>
          <w:highlight w:val="none"/>
        </w:rPr>
        <w:t>https://jinrong.gcy.zfcg.gxzf.gov.cn/finance/loan/gx</w:t>
      </w:r>
      <w:r>
        <w:rPr>
          <w:rStyle w:val="78"/>
          <w:rFonts w:ascii="宋体" w:hAnsi="宋体" w:eastAsia="宋体" w:cs="Times New Roman"/>
          <w:snapToGrid/>
          <w:color w:val="auto"/>
          <w:sz w:val="24"/>
          <w:szCs w:val="20"/>
          <w:highlight w:val="none"/>
        </w:rPr>
        <w:fldChar w:fldCharType="end"/>
      </w:r>
      <w:r>
        <w:rPr>
          <w:rFonts w:hint="eastAsia"/>
          <w:color w:val="auto"/>
          <w:highlight w:val="none"/>
        </w:rPr>
        <w:t>）</w:t>
      </w:r>
    </w:p>
    <w:p>
      <w:pPr>
        <w:pStyle w:val="84"/>
        <w:rPr>
          <w:color w:val="auto"/>
          <w:highlight w:val="none"/>
        </w:rPr>
      </w:pPr>
      <w:r>
        <w:rPr>
          <w:rFonts w:hint="eastAsia"/>
          <w:color w:val="auto"/>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银行名称</w:t>
            </w:r>
          </w:p>
        </w:tc>
        <w:tc>
          <w:tcPr>
            <w:tcW w:w="1134" w:type="dxa"/>
            <w:vAlign w:val="center"/>
          </w:tcPr>
          <w:p>
            <w:pPr>
              <w:pStyle w:val="84"/>
              <w:ind w:firstLine="0"/>
              <w:jc w:val="center"/>
              <w:rPr>
                <w:color w:val="auto"/>
                <w:highlight w:val="none"/>
              </w:rPr>
            </w:pPr>
            <w:r>
              <w:rPr>
                <w:rFonts w:hint="eastAsia"/>
                <w:color w:val="auto"/>
                <w:highlight w:val="none"/>
              </w:rPr>
              <w:t>联系电话</w:t>
            </w:r>
          </w:p>
        </w:tc>
        <w:tc>
          <w:tcPr>
            <w:tcW w:w="1701" w:type="dxa"/>
            <w:vAlign w:val="center"/>
          </w:tcPr>
          <w:p>
            <w:pPr>
              <w:pStyle w:val="84"/>
              <w:ind w:firstLine="0"/>
              <w:jc w:val="center"/>
              <w:rPr>
                <w:color w:val="auto"/>
                <w:highlight w:val="none"/>
              </w:rPr>
            </w:pPr>
            <w:r>
              <w:rPr>
                <w:rFonts w:hint="eastAsia"/>
                <w:color w:val="auto"/>
                <w:highlight w:val="none"/>
              </w:rPr>
              <w:t>最高授信金额</w:t>
            </w:r>
          </w:p>
        </w:tc>
        <w:tc>
          <w:tcPr>
            <w:tcW w:w="993" w:type="dxa"/>
            <w:vAlign w:val="center"/>
          </w:tcPr>
          <w:p>
            <w:pPr>
              <w:pStyle w:val="84"/>
              <w:ind w:firstLine="0"/>
              <w:jc w:val="center"/>
              <w:rPr>
                <w:color w:val="auto"/>
                <w:highlight w:val="none"/>
              </w:rPr>
            </w:pPr>
            <w:r>
              <w:rPr>
                <w:rFonts w:hint="eastAsia"/>
                <w:color w:val="auto"/>
                <w:highlight w:val="none"/>
              </w:rPr>
              <w:t>最长授信期限</w:t>
            </w:r>
          </w:p>
        </w:tc>
        <w:tc>
          <w:tcPr>
            <w:tcW w:w="850" w:type="dxa"/>
            <w:vAlign w:val="center"/>
          </w:tcPr>
          <w:p>
            <w:pPr>
              <w:pStyle w:val="84"/>
              <w:ind w:firstLine="0"/>
              <w:jc w:val="center"/>
              <w:rPr>
                <w:color w:val="auto"/>
                <w:highlight w:val="none"/>
              </w:rPr>
            </w:pPr>
            <w:r>
              <w:rPr>
                <w:rFonts w:hint="eastAsia"/>
                <w:color w:val="auto"/>
                <w:highlight w:val="none"/>
              </w:rPr>
              <w:t>最低利率</w:t>
            </w:r>
          </w:p>
        </w:tc>
        <w:tc>
          <w:tcPr>
            <w:tcW w:w="3366" w:type="dxa"/>
            <w:vAlign w:val="center"/>
          </w:tcPr>
          <w:p>
            <w:pPr>
              <w:pStyle w:val="84"/>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建设银行</w:t>
            </w:r>
          </w:p>
        </w:tc>
        <w:tc>
          <w:tcPr>
            <w:tcW w:w="1134" w:type="dxa"/>
            <w:vAlign w:val="center"/>
          </w:tcPr>
          <w:p>
            <w:pPr>
              <w:pStyle w:val="84"/>
              <w:ind w:firstLine="0"/>
              <w:jc w:val="center"/>
              <w:rPr>
                <w:color w:val="auto"/>
                <w:highlight w:val="none"/>
              </w:rPr>
            </w:pPr>
            <w:r>
              <w:rPr>
                <w:rFonts w:hint="eastAsia"/>
                <w:color w:val="auto"/>
                <w:highlight w:val="none"/>
              </w:rPr>
              <w:t>13077729988</w:t>
            </w:r>
          </w:p>
        </w:tc>
        <w:tc>
          <w:tcPr>
            <w:tcW w:w="1701" w:type="dxa"/>
            <w:vAlign w:val="center"/>
          </w:tcPr>
          <w:p>
            <w:pPr>
              <w:pStyle w:val="84"/>
              <w:ind w:firstLine="0"/>
              <w:rPr>
                <w:color w:val="auto"/>
                <w:highlight w:val="none"/>
              </w:rPr>
            </w:pPr>
            <w:r>
              <w:rPr>
                <w:rFonts w:hint="eastAsia"/>
                <w:color w:val="auto"/>
                <w:highlight w:val="none"/>
              </w:rPr>
              <w:t>最高3千万</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4%</w:t>
            </w:r>
          </w:p>
        </w:tc>
        <w:tc>
          <w:tcPr>
            <w:tcW w:w="3366" w:type="dxa"/>
            <w:vAlign w:val="center"/>
          </w:tcPr>
          <w:p>
            <w:pPr>
              <w:pStyle w:val="84"/>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中国银行</w:t>
            </w:r>
          </w:p>
        </w:tc>
        <w:tc>
          <w:tcPr>
            <w:tcW w:w="1134" w:type="dxa"/>
            <w:vAlign w:val="center"/>
          </w:tcPr>
          <w:p>
            <w:pPr>
              <w:pStyle w:val="84"/>
              <w:ind w:firstLine="0"/>
              <w:jc w:val="center"/>
              <w:rPr>
                <w:color w:val="auto"/>
                <w:highlight w:val="none"/>
              </w:rPr>
            </w:pPr>
            <w:r>
              <w:rPr>
                <w:rFonts w:hint="eastAsia"/>
                <w:color w:val="auto"/>
                <w:highlight w:val="none"/>
              </w:rPr>
              <w:t>0779-3997084</w:t>
            </w:r>
          </w:p>
        </w:tc>
        <w:tc>
          <w:tcPr>
            <w:tcW w:w="1701" w:type="dxa"/>
            <w:vAlign w:val="center"/>
          </w:tcPr>
          <w:p>
            <w:pPr>
              <w:pStyle w:val="84"/>
              <w:ind w:firstLine="0"/>
              <w:rPr>
                <w:color w:val="auto"/>
                <w:highlight w:val="none"/>
              </w:rPr>
            </w:pPr>
            <w:r>
              <w:rPr>
                <w:rFonts w:hint="eastAsia"/>
                <w:color w:val="auto"/>
                <w:highlight w:val="none"/>
              </w:rPr>
              <w:t>最高1千万</w:t>
            </w:r>
          </w:p>
        </w:tc>
        <w:tc>
          <w:tcPr>
            <w:tcW w:w="993" w:type="dxa"/>
            <w:vAlign w:val="center"/>
          </w:tcPr>
          <w:p>
            <w:pPr>
              <w:pStyle w:val="84"/>
              <w:ind w:firstLine="0"/>
              <w:jc w:val="center"/>
              <w:rPr>
                <w:color w:val="auto"/>
                <w:highlight w:val="none"/>
              </w:rPr>
            </w:pPr>
            <w:r>
              <w:rPr>
                <w:rFonts w:hint="eastAsia"/>
                <w:color w:val="auto"/>
                <w:highlight w:val="none"/>
              </w:rPr>
              <w:t>3年</w:t>
            </w:r>
          </w:p>
        </w:tc>
        <w:tc>
          <w:tcPr>
            <w:tcW w:w="850" w:type="dxa"/>
            <w:vAlign w:val="center"/>
          </w:tcPr>
          <w:p>
            <w:pPr>
              <w:pStyle w:val="84"/>
              <w:ind w:firstLine="0"/>
              <w:jc w:val="center"/>
              <w:rPr>
                <w:color w:val="auto"/>
                <w:highlight w:val="none"/>
              </w:rPr>
            </w:pPr>
            <w:r>
              <w:rPr>
                <w:rFonts w:hint="eastAsia"/>
                <w:color w:val="auto"/>
                <w:highlight w:val="none"/>
              </w:rPr>
              <w:t>1.93%</w:t>
            </w:r>
          </w:p>
        </w:tc>
        <w:tc>
          <w:tcPr>
            <w:tcW w:w="3366" w:type="dxa"/>
            <w:vAlign w:val="center"/>
          </w:tcPr>
          <w:p>
            <w:pPr>
              <w:pStyle w:val="84"/>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兴业银行</w:t>
            </w:r>
          </w:p>
        </w:tc>
        <w:tc>
          <w:tcPr>
            <w:tcW w:w="1134" w:type="dxa"/>
            <w:vAlign w:val="center"/>
          </w:tcPr>
          <w:p>
            <w:pPr>
              <w:pStyle w:val="84"/>
              <w:ind w:firstLine="0"/>
              <w:jc w:val="center"/>
              <w:rPr>
                <w:color w:val="auto"/>
                <w:highlight w:val="none"/>
              </w:rPr>
            </w:pPr>
            <w:r>
              <w:rPr>
                <w:rFonts w:hint="eastAsia"/>
                <w:color w:val="auto"/>
                <w:highlight w:val="none"/>
              </w:rPr>
              <w:t>0779-3158330</w:t>
            </w:r>
          </w:p>
        </w:tc>
        <w:tc>
          <w:tcPr>
            <w:tcW w:w="1701" w:type="dxa"/>
            <w:vAlign w:val="center"/>
          </w:tcPr>
          <w:p>
            <w:pPr>
              <w:pStyle w:val="84"/>
              <w:ind w:firstLine="0"/>
              <w:rPr>
                <w:color w:val="auto"/>
                <w:highlight w:val="none"/>
              </w:rPr>
            </w:pPr>
            <w:r>
              <w:rPr>
                <w:rFonts w:hint="eastAsia"/>
                <w:color w:val="auto"/>
                <w:highlight w:val="none"/>
              </w:rPr>
              <w:t>最高1千万（单笔提款金额达合同金额70%）</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3.70%</w:t>
            </w:r>
          </w:p>
        </w:tc>
        <w:tc>
          <w:tcPr>
            <w:tcW w:w="3366" w:type="dxa"/>
            <w:vAlign w:val="center"/>
          </w:tcPr>
          <w:p>
            <w:pPr>
              <w:pStyle w:val="84"/>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工商银行</w:t>
            </w:r>
          </w:p>
        </w:tc>
        <w:tc>
          <w:tcPr>
            <w:tcW w:w="1134" w:type="dxa"/>
            <w:vAlign w:val="center"/>
          </w:tcPr>
          <w:p>
            <w:pPr>
              <w:pStyle w:val="84"/>
              <w:ind w:firstLine="0"/>
              <w:jc w:val="center"/>
              <w:rPr>
                <w:color w:val="auto"/>
                <w:highlight w:val="none"/>
              </w:rPr>
            </w:pPr>
            <w:r>
              <w:rPr>
                <w:rFonts w:hint="eastAsia"/>
                <w:color w:val="auto"/>
                <w:highlight w:val="none"/>
              </w:rPr>
              <w:t>0779-3050645</w:t>
            </w:r>
          </w:p>
        </w:tc>
        <w:tc>
          <w:tcPr>
            <w:tcW w:w="1701" w:type="dxa"/>
            <w:vAlign w:val="center"/>
          </w:tcPr>
          <w:p>
            <w:pPr>
              <w:pStyle w:val="84"/>
              <w:ind w:firstLine="0"/>
              <w:rPr>
                <w:color w:val="auto"/>
                <w:highlight w:val="none"/>
              </w:rPr>
            </w:pPr>
            <w:r>
              <w:rPr>
                <w:rFonts w:hint="eastAsia"/>
                <w:color w:val="auto"/>
                <w:highlight w:val="none"/>
              </w:rPr>
              <w:t>最高1千万且不超过合同金额70%</w:t>
            </w:r>
          </w:p>
        </w:tc>
        <w:tc>
          <w:tcPr>
            <w:tcW w:w="993" w:type="dxa"/>
            <w:vAlign w:val="center"/>
          </w:tcPr>
          <w:p>
            <w:pPr>
              <w:pStyle w:val="84"/>
              <w:ind w:firstLine="0"/>
              <w:jc w:val="center"/>
              <w:rPr>
                <w:color w:val="auto"/>
                <w:highlight w:val="none"/>
              </w:rPr>
            </w:pPr>
            <w:r>
              <w:rPr>
                <w:rFonts w:hint="eastAsia"/>
                <w:color w:val="auto"/>
                <w:highlight w:val="none"/>
              </w:rPr>
              <w:t>货物类1年</w:t>
            </w:r>
          </w:p>
          <w:p>
            <w:pPr>
              <w:pStyle w:val="84"/>
              <w:ind w:firstLine="0"/>
              <w:jc w:val="center"/>
              <w:rPr>
                <w:color w:val="auto"/>
                <w:highlight w:val="none"/>
              </w:rPr>
            </w:pPr>
            <w:r>
              <w:rPr>
                <w:rFonts w:hint="eastAsia"/>
                <w:color w:val="auto"/>
                <w:highlight w:val="none"/>
              </w:rPr>
              <w:t>服务类3年</w:t>
            </w:r>
          </w:p>
          <w:p>
            <w:pPr>
              <w:pStyle w:val="84"/>
              <w:ind w:firstLine="0"/>
              <w:jc w:val="center"/>
              <w:rPr>
                <w:color w:val="auto"/>
                <w:highlight w:val="none"/>
              </w:rPr>
            </w:pPr>
            <w:r>
              <w:rPr>
                <w:rFonts w:hint="eastAsia"/>
                <w:color w:val="auto"/>
                <w:highlight w:val="none"/>
              </w:rPr>
              <w:t>工程类5年</w:t>
            </w:r>
          </w:p>
        </w:tc>
        <w:tc>
          <w:tcPr>
            <w:tcW w:w="850" w:type="dxa"/>
            <w:vAlign w:val="center"/>
          </w:tcPr>
          <w:p>
            <w:pPr>
              <w:pStyle w:val="84"/>
              <w:ind w:firstLine="0"/>
              <w:jc w:val="center"/>
              <w:rPr>
                <w:color w:val="auto"/>
                <w:highlight w:val="none"/>
              </w:rPr>
            </w:pPr>
            <w:r>
              <w:rPr>
                <w:rFonts w:hint="eastAsia"/>
                <w:color w:val="auto"/>
                <w:highlight w:val="none"/>
              </w:rPr>
              <w:t>3.45%</w:t>
            </w:r>
          </w:p>
        </w:tc>
        <w:tc>
          <w:tcPr>
            <w:tcW w:w="3366" w:type="dxa"/>
            <w:vAlign w:val="center"/>
          </w:tcPr>
          <w:p>
            <w:pPr>
              <w:pStyle w:val="84"/>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国民村镇银行</w:t>
            </w:r>
          </w:p>
        </w:tc>
        <w:tc>
          <w:tcPr>
            <w:tcW w:w="1134" w:type="dxa"/>
            <w:vAlign w:val="center"/>
          </w:tcPr>
          <w:p>
            <w:pPr>
              <w:pStyle w:val="84"/>
              <w:ind w:firstLine="0"/>
              <w:jc w:val="center"/>
              <w:rPr>
                <w:color w:val="auto"/>
                <w:highlight w:val="none"/>
              </w:rPr>
            </w:pPr>
            <w:r>
              <w:rPr>
                <w:rFonts w:hint="eastAsia"/>
                <w:color w:val="auto"/>
                <w:highlight w:val="none"/>
              </w:rPr>
              <w:t>0779-2668801</w:t>
            </w:r>
          </w:p>
        </w:tc>
        <w:tc>
          <w:tcPr>
            <w:tcW w:w="1701" w:type="dxa"/>
            <w:vAlign w:val="center"/>
          </w:tcPr>
          <w:p>
            <w:pPr>
              <w:pStyle w:val="84"/>
              <w:ind w:firstLine="0"/>
              <w:rPr>
                <w:color w:val="auto"/>
                <w:highlight w:val="none"/>
              </w:rPr>
            </w:pPr>
            <w:r>
              <w:rPr>
                <w:rFonts w:hint="eastAsia"/>
                <w:color w:val="auto"/>
                <w:highlight w:val="none"/>
              </w:rPr>
              <w:t>最高500万</w:t>
            </w:r>
          </w:p>
        </w:tc>
        <w:tc>
          <w:tcPr>
            <w:tcW w:w="993" w:type="dxa"/>
            <w:vAlign w:val="center"/>
          </w:tcPr>
          <w:p>
            <w:pPr>
              <w:pStyle w:val="84"/>
              <w:ind w:firstLine="0"/>
              <w:jc w:val="center"/>
              <w:rPr>
                <w:color w:val="auto"/>
                <w:highlight w:val="none"/>
              </w:rPr>
            </w:pPr>
            <w:r>
              <w:rPr>
                <w:rFonts w:hint="eastAsia"/>
                <w:color w:val="auto"/>
                <w:highlight w:val="none"/>
              </w:rPr>
              <w:t>5年</w:t>
            </w:r>
          </w:p>
        </w:tc>
        <w:tc>
          <w:tcPr>
            <w:tcW w:w="850" w:type="dxa"/>
            <w:vAlign w:val="center"/>
          </w:tcPr>
          <w:p>
            <w:pPr>
              <w:pStyle w:val="84"/>
              <w:ind w:firstLine="0"/>
              <w:jc w:val="center"/>
              <w:rPr>
                <w:color w:val="auto"/>
                <w:highlight w:val="none"/>
              </w:rPr>
            </w:pPr>
            <w:r>
              <w:rPr>
                <w:rFonts w:hint="eastAsia"/>
                <w:color w:val="auto"/>
                <w:highlight w:val="none"/>
              </w:rPr>
              <w:t>2.80%</w:t>
            </w:r>
          </w:p>
        </w:tc>
        <w:tc>
          <w:tcPr>
            <w:tcW w:w="3366" w:type="dxa"/>
            <w:vAlign w:val="center"/>
          </w:tcPr>
          <w:p>
            <w:pPr>
              <w:pStyle w:val="84"/>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桂林银行</w:t>
            </w:r>
          </w:p>
        </w:tc>
        <w:tc>
          <w:tcPr>
            <w:tcW w:w="1134" w:type="dxa"/>
            <w:vAlign w:val="center"/>
          </w:tcPr>
          <w:p>
            <w:pPr>
              <w:pStyle w:val="84"/>
              <w:ind w:firstLine="0"/>
              <w:jc w:val="center"/>
              <w:rPr>
                <w:color w:val="auto"/>
                <w:highlight w:val="none"/>
              </w:rPr>
            </w:pPr>
            <w:r>
              <w:rPr>
                <w:rFonts w:hint="eastAsia"/>
                <w:color w:val="auto"/>
                <w:highlight w:val="none"/>
              </w:rPr>
              <w:t>18577993959</w:t>
            </w:r>
          </w:p>
        </w:tc>
        <w:tc>
          <w:tcPr>
            <w:tcW w:w="1701" w:type="dxa"/>
            <w:vAlign w:val="center"/>
          </w:tcPr>
          <w:p>
            <w:pPr>
              <w:pStyle w:val="84"/>
              <w:ind w:firstLine="0"/>
              <w:rPr>
                <w:color w:val="auto"/>
                <w:highlight w:val="none"/>
              </w:rPr>
            </w:pPr>
            <w:r>
              <w:rPr>
                <w:rFonts w:hint="eastAsia"/>
                <w:color w:val="auto"/>
                <w:highlight w:val="none"/>
              </w:rPr>
              <w:t>最高1千万</w:t>
            </w:r>
          </w:p>
        </w:tc>
        <w:tc>
          <w:tcPr>
            <w:tcW w:w="993" w:type="dxa"/>
            <w:vAlign w:val="center"/>
          </w:tcPr>
          <w:p>
            <w:pPr>
              <w:pStyle w:val="84"/>
              <w:ind w:firstLine="0"/>
              <w:jc w:val="center"/>
              <w:rPr>
                <w:color w:val="auto"/>
                <w:highlight w:val="none"/>
              </w:rPr>
            </w:pPr>
            <w:r>
              <w:rPr>
                <w:rFonts w:hint="eastAsia"/>
                <w:color w:val="auto"/>
                <w:highlight w:val="none"/>
              </w:rPr>
              <w:t>1年</w:t>
            </w:r>
          </w:p>
        </w:tc>
        <w:tc>
          <w:tcPr>
            <w:tcW w:w="850" w:type="dxa"/>
            <w:vAlign w:val="center"/>
          </w:tcPr>
          <w:p>
            <w:pPr>
              <w:pStyle w:val="84"/>
              <w:ind w:firstLine="0"/>
              <w:jc w:val="center"/>
              <w:rPr>
                <w:color w:val="auto"/>
                <w:highlight w:val="none"/>
              </w:rPr>
            </w:pPr>
            <w:r>
              <w:rPr>
                <w:rFonts w:hint="eastAsia"/>
                <w:color w:val="auto"/>
                <w:highlight w:val="none"/>
              </w:rPr>
              <w:t>3.45%</w:t>
            </w:r>
          </w:p>
        </w:tc>
        <w:tc>
          <w:tcPr>
            <w:tcW w:w="3366" w:type="dxa"/>
            <w:vAlign w:val="center"/>
          </w:tcPr>
          <w:p>
            <w:pPr>
              <w:pStyle w:val="84"/>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4"/>
              <w:ind w:firstLine="0"/>
              <w:jc w:val="center"/>
              <w:rPr>
                <w:color w:val="auto"/>
                <w:highlight w:val="none"/>
              </w:rPr>
            </w:pPr>
            <w:r>
              <w:rPr>
                <w:rFonts w:hint="eastAsia"/>
                <w:color w:val="auto"/>
                <w:highlight w:val="none"/>
              </w:rPr>
              <w:t>中小微商务服务公司</w:t>
            </w:r>
          </w:p>
        </w:tc>
        <w:tc>
          <w:tcPr>
            <w:tcW w:w="1134" w:type="dxa"/>
            <w:vAlign w:val="center"/>
          </w:tcPr>
          <w:p>
            <w:pPr>
              <w:pStyle w:val="84"/>
              <w:ind w:firstLine="0"/>
              <w:jc w:val="center"/>
              <w:rPr>
                <w:color w:val="auto"/>
                <w:highlight w:val="none"/>
              </w:rPr>
            </w:pPr>
            <w:r>
              <w:rPr>
                <w:rFonts w:hint="eastAsia"/>
                <w:color w:val="auto"/>
                <w:highlight w:val="none"/>
              </w:rPr>
              <w:t>19907799988</w:t>
            </w:r>
          </w:p>
        </w:tc>
        <w:tc>
          <w:tcPr>
            <w:tcW w:w="1701" w:type="dxa"/>
            <w:vAlign w:val="center"/>
          </w:tcPr>
          <w:p>
            <w:pPr>
              <w:pStyle w:val="84"/>
              <w:ind w:firstLine="0"/>
              <w:rPr>
                <w:color w:val="auto"/>
                <w:highlight w:val="none"/>
              </w:rPr>
            </w:pPr>
          </w:p>
        </w:tc>
        <w:tc>
          <w:tcPr>
            <w:tcW w:w="993" w:type="dxa"/>
            <w:vAlign w:val="center"/>
          </w:tcPr>
          <w:p>
            <w:pPr>
              <w:pStyle w:val="84"/>
              <w:ind w:firstLine="0"/>
              <w:jc w:val="center"/>
              <w:rPr>
                <w:color w:val="auto"/>
                <w:highlight w:val="none"/>
              </w:rPr>
            </w:pPr>
          </w:p>
        </w:tc>
        <w:tc>
          <w:tcPr>
            <w:tcW w:w="850" w:type="dxa"/>
            <w:vAlign w:val="center"/>
          </w:tcPr>
          <w:p>
            <w:pPr>
              <w:pStyle w:val="84"/>
              <w:ind w:firstLine="0"/>
              <w:jc w:val="center"/>
              <w:rPr>
                <w:color w:val="auto"/>
                <w:highlight w:val="none"/>
              </w:rPr>
            </w:pPr>
          </w:p>
        </w:tc>
        <w:tc>
          <w:tcPr>
            <w:tcW w:w="3366" w:type="dxa"/>
            <w:vAlign w:val="center"/>
          </w:tcPr>
          <w:p>
            <w:pPr>
              <w:pStyle w:val="84"/>
              <w:ind w:firstLine="0"/>
              <w:rPr>
                <w:color w:val="auto"/>
                <w:highlight w:val="none"/>
              </w:rPr>
            </w:pPr>
            <w:r>
              <w:rPr>
                <w:rFonts w:hint="eastAsia"/>
                <w:color w:val="auto"/>
                <w:highlight w:val="none"/>
              </w:rPr>
              <w:t>具体业务可电话咨询。</w:t>
            </w:r>
          </w:p>
        </w:tc>
      </w:tr>
    </w:tbl>
    <w:p>
      <w:pPr>
        <w:pStyle w:val="84"/>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84"/>
        <w:numPr>
          <w:ilvl w:val="0"/>
          <w:numId w:val="0"/>
        </w:numPr>
        <w:rPr>
          <w:rFonts w:hint="eastAsia" w:cs="宋体"/>
          <w:b/>
          <w:color w:val="auto"/>
          <w:highlight w:val="none"/>
        </w:rPr>
      </w:pPr>
      <w:r>
        <w:rPr>
          <w:rFonts w:hint="eastAsia" w:cs="宋体"/>
          <w:b/>
          <w:color w:val="auto"/>
          <w:highlight w:val="none"/>
          <w:lang w:val="en-US" w:eastAsia="zh-CN"/>
        </w:rPr>
        <w:t>26.</w:t>
      </w:r>
      <w:r>
        <w:rPr>
          <w:rFonts w:hint="eastAsia" w:cs="宋体"/>
          <w:b/>
          <w:color w:val="auto"/>
          <w:highlight w:val="none"/>
        </w:rPr>
        <w:t>履约保证金：</w:t>
      </w:r>
      <w:bookmarkStart w:id="49" w:name="OLE_LINK103"/>
      <w:bookmarkStart w:id="50" w:name="OLE_LINK215"/>
      <w:bookmarkStart w:id="51" w:name="OLE_LINK214"/>
      <w:bookmarkStart w:id="52" w:name="OLE_LINK104"/>
    </w:p>
    <w:p>
      <w:pPr>
        <w:pStyle w:val="84"/>
        <w:numPr>
          <w:ilvl w:val="0"/>
          <w:numId w:val="0"/>
        </w:numPr>
        <w:ind w:firstLine="480" w:firstLineChars="200"/>
        <w:rPr>
          <w:b w:val="0"/>
          <w:bCs/>
          <w:color w:val="auto"/>
          <w:highlight w:val="none"/>
        </w:rPr>
      </w:pPr>
      <w:r>
        <w:rPr>
          <w:rFonts w:hint="eastAsia" w:cs="宋体"/>
          <w:b w:val="0"/>
          <w:bCs/>
          <w:color w:val="auto"/>
          <w:highlight w:val="none"/>
        </w:rPr>
        <w:t>本项目不收取履约保证金。</w:t>
      </w:r>
      <w:bookmarkEnd w:id="49"/>
      <w:bookmarkEnd w:id="50"/>
      <w:bookmarkEnd w:id="51"/>
      <w:bookmarkEnd w:id="52"/>
    </w:p>
    <w:p>
      <w:pPr>
        <w:pStyle w:val="26"/>
        <w:spacing w:line="360" w:lineRule="auto"/>
        <w:ind w:left="479" w:hanging="479" w:hangingChars="199"/>
        <w:rPr>
          <w:rFonts w:cs="宋体"/>
          <w:b/>
          <w:color w:val="auto"/>
          <w:highlight w:val="none"/>
        </w:rPr>
      </w:pPr>
      <w:r>
        <w:rPr>
          <w:rFonts w:cs="宋体"/>
          <w:b/>
          <w:color w:val="auto"/>
          <w:highlight w:val="none"/>
        </w:rPr>
        <w:t>27.预付款</w:t>
      </w:r>
    </w:p>
    <w:p>
      <w:pPr>
        <w:adjustRightIn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eastAsia="zh-CN"/>
        </w:rPr>
        <w:t>本项目无预付款。</w:t>
      </w: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30"/>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6"/>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48"/>
    <w:p>
      <w:pPr>
        <w:tabs>
          <w:tab w:val="left" w:pos="0"/>
        </w:tabs>
        <w:spacing w:line="360" w:lineRule="auto"/>
        <w:ind w:firstLine="480"/>
        <w:rPr>
          <w:rFonts w:ascii="宋体" w:hAnsi="宋体" w:cs="宋体"/>
          <w:color w:val="auto"/>
          <w:kern w:val="0"/>
          <w:sz w:val="24"/>
          <w:highlight w:val="none"/>
        </w:rPr>
      </w:pPr>
      <w:bookmarkStart w:id="53" w:name="_Hlt68073093"/>
      <w:bookmarkEnd w:id="53"/>
      <w:bookmarkStart w:id="54" w:name="_Hlt74729768"/>
      <w:bookmarkEnd w:id="54"/>
      <w:bookmarkStart w:id="55" w:name="_Hlt68403820"/>
      <w:bookmarkEnd w:id="55"/>
      <w:bookmarkStart w:id="56" w:name="_Hlt75236011"/>
      <w:bookmarkEnd w:id="56"/>
      <w:bookmarkStart w:id="57" w:name="_Hlt75236101"/>
      <w:bookmarkEnd w:id="57"/>
      <w:bookmarkStart w:id="58" w:name="_Hlt74730295"/>
      <w:bookmarkEnd w:id="58"/>
      <w:bookmarkStart w:id="59" w:name="_Hlt68057669"/>
      <w:bookmarkEnd w:id="59"/>
      <w:bookmarkStart w:id="60" w:name="_Hlt68072998"/>
      <w:bookmarkEnd w:id="60"/>
      <w:bookmarkStart w:id="61" w:name="_Hlt68072990"/>
      <w:bookmarkEnd w:id="61"/>
      <w:bookmarkStart w:id="62" w:name="_Hlt74707468"/>
      <w:bookmarkEnd w:id="62"/>
      <w:bookmarkStart w:id="63" w:name="_Hlt75236290"/>
      <w:bookmarkEnd w:id="63"/>
      <w:bookmarkStart w:id="64" w:name="_Hlt74714665"/>
      <w:bookmarkEnd w:id="64"/>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pPr>
        <w:pStyle w:val="26"/>
        <w:spacing w:line="360" w:lineRule="auto"/>
        <w:ind w:firstLine="0" w:firstLineChars="0"/>
        <w:rPr>
          <w:rFonts w:cs="宋体"/>
          <w:b/>
          <w:color w:val="auto"/>
          <w:highlight w:val="none"/>
        </w:rPr>
      </w:pPr>
      <w:r>
        <w:rPr>
          <w:rFonts w:hint="eastAsia" w:cs="宋体"/>
          <w:b/>
          <w:color w:val="auto"/>
          <w:highlight w:val="none"/>
        </w:rPr>
        <w:t>31.代理费用的收取标准和方式</w:t>
      </w:r>
    </w:p>
    <w:p>
      <w:pPr>
        <w:snapToGrid w:val="0"/>
        <w:spacing w:line="360" w:lineRule="auto"/>
        <w:ind w:firstLine="420" w:firstLineChars="200"/>
        <w:rPr>
          <w:rFonts w:hint="eastAsia" w:ascii="宋体" w:hAnsi="宋体" w:eastAsia="宋体" w:cs="宋体"/>
          <w:bCs/>
          <w:color w:val="auto"/>
          <w:sz w:val="24"/>
          <w:highlight w:val="none"/>
          <w:lang w:eastAsia="zh-CN"/>
        </w:rPr>
      </w:pPr>
      <w:r>
        <w:rPr>
          <w:rFonts w:hint="eastAsia" w:cs="宋体"/>
          <w:color w:val="auto"/>
          <w:kern w:val="2"/>
          <w:szCs w:val="24"/>
          <w:highlight w:val="none"/>
          <w:lang w:eastAsia="zh-CN"/>
        </w:rPr>
        <w:t>本项目不收取代理服务费。</w:t>
      </w:r>
    </w:p>
    <w:p>
      <w:pPr>
        <w:pStyle w:val="84"/>
        <w:rPr>
          <w:rFonts w:cs="宋体"/>
          <w:b/>
          <w:color w:val="auto"/>
          <w:kern w:val="2"/>
          <w:sz w:val="32"/>
          <w:szCs w:val="24"/>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737" w:footer="850" w:gutter="0"/>
          <w:cols w:space="720" w:num="1"/>
          <w:titlePg/>
          <w:docGrid w:linePitch="312" w:charSpace="0"/>
        </w:sectPr>
      </w:pPr>
    </w:p>
    <w:bookmarkEnd w:id="42"/>
    <w:bookmarkEnd w:id="43"/>
    <w:p>
      <w:pPr>
        <w:spacing w:line="360" w:lineRule="auto"/>
        <w:jc w:val="center"/>
        <w:outlineLvl w:val="0"/>
        <w:rPr>
          <w:rFonts w:ascii="宋体" w:hAnsi="宋体" w:cs="宋体"/>
          <w:b/>
          <w:color w:val="auto"/>
          <w:sz w:val="36"/>
          <w:szCs w:val="36"/>
          <w:highlight w:val="none"/>
        </w:rPr>
      </w:pPr>
      <w:bookmarkStart w:id="65" w:name="_Toc176185121"/>
      <w:bookmarkStart w:id="66" w:name="_Toc176343850"/>
      <w:bookmarkStart w:id="67" w:name="第四部分"/>
      <w:r>
        <w:rPr>
          <w:rFonts w:hint="eastAsia" w:ascii="宋体" w:hAnsi="宋体" w:cs="宋体"/>
          <w:b/>
          <w:color w:val="auto"/>
          <w:sz w:val="36"/>
          <w:szCs w:val="36"/>
          <w:highlight w:val="none"/>
        </w:rPr>
        <w:t>第三部分  采购需求</w:t>
      </w:r>
      <w:bookmarkEnd w:id="65"/>
      <w:bookmarkEnd w:id="66"/>
    </w:p>
    <w:p>
      <w:pPr>
        <w:spacing w:line="300" w:lineRule="exact"/>
        <w:rPr>
          <w:rFonts w:ascii="宋体" w:hAnsi="宋体" w:cs="宋体"/>
          <w:bCs/>
          <w:color w:val="auto"/>
          <w:sz w:val="21"/>
          <w:szCs w:val="21"/>
          <w:highlight w:val="none"/>
        </w:rPr>
      </w:pPr>
      <w:bookmarkStart w:id="68" w:name="OLE_LINK19"/>
      <w:bookmarkStart w:id="69" w:name="_Toc9838479"/>
      <w:r>
        <w:rPr>
          <w:rFonts w:hint="eastAsia" w:ascii="宋体" w:hAnsi="宋体" w:cs="宋体"/>
          <w:bCs/>
          <w:color w:val="auto"/>
          <w:sz w:val="21"/>
          <w:szCs w:val="21"/>
          <w:highlight w:val="none"/>
        </w:rPr>
        <w:t>说明：</w:t>
      </w:r>
    </w:p>
    <w:p>
      <w:pPr>
        <w:spacing w:line="3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1.下表中的品牌型号、技术参数仅起参考作用，投标人可选用其他品牌型号替代，但这些替代的产品要实质上相当于或优于参考品牌型号及其技术参数性能（配置）要求。</w:t>
      </w:r>
    </w:p>
    <w:p>
      <w:pPr>
        <w:spacing w:line="3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pPr>
        <w:snapToGrid w:val="0"/>
        <w:spacing w:line="3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4.</w:t>
      </w:r>
      <w:r>
        <w:rPr>
          <w:rFonts w:hint="eastAsia" w:ascii="宋体" w:hAnsi="宋体"/>
          <w:bCs/>
          <w:color w:val="auto"/>
          <w:sz w:val="21"/>
          <w:szCs w:val="21"/>
          <w:highlight w:val="none"/>
          <w:lang w:eastAsia="zh-CN"/>
        </w:rPr>
        <w:t>投标产品</w:t>
      </w:r>
      <w:r>
        <w:rPr>
          <w:rFonts w:hint="eastAsia" w:ascii="宋体" w:hAnsi="宋体"/>
          <w:bCs/>
          <w:color w:val="auto"/>
          <w:sz w:val="21"/>
          <w:szCs w:val="21"/>
          <w:highlight w:val="none"/>
        </w:rPr>
        <w:t>属于《市场监管总局关于发布强制性产品认证目录描述与界定表的公告》（2023年第36号 ）规定的《强制性产品认证目录》及《强制性产品认证目录描述与界定表（2023年修订）》规定范围 内的，供应商</w:t>
      </w:r>
      <w:r>
        <w:rPr>
          <w:rFonts w:hint="eastAsia" w:ascii="宋体" w:hAnsi="宋体"/>
          <w:bCs/>
          <w:color w:val="auto"/>
          <w:sz w:val="21"/>
          <w:szCs w:val="21"/>
          <w:highlight w:val="none"/>
          <w:lang w:eastAsia="zh-CN"/>
        </w:rPr>
        <w:t>投标时</w:t>
      </w:r>
      <w:r>
        <w:rPr>
          <w:rFonts w:hint="eastAsia" w:ascii="宋体" w:hAnsi="宋体"/>
          <w:bCs/>
          <w:color w:val="auto"/>
          <w:sz w:val="21"/>
          <w:szCs w:val="21"/>
          <w:highlight w:val="none"/>
        </w:rPr>
        <w:t>应提供该产品相关的强制性产品认证证书，不提供视为无效投标处理。</w:t>
      </w:r>
    </w:p>
    <w:p>
      <w:pPr>
        <w:snapToGrid w:val="0"/>
        <w:spacing w:line="30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w:t>
      </w:r>
      <w:r>
        <w:rPr>
          <w:rFonts w:hint="eastAsia" w:ascii="宋体" w:hAnsi="宋体"/>
          <w:bCs/>
          <w:color w:val="auto"/>
          <w:sz w:val="21"/>
          <w:szCs w:val="21"/>
          <w:highlight w:val="none"/>
          <w:lang w:eastAsia="zh-CN"/>
        </w:rPr>
        <w:t>投标产品</w:t>
      </w:r>
      <w:r>
        <w:rPr>
          <w:rFonts w:hint="eastAsia" w:ascii="宋体" w:hAnsi="宋体"/>
          <w:bCs/>
          <w:color w:val="auto"/>
          <w:sz w:val="21"/>
          <w:szCs w:val="21"/>
          <w:highlight w:val="none"/>
        </w:rPr>
        <w:t>属于《国务院关于调整完善工业产品生产许可证管理目录的决定》（国发〔2024〕11号）规定的《实施工业产品生产许可证管理的产品目录》规定范围内的，供应商</w:t>
      </w:r>
      <w:r>
        <w:rPr>
          <w:rFonts w:hint="eastAsia" w:ascii="宋体" w:hAnsi="宋体"/>
          <w:bCs/>
          <w:color w:val="auto"/>
          <w:sz w:val="21"/>
          <w:szCs w:val="21"/>
          <w:highlight w:val="none"/>
          <w:lang w:eastAsia="zh-CN"/>
        </w:rPr>
        <w:t>投标时</w:t>
      </w:r>
      <w:r>
        <w:rPr>
          <w:rFonts w:hint="eastAsia" w:ascii="宋体" w:hAnsi="宋体"/>
          <w:bCs/>
          <w:color w:val="auto"/>
          <w:sz w:val="21"/>
          <w:szCs w:val="21"/>
          <w:highlight w:val="none"/>
        </w:rPr>
        <w:t>应提供该产品相关的工业产品生产许可证证书，不提供视为无效投标处理。</w:t>
      </w:r>
    </w:p>
    <w:p>
      <w:pPr>
        <w:snapToGrid w:val="0"/>
        <w:spacing w:line="300" w:lineRule="exact"/>
        <w:ind w:firstLine="420" w:firstLineChars="200"/>
        <w:rPr>
          <w:rFonts w:ascii="宋体" w:hAnsi="宋体"/>
          <w:b/>
          <w:bCs/>
          <w:color w:val="auto"/>
          <w:sz w:val="21"/>
          <w:szCs w:val="21"/>
          <w:highlight w:val="none"/>
        </w:rPr>
      </w:pP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rPr>
        <w:t>.</w:t>
      </w:r>
      <w:r>
        <w:rPr>
          <w:rFonts w:hint="eastAsia" w:ascii="宋体" w:hAnsi="宋体" w:cs="宋体"/>
          <w:bCs/>
          <w:color w:val="auto"/>
          <w:sz w:val="21"/>
          <w:szCs w:val="21"/>
          <w:highlight w:val="none"/>
        </w:rPr>
        <w:t>采购需求一览表中标注“▲”详细技术参数及配备要求、商务要求必须响应满足或优于，否则</w:t>
      </w:r>
      <w:r>
        <w:rPr>
          <w:rFonts w:hint="eastAsia" w:ascii="宋体" w:hAnsi="宋体" w:cs="宋体"/>
          <w:b/>
          <w:bCs/>
          <w:color w:val="auto"/>
          <w:sz w:val="21"/>
          <w:szCs w:val="21"/>
          <w:highlight w:val="none"/>
        </w:rPr>
        <w:t>投标无效</w:t>
      </w:r>
      <w:r>
        <w:rPr>
          <w:rFonts w:hint="eastAsia" w:ascii="宋体" w:hAnsi="宋体" w:cs="宋体"/>
          <w:bCs/>
          <w:color w:val="auto"/>
          <w:sz w:val="21"/>
          <w:szCs w:val="21"/>
          <w:highlight w:val="none"/>
        </w:rPr>
        <w:t>。</w:t>
      </w:r>
      <w:r>
        <w:rPr>
          <w:rFonts w:hint="eastAsia" w:ascii="宋体" w:hAnsi="宋体" w:cs="宋体"/>
          <w:bCs/>
          <w:color w:val="auto"/>
          <w:spacing w:val="-6"/>
          <w:sz w:val="21"/>
          <w:szCs w:val="21"/>
          <w:highlight w:val="none"/>
        </w:rPr>
        <w:t>重要技术参数是指采购需求中带“</w:t>
      </w:r>
      <w:r>
        <w:rPr>
          <w:rFonts w:hint="eastAsia" w:cs="宋体" w:asciiTheme="minorEastAsia" w:hAnsiTheme="minorEastAsia" w:eastAsiaTheme="minorEastAsia"/>
          <w:color w:val="auto"/>
          <w:sz w:val="21"/>
          <w:szCs w:val="21"/>
          <w:highlight w:val="none"/>
        </w:rPr>
        <w:t>★</w:t>
      </w:r>
      <w:r>
        <w:rPr>
          <w:rFonts w:hint="eastAsia" w:ascii="宋体" w:hAnsi="宋体" w:cs="宋体"/>
          <w:bCs/>
          <w:color w:val="auto"/>
          <w:spacing w:val="-6"/>
          <w:sz w:val="21"/>
          <w:szCs w:val="21"/>
          <w:highlight w:val="none"/>
        </w:rPr>
        <w:t>”的条款，重要技术参数将作为评审打分的重要依据。</w:t>
      </w:r>
    </w:p>
    <w:p>
      <w:pPr>
        <w:spacing w:line="3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.本项目的政府采购预算控制价为（人民币）：</w:t>
      </w:r>
      <w:r>
        <w:rPr>
          <w:rFonts w:hint="eastAsia" w:ascii="宋体" w:hAnsi="宋体" w:cs="宋体"/>
          <w:bCs/>
          <w:color w:val="auto"/>
          <w:sz w:val="21"/>
          <w:szCs w:val="21"/>
          <w:highlight w:val="none"/>
          <w:lang w:eastAsia="zh-CN"/>
        </w:rPr>
        <w:t>3520000.00</w:t>
      </w:r>
      <w:r>
        <w:rPr>
          <w:rFonts w:hint="eastAsia" w:ascii="宋体" w:hAnsi="宋体" w:cs="宋体"/>
          <w:bCs/>
          <w:color w:val="auto"/>
          <w:sz w:val="21"/>
          <w:szCs w:val="21"/>
          <w:highlight w:val="none"/>
        </w:rPr>
        <w:t>元,投标报价超过预算控制价的投标无效。</w:t>
      </w:r>
    </w:p>
    <w:p>
      <w:pPr>
        <w:spacing w:line="300" w:lineRule="exact"/>
        <w:ind w:firstLine="422" w:firstLineChars="200"/>
        <w:rPr>
          <w:rFonts w:ascii="宋体" w:hAnsi="宋体" w:cs="宋体"/>
          <w:bCs/>
          <w:color w:val="auto"/>
          <w:sz w:val="21"/>
          <w:szCs w:val="21"/>
          <w:highlight w:val="none"/>
        </w:rPr>
      </w:pPr>
      <w:r>
        <w:rPr>
          <w:rFonts w:hint="eastAsia" w:ascii="宋体" w:hAnsi="宋体" w:cs="宋体"/>
          <w:b/>
          <w:bCs/>
          <w:color w:val="auto"/>
          <w:kern w:val="0"/>
          <w:sz w:val="21"/>
          <w:szCs w:val="21"/>
          <w:highlight w:val="none"/>
          <w:lang w:val="en-US" w:eastAsia="zh-CN" w:bidi="ar"/>
        </w:rPr>
        <w:t>8</w:t>
      </w:r>
      <w:r>
        <w:rPr>
          <w:rFonts w:hint="eastAsia" w:ascii="宋体" w:hAnsi="宋体" w:cs="宋体"/>
          <w:b/>
          <w:bCs/>
          <w:color w:val="auto"/>
          <w:kern w:val="0"/>
          <w:sz w:val="21"/>
          <w:szCs w:val="21"/>
          <w:highlight w:val="none"/>
          <w:lang w:bidi="ar"/>
        </w:rPr>
        <w:t>.本项目核心产品：电磁炒菜机+拼台。</w:t>
      </w:r>
      <w:r>
        <w:rPr>
          <w:rFonts w:hint="eastAsia" w:ascii="宋体" w:hAnsi="宋体" w:cs="宋体"/>
          <w:bCs/>
          <w:color w:val="auto"/>
          <w:sz w:val="21"/>
          <w:szCs w:val="21"/>
          <w:highlight w:val="none"/>
        </w:rPr>
        <w:t xml:space="preserve"> </w:t>
      </w:r>
    </w:p>
    <w:p>
      <w:pPr>
        <w:spacing w:line="300" w:lineRule="exact"/>
        <w:ind w:firstLine="420" w:firstLineChars="200"/>
        <w:rPr>
          <w:rFonts w:ascii="宋体" w:hAnsi="宋体" w:cs="宋体"/>
          <w:bCs/>
          <w:color w:val="auto"/>
          <w:sz w:val="22"/>
          <w:szCs w:val="22"/>
          <w:highlight w:val="none"/>
        </w:rPr>
      </w:pPr>
      <w:r>
        <w:rPr>
          <w:rFonts w:hint="eastAsia" w:ascii="宋体" w:hAnsi="宋体" w:cs="宋体"/>
          <w:bCs/>
          <w:color w:val="auto"/>
          <w:sz w:val="21"/>
          <w:szCs w:val="21"/>
          <w:highlight w:val="none"/>
          <w:lang w:val="en-US" w:eastAsia="zh-CN"/>
        </w:rPr>
        <w:t>9</w:t>
      </w:r>
      <w:r>
        <w:rPr>
          <w:rFonts w:hint="eastAsia" w:ascii="宋体" w:hAnsi="宋体" w:cs="宋体"/>
          <w:bCs/>
          <w:color w:val="auto"/>
          <w:sz w:val="21"/>
          <w:szCs w:val="21"/>
          <w:highlight w:val="none"/>
        </w:rPr>
        <w:t>.根据《关于印发中小企业划型标准规定的通知》（工信部联企业〔2011〕300号）规定的划分标准，本项目采购所有标的对应的中小企业划分标准所属行业为：工业。</w:t>
      </w:r>
    </w:p>
    <w:bookmarkEnd w:id="68"/>
    <w:bookmarkEnd w:id="69"/>
    <w:tbl>
      <w:tblPr>
        <w:tblStyle w:val="64"/>
        <w:tblpPr w:leftFromText="180" w:rightFromText="180" w:vertAnchor="text" w:horzAnchor="page" w:tblpX="914" w:tblpY="288"/>
        <w:tblOverlap w:val="never"/>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31"/>
        <w:gridCol w:w="544"/>
        <w:gridCol w:w="544"/>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gridSpan w:val="5"/>
            <w:vAlign w:val="center"/>
          </w:tcPr>
          <w:p>
            <w:pPr>
              <w:jc w:val="center"/>
              <w:rPr>
                <w:rFonts w:cs="仿宋" w:asciiTheme="minorEastAsia" w:hAnsiTheme="minorEastAsia" w:eastAsiaTheme="minorEastAsia"/>
                <w:b/>
                <w:bCs/>
                <w:color w:val="auto"/>
                <w:szCs w:val="21"/>
              </w:rPr>
            </w:pPr>
            <w:bookmarkStart w:id="70" w:name="OLE_LINK30"/>
            <w:bookmarkStart w:id="71" w:name="OLE_LINK31"/>
            <w:r>
              <w:rPr>
                <w:rFonts w:hint="eastAsia" w:cs="仿宋" w:asciiTheme="minorEastAsia" w:hAnsiTheme="minorEastAsia" w:eastAsiaTheme="minorEastAsia"/>
                <w:b/>
                <w:bCs/>
                <w:color w:val="auto"/>
                <w:szCs w:val="21"/>
              </w:rPr>
              <w:t>技术参数要求表</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80" w:type="pct"/>
            <w:vAlign w:val="center"/>
          </w:tcPr>
          <w:p>
            <w:pPr>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序号</w:t>
            </w:r>
          </w:p>
        </w:tc>
        <w:tc>
          <w:tcPr>
            <w:tcW w:w="697" w:type="pct"/>
            <w:vAlign w:val="center"/>
          </w:tcPr>
          <w:p>
            <w:pPr>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项目名称</w:t>
            </w:r>
          </w:p>
        </w:tc>
        <w:tc>
          <w:tcPr>
            <w:tcW w:w="265" w:type="pct"/>
            <w:vAlign w:val="center"/>
          </w:tcPr>
          <w:p>
            <w:pPr>
              <w:widowControl/>
              <w:jc w:val="center"/>
              <w:textAlignment w:val="center"/>
              <w:rPr>
                <w:rFonts w:cs="仿宋" w:asciiTheme="minorEastAsia" w:hAnsiTheme="minorEastAsia" w:eastAsiaTheme="minorEastAsia"/>
                <w:color w:val="auto"/>
                <w:szCs w:val="21"/>
              </w:rPr>
            </w:pPr>
            <w:r>
              <w:rPr>
                <w:rFonts w:hint="eastAsia" w:ascii="宋体" w:hAnsi="宋体" w:cs="宋体"/>
                <w:color w:val="auto"/>
                <w:kern w:val="0"/>
                <w:sz w:val="20"/>
                <w:szCs w:val="20"/>
              </w:rPr>
              <w:t>单位</w:t>
            </w:r>
          </w:p>
        </w:tc>
        <w:tc>
          <w:tcPr>
            <w:tcW w:w="265" w:type="pct"/>
            <w:vAlign w:val="center"/>
          </w:tcPr>
          <w:p>
            <w:pPr>
              <w:widowControl/>
              <w:jc w:val="center"/>
              <w:textAlignment w:val="center"/>
              <w:rPr>
                <w:rFonts w:cs="仿宋" w:asciiTheme="minorEastAsia" w:hAnsiTheme="minorEastAsia" w:eastAsiaTheme="minorEastAsia"/>
                <w:color w:val="auto"/>
                <w:szCs w:val="21"/>
              </w:rPr>
            </w:pPr>
            <w:r>
              <w:rPr>
                <w:rFonts w:hint="eastAsia" w:ascii="宋体" w:hAnsi="宋体" w:cs="宋体"/>
                <w:color w:val="auto"/>
                <w:kern w:val="0"/>
                <w:sz w:val="20"/>
                <w:szCs w:val="20"/>
              </w:rPr>
              <w:t>数量</w:t>
            </w:r>
          </w:p>
        </w:tc>
        <w:tc>
          <w:tcPr>
            <w:tcW w:w="3492" w:type="pct"/>
            <w:vAlign w:val="center"/>
          </w:tcPr>
          <w:p>
            <w:pPr>
              <w:widowControl/>
              <w:jc w:val="center"/>
              <w:textAlignment w:val="center"/>
              <w:rPr>
                <w:rFonts w:cs="仿宋" w:asciiTheme="minorEastAsia" w:hAnsiTheme="minorEastAsia" w:eastAsiaTheme="minorEastAsia"/>
                <w:color w:val="auto"/>
                <w:szCs w:val="21"/>
              </w:rPr>
            </w:pPr>
            <w:r>
              <w:rPr>
                <w:rFonts w:hint="eastAsia" w:ascii="宋体" w:hAnsi="宋体" w:cs="宋体"/>
                <w:color w:val="auto"/>
                <w:kern w:val="0"/>
                <w:sz w:val="20"/>
                <w:szCs w:val="20"/>
              </w:rPr>
              <w:t>详细技术参数及配备要求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00" w:type="pct"/>
            <w:gridSpan w:val="5"/>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一、小学伙房设备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电磁炒菜机+拼台</w:t>
            </w:r>
          </w:p>
        </w:tc>
        <w:tc>
          <w:tcPr>
            <w:tcW w:w="265" w:type="pct"/>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套</w:t>
            </w:r>
          </w:p>
        </w:tc>
        <w:tc>
          <w:tcPr>
            <w:tcW w:w="265" w:type="pct"/>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54</w:t>
            </w:r>
          </w:p>
        </w:tc>
        <w:tc>
          <w:tcPr>
            <w:tcW w:w="3492" w:type="pct"/>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电压功率</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380伏30千瓦</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外形尺寸</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1200*1300*800（单位：mm），挡板400mm，锅直径：100cm</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1、外壳采用201#1.5mm厚不锈钢制作，侧板1.2mm厚，防护等级IP68；</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2.采用IGBT模块，系统有多个菜单可以切换，双屏双控，还可分段式控制时间温度及火力； </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3.全能防水、防油烟散热风扇，50000小时寿命保证；</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4.320~420VAC宽电压设计，智能恒功率技术；</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5.工业级CPU，能智能识别及锁定锅具材质、高度，相位等参数的变化进行自适应调节，防止IGBT模块的过流、过压损坏；具有EMI滤波单元，能主动吸收电网的雷击浪涌产生的异常电压，防止核心器件高压击穿；</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6.输入输出电流保护；纳秒相位跟踪、输出短路响应机制；数字锁相环引擎；动态谐振点跟踪；IGBT温度检测与极限电流保护。</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7.开机自检功能双重卸载性能保护设置，电路板采用全贴片工艺自动化生产多级防护三重立体防辐射外壳屏蔽。</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8.功能动态显示屏带工作电压、档位指示、档位功率、电量统计显示、风机动态工作显示、中文故障显示</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线盘异常、线盘超温、请放锅具、锅具超温、机芯超温、开关异常、电压异常</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，方便判断故障、维修处理。</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八档火力磁感应技术控制，无机械摩擦；左右侧板采用“双颌咬合”结构，有效防止产品在两侧冲水时，水进入机壳内部；后背板与炉面板采用“椅式”结构，防止厨师使用时冲水通过后封板进入机壳或损坏散热。</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10.风机：前面板采用“卡楔“结构，防前面冲淋，美观易安装；</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★电磁炉显示屏需提供具有</w:t>
            </w:r>
            <w:r>
              <w:rPr>
                <w:rFonts w:hint="eastAsia" w:ascii="宋体" w:hAnsi="宋体" w:cs="宋体"/>
                <w:color w:val="auto"/>
                <w:kern w:val="0"/>
                <w:sz w:val="20"/>
                <w:szCs w:val="20"/>
                <w:highlight w:val="none"/>
                <w:lang w:eastAsia="zh-CN"/>
              </w:rPr>
              <w:t>CMA或CNAS</w:t>
            </w:r>
            <w:r>
              <w:rPr>
                <w:rFonts w:hint="eastAsia" w:ascii="宋体" w:hAnsi="宋体" w:cs="宋体"/>
                <w:color w:val="auto"/>
                <w:kern w:val="0"/>
                <w:sz w:val="20"/>
                <w:szCs w:val="20"/>
                <w:highlight w:val="none"/>
              </w:rPr>
              <w:t>标识的不低于IPX7防水等级检测报告复印件并加盖投标人公章；</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★电磁炉风机需提供具有</w:t>
            </w:r>
            <w:r>
              <w:rPr>
                <w:rFonts w:hint="eastAsia" w:ascii="宋体" w:hAnsi="宋体" w:cs="宋体"/>
                <w:color w:val="auto"/>
                <w:kern w:val="0"/>
                <w:sz w:val="20"/>
                <w:szCs w:val="20"/>
                <w:highlight w:val="none"/>
                <w:lang w:eastAsia="zh-CN"/>
              </w:rPr>
              <w:t>CMA或CNAS</w:t>
            </w:r>
            <w:r>
              <w:rPr>
                <w:rFonts w:hint="eastAsia" w:ascii="宋体" w:hAnsi="宋体" w:cs="宋体"/>
                <w:color w:val="auto"/>
                <w:kern w:val="0"/>
                <w:sz w:val="20"/>
                <w:szCs w:val="20"/>
                <w:highlight w:val="none"/>
              </w:rPr>
              <w:t>标识的不低于IP68防护等级检测报告复印件并加盖投标人公章；</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★电磁炉需提供带</w:t>
            </w:r>
            <w:r>
              <w:rPr>
                <w:rFonts w:hint="eastAsia" w:ascii="宋体" w:hAnsi="宋体" w:cs="宋体"/>
                <w:color w:val="auto"/>
                <w:kern w:val="0"/>
                <w:sz w:val="20"/>
                <w:szCs w:val="20"/>
                <w:highlight w:val="none"/>
                <w:lang w:eastAsia="zh-CN"/>
              </w:rPr>
              <w:t>CMA或CNAS</w:t>
            </w:r>
            <w:r>
              <w:rPr>
                <w:rFonts w:hint="eastAsia" w:ascii="宋体" w:hAnsi="宋体" w:cs="宋体"/>
                <w:color w:val="auto"/>
                <w:kern w:val="0"/>
                <w:sz w:val="20"/>
                <w:szCs w:val="20"/>
                <w:highlight w:val="none"/>
              </w:rPr>
              <w:t>标识的能效等级报告加盖投标人公章；</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★电磁炉PCB板需提供带</w:t>
            </w:r>
            <w:r>
              <w:rPr>
                <w:rFonts w:hint="eastAsia" w:ascii="宋体" w:hAnsi="宋体" w:cs="宋体"/>
                <w:color w:val="auto"/>
                <w:kern w:val="0"/>
                <w:sz w:val="20"/>
                <w:szCs w:val="20"/>
                <w:highlight w:val="none"/>
                <w:lang w:eastAsia="zh-CN"/>
              </w:rPr>
              <w:t>CMA或CNAS</w:t>
            </w:r>
            <w:r>
              <w:rPr>
                <w:rFonts w:hint="eastAsia" w:ascii="宋体" w:hAnsi="宋体" w:cs="宋体"/>
                <w:color w:val="auto"/>
                <w:kern w:val="0"/>
                <w:sz w:val="20"/>
                <w:szCs w:val="20"/>
                <w:highlight w:val="none"/>
              </w:rPr>
              <w:t>标识的灼热丝高温试验≥850℃的检测报告加盖投标人公章。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280"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2</w:t>
            </w:r>
          </w:p>
        </w:tc>
        <w:tc>
          <w:tcPr>
            <w:tcW w:w="697" w:type="pct"/>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电磁炒菜机+拼台</w:t>
            </w:r>
          </w:p>
        </w:tc>
        <w:tc>
          <w:tcPr>
            <w:tcW w:w="265" w:type="pct"/>
            <w:shd w:val="clear" w:color="auto" w:fill="auto"/>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套</w:t>
            </w:r>
          </w:p>
        </w:tc>
        <w:tc>
          <w:tcPr>
            <w:tcW w:w="265" w:type="pct"/>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61</w:t>
            </w:r>
          </w:p>
        </w:tc>
        <w:tc>
          <w:tcPr>
            <w:tcW w:w="3492" w:type="pct"/>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电压功率</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380伏20千瓦</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rPr>
              <w:t>外形尺寸</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1000*1100</w:t>
            </w:r>
            <w:r>
              <w:rPr>
                <w:rFonts w:hint="eastAsia" w:ascii="宋体" w:hAnsi="宋体" w:cs="宋体"/>
                <w:color w:val="auto"/>
                <w:kern w:val="0"/>
                <w:sz w:val="20"/>
                <w:szCs w:val="20"/>
                <w:highlight w:val="none"/>
              </w:rPr>
              <w:t>*800（单位：mm），挡板400mm，锅直径：80cm</w:t>
            </w:r>
          </w:p>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外壳采用201#1.5厚不锈钢制作，侧板1.2mm厚，防护等级IP68</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highlight w:val="none"/>
              </w:rPr>
              <w:t>2.采用IGBT 模块，持</w:t>
            </w:r>
            <w:r>
              <w:rPr>
                <w:rFonts w:hint="eastAsia" w:ascii="宋体" w:hAnsi="宋体" w:cs="宋体"/>
                <w:color w:val="auto"/>
                <w:kern w:val="0"/>
                <w:sz w:val="20"/>
                <w:szCs w:val="20"/>
              </w:rPr>
              <w:t xml:space="preserve">久且耐用； </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3.全能防水、防油烟散热风扇，50000小时寿命保证；</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4.320~420VAC宽电压设计，智能恒功率技术；</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5.工业级CPU，能智能识别及锁定锅具材质、高度，相位等参数的变化进行自适应调节，防止IGBT模块的过流、过压损坏；具有EMI滤波单元，能主动吸收电网的雷击浪涌产生的异常电压，防止核心器件高压击穿；</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6.输入输出电流保护；纳秒相位跟踪、输出短路响应机制；数字锁相环引擎；动态谐振点跟踪；IGBT温度检测与极限电流保护。</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7.开机自检功能双重卸载性能保护设置，电路板采用全贴片工艺自动化生产多级防护三重立体防辐射外壳屏蔽。</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8.功能动态显示屏带工作电压、档位指示、档位功率、电量统计显示、风机动态工作显示、中文故障显示</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线盘异常、线盘超温、请放锅具、锅具超温、机芯超温、开关异常、电压异常</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，方便判断故障、维修处理。</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9.八档火力磁感应技术控制，无机械摩擦；左右侧板采用“双颌咬合”结构，有效防止产品在两侧冲水时，水进入机壳内部；后背板与炉面板采用“椅式”结构，防止厨师使用时冲水通过后封板进入机壳或损坏散热。</w:t>
            </w:r>
          </w:p>
          <w:p>
            <w:pPr>
              <w:widowControl/>
              <w:jc w:val="left"/>
              <w:textAlignment w:val="center"/>
              <w:rPr>
                <w:rFonts w:ascii="宋体" w:hAnsi="宋体" w:cs="宋体"/>
                <w:color w:val="auto"/>
                <w:kern w:val="0"/>
                <w:sz w:val="20"/>
                <w:szCs w:val="20"/>
                <w:highlight w:val="yellow"/>
              </w:rPr>
            </w:pPr>
            <w:r>
              <w:rPr>
                <w:rFonts w:hint="eastAsia" w:ascii="宋体" w:hAnsi="宋体" w:cs="宋体"/>
                <w:color w:val="auto"/>
                <w:kern w:val="0"/>
                <w:sz w:val="20"/>
                <w:szCs w:val="20"/>
              </w:rPr>
              <w:t>10.风机；前面板采用“卡楔“结构，防前面冲淋，美观易安装</w:t>
            </w:r>
            <w:r>
              <w:rPr>
                <w:rFonts w:hint="eastAsia" w:ascii="宋体" w:hAnsi="宋体" w:cs="宋体"/>
                <w:color w:val="auto"/>
                <w:kern w:val="0"/>
                <w:sz w:val="20"/>
                <w:szCs w:val="20"/>
                <w:highlight w:val="none"/>
              </w:rPr>
              <w:t>；</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★电磁炉显示屏需提供具有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标识的不低于IPX7防水等级检测报告复印件并加盖投标人公章；</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★电磁炉风机需提供具有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标识的不低于IP68防护等级检测报告复印件并加盖投标人公章；</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★电磁炉需提供带</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标识的能效等级报告加盖投标人公章；</w:t>
            </w:r>
          </w:p>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★电磁炉PCB板需提供带</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标识的灼热丝高温试验≥850℃的检测报告加盖投标人公章。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24盘蒸饭柜</w:t>
            </w:r>
          </w:p>
        </w:tc>
        <w:tc>
          <w:tcPr>
            <w:tcW w:w="265" w:type="pct"/>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台</w:t>
            </w:r>
          </w:p>
        </w:tc>
        <w:tc>
          <w:tcPr>
            <w:tcW w:w="265" w:type="pct"/>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1.规格：1400*615*1535（单位：mm）</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2.功率：12*2kw</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3. 整机结构强度高，內箱钣金为高铜、201 优质不锈钢组成，整体拉伸成型，美观易清洁，强度倍增；</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 xml:space="preserve">4.整体高密度环戊烷发泡，环保、节能、 </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5.多气囊耐高温硅胶门封，密封效果显著；溢水阀采用一次成型工艺，外观漂</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亮、经久耐用，保证了设备正常运行的水位高度；</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★所投产品依据GB4806.9-2023标准检验，符合标准并提供食品可接触安全认证证书复印件及具有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★产品符合GB21551.2-2010检测标准，提供具有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★产品依据GB/T16172-2007/GB8624-2012检测，满足检测标准并获得认证，提供具有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4</w:t>
            </w:r>
          </w:p>
        </w:tc>
        <w:tc>
          <w:tcPr>
            <w:tcW w:w="697" w:type="pct"/>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12盘蒸饭柜</w:t>
            </w:r>
          </w:p>
        </w:tc>
        <w:tc>
          <w:tcPr>
            <w:tcW w:w="265" w:type="pct"/>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76</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1.规格：710*615*1535（单位：mm）</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2.功率：12kw</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3. 整机结构强度高，內箱钣金为高铜、201 优质不锈钢组成，整体拉伸成型，美观易清洁，强度倍增；</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4.整体高密度环戊烷发泡，环保、节能；</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5.多气囊耐高温硅胶门封，密封效果显著；溢水阀采用一次成型工艺，外观漂</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亮、经久耐用，保证了设备正常运行的水位高度；</w:t>
            </w:r>
          </w:p>
          <w:p>
            <w:pPr>
              <w:widowControl/>
              <w:textAlignment w:val="center"/>
              <w:rPr>
                <w:color w:val="auto"/>
              </w:rPr>
            </w:pPr>
            <w:r>
              <w:rPr>
                <w:rFonts w:hint="eastAsia" w:ascii="宋体" w:hAnsi="宋体" w:cs="宋体"/>
                <w:color w:val="auto"/>
                <w:kern w:val="0"/>
                <w:sz w:val="20"/>
                <w:szCs w:val="20"/>
              </w:rPr>
              <w:t>★所投产品依据GB4806.9-2023标准检验，符合标准并提供食品可接触安全认证证书复印件及具有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★产品符合GB21551.2-2010检测标准，提供具有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★产品依据GB/T16172-2007/GB8624-2012检测，满足检测标准并获得认证，提供具有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三槽洗菜池（含架）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112</w:t>
            </w:r>
          </w:p>
        </w:tc>
        <w:tc>
          <w:tcPr>
            <w:tcW w:w="3492" w:type="pct"/>
            <w:vAlign w:val="center"/>
          </w:tcPr>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尺寸</w:t>
            </w:r>
            <w:r>
              <w:rPr>
                <w:rFonts w:hint="eastAsia" w:ascii="宋体" w:hAnsi="宋体" w:cs="宋体"/>
                <w:color w:val="auto"/>
                <w:kern w:val="0"/>
                <w:sz w:val="20"/>
                <w:szCs w:val="20"/>
                <w:lang w:val="en-US" w:eastAsia="zh-CN"/>
              </w:rPr>
              <w:t>为</w:t>
            </w:r>
            <w:r>
              <w:rPr>
                <w:rFonts w:hint="eastAsia" w:ascii="宋体" w:hAnsi="宋体" w:cs="宋体"/>
                <w:color w:val="auto"/>
                <w:kern w:val="0"/>
                <w:sz w:val="20"/>
                <w:szCs w:val="20"/>
              </w:rPr>
              <w:t>180cm*60cm*80cm，采用304不锈钢0.7mm厚度</w:t>
            </w:r>
            <w:r>
              <w:rPr>
                <w:rFonts w:hint="eastAsia" w:ascii="宋体"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45升电钣锅</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108</w:t>
            </w:r>
          </w:p>
        </w:tc>
        <w:tc>
          <w:tcPr>
            <w:tcW w:w="3492" w:type="pct"/>
            <w:vAlign w:val="center"/>
          </w:tcPr>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容量45L</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电压220v</w:t>
            </w:r>
            <w:r>
              <w:rPr>
                <w:rFonts w:hint="eastAsia" w:ascii="宋体"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大吸力抽油烟机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外壳0.65</w:t>
            </w:r>
            <w:r>
              <w:rPr>
                <w:rFonts w:hint="eastAsia"/>
                <w:color w:val="auto"/>
              </w:rPr>
              <w:t>mm不锈钢板材，外形尺寸120cm*110cm，，风机流量1000~2000m³/h，电压220v，功率250瓦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二星级800升消毒柜</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1.功率：1.8kw；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2.外形尺寸：1150*510*1890mm（公差+/-5mm）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xml:space="preserve">3.容积：≥800L；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★4.消毒温度：40-120℃可调，消毒星级：2星级；要求能对幽门螺杆菌ATCC43504/白色葡萄球菌8032/金黄色葡萄球菌ATCC6538等菌种杀灭。率&gt;99.999%，提供正式检测报告加盖投标人公章。</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5.材质：整体聚氨酯发泡，全无磁不锈钢板材，整体一体成型门；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5.消毒时间：时间可根据使用需求调整；</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xml:space="preserve">★6.消毒方式：高温热风循环，隐藏式发热管耐燃性符合JB/T4088要求，发热管材质符合GB4806.7要求，提供检测报告加盖投标人公章；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7.层架材质：全无磁不锈钢材料，五层，要求符合GB/T2423.3-2016恒定湿热要求；载重：≥25KG/层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四层置物架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206</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100cm*50cm*155cm，承重50公斤，整体201不锈钢;厚度 0.6mm厚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四门冰箱</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95</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容量：900L；尺寸</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mm</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：1190*690*1950；双压缩机、电温双控、自动回弹门、201不锈钢内胆；冷藏温度范围：2℃一10C；冷冻温度范围：-5℃ ~ -18℃；功率455瓦；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留样冰箱</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容积：45L；电压：220v；功率：85w；温</w:t>
            </w:r>
            <w:r>
              <w:rPr>
                <w:rFonts w:hint="eastAsia" w:ascii="宋体" w:hAnsi="宋体" w:cs="宋体"/>
                <w:color w:val="auto"/>
                <w:kern w:val="0"/>
                <w:sz w:val="20"/>
                <w:szCs w:val="20"/>
                <w:highlight w:val="none"/>
              </w:rPr>
              <w:t>度范围：0-10℃；自动蒸发冷凝水，层架数量为1层；外形尺寸：405mm*440mm*</w:t>
            </w:r>
            <w:r>
              <w:rPr>
                <w:rFonts w:hint="eastAsia" w:ascii="宋体" w:hAnsi="宋体" w:cs="宋体"/>
                <w:color w:val="auto"/>
                <w:kern w:val="0"/>
                <w:sz w:val="20"/>
                <w:szCs w:val="20"/>
              </w:rPr>
              <w:t>552mm；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697"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工业落地扇</w:t>
            </w:r>
          </w:p>
        </w:tc>
        <w:tc>
          <w:tcPr>
            <w:tcW w:w="265"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115</w:t>
            </w:r>
          </w:p>
        </w:tc>
        <w:tc>
          <w:tcPr>
            <w:tcW w:w="3492" w:type="pct"/>
            <w:vAlign w:val="center"/>
          </w:tcPr>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功率：250W</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直径：650mm</w:t>
            </w:r>
            <w:r>
              <w:rPr>
                <w:rFonts w:hint="eastAsia" w:ascii="宋体"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5"/>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二、中学伙房设备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13</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燃气锅+拼台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492" w:type="pct"/>
            <w:vAlign w:val="center"/>
          </w:tcPr>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灶具尺寸：1200*1350*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800+450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mm</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拼台尺寸：350*1350*（800+450）mm</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风机功率</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220V 0.55KW 大锅直径1000mm</w:t>
            </w:r>
            <w:r>
              <w:rPr>
                <w:rFonts w:hint="eastAsia" w:ascii="宋体" w:hAnsi="宋体" w:cs="宋体"/>
                <w:color w:val="auto"/>
                <w:kern w:val="0"/>
                <w:sz w:val="20"/>
                <w:szCs w:val="20"/>
                <w:lang w:eastAsia="zh-CN"/>
              </w:rPr>
              <w:t>；</w:t>
            </w:r>
          </w:p>
          <w:p>
            <w:pPr>
              <w:widowControl/>
              <w:textAlignment w:val="center"/>
              <w:rPr>
                <w:rFonts w:ascii="宋体" w:hAnsi="宋体" w:cs="宋体"/>
                <w:color w:val="auto"/>
                <w:kern w:val="0"/>
                <w:sz w:val="20"/>
                <w:szCs w:val="20"/>
                <w:highlight w:val="none"/>
              </w:rPr>
            </w:pPr>
            <w:r>
              <w:rPr>
                <w:rFonts w:hint="eastAsia" w:ascii="宋体" w:hAnsi="宋体" w:cs="宋体"/>
                <w:color w:val="auto"/>
                <w:kern w:val="0"/>
                <w:sz w:val="20"/>
                <w:szCs w:val="20"/>
              </w:rPr>
              <w:t>1.采用优质SLS201-2B不锈钢</w:t>
            </w:r>
            <w:r>
              <w:rPr>
                <w:rFonts w:hint="eastAsia" w:ascii="宋体" w:hAnsi="宋体" w:cs="宋体"/>
                <w:color w:val="auto"/>
                <w:kern w:val="0"/>
                <w:sz w:val="20"/>
                <w:szCs w:val="20"/>
                <w:highlight w:val="none"/>
              </w:rPr>
              <w:t>版制造，而板、前脸板厚1.5mm，台面一次压制成型外旁板、后立板板厚1.2mm，龙骨架不锈钢管38*38厚2.5mm，衬板电解镀锌钢板厚1.2mm，灶身双层热轧钢板，隔热层厚40，炉腔50厚耐高温材料及50厚耐高温泥，内配稀土贵金属聚能网</w:t>
            </w:r>
          </w:p>
          <w:p>
            <w:pPr>
              <w:widowControl/>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2.配全预混式节能炉头</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highlight w:val="none"/>
              </w:rPr>
              <w:t>3.智能自动点火装置，环保静音炉头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14</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36盘蒸饭柜</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3492" w:type="pct"/>
            <w:vAlign w:val="center"/>
          </w:tcPr>
          <w:p>
            <w:pPr>
              <w:widowControl/>
              <w:spacing w:line="300" w:lineRule="exact"/>
              <w:textAlignment w:val="center"/>
              <w:rPr>
                <w:rFonts w:ascii="宋体" w:hAnsi="宋体" w:cs="宋体"/>
                <w:color w:val="auto"/>
                <w:kern w:val="0"/>
                <w:sz w:val="20"/>
                <w:szCs w:val="20"/>
              </w:rPr>
            </w:pPr>
            <w:r>
              <w:rPr>
                <w:rFonts w:ascii="宋体" w:hAnsi="宋体" w:cs="宋体"/>
                <w:color w:val="auto"/>
                <w:kern w:val="0"/>
                <w:sz w:val="20"/>
                <w:szCs w:val="20"/>
              </w:rPr>
              <w:t>1.规格：1610*800*1525（单位mm）</w:t>
            </w:r>
            <w:r>
              <w:rPr>
                <w:rFonts w:hint="eastAsia" w:ascii="宋体" w:hAnsi="宋体" w:cs="宋体"/>
                <w:color w:val="auto"/>
                <w:kern w:val="0"/>
                <w:sz w:val="20"/>
                <w:szCs w:val="20"/>
              </w:rPr>
              <w:t>；</w:t>
            </w:r>
          </w:p>
          <w:p>
            <w:pPr>
              <w:widowControl/>
              <w:spacing w:line="300" w:lineRule="exact"/>
              <w:textAlignment w:val="center"/>
              <w:rPr>
                <w:rFonts w:ascii="宋体" w:hAnsi="宋体" w:cs="宋体"/>
                <w:color w:val="auto"/>
                <w:kern w:val="0"/>
                <w:sz w:val="20"/>
                <w:szCs w:val="20"/>
              </w:rPr>
            </w:pPr>
            <w:r>
              <w:rPr>
                <w:rFonts w:ascii="宋体" w:hAnsi="宋体" w:cs="宋体"/>
                <w:color w:val="auto"/>
                <w:kern w:val="0"/>
                <w:sz w:val="20"/>
                <w:szCs w:val="20"/>
              </w:rPr>
              <w:t>2.功率：12*3kw</w:t>
            </w:r>
            <w:r>
              <w:rPr>
                <w:rFonts w:hint="eastAsia" w:ascii="宋体" w:hAnsi="宋体" w:cs="宋体"/>
                <w:color w:val="auto"/>
                <w:kern w:val="0"/>
                <w:sz w:val="20"/>
                <w:szCs w:val="20"/>
              </w:rPr>
              <w:t>；</w:t>
            </w:r>
          </w:p>
          <w:p>
            <w:pPr>
              <w:widowControl/>
              <w:spacing w:line="300" w:lineRule="exact"/>
              <w:textAlignment w:val="center"/>
              <w:rPr>
                <w:rFonts w:ascii="宋体" w:hAnsi="宋体" w:cs="宋体"/>
                <w:color w:val="auto"/>
                <w:kern w:val="0"/>
                <w:sz w:val="20"/>
                <w:szCs w:val="20"/>
              </w:rPr>
            </w:pPr>
            <w:r>
              <w:rPr>
                <w:rFonts w:ascii="宋体" w:hAnsi="宋体" w:cs="宋体"/>
                <w:color w:val="auto"/>
                <w:kern w:val="0"/>
                <w:sz w:val="20"/>
                <w:szCs w:val="20"/>
              </w:rPr>
              <w:t xml:space="preserve">3. </w:t>
            </w:r>
            <w:r>
              <w:rPr>
                <w:rFonts w:hint="eastAsia" w:ascii="宋体" w:hAnsi="宋体" w:cs="宋体"/>
                <w:color w:val="auto"/>
                <w:kern w:val="0"/>
                <w:sz w:val="20"/>
                <w:szCs w:val="20"/>
              </w:rPr>
              <w:t>整机结构强度高，內箱钣金为高铜、</w:t>
            </w:r>
            <w:r>
              <w:rPr>
                <w:rFonts w:ascii="宋体" w:hAnsi="宋体" w:cs="宋体"/>
                <w:color w:val="auto"/>
                <w:kern w:val="0"/>
                <w:sz w:val="20"/>
                <w:szCs w:val="20"/>
              </w:rPr>
              <w:t xml:space="preserve">201 </w:t>
            </w:r>
            <w:r>
              <w:rPr>
                <w:rFonts w:hint="eastAsia" w:ascii="宋体" w:hAnsi="宋体" w:cs="宋体"/>
                <w:color w:val="auto"/>
                <w:kern w:val="0"/>
                <w:sz w:val="20"/>
                <w:szCs w:val="20"/>
              </w:rPr>
              <w:t>优质不锈钢组成，整体拉伸成型，美观易清洁，强度倍增；</w:t>
            </w:r>
          </w:p>
          <w:p>
            <w:pPr>
              <w:widowControl/>
              <w:spacing w:line="300" w:lineRule="exact"/>
              <w:textAlignment w:val="center"/>
              <w:rPr>
                <w:rFonts w:ascii="宋体" w:hAnsi="宋体" w:cs="宋体"/>
                <w:color w:val="auto"/>
                <w:kern w:val="0"/>
                <w:sz w:val="20"/>
                <w:szCs w:val="20"/>
              </w:rPr>
            </w:pPr>
            <w:r>
              <w:rPr>
                <w:rFonts w:ascii="宋体" w:hAnsi="宋体" w:cs="宋体"/>
                <w:color w:val="auto"/>
                <w:kern w:val="0"/>
                <w:sz w:val="20"/>
                <w:szCs w:val="20"/>
              </w:rPr>
              <w:t>4.整体高密度环戊烷发泡</w:t>
            </w:r>
            <w:r>
              <w:rPr>
                <w:rFonts w:hint="eastAsia" w:ascii="宋体" w:hAnsi="宋体" w:cs="宋体"/>
                <w:color w:val="auto"/>
                <w:kern w:val="0"/>
                <w:sz w:val="20"/>
                <w:szCs w:val="20"/>
              </w:rPr>
              <w:t>，环保、节能；</w:t>
            </w:r>
          </w:p>
          <w:p>
            <w:pPr>
              <w:widowControl/>
              <w:spacing w:line="300" w:lineRule="exact"/>
              <w:textAlignment w:val="center"/>
              <w:rPr>
                <w:rFonts w:ascii="宋体" w:hAnsi="宋体" w:cs="宋体"/>
                <w:color w:val="auto"/>
                <w:kern w:val="0"/>
                <w:sz w:val="20"/>
                <w:szCs w:val="20"/>
              </w:rPr>
            </w:pPr>
            <w:r>
              <w:rPr>
                <w:rFonts w:ascii="宋体" w:hAnsi="宋体" w:cs="宋体"/>
                <w:color w:val="auto"/>
                <w:kern w:val="0"/>
                <w:sz w:val="20"/>
                <w:szCs w:val="20"/>
              </w:rPr>
              <w:t>5.多气囊耐高温硅胶门封</w:t>
            </w:r>
            <w:r>
              <w:rPr>
                <w:rFonts w:hint="eastAsia" w:ascii="宋体" w:hAnsi="宋体" w:cs="宋体"/>
                <w:color w:val="auto"/>
                <w:kern w:val="0"/>
                <w:sz w:val="20"/>
                <w:szCs w:val="20"/>
              </w:rPr>
              <w:t>，密封效果显著；溢水阀采用一次成型工艺，外观漂</w:t>
            </w:r>
          </w:p>
          <w:p>
            <w:pPr>
              <w:widowControl/>
              <w:spacing w:line="300" w:lineRule="exact"/>
              <w:textAlignment w:val="center"/>
              <w:rPr>
                <w:rFonts w:ascii="宋体" w:hAnsi="宋体" w:cs="宋体"/>
                <w:color w:val="auto"/>
                <w:kern w:val="0"/>
                <w:sz w:val="20"/>
                <w:szCs w:val="20"/>
              </w:rPr>
            </w:pPr>
            <w:r>
              <w:rPr>
                <w:rFonts w:hint="eastAsia" w:ascii="宋体" w:hAnsi="宋体" w:cs="宋体"/>
                <w:color w:val="auto"/>
                <w:kern w:val="0"/>
                <w:sz w:val="20"/>
                <w:szCs w:val="20"/>
              </w:rPr>
              <w:t>亮、经久耐用，保证了设备正常运行的水位高度；</w:t>
            </w:r>
          </w:p>
          <w:p>
            <w:pPr>
              <w:pStyle w:val="2"/>
              <w:spacing w:line="300" w:lineRule="exact"/>
              <w:ind w:left="431" w:hanging="431"/>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w:t>
            </w:r>
            <w:r>
              <w:rPr>
                <w:rFonts w:ascii="宋体" w:hAnsi="宋体" w:eastAsia="宋体" w:cs="宋体"/>
                <w:b w:val="0"/>
                <w:bCs w:val="0"/>
                <w:color w:val="auto"/>
                <w:kern w:val="0"/>
                <w:sz w:val="20"/>
                <w:szCs w:val="20"/>
              </w:rPr>
              <w:t>所投产品依据GB4806.9-2023标准检验，符合标准并提供食品可接触安全认</w:t>
            </w:r>
          </w:p>
          <w:p>
            <w:pPr>
              <w:pStyle w:val="2"/>
              <w:spacing w:line="300" w:lineRule="exact"/>
              <w:ind w:left="431" w:hanging="431"/>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证证书复印件及具有</w:t>
            </w:r>
            <w:r>
              <w:rPr>
                <w:rFonts w:hint="eastAsia" w:ascii="宋体" w:hAnsi="宋体" w:eastAsia="宋体" w:cs="宋体"/>
                <w:b w:val="0"/>
                <w:bCs w:val="0"/>
                <w:color w:val="auto"/>
                <w:kern w:val="0"/>
                <w:sz w:val="20"/>
                <w:szCs w:val="20"/>
                <w:lang w:eastAsia="zh-CN"/>
              </w:rPr>
              <w:t>CMA或CNAS</w:t>
            </w:r>
            <w:r>
              <w:rPr>
                <w:rFonts w:ascii="宋体" w:hAnsi="宋体" w:eastAsia="宋体" w:cs="宋体"/>
                <w:b w:val="0"/>
                <w:bCs w:val="0"/>
                <w:color w:val="auto"/>
                <w:kern w:val="0"/>
                <w:sz w:val="20"/>
                <w:szCs w:val="20"/>
              </w:rPr>
              <w:t>标识的检测报告复印件并加盖投标人公章。</w:t>
            </w:r>
          </w:p>
          <w:p>
            <w:pPr>
              <w:pStyle w:val="2"/>
              <w:spacing w:line="300" w:lineRule="exact"/>
              <w:ind w:left="431" w:hanging="431"/>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w:t>
            </w:r>
            <w:r>
              <w:rPr>
                <w:rFonts w:ascii="宋体" w:hAnsi="宋体" w:eastAsia="宋体" w:cs="宋体"/>
                <w:b w:val="0"/>
                <w:bCs w:val="0"/>
                <w:color w:val="auto"/>
                <w:kern w:val="0"/>
                <w:sz w:val="20"/>
                <w:szCs w:val="20"/>
              </w:rPr>
              <w:t>产品符合GB21551.2-2010检测标准，提供具有</w:t>
            </w:r>
            <w:r>
              <w:rPr>
                <w:rFonts w:hint="eastAsia" w:ascii="宋体" w:hAnsi="宋体" w:eastAsia="宋体" w:cs="宋体"/>
                <w:b w:val="0"/>
                <w:bCs w:val="0"/>
                <w:color w:val="auto"/>
                <w:kern w:val="0"/>
                <w:sz w:val="20"/>
                <w:szCs w:val="20"/>
                <w:lang w:eastAsia="zh-CN"/>
              </w:rPr>
              <w:t>CMA或CNAS</w:t>
            </w:r>
            <w:r>
              <w:rPr>
                <w:rFonts w:ascii="宋体" w:hAnsi="宋体" w:eastAsia="宋体" w:cs="宋体"/>
                <w:b w:val="0"/>
                <w:bCs w:val="0"/>
                <w:color w:val="auto"/>
                <w:kern w:val="0"/>
                <w:sz w:val="20"/>
                <w:szCs w:val="20"/>
              </w:rPr>
              <w:t>标识的检测报告</w:t>
            </w:r>
          </w:p>
          <w:p>
            <w:pPr>
              <w:pStyle w:val="2"/>
              <w:spacing w:line="300" w:lineRule="exact"/>
              <w:ind w:left="431" w:hanging="431"/>
              <w:rPr>
                <w:rFonts w:ascii="宋体" w:hAnsi="宋体" w:eastAsia="宋体" w:cs="宋体"/>
                <w:b w:val="0"/>
                <w:bCs w:val="0"/>
                <w:color w:val="auto"/>
                <w:kern w:val="0"/>
                <w:sz w:val="20"/>
                <w:szCs w:val="20"/>
              </w:rPr>
            </w:pPr>
            <w:r>
              <w:rPr>
                <w:rFonts w:ascii="宋体" w:hAnsi="宋体" w:eastAsia="宋体" w:cs="宋体"/>
                <w:b w:val="0"/>
                <w:bCs w:val="0"/>
                <w:color w:val="auto"/>
                <w:kern w:val="0"/>
                <w:sz w:val="20"/>
                <w:szCs w:val="20"/>
              </w:rPr>
              <w:t>复</w:t>
            </w:r>
            <w:r>
              <w:rPr>
                <w:rFonts w:hint="eastAsia" w:ascii="宋体" w:hAnsi="宋体" w:eastAsia="宋体" w:cs="宋体"/>
                <w:b w:val="0"/>
                <w:bCs w:val="0"/>
                <w:color w:val="auto"/>
                <w:kern w:val="0"/>
                <w:sz w:val="20"/>
                <w:szCs w:val="20"/>
              </w:rPr>
              <w:t>印件并加盖投标人公章；</w:t>
            </w:r>
          </w:p>
          <w:p>
            <w:pPr>
              <w:widowControl/>
              <w:textAlignment w:val="center"/>
              <w:rPr>
                <w:rFonts w:ascii="宋体" w:hAnsi="宋体" w:cs="宋体"/>
                <w:color w:val="auto"/>
                <w:kern w:val="0"/>
                <w:sz w:val="20"/>
                <w:szCs w:val="20"/>
              </w:rPr>
            </w:pPr>
            <w:r>
              <w:rPr>
                <w:rFonts w:hint="eastAsia" w:ascii="宋体" w:hAnsi="宋体" w:eastAsia="宋体" w:cs="宋体"/>
                <w:b w:val="0"/>
                <w:bCs w:val="0"/>
                <w:color w:val="auto"/>
                <w:kern w:val="0"/>
                <w:sz w:val="20"/>
                <w:szCs w:val="20"/>
              </w:rPr>
              <w:t>★</w:t>
            </w:r>
            <w:r>
              <w:rPr>
                <w:rFonts w:ascii="宋体" w:hAnsi="宋体" w:eastAsia="宋体" w:cs="宋体"/>
                <w:b w:val="0"/>
                <w:bCs w:val="0"/>
                <w:color w:val="auto"/>
                <w:kern w:val="0"/>
                <w:sz w:val="20"/>
                <w:szCs w:val="20"/>
              </w:rPr>
              <w:t>产品依据GB/T16172-2007/GB8624-2012检测，满足检测标准并获得认证，提供具有</w:t>
            </w:r>
            <w:r>
              <w:rPr>
                <w:rFonts w:hint="eastAsia" w:ascii="宋体" w:hAnsi="宋体" w:eastAsia="宋体" w:cs="宋体"/>
                <w:b w:val="0"/>
                <w:bCs w:val="0"/>
                <w:color w:val="auto"/>
                <w:kern w:val="0"/>
                <w:sz w:val="20"/>
                <w:szCs w:val="20"/>
                <w:lang w:eastAsia="zh-CN"/>
              </w:rPr>
              <w:t>CMA或CNAS</w:t>
            </w:r>
            <w:r>
              <w:rPr>
                <w:rFonts w:ascii="宋体" w:hAnsi="宋体" w:eastAsia="宋体" w:cs="宋体"/>
                <w:b w:val="0"/>
                <w:bCs w:val="0"/>
                <w:color w:val="auto"/>
                <w:kern w:val="0"/>
                <w:sz w:val="20"/>
                <w:szCs w:val="20"/>
              </w:rPr>
              <w:t>标识的检测报告复印件并加盖投标人公章。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15</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电粥桶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492" w:type="pct"/>
            <w:vAlign w:val="center"/>
          </w:tcPr>
          <w:p>
            <w:pPr>
              <w:widowControl/>
              <w:textAlignment w:val="center"/>
              <w:rPr>
                <w:rFonts w:hint="eastAsia" w:ascii="宋体" w:hAnsi="宋体" w:cs="宋体"/>
                <w:color w:val="auto"/>
                <w:kern w:val="0"/>
                <w:sz w:val="20"/>
                <w:szCs w:val="20"/>
              </w:rPr>
            </w:pPr>
            <w:r>
              <w:rPr>
                <w:rFonts w:hint="eastAsia" w:ascii="宋体" w:hAnsi="宋体" w:cs="宋体"/>
                <w:color w:val="auto"/>
                <w:kern w:val="0"/>
                <w:sz w:val="20"/>
                <w:szCs w:val="20"/>
              </w:rPr>
              <w:t>容量170升；</w:t>
            </w:r>
          </w:p>
          <w:p>
            <w:pPr>
              <w:widowControl/>
              <w:textAlignment w:val="center"/>
              <w:rPr>
                <w:rFonts w:hint="eastAsia" w:ascii="宋体" w:hAnsi="宋体" w:cs="宋体"/>
                <w:color w:val="auto"/>
                <w:kern w:val="0"/>
                <w:sz w:val="20"/>
                <w:szCs w:val="20"/>
              </w:rPr>
            </w:pPr>
            <w:r>
              <w:rPr>
                <w:rFonts w:hint="eastAsia" w:ascii="宋体" w:hAnsi="宋体" w:cs="宋体"/>
                <w:color w:val="auto"/>
                <w:kern w:val="0"/>
                <w:sz w:val="20"/>
                <w:szCs w:val="20"/>
              </w:rPr>
              <w:t>电压380V；</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功率12kw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16</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电开水器（含底座）</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电压220V ，功率6kW</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容量：60L</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产水量：130L/H</w:t>
            </w:r>
            <w:r>
              <w:rPr>
                <w:rFonts w:hint="eastAsia" w:ascii="宋体" w:hAnsi="宋体" w:cs="宋体"/>
                <w:color w:val="auto"/>
                <w:kern w:val="0"/>
                <w:sz w:val="20"/>
                <w:szCs w:val="20"/>
                <w:lang w:eastAsia="zh-CN"/>
              </w:rPr>
              <w:t>；</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1.加厚聚氨酯发泡保温层，有效降低散热损失 ，提高综合能效。</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2.拥有温控器、高温极限及温度压力安全阀三重保护，保证用水安全；承压能力高达1.1MPa，从容应对官网水压波动。</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3.高灵敏的温控器，自动控制机器运行，提供稳定充足热水，无需人员值守。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17</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多功能切菜机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尺寸：330*400*630（长*宽*高，单位：mm）</w:t>
            </w:r>
            <w:r>
              <w:rPr>
                <w:rFonts w:hint="eastAsia" w:ascii="宋体" w:hAnsi="宋体" w:cs="宋体"/>
                <w:color w:val="auto"/>
                <w:kern w:val="0"/>
                <w:sz w:val="20"/>
                <w:szCs w:val="20"/>
                <w:lang w:eastAsia="zh-CN"/>
              </w:rPr>
              <w:t>；</w:t>
            </w:r>
          </w:p>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功率：1.1KW</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电压220V</w:t>
            </w:r>
            <w:r>
              <w:rPr>
                <w:rFonts w:hint="eastAsia" w:ascii="宋体"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18</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智能切肉机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尺寸：550*380*740mm</w:t>
            </w:r>
            <w:r>
              <w:rPr>
                <w:rFonts w:hint="eastAsia" w:ascii="宋体" w:hAnsi="宋体" w:cs="宋体"/>
                <w:color w:val="auto"/>
                <w:kern w:val="0"/>
                <w:sz w:val="20"/>
                <w:szCs w:val="20"/>
                <w:lang w:eastAsia="zh-CN"/>
              </w:rPr>
              <w:t>；</w:t>
            </w:r>
          </w:p>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电压：220V</w:t>
            </w:r>
            <w:r>
              <w:rPr>
                <w:rFonts w:hint="eastAsia" w:ascii="宋体" w:hAnsi="宋体" w:cs="宋体"/>
                <w:color w:val="auto"/>
                <w:kern w:val="0"/>
                <w:sz w:val="20"/>
                <w:szCs w:val="20"/>
                <w:lang w:eastAsia="zh-CN"/>
              </w:rPr>
              <w:t>；</w:t>
            </w:r>
          </w:p>
          <w:p>
            <w:pPr>
              <w:widowControl/>
              <w:textAlignment w:val="center"/>
              <w:rPr>
                <w:rFonts w:hint="eastAsia" w:ascii="宋体" w:hAnsi="宋体" w:cs="宋体"/>
                <w:color w:val="auto"/>
                <w:kern w:val="0"/>
                <w:sz w:val="20"/>
                <w:szCs w:val="20"/>
              </w:rPr>
            </w:pPr>
            <w:r>
              <w:rPr>
                <w:rFonts w:hint="eastAsia" w:ascii="宋体" w:hAnsi="宋体" w:cs="宋体"/>
                <w:color w:val="auto"/>
                <w:kern w:val="0"/>
                <w:sz w:val="20"/>
                <w:szCs w:val="20"/>
              </w:rPr>
              <w:t>功率：1500W</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切肉口：1个。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19</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升降机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额定载量</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200kg</w:t>
            </w:r>
            <w:r>
              <w:rPr>
                <w:rFonts w:hint="eastAsia" w:ascii="宋体" w:hAnsi="宋体" w:cs="宋体"/>
                <w:color w:val="auto"/>
                <w:kern w:val="0"/>
                <w:sz w:val="20"/>
                <w:szCs w:val="20"/>
                <w:lang w:eastAsia="zh-CN"/>
              </w:rPr>
              <w:t>；</w:t>
            </w:r>
          </w:p>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额定速度</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0.4m</w:t>
            </w:r>
            <w:r>
              <w:rPr>
                <w:rFonts w:hint="eastAsia" w:ascii="宋体" w:hAnsi="宋体" w:cs="宋体"/>
                <w:color w:val="auto"/>
                <w:kern w:val="0"/>
                <w:sz w:val="20"/>
                <w:szCs w:val="20"/>
                <w:lang w:val="en-US" w:eastAsia="zh-CN"/>
              </w:rPr>
              <w:t>/</w:t>
            </w:r>
            <w:r>
              <w:rPr>
                <w:rFonts w:hint="eastAsia" w:ascii="宋体" w:hAnsi="宋体" w:cs="宋体"/>
                <w:color w:val="auto"/>
                <w:kern w:val="0"/>
                <w:sz w:val="20"/>
                <w:szCs w:val="20"/>
              </w:rPr>
              <w:t>s</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单速</w:t>
            </w:r>
            <w:r>
              <w:rPr>
                <w:rFonts w:hint="eastAsia" w:ascii="宋体" w:hAnsi="宋体" w:cs="宋体"/>
                <w:color w:val="auto"/>
                <w:kern w:val="0"/>
                <w:sz w:val="20"/>
                <w:szCs w:val="20"/>
                <w:lang w:eastAsia="zh-CN"/>
              </w:rPr>
              <w:t>）；</w:t>
            </w:r>
          </w:p>
          <w:p>
            <w:pPr>
              <w:widowControl/>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rPr>
              <w:t>电梯功率</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0.75kw</w:t>
            </w:r>
            <w:r>
              <w:rPr>
                <w:rFonts w:hint="eastAsia" w:ascii="宋体" w:hAnsi="宋体" w:cs="宋体"/>
                <w:color w:val="auto"/>
                <w:kern w:val="0"/>
                <w:sz w:val="20"/>
                <w:szCs w:val="20"/>
                <w:lang w:eastAsia="zh-CN"/>
              </w:rPr>
              <w:t>；</w:t>
            </w:r>
          </w:p>
          <w:p>
            <w:pPr>
              <w:widowControl/>
              <w:textAlignment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开门尺寸</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定制；</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★需具备特种设备生产许可证证书复印件并加盖投标人公章。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留样冰箱</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容量：260L 额定电压/频率</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220V/50HZ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制冷方式</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直冷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21</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蒸汽煮汤炉</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桶内尺寸600mm*600mm，电压380v，功率12kw，容量230L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22</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汤桶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3.0mm厚304食品级不锈钢，尺寸45CM，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23</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消毒柜</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1.功率：1.8kw；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2.外形尺寸：1150*510*1890mm（公差+/-5mm）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 xml:space="preserve">3.容积：800L； </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★4.消毒温度： 40-120℃可调，消毒星级：2星级；要求能对幽门螺杆菌ATCC43504/白色葡萄球菌8032/金黄色葡萄球菌ATCC6538等菌种杀灭率&gt;99.999%；（</w:t>
            </w:r>
            <w:r>
              <w:rPr>
                <w:rFonts w:hint="eastAsia" w:ascii="宋体" w:hAnsi="宋体" w:eastAsia="宋体" w:cs="宋体"/>
                <w:b w:val="0"/>
                <w:bCs w:val="0"/>
                <w:color w:val="auto"/>
                <w:kern w:val="0"/>
                <w:sz w:val="20"/>
                <w:szCs w:val="20"/>
                <w:lang w:val="en-US"/>
              </w:rPr>
              <w:t>提供具有</w:t>
            </w:r>
            <w:r>
              <w:rPr>
                <w:rFonts w:hint="eastAsia" w:ascii="宋体" w:hAnsi="宋体" w:cs="宋体"/>
                <w:b w:val="0"/>
                <w:bCs w:val="0"/>
                <w:color w:val="auto"/>
                <w:kern w:val="0"/>
                <w:sz w:val="20"/>
                <w:szCs w:val="20"/>
                <w:lang w:val="en-US" w:eastAsia="zh-CN"/>
              </w:rPr>
              <w:t>CMA或CNAS</w:t>
            </w:r>
            <w:r>
              <w:rPr>
                <w:rFonts w:ascii="宋体" w:hAnsi="宋体" w:eastAsia="宋体" w:cs="宋体"/>
                <w:b w:val="0"/>
                <w:bCs w:val="0"/>
                <w:color w:val="auto"/>
                <w:kern w:val="0"/>
                <w:sz w:val="20"/>
                <w:szCs w:val="20"/>
                <w:lang w:val="en-US"/>
              </w:rPr>
              <w:t>标识的检测报告复</w:t>
            </w:r>
            <w:r>
              <w:rPr>
                <w:rFonts w:hint="eastAsia" w:ascii="宋体" w:hAnsi="宋体" w:eastAsia="宋体" w:cs="宋体"/>
                <w:b w:val="0"/>
                <w:bCs w:val="0"/>
                <w:color w:val="auto"/>
                <w:kern w:val="0"/>
                <w:sz w:val="20"/>
                <w:szCs w:val="20"/>
                <w:lang w:val="en-US"/>
              </w:rPr>
              <w:t>印件并加盖投标人公章</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5.材质：整体聚氨酯发泡，全无磁不锈钢板材，整体一体成型门；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5.消毒时间：时间可根据使用需求调整；</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★6.消毒方式：高温热风循环，隐藏式发热管耐燃性符合JB/T4088要求，发热管材质符合GB4806.7要求；（提供具有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标识的检测报告复印件并加盖投标人公章）</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7.层架材质：全无磁不锈钢材料，五层，要求符合GB/T2423.3-2016恒定湿热要求；载重：≥25KG/层。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24</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四层不锈钢储物架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尺寸100cm*50cm*155cm（长*宽*高） ，整体采用201不锈钢0.6mm厚，承重50公斤。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25</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米面架</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1500*600*150（长*宽*高，单位：mm），不锈钢201，0.8mm厚度。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26</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变温商用冰柜</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容量：900L；尺寸</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mm</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：1190*690*1950；双压缩机、电温双控、自动回弹门、201不锈钢内胆；冷藏温度范围：2℃一10C；冷冻温度范围：-5℃ ~ -18℃；功率455瓦；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27</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抽油烟机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定制，2.5米长，0.8mm厚201不锈钢面板，油烟净化一体机。</w:t>
            </w:r>
          </w:p>
          <w:p>
            <w:pPr>
              <w:widowControl/>
              <w:textAlignment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rPr>
              <w:t>★提供具有</w:t>
            </w:r>
            <w:r>
              <w:rPr>
                <w:rFonts w:hint="eastAsia" w:ascii="宋体" w:hAnsi="宋体" w:cs="宋体"/>
                <w:color w:val="auto"/>
                <w:kern w:val="0"/>
                <w:sz w:val="20"/>
                <w:szCs w:val="20"/>
                <w:lang w:eastAsia="zh-CN"/>
              </w:rPr>
              <w:t>CMA或CNAS</w:t>
            </w:r>
            <w:r>
              <w:rPr>
                <w:rFonts w:hint="eastAsia" w:ascii="宋体" w:hAnsi="宋体" w:cs="宋体"/>
                <w:color w:val="auto"/>
                <w:kern w:val="0"/>
                <w:sz w:val="20"/>
                <w:szCs w:val="20"/>
              </w:rPr>
              <w:t>标识的检测报告复印件并加盖投标</w:t>
            </w:r>
            <w:r>
              <w:rPr>
                <w:rFonts w:hint="eastAsia" w:ascii="宋体" w:hAnsi="宋体" w:cs="宋体"/>
                <w:color w:val="auto"/>
                <w:kern w:val="0"/>
                <w:sz w:val="20"/>
                <w:szCs w:val="20"/>
                <w:highlight w:val="none"/>
              </w:rPr>
              <w:t>人公章</w:t>
            </w:r>
            <w:r>
              <w:rPr>
                <w:rFonts w:hint="eastAsia" w:ascii="宋体" w:hAnsi="宋体" w:cs="宋体"/>
                <w:color w:val="auto"/>
                <w:kern w:val="0"/>
                <w:sz w:val="20"/>
                <w:szCs w:val="20"/>
                <w:highlight w:val="none"/>
                <w:lang w:eastAsia="zh-CN"/>
              </w:rPr>
              <w:t>。</w:t>
            </w:r>
          </w:p>
          <w:p>
            <w:pPr>
              <w:widowControl/>
              <w:textAlignment w:val="center"/>
              <w:rPr>
                <w:rFonts w:ascii="宋体" w:hAnsi="宋体" w:cs="宋体"/>
                <w:color w:val="auto"/>
                <w:kern w:val="0"/>
                <w:sz w:val="20"/>
                <w:szCs w:val="20"/>
              </w:rPr>
            </w:pPr>
            <w:r>
              <w:rPr>
                <w:rFonts w:hint="eastAsia" w:ascii="宋体" w:hAnsi="宋体" w:cs="宋体"/>
                <w:bCs/>
                <w:color w:val="auto"/>
                <w:sz w:val="22"/>
                <w:szCs w:val="22"/>
                <w:highlight w:val="none"/>
              </w:rPr>
              <w:t>★</w:t>
            </w:r>
            <w:r>
              <w:rPr>
                <w:rFonts w:hint="eastAsia" w:ascii="宋体" w:hAnsi="宋体" w:cs="宋体"/>
                <w:color w:val="auto"/>
                <w:kern w:val="0"/>
                <w:sz w:val="20"/>
                <w:szCs w:val="20"/>
                <w:highlight w:val="none"/>
              </w:rPr>
              <w:t>所投产品需提供环境保护产品认证证书复印件并加盖投标人公章。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28</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不锈钢三星水池</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不锈钢304食品级材质0.7mm厚度，外形尺寸180cm*60cm*80cm。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29</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电饭锅</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容量45L，电压220v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30</w:t>
            </w:r>
          </w:p>
        </w:tc>
        <w:tc>
          <w:tcPr>
            <w:tcW w:w="1431" w:type="dxa"/>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升破壁机</w:t>
            </w:r>
          </w:p>
        </w:tc>
        <w:tc>
          <w:tcPr>
            <w:tcW w:w="544" w:type="dxa"/>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44" w:type="dxa"/>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val="en-US" w:eastAsia="zh-CN"/>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定时，急停功能，不锈钢机身。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31</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学生餐桌椅（8人桌）</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300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桌面0.6毫米厚304不锈钢，外观尺寸：2000mm（长）*1500mm（宽）*750mm（高</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32</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烫粉机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600*600*800（长*宽*高，单位：mm）  电压：220v  功率：6kw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33</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水塔</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不锈钢304食品级，厚度0.5mm，容量2吨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34</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双层工作台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外形尺寸1800*800*800（长*宽*高，单位：mm）；不锈钢304食品级材质面板0.8mm厚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35</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不锈钢双层送餐车</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尺寸：900*500*900（长*宽*高，单位：mm）  不绣钢304食品级面板0.8mm厚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36</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不锈钢平板车</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规格：长870*宽500*高900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单位：㎜）； 不绣钢304食品级面板0.8mm厚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37</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明厨亮灶（监控）</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shd w:val="clear" w:color="auto" w:fill="auto"/>
            <w:vAlign w:val="center"/>
          </w:tcPr>
          <w:p>
            <w:pPr>
              <w:widowControl/>
              <w:numPr>
                <w:ilvl w:val="255"/>
                <w:numId w:val="0"/>
              </w:numPr>
              <w:textAlignment w:val="center"/>
              <w:rPr>
                <w:rFonts w:ascii="微软雅黑" w:hAnsi="微软雅黑" w:eastAsia="微软雅黑" w:cs="微软雅黑"/>
                <w:color w:val="auto"/>
                <w:sz w:val="20"/>
                <w:szCs w:val="20"/>
              </w:rPr>
            </w:pPr>
            <w:r>
              <w:rPr>
                <w:rFonts w:hint="eastAsia" w:ascii="宋体" w:hAnsi="宋体" w:cs="宋体"/>
                <w:color w:val="auto"/>
                <w:kern w:val="0"/>
                <w:sz w:val="20"/>
                <w:szCs w:val="20"/>
                <w:highlight w:val="none"/>
              </w:rPr>
              <w:t>一、摄像机10个：1/2.8英寸500万像素CMOS传感器；4mm高清定焦镜头，支架10个；16口交换机1个；20路录像机主机1个；硬盘1个：8T； 一个22寸监视器1个；32寸监视器1个；分屏解码器1个；普料线材</w:t>
            </w:r>
            <w:r>
              <w:rPr>
                <w:rFonts w:hint="eastAsia" w:ascii="宋体" w:hAnsi="宋体" w:cs="宋体"/>
                <w:color w:val="auto"/>
                <w:kern w:val="0"/>
                <w:sz w:val="20"/>
                <w:szCs w:val="20"/>
                <w:highlight w:val="none"/>
                <w:lang w:val="en-US" w:eastAsia="zh-CN"/>
              </w:rPr>
              <w:t>1批。</w:t>
            </w:r>
            <w:r>
              <w:rPr>
                <w:rFonts w:hint="eastAsia" w:ascii="宋体" w:hAnsi="宋体" w:cs="宋体"/>
                <w:color w:val="auto"/>
                <w:kern w:val="0"/>
                <w:sz w:val="20"/>
                <w:szCs w:val="20"/>
              </w:rPr>
              <w:br w:type="textWrapping"/>
            </w:r>
            <w:r>
              <w:rPr>
                <w:rFonts w:hint="eastAsia" w:ascii="宋体" w:hAnsi="宋体" w:cs="宋体"/>
                <w:color w:val="auto"/>
                <w:kern w:val="0"/>
                <w:sz w:val="20"/>
                <w:szCs w:val="20"/>
              </w:rPr>
              <w:t>二、全景温湿度一体机1台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1、静态数字显示，适于同步录音录像。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★2、内置MIC和扬声器，具有不少于1个RJ45接口、1路音频输入接口、1路音频输出接口、2路报警输入接口、1路报警输出接口、1个RS485接口、1个复位按钮、1个存储卡接口。</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投标文件中提供具有CMA或CNAS标识的检测报告复印件并加盖投标人公章</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3、支持自动校准时钟，与摄像机、录像机时间同步。</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★4、支持通过触摸按键设置显示屏年、月、日、时、分、秒，支持调节年月日自动联动星期显示。</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投标文件中提供具有CMA或CNAS标识的检测报告复印件并加盖投标人公章</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★5、支持将实时温湿度信息叠加到视频画面上</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投标文件中提供具有CMA或CNAS标识的检测报告复印件并加盖投标人公章</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6、不大于2.1mm超广角定焦镜头，支持ICR双滤切换。</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★7、摄像机分辨率不低于2592×1944。</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投标文件中提供具有CMA或CNAS标识的检测报告复印件并加盖投标人公章</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8、支持音频异常检测报警提示，支持超高音报警。</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9、支持音视频本地存储卡存储，录制的文件可使用通用播放软件播放。</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★10、摄像机支持畸变矫正、远端放大功能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投标文件中提供具有CMA或CNAS标识的检测报告复印件并加盖投标人公章</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11、支持红外、白光补光，红外距离不低于15m。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12、支持POE、DC12V供电。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38</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电子称（大）</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39</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壁扇</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功率150w ，直径550mm。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碎肉机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材质：不锈钢食品级，功率：800W，转速1400r/min。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41</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大豆浆机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加热功率：5000W；转速：</w:t>
            </w:r>
            <w:r>
              <w:rPr>
                <w:rFonts w:hint="eastAsia" w:ascii="宋体" w:hAnsi="宋体" w:cs="宋体"/>
                <w:color w:val="auto"/>
                <w:kern w:val="0"/>
                <w:sz w:val="20"/>
                <w:szCs w:val="20"/>
                <w:lang w:val="en-US" w:eastAsia="zh-CN"/>
              </w:rPr>
              <w:t xml:space="preserve">20000~30000 </w:t>
            </w:r>
            <w:r>
              <w:rPr>
                <w:rFonts w:hint="eastAsia" w:ascii="宋体" w:hAnsi="宋体" w:cs="宋体"/>
                <w:color w:val="auto"/>
                <w:kern w:val="0"/>
                <w:sz w:val="20"/>
                <w:szCs w:val="20"/>
              </w:rPr>
              <w:t xml:space="preserve">r/min；容量：20-30L；304不锈钢桶身，一键清洗功能。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42</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和面机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尺寸：39.5*32.5*35.5（长*宽*高，单位：cm），使用电压：220V，功率1500W，和面量10.5-15KG。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43</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发酵箱</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单门，11层  电压：220V   功率：2.5KW   尺寸：500*700*1600（单位：mm）。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44</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三层烤箱</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尺寸：1220*820*1530（单位：mm），烤盘尺寸：600*400*50（单位：mm）</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1.电压：380V 功率：19.8KW；</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2.炉体采用优质钢材，保证长期使用的稳定性；</w:t>
            </w:r>
          </w:p>
          <w:p>
            <w:pPr>
              <w:widowControl/>
              <w:textAlignment w:val="center"/>
              <w:rPr>
                <w:rFonts w:ascii="宋体" w:hAnsi="宋体" w:cs="宋体"/>
                <w:color w:val="auto"/>
                <w:kern w:val="0"/>
                <w:sz w:val="20"/>
                <w:szCs w:val="20"/>
                <w:highlight w:val="none"/>
              </w:rPr>
            </w:pPr>
            <w:r>
              <w:rPr>
                <w:rFonts w:hint="eastAsia" w:ascii="宋体" w:hAnsi="宋体" w:cs="宋体"/>
                <w:color w:val="auto"/>
                <w:kern w:val="0"/>
                <w:sz w:val="20"/>
                <w:szCs w:val="20"/>
              </w:rPr>
              <w:t xml:space="preserve">3.智能电脑版控制每层均可单独使用，节省能源；       </w:t>
            </w:r>
            <w:r>
              <w:rPr>
                <w:rFonts w:hint="eastAsia" w:ascii="宋体" w:hAnsi="宋体" w:cs="宋体"/>
                <w:color w:val="auto"/>
                <w:kern w:val="0"/>
                <w:sz w:val="20"/>
                <w:szCs w:val="20"/>
                <w:highlight w:val="none"/>
              </w:rPr>
              <w:t xml:space="preserve">  </w:t>
            </w:r>
          </w:p>
          <w:p>
            <w:pPr>
              <w:widowControl/>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4.整体外观设计新颖，外表采用优质 SUS201 不锈钢面板； 任意调节适当温度， 有定时功能，操作简单方便； </w:t>
            </w:r>
          </w:p>
          <w:p>
            <w:pPr>
              <w:widowControl/>
              <w:textAlignment w:val="center"/>
              <w:rPr>
                <w:rFonts w:ascii="宋体" w:hAnsi="宋体" w:cs="宋体"/>
                <w:color w:val="auto"/>
                <w:kern w:val="0"/>
                <w:sz w:val="20"/>
                <w:szCs w:val="20"/>
              </w:rPr>
            </w:pPr>
            <w:r>
              <w:rPr>
                <w:rFonts w:hint="eastAsia" w:ascii="宋体" w:hAnsi="宋体" w:cs="宋体"/>
                <w:color w:val="auto"/>
                <w:kern w:val="0"/>
                <w:sz w:val="20"/>
                <w:szCs w:val="20"/>
                <w:highlight w:val="none"/>
              </w:rPr>
              <w:t>★需提供食品接触产品安全认证证书复印件并加盖投标人公章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45</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工业落地扇</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功率：250W  直径：650mm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46</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地板吹风机</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电压220v  功率1000w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47</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40斤菜篮筐</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外形62cm*47cm*30cm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大砧板</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PE材质；直径40cm；厚度5cm。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80"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49</w:t>
            </w:r>
          </w:p>
        </w:tc>
        <w:tc>
          <w:tcPr>
            <w:tcW w:w="697"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砍切刀</w:t>
            </w:r>
          </w:p>
        </w:tc>
        <w:tc>
          <w:tcPr>
            <w:tcW w:w="265" w:type="pct"/>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265" w:type="pct"/>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2</w:t>
            </w:r>
            <w:r>
              <w:rPr>
                <w:rFonts w:hint="eastAsia" w:ascii="宋体" w:hAnsi="宋体" w:cs="宋体"/>
                <w:color w:val="auto"/>
                <w:kern w:val="0"/>
                <w:sz w:val="20"/>
                <w:szCs w:val="20"/>
                <w:lang w:val="en-US" w:eastAsia="zh-CN"/>
              </w:rPr>
              <w:t>2</w:t>
            </w:r>
          </w:p>
        </w:tc>
        <w:tc>
          <w:tcPr>
            <w:tcW w:w="3492" w:type="pct"/>
            <w:vAlign w:val="center"/>
          </w:tcPr>
          <w:p>
            <w:pPr>
              <w:widowControl/>
              <w:textAlignment w:val="center"/>
              <w:rPr>
                <w:rFonts w:ascii="宋体" w:hAnsi="宋体" w:cs="宋体"/>
                <w:color w:val="auto"/>
                <w:kern w:val="0"/>
                <w:sz w:val="20"/>
                <w:szCs w:val="20"/>
              </w:rPr>
            </w:pPr>
            <w:r>
              <w:rPr>
                <w:rFonts w:hint="eastAsia" w:ascii="宋体" w:hAnsi="宋体" w:cs="宋体"/>
                <w:color w:val="auto"/>
                <w:kern w:val="0"/>
                <w:sz w:val="20"/>
                <w:szCs w:val="20"/>
              </w:rPr>
              <w:t>尺寸 31cm*9cm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cs="仿宋" w:asciiTheme="minorEastAsia" w:hAnsiTheme="minorEastAsia" w:eastAsiaTheme="minorEastAsia"/>
                <w:color w:val="auto"/>
                <w:szCs w:val="21"/>
              </w:rPr>
            </w:pPr>
            <w:bookmarkStart w:id="72" w:name="OLE_LINK34"/>
            <w:bookmarkStart w:id="73" w:name="OLE_LINK35"/>
            <w:r>
              <w:rPr>
                <w:rFonts w:hint="eastAsia" w:ascii="宋体" w:hAnsi="宋体" w:cs="宋体"/>
                <w:color w:val="auto"/>
                <w:kern w:val="0"/>
                <w:szCs w:val="21"/>
              </w:rPr>
              <w:t>▲</w:t>
            </w:r>
            <w:r>
              <w:rPr>
                <w:rFonts w:hint="eastAsia" w:cs="仿宋" w:asciiTheme="minorEastAsia" w:hAnsiTheme="minorEastAsia" w:eastAsiaTheme="minorEastAsia"/>
                <w:b/>
                <w:bCs/>
                <w:color w:val="auto"/>
                <w:szCs w:val="21"/>
              </w:rPr>
              <w:t>商务要求表</w:t>
            </w:r>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一、合同签订期：自中标通知书发出之日起25日内。</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二、交货（交付）时间：签订合同后 30 个日历日，如因甲方及其他客观原因导致交付延期，不算作乙方违约，交付周期可视延期时间往后顺延。</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三、交货地点：合浦外国语实验学校等16所中小学。</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四、付款时间和方式：</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项目验收合格后30个日历日内支付中标合同金额100％。</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五、质量要求：</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1.货物必须是全新合格产品，产品质量符合国家相关标准及安全规范；</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2.供应商须按国家有关规定实行“三包”，免费送货上门。提供现场免费安装、调试设备，进行操作试验，直至运行正常；</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3.采购方对供应商所交货物依照采购文件上的技术规格要求和国家有关标准进行现场验收，性能达到技术要求的，给予签收。验收不合格的不予签收，后果由供货方负责。</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六、售后服务要求：</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pPr>
              <w:widowControl/>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2.维修响应：成交供应商在接到用户维修电话后 4 小时内响应，12 小时内到达现场修理解决，并免费更换有缺陷的货物或零部件，24小时内恢复正常使用，若不能修复则应有合理应对方案。定期回访，对设备进行预防性维护指导。</w:t>
            </w:r>
          </w:p>
          <w:p>
            <w:pPr>
              <w:spacing w:line="360" w:lineRule="auto"/>
              <w:jc w:val="left"/>
              <w:rPr>
                <w:rFonts w:cs="仿宋" w:asciiTheme="minorEastAsia" w:hAnsiTheme="minorEastAsia" w:eastAsiaTheme="minorEastAsia"/>
                <w:color w:val="auto"/>
                <w:szCs w:val="21"/>
              </w:rPr>
            </w:pPr>
            <w:r>
              <w:rPr>
                <w:rFonts w:hint="eastAsia" w:ascii="宋体" w:hAnsi="宋体" w:cs="宋体"/>
                <w:color w:val="auto"/>
                <w:kern w:val="0"/>
                <w:szCs w:val="21"/>
              </w:rPr>
              <w:t>3.成交供应商除承担运输、安装、调试、验收与培训等义务外，还将为采购方提供免费技术支持，包括保修期外的修理及技术指导、配件供应等。 质量保证期：质保期不少于一年（若厂家免费质保期超过一年的，按厂家规定执行），质保期自双方代表在系统及设备安装调试后的验收证明文件上签字之日起计算，质保期内，按国家有关产品“三包”规定执行“三包”。</w:t>
            </w:r>
          </w:p>
        </w:tc>
      </w:tr>
    </w:tbl>
    <w:p>
      <w:pPr>
        <w:pStyle w:val="3"/>
        <w:rPr>
          <w:color w:val="auto"/>
          <w:highlight w:val="none"/>
          <w:lang w:val="en-US"/>
        </w:rPr>
      </w:pPr>
    </w:p>
    <w:p>
      <w:pPr>
        <w:tabs>
          <w:tab w:val="center" w:pos="4153"/>
          <w:tab w:val="right" w:pos="8306"/>
        </w:tabs>
        <w:adjustRightInd/>
        <w:snapToGrid w:val="0"/>
        <w:rPr>
          <w:color w:val="auto"/>
          <w:sz w:val="18"/>
          <w:szCs w:val="18"/>
          <w:highlight w:val="none"/>
        </w:rPr>
      </w:pPr>
    </w:p>
    <w:p>
      <w:pPr>
        <w:adjustRightInd/>
        <w:spacing w:before="25" w:after="25"/>
        <w:jc w:val="left"/>
        <w:rPr>
          <w:rFonts w:ascii="宋体" w:hAnsi="宋体" w:cs="宋体"/>
          <w:bCs/>
          <w:color w:val="auto"/>
          <w:spacing w:val="10"/>
          <w:kern w:val="0"/>
          <w:sz w:val="24"/>
          <w:highlight w:val="none"/>
        </w:rPr>
        <w:sectPr>
          <w:pgSz w:w="11906" w:h="16838"/>
          <w:pgMar w:top="1134" w:right="1134" w:bottom="1134" w:left="1134" w:header="794" w:footer="850" w:gutter="0"/>
          <w:cols w:space="720" w:num="1"/>
          <w:titlePg/>
          <w:docGrid w:type="lines" w:linePitch="312" w:charSpace="0"/>
        </w:sectPr>
      </w:pPr>
    </w:p>
    <w:p>
      <w:pPr>
        <w:rPr>
          <w:rFonts w:hint="eastAsia" w:ascii="宋体" w:hAnsi="宋体" w:cs="宋体"/>
          <w:b/>
          <w:color w:val="auto"/>
          <w:sz w:val="36"/>
          <w:szCs w:val="36"/>
          <w:highlight w:val="none"/>
        </w:rPr>
      </w:pPr>
      <w:bookmarkStart w:id="74" w:name="_Toc176343851"/>
      <w:bookmarkStart w:id="75" w:name="_Toc176185122"/>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76" w:name="_Toc184310302"/>
      <w:bookmarkEnd w:id="76"/>
      <w:bookmarkStart w:id="77" w:name="_Toc184313247"/>
      <w:bookmarkEnd w:id="77"/>
      <w:bookmarkStart w:id="78" w:name="_Toc184313251"/>
      <w:bookmarkEnd w:id="78"/>
      <w:bookmarkStart w:id="79" w:name="_Toc184313276"/>
      <w:bookmarkEnd w:id="79"/>
      <w:bookmarkStart w:id="80" w:name="_Toc184312128"/>
      <w:bookmarkEnd w:id="80"/>
      <w:bookmarkStart w:id="81" w:name="_Toc184312124"/>
      <w:bookmarkEnd w:id="81"/>
      <w:bookmarkStart w:id="82" w:name="_Toc184308068"/>
      <w:bookmarkEnd w:id="82"/>
      <w:bookmarkStart w:id="83" w:name="_Toc184308092"/>
      <w:bookmarkEnd w:id="83"/>
      <w:bookmarkStart w:id="84" w:name="_Toc184314464"/>
      <w:bookmarkEnd w:id="84"/>
      <w:bookmarkStart w:id="85" w:name="_Toc184308098"/>
      <w:bookmarkEnd w:id="85"/>
      <w:bookmarkStart w:id="86" w:name="_Toc184313269"/>
      <w:bookmarkEnd w:id="86"/>
      <w:bookmarkStart w:id="87" w:name="_Toc184310327"/>
      <w:bookmarkEnd w:id="87"/>
      <w:bookmarkStart w:id="88" w:name="_Toc184313255"/>
      <w:bookmarkEnd w:id="88"/>
      <w:bookmarkStart w:id="89" w:name="_Toc184313242"/>
      <w:bookmarkEnd w:id="89"/>
      <w:bookmarkStart w:id="90" w:name="_Toc184308072"/>
      <w:bookmarkEnd w:id="90"/>
      <w:bookmarkStart w:id="91" w:name="_Toc184313278"/>
      <w:bookmarkEnd w:id="91"/>
      <w:bookmarkStart w:id="92" w:name="_Toc184314437"/>
      <w:bookmarkEnd w:id="92"/>
      <w:bookmarkStart w:id="93" w:name="_Toc184312113"/>
      <w:bookmarkEnd w:id="93"/>
      <w:bookmarkStart w:id="94" w:name="_Toc184310332"/>
      <w:bookmarkEnd w:id="94"/>
      <w:bookmarkStart w:id="95" w:name="_Toc184313271"/>
      <w:bookmarkEnd w:id="95"/>
      <w:bookmarkStart w:id="96" w:name="_Toc184308080"/>
      <w:bookmarkEnd w:id="96"/>
      <w:bookmarkStart w:id="97" w:name="_Toc184308095"/>
      <w:bookmarkEnd w:id="97"/>
      <w:bookmarkStart w:id="98" w:name="_Toc184314423"/>
      <w:bookmarkEnd w:id="98"/>
      <w:bookmarkStart w:id="99" w:name="_Toc184313275"/>
      <w:bookmarkEnd w:id="99"/>
      <w:bookmarkStart w:id="100" w:name="_Toc184312079"/>
      <w:bookmarkEnd w:id="100"/>
      <w:bookmarkStart w:id="101" w:name="_Toc184314428"/>
      <w:bookmarkEnd w:id="101"/>
      <w:bookmarkStart w:id="102" w:name="_Toc184312073"/>
      <w:bookmarkEnd w:id="102"/>
      <w:bookmarkStart w:id="103" w:name="_Toc184310296"/>
      <w:bookmarkEnd w:id="103"/>
      <w:bookmarkStart w:id="104" w:name="_Toc184312074"/>
      <w:bookmarkEnd w:id="104"/>
      <w:bookmarkStart w:id="105" w:name="_Toc184310284"/>
      <w:bookmarkEnd w:id="105"/>
      <w:bookmarkStart w:id="106" w:name="_Toc184314431"/>
      <w:bookmarkEnd w:id="106"/>
      <w:bookmarkStart w:id="107" w:name="_Toc184310344"/>
      <w:bookmarkEnd w:id="107"/>
      <w:bookmarkStart w:id="108" w:name="_Toc184314433"/>
      <w:bookmarkEnd w:id="108"/>
      <w:bookmarkStart w:id="109" w:name="_Toc184314456"/>
      <w:bookmarkEnd w:id="109"/>
      <w:bookmarkStart w:id="110" w:name="_Toc184314460"/>
      <w:bookmarkEnd w:id="110"/>
      <w:bookmarkStart w:id="111" w:name="_Toc184312103"/>
      <w:bookmarkEnd w:id="111"/>
      <w:bookmarkStart w:id="112" w:name="_Toc184313309"/>
      <w:bookmarkEnd w:id="112"/>
      <w:bookmarkStart w:id="113" w:name="_Toc184313307"/>
      <w:bookmarkEnd w:id="113"/>
      <w:bookmarkStart w:id="114" w:name="_Toc184308097"/>
      <w:bookmarkEnd w:id="114"/>
      <w:bookmarkStart w:id="115" w:name="_Toc184313260"/>
      <w:bookmarkEnd w:id="115"/>
      <w:bookmarkStart w:id="116" w:name="_Toc184313305"/>
      <w:bookmarkEnd w:id="116"/>
      <w:bookmarkStart w:id="117" w:name="_Toc184313249"/>
      <w:bookmarkEnd w:id="117"/>
      <w:bookmarkStart w:id="118" w:name="_Toc184314471"/>
      <w:bookmarkEnd w:id="118"/>
      <w:bookmarkStart w:id="119" w:name="_Toc184310318"/>
      <w:bookmarkEnd w:id="119"/>
      <w:bookmarkStart w:id="120" w:name="_Toc184308053"/>
      <w:bookmarkEnd w:id="120"/>
      <w:bookmarkStart w:id="121" w:name="_Toc184312126"/>
      <w:bookmarkEnd w:id="121"/>
      <w:bookmarkStart w:id="122" w:name="_Toc184310313"/>
      <w:bookmarkEnd w:id="122"/>
      <w:bookmarkStart w:id="123" w:name="_Toc184313280"/>
      <w:bookmarkEnd w:id="123"/>
      <w:bookmarkStart w:id="124" w:name="_Toc184310321"/>
      <w:bookmarkEnd w:id="124"/>
      <w:bookmarkStart w:id="125" w:name="_Toc184313265"/>
      <w:bookmarkEnd w:id="125"/>
      <w:bookmarkStart w:id="126" w:name="_Toc184310275"/>
      <w:bookmarkEnd w:id="126"/>
      <w:bookmarkStart w:id="127" w:name="_Toc184310320"/>
      <w:bookmarkEnd w:id="127"/>
      <w:bookmarkStart w:id="128" w:name="_Toc184313286"/>
      <w:bookmarkEnd w:id="128"/>
      <w:bookmarkStart w:id="129" w:name="_Toc184314448"/>
      <w:bookmarkEnd w:id="129"/>
      <w:bookmarkStart w:id="130" w:name="_Toc184308052"/>
      <w:bookmarkEnd w:id="130"/>
      <w:bookmarkStart w:id="131" w:name="_Toc184310282"/>
      <w:bookmarkEnd w:id="131"/>
      <w:bookmarkStart w:id="132" w:name="_Toc184310297"/>
      <w:bookmarkEnd w:id="132"/>
      <w:bookmarkStart w:id="133" w:name="_Toc184310276"/>
      <w:bookmarkEnd w:id="133"/>
      <w:bookmarkStart w:id="134" w:name="_Toc184308093"/>
      <w:bookmarkEnd w:id="134"/>
      <w:bookmarkStart w:id="135" w:name="_Toc184308101"/>
      <w:bookmarkEnd w:id="135"/>
      <w:bookmarkStart w:id="136" w:name="_Toc184308060"/>
      <w:bookmarkEnd w:id="136"/>
      <w:bookmarkStart w:id="137" w:name="_Toc184312118"/>
      <w:bookmarkEnd w:id="137"/>
      <w:bookmarkStart w:id="138" w:name="_Toc184313289"/>
      <w:bookmarkEnd w:id="138"/>
      <w:bookmarkStart w:id="139" w:name="_Toc184313250"/>
      <w:bookmarkEnd w:id="139"/>
      <w:bookmarkStart w:id="140" w:name="_Toc184313302"/>
      <w:bookmarkEnd w:id="140"/>
      <w:bookmarkStart w:id="141" w:name="_Toc184310329"/>
      <w:bookmarkEnd w:id="141"/>
      <w:bookmarkStart w:id="142" w:name="_Toc184313240"/>
      <w:bookmarkEnd w:id="142"/>
      <w:bookmarkStart w:id="143" w:name="_Toc184313285"/>
      <w:bookmarkEnd w:id="143"/>
      <w:bookmarkStart w:id="144" w:name="_Toc184312138"/>
      <w:bookmarkEnd w:id="144"/>
      <w:bookmarkStart w:id="145" w:name="_Toc184314474"/>
      <w:bookmarkEnd w:id="145"/>
      <w:bookmarkStart w:id="146" w:name="_Toc184313259"/>
      <w:bookmarkEnd w:id="146"/>
      <w:bookmarkStart w:id="147" w:name="_Toc184310315"/>
      <w:bookmarkEnd w:id="147"/>
      <w:bookmarkStart w:id="148" w:name="_Toc184308047"/>
      <w:bookmarkEnd w:id="148"/>
      <w:bookmarkStart w:id="149" w:name="_Toc184313279"/>
      <w:bookmarkEnd w:id="149"/>
      <w:bookmarkStart w:id="150" w:name="_Toc184312096"/>
      <w:bookmarkEnd w:id="150"/>
      <w:bookmarkStart w:id="151" w:name="_Toc184313263"/>
      <w:bookmarkEnd w:id="151"/>
      <w:bookmarkStart w:id="152" w:name="_Toc184314451"/>
      <w:bookmarkEnd w:id="152"/>
      <w:bookmarkStart w:id="153" w:name="_Toc184308077"/>
      <w:bookmarkEnd w:id="153"/>
      <w:bookmarkStart w:id="154" w:name="_Toc184313297"/>
      <w:bookmarkEnd w:id="154"/>
      <w:bookmarkStart w:id="155" w:name="_Toc184310307"/>
      <w:bookmarkEnd w:id="155"/>
      <w:bookmarkStart w:id="156" w:name="_Toc184312122"/>
      <w:bookmarkEnd w:id="156"/>
      <w:bookmarkStart w:id="157" w:name="_Toc184313258"/>
      <w:bookmarkEnd w:id="157"/>
      <w:bookmarkStart w:id="158" w:name="_Toc184310334"/>
      <w:bookmarkEnd w:id="158"/>
      <w:bookmarkStart w:id="159" w:name="_Toc184314427"/>
      <w:bookmarkEnd w:id="159"/>
      <w:bookmarkStart w:id="160" w:name="_Toc184308069"/>
      <w:bookmarkEnd w:id="160"/>
      <w:bookmarkStart w:id="161" w:name="_Toc184312107"/>
      <w:bookmarkEnd w:id="161"/>
      <w:bookmarkStart w:id="162" w:name="_Toc184308070"/>
      <w:bookmarkEnd w:id="162"/>
      <w:bookmarkStart w:id="163" w:name="_Toc184314422"/>
      <w:bookmarkEnd w:id="163"/>
      <w:bookmarkStart w:id="164" w:name="_Toc184312131"/>
      <w:bookmarkEnd w:id="164"/>
      <w:bookmarkStart w:id="165" w:name="_Toc184310304"/>
      <w:bookmarkEnd w:id="165"/>
      <w:bookmarkStart w:id="166" w:name="_Toc184313283"/>
      <w:bookmarkEnd w:id="166"/>
      <w:bookmarkStart w:id="167" w:name="_Toc184314477"/>
      <w:bookmarkEnd w:id="167"/>
      <w:bookmarkStart w:id="168" w:name="_Toc184308059"/>
      <w:bookmarkEnd w:id="168"/>
      <w:bookmarkStart w:id="169" w:name="_Toc184310328"/>
      <w:bookmarkEnd w:id="169"/>
      <w:bookmarkStart w:id="170" w:name="_Toc184314416"/>
      <w:bookmarkEnd w:id="170"/>
      <w:bookmarkStart w:id="171" w:name="_Toc184312100"/>
      <w:bookmarkEnd w:id="171"/>
      <w:bookmarkStart w:id="172" w:name="_Toc184312080"/>
      <w:bookmarkEnd w:id="172"/>
      <w:bookmarkStart w:id="173" w:name="_Toc184308071"/>
      <w:bookmarkEnd w:id="173"/>
      <w:bookmarkStart w:id="174" w:name="_Toc184314462"/>
      <w:bookmarkEnd w:id="174"/>
      <w:bookmarkStart w:id="175" w:name="_Toc184314426"/>
      <w:bookmarkEnd w:id="175"/>
      <w:bookmarkStart w:id="176" w:name="_Toc184308050"/>
      <w:bookmarkEnd w:id="176"/>
      <w:bookmarkStart w:id="177" w:name="_Toc184314429"/>
      <w:bookmarkEnd w:id="177"/>
      <w:bookmarkStart w:id="178" w:name="_Toc184312070"/>
      <w:bookmarkEnd w:id="178"/>
      <w:bookmarkStart w:id="179" w:name="_Toc184314421"/>
      <w:bookmarkEnd w:id="179"/>
      <w:bookmarkStart w:id="180" w:name="_Toc184310287"/>
      <w:bookmarkEnd w:id="180"/>
      <w:bookmarkStart w:id="181" w:name="_Toc184313284"/>
      <w:bookmarkEnd w:id="181"/>
      <w:bookmarkStart w:id="182" w:name="_Toc184310293"/>
      <w:bookmarkEnd w:id="182"/>
      <w:bookmarkStart w:id="183" w:name="_Toc184314478"/>
      <w:bookmarkEnd w:id="183"/>
      <w:bookmarkStart w:id="184" w:name="_Toc184312101"/>
      <w:bookmarkEnd w:id="184"/>
      <w:bookmarkStart w:id="185" w:name="_Toc184312095"/>
      <w:bookmarkEnd w:id="185"/>
      <w:bookmarkStart w:id="186" w:name="_Toc184308036"/>
      <w:bookmarkEnd w:id="186"/>
      <w:bookmarkStart w:id="187" w:name="_Toc184310309"/>
      <w:bookmarkEnd w:id="187"/>
      <w:bookmarkStart w:id="188" w:name="_Toc184313253"/>
      <w:bookmarkEnd w:id="188"/>
      <w:bookmarkStart w:id="189" w:name="_Toc184308063"/>
      <w:bookmarkEnd w:id="189"/>
      <w:bookmarkStart w:id="190" w:name="_Toc184314430"/>
      <w:bookmarkEnd w:id="190"/>
      <w:bookmarkStart w:id="191" w:name="_Toc184310281"/>
      <w:bookmarkEnd w:id="191"/>
      <w:bookmarkStart w:id="192" w:name="_Toc184313291"/>
      <w:bookmarkEnd w:id="192"/>
      <w:bookmarkStart w:id="193" w:name="_Toc184313294"/>
      <w:bookmarkEnd w:id="193"/>
      <w:bookmarkStart w:id="194" w:name="_Toc184308061"/>
      <w:bookmarkEnd w:id="194"/>
      <w:bookmarkStart w:id="195" w:name="_Toc184312109"/>
      <w:bookmarkEnd w:id="195"/>
      <w:bookmarkStart w:id="196" w:name="_Toc184313303"/>
      <w:bookmarkEnd w:id="196"/>
      <w:bookmarkStart w:id="197" w:name="_Toc184313308"/>
      <w:bookmarkEnd w:id="197"/>
      <w:bookmarkStart w:id="198" w:name="_Toc184308103"/>
      <w:bookmarkEnd w:id="198"/>
      <w:bookmarkStart w:id="199" w:name="_Toc184314454"/>
      <w:bookmarkEnd w:id="199"/>
      <w:bookmarkStart w:id="200" w:name="_Toc184312091"/>
      <w:bookmarkEnd w:id="200"/>
      <w:bookmarkStart w:id="201" w:name="_Toc184312068"/>
      <w:bookmarkEnd w:id="201"/>
      <w:bookmarkStart w:id="202" w:name="_Toc184312072"/>
      <w:bookmarkEnd w:id="202"/>
      <w:bookmarkStart w:id="203" w:name="_Toc184312087"/>
      <w:bookmarkEnd w:id="203"/>
      <w:bookmarkStart w:id="204" w:name="_Toc184310322"/>
      <w:bookmarkEnd w:id="204"/>
      <w:bookmarkStart w:id="205" w:name="_Toc184314468"/>
      <w:bookmarkEnd w:id="205"/>
      <w:bookmarkStart w:id="206" w:name="_Toc184308085"/>
      <w:bookmarkEnd w:id="206"/>
      <w:bookmarkStart w:id="207" w:name="_Toc184313241"/>
      <w:bookmarkEnd w:id="207"/>
      <w:bookmarkStart w:id="208" w:name="_Toc184313270"/>
      <w:bookmarkEnd w:id="208"/>
      <w:bookmarkStart w:id="209" w:name="_Toc184310286"/>
      <w:bookmarkEnd w:id="209"/>
      <w:bookmarkStart w:id="210" w:name="_Toc184314435"/>
      <w:bookmarkEnd w:id="210"/>
      <w:bookmarkStart w:id="211" w:name="_Toc184308088"/>
      <w:bookmarkEnd w:id="211"/>
      <w:bookmarkStart w:id="212" w:name="_Toc184310317"/>
      <w:bookmarkEnd w:id="212"/>
      <w:bookmarkStart w:id="213" w:name="_Toc184314481"/>
      <w:bookmarkEnd w:id="213"/>
      <w:bookmarkStart w:id="214" w:name="_Toc184314479"/>
      <w:bookmarkEnd w:id="214"/>
      <w:bookmarkStart w:id="215" w:name="_Toc184312134"/>
      <w:bookmarkEnd w:id="215"/>
      <w:bookmarkStart w:id="216" w:name="_Toc184312076"/>
      <w:bookmarkEnd w:id="216"/>
      <w:bookmarkStart w:id="217" w:name="_Toc184312135"/>
      <w:bookmarkEnd w:id="217"/>
      <w:bookmarkStart w:id="218" w:name="_Toc184314419"/>
      <w:bookmarkEnd w:id="218"/>
      <w:bookmarkStart w:id="219" w:name="_Toc184312121"/>
      <w:bookmarkEnd w:id="219"/>
      <w:bookmarkStart w:id="220" w:name="_Toc184308065"/>
      <w:bookmarkEnd w:id="220"/>
      <w:bookmarkStart w:id="221" w:name="_Toc184312106"/>
      <w:bookmarkEnd w:id="221"/>
      <w:bookmarkStart w:id="222" w:name="_Toc184313287"/>
      <w:bookmarkEnd w:id="222"/>
      <w:bookmarkStart w:id="223" w:name="_Toc184312083"/>
      <w:bookmarkEnd w:id="223"/>
      <w:bookmarkStart w:id="224" w:name="_Toc184308102"/>
      <w:bookmarkEnd w:id="224"/>
      <w:bookmarkStart w:id="225" w:name="_Toc184308055"/>
      <w:bookmarkEnd w:id="225"/>
      <w:bookmarkStart w:id="226" w:name="_Toc184314413"/>
      <w:bookmarkEnd w:id="226"/>
      <w:bookmarkStart w:id="227" w:name="_Toc184312088"/>
      <w:bookmarkEnd w:id="227"/>
      <w:bookmarkStart w:id="228" w:name="_Toc184312094"/>
      <w:bookmarkEnd w:id="228"/>
      <w:bookmarkStart w:id="229" w:name="_Toc184308075"/>
      <w:bookmarkEnd w:id="229"/>
      <w:bookmarkStart w:id="230" w:name="_Toc184308090"/>
      <w:bookmarkEnd w:id="230"/>
      <w:bookmarkStart w:id="231" w:name="_Toc184314439"/>
      <w:bookmarkEnd w:id="231"/>
      <w:bookmarkStart w:id="232" w:name="_Toc184308058"/>
      <w:bookmarkEnd w:id="232"/>
      <w:bookmarkStart w:id="233" w:name="_Toc184313310"/>
      <w:bookmarkEnd w:id="233"/>
      <w:bookmarkStart w:id="234" w:name="_Toc184310308"/>
      <w:bookmarkEnd w:id="234"/>
      <w:bookmarkStart w:id="235" w:name="_Toc184314476"/>
      <w:bookmarkEnd w:id="235"/>
      <w:bookmarkStart w:id="236" w:name="_Toc184313248"/>
      <w:bookmarkEnd w:id="236"/>
      <w:bookmarkStart w:id="237" w:name="_Toc184313256"/>
      <w:bookmarkEnd w:id="237"/>
      <w:bookmarkStart w:id="238" w:name="_Toc184314467"/>
      <w:bookmarkEnd w:id="238"/>
      <w:bookmarkStart w:id="239" w:name="_Toc184308082"/>
      <w:bookmarkEnd w:id="239"/>
      <w:bookmarkStart w:id="240" w:name="_Toc184308057"/>
      <w:bookmarkEnd w:id="240"/>
      <w:bookmarkStart w:id="241" w:name="_Toc184308064"/>
      <w:bookmarkEnd w:id="241"/>
      <w:bookmarkStart w:id="242" w:name="_Toc184312097"/>
      <w:bookmarkEnd w:id="242"/>
      <w:bookmarkStart w:id="243" w:name="_Toc184313281"/>
      <w:bookmarkEnd w:id="243"/>
      <w:bookmarkStart w:id="244" w:name="_Toc184312132"/>
      <w:bookmarkEnd w:id="244"/>
      <w:bookmarkStart w:id="245" w:name="_Toc184308043"/>
      <w:bookmarkEnd w:id="245"/>
      <w:bookmarkStart w:id="246" w:name="_Toc184310337"/>
      <w:bookmarkEnd w:id="246"/>
      <w:bookmarkStart w:id="247" w:name="_Toc184313245"/>
      <w:bookmarkEnd w:id="247"/>
      <w:bookmarkStart w:id="248" w:name="_Toc184313252"/>
      <w:bookmarkEnd w:id="248"/>
      <w:bookmarkStart w:id="249" w:name="_Toc184314441"/>
      <w:bookmarkEnd w:id="249"/>
      <w:bookmarkStart w:id="250" w:name="_Toc184312069"/>
      <w:bookmarkEnd w:id="250"/>
      <w:bookmarkStart w:id="251" w:name="_Toc184313292"/>
      <w:bookmarkEnd w:id="251"/>
      <w:bookmarkStart w:id="252" w:name="_Toc184310343"/>
      <w:bookmarkEnd w:id="252"/>
      <w:bookmarkStart w:id="253" w:name="_Toc184308078"/>
      <w:bookmarkEnd w:id="253"/>
      <w:bookmarkStart w:id="254" w:name="_Toc184310277"/>
      <w:bookmarkEnd w:id="254"/>
      <w:bookmarkStart w:id="255" w:name="_Toc184308073"/>
      <w:bookmarkEnd w:id="255"/>
      <w:bookmarkStart w:id="256" w:name="_Toc184313268"/>
      <w:bookmarkEnd w:id="256"/>
      <w:bookmarkStart w:id="257" w:name="_Toc184314455"/>
      <w:bookmarkEnd w:id="257"/>
      <w:bookmarkStart w:id="258" w:name="_Toc184310338"/>
      <w:bookmarkEnd w:id="258"/>
      <w:bookmarkStart w:id="259" w:name="_Toc184310340"/>
      <w:bookmarkEnd w:id="259"/>
      <w:bookmarkStart w:id="260" w:name="_Toc184310310"/>
      <w:bookmarkEnd w:id="260"/>
      <w:bookmarkStart w:id="261" w:name="_Toc184310294"/>
      <w:bookmarkEnd w:id="261"/>
      <w:bookmarkStart w:id="262" w:name="_Toc184310298"/>
      <w:bookmarkEnd w:id="262"/>
      <w:bookmarkStart w:id="263" w:name="_Toc184308099"/>
      <w:bookmarkEnd w:id="263"/>
      <w:bookmarkStart w:id="264" w:name="_Toc184308037"/>
      <w:bookmarkEnd w:id="264"/>
      <w:bookmarkStart w:id="265" w:name="_Toc184310325"/>
      <w:bookmarkEnd w:id="265"/>
      <w:bookmarkStart w:id="266" w:name="_Toc184313288"/>
      <w:bookmarkEnd w:id="266"/>
      <w:bookmarkStart w:id="267" w:name="_Toc184312133"/>
      <w:bookmarkEnd w:id="267"/>
      <w:bookmarkStart w:id="268" w:name="_Toc184314465"/>
      <w:bookmarkEnd w:id="268"/>
      <w:bookmarkStart w:id="269" w:name="_Toc184308074"/>
      <w:bookmarkEnd w:id="269"/>
      <w:bookmarkStart w:id="270" w:name="_Toc184314469"/>
      <w:bookmarkEnd w:id="270"/>
      <w:bookmarkStart w:id="271" w:name="_Toc184313290"/>
      <w:bookmarkEnd w:id="271"/>
      <w:bookmarkStart w:id="272" w:name="_Toc184310336"/>
      <w:bookmarkEnd w:id="272"/>
      <w:bookmarkStart w:id="273" w:name="_Toc184308049"/>
      <w:bookmarkEnd w:id="273"/>
      <w:bookmarkStart w:id="274" w:name="_Toc184310330"/>
      <w:bookmarkEnd w:id="274"/>
      <w:bookmarkStart w:id="275" w:name="_Toc184312137"/>
      <w:bookmarkEnd w:id="275"/>
      <w:bookmarkStart w:id="276" w:name="_Toc184308051"/>
      <w:bookmarkEnd w:id="276"/>
      <w:bookmarkStart w:id="277" w:name="_Toc184308048"/>
      <w:bookmarkEnd w:id="277"/>
      <w:bookmarkStart w:id="278" w:name="_Toc184314475"/>
      <w:bookmarkEnd w:id="278"/>
      <w:bookmarkStart w:id="279" w:name="_Toc184314425"/>
      <w:bookmarkEnd w:id="279"/>
      <w:bookmarkStart w:id="280" w:name="_Toc184310305"/>
      <w:bookmarkEnd w:id="280"/>
      <w:bookmarkStart w:id="281" w:name="_Toc184308107"/>
      <w:bookmarkEnd w:id="281"/>
      <w:bookmarkStart w:id="282" w:name="_Toc184312130"/>
      <w:bookmarkEnd w:id="282"/>
      <w:bookmarkStart w:id="283" w:name="_Toc184313298"/>
      <w:bookmarkEnd w:id="283"/>
      <w:bookmarkStart w:id="284" w:name="_Toc184308054"/>
      <w:bookmarkEnd w:id="284"/>
      <w:bookmarkStart w:id="285" w:name="_Toc184308104"/>
      <w:bookmarkEnd w:id="285"/>
      <w:bookmarkStart w:id="286" w:name="_Toc184312136"/>
      <w:bookmarkEnd w:id="286"/>
      <w:bookmarkStart w:id="287" w:name="_Toc184314436"/>
      <w:bookmarkEnd w:id="287"/>
      <w:bookmarkStart w:id="288" w:name="_Toc184312116"/>
      <w:bookmarkEnd w:id="288"/>
      <w:bookmarkStart w:id="289" w:name="_Toc184314446"/>
      <w:bookmarkEnd w:id="289"/>
      <w:bookmarkStart w:id="290" w:name="_Toc184313293"/>
      <w:bookmarkEnd w:id="290"/>
      <w:bookmarkStart w:id="291" w:name="_Toc184310280"/>
      <w:bookmarkEnd w:id="291"/>
      <w:bookmarkStart w:id="292" w:name="_Toc184312112"/>
      <w:bookmarkEnd w:id="292"/>
      <w:bookmarkStart w:id="293" w:name="_Toc184314452"/>
      <w:bookmarkEnd w:id="293"/>
      <w:bookmarkStart w:id="294" w:name="_Toc184312090"/>
      <w:bookmarkEnd w:id="294"/>
      <w:bookmarkStart w:id="295" w:name="_Toc184312119"/>
      <w:bookmarkEnd w:id="295"/>
      <w:bookmarkStart w:id="296" w:name="_Toc184312114"/>
      <w:bookmarkEnd w:id="296"/>
      <w:bookmarkStart w:id="297" w:name="_Toc184314443"/>
      <w:bookmarkEnd w:id="297"/>
      <w:bookmarkStart w:id="298" w:name="_Toc184313299"/>
      <w:bookmarkEnd w:id="298"/>
      <w:bookmarkStart w:id="299" w:name="_Toc184312098"/>
      <w:bookmarkEnd w:id="299"/>
      <w:bookmarkStart w:id="300" w:name="_Toc184308056"/>
      <w:bookmarkEnd w:id="300"/>
      <w:bookmarkStart w:id="301" w:name="_Toc184314424"/>
      <w:bookmarkEnd w:id="301"/>
      <w:bookmarkStart w:id="302" w:name="_Toc184310288"/>
      <w:bookmarkEnd w:id="302"/>
      <w:bookmarkStart w:id="303" w:name="_Toc184312125"/>
      <w:bookmarkEnd w:id="303"/>
      <w:bookmarkStart w:id="304" w:name="_Toc184310292"/>
      <w:bookmarkEnd w:id="304"/>
      <w:bookmarkStart w:id="305" w:name="_Toc184308076"/>
      <w:bookmarkEnd w:id="305"/>
      <w:bookmarkStart w:id="306" w:name="_Toc184310295"/>
      <w:bookmarkEnd w:id="306"/>
      <w:bookmarkStart w:id="307" w:name="_Toc184313296"/>
      <w:bookmarkEnd w:id="307"/>
      <w:bookmarkStart w:id="308" w:name="_Toc184314411"/>
      <w:bookmarkEnd w:id="308"/>
      <w:bookmarkStart w:id="309" w:name="_Toc184313261"/>
      <w:bookmarkEnd w:id="309"/>
      <w:bookmarkStart w:id="310" w:name="_Toc184308087"/>
      <w:bookmarkEnd w:id="310"/>
      <w:bookmarkStart w:id="311" w:name="_Toc184312127"/>
      <w:bookmarkEnd w:id="311"/>
      <w:bookmarkStart w:id="312" w:name="_Toc184312086"/>
      <w:bookmarkEnd w:id="312"/>
      <w:bookmarkStart w:id="313" w:name="_Toc184314418"/>
      <w:bookmarkEnd w:id="313"/>
      <w:bookmarkStart w:id="314" w:name="_Toc184314442"/>
      <w:bookmarkEnd w:id="314"/>
      <w:bookmarkStart w:id="315" w:name="_Toc184313277"/>
      <w:bookmarkEnd w:id="315"/>
      <w:bookmarkStart w:id="316" w:name="_Toc184308044"/>
      <w:bookmarkEnd w:id="316"/>
      <w:bookmarkStart w:id="317" w:name="_Toc184308066"/>
      <w:bookmarkEnd w:id="317"/>
      <w:bookmarkStart w:id="318" w:name="_Toc184310319"/>
      <w:bookmarkEnd w:id="318"/>
      <w:bookmarkStart w:id="319" w:name="_Toc184312102"/>
      <w:bookmarkEnd w:id="319"/>
      <w:bookmarkStart w:id="320" w:name="_Toc184314445"/>
      <w:bookmarkEnd w:id="320"/>
      <w:bookmarkStart w:id="321" w:name="_Toc184314457"/>
      <w:bookmarkEnd w:id="321"/>
      <w:bookmarkStart w:id="322" w:name="_Toc184314453"/>
      <w:bookmarkEnd w:id="322"/>
      <w:bookmarkStart w:id="323" w:name="_Toc184314458"/>
      <w:bookmarkEnd w:id="323"/>
      <w:bookmarkStart w:id="324" w:name="_Toc184313273"/>
      <w:bookmarkEnd w:id="324"/>
      <w:bookmarkStart w:id="325" w:name="_Toc184312082"/>
      <w:bookmarkEnd w:id="325"/>
      <w:bookmarkStart w:id="326" w:name="_Toc184308081"/>
      <w:bookmarkEnd w:id="326"/>
      <w:bookmarkStart w:id="327" w:name="_Toc184313267"/>
      <w:bookmarkEnd w:id="327"/>
      <w:bookmarkStart w:id="328" w:name="_Toc184314412"/>
      <w:bookmarkEnd w:id="328"/>
      <w:bookmarkStart w:id="329" w:name="_Toc184314434"/>
      <w:bookmarkEnd w:id="329"/>
      <w:bookmarkStart w:id="330" w:name="_Toc184314459"/>
      <w:bookmarkEnd w:id="330"/>
      <w:bookmarkStart w:id="331" w:name="_Toc184312117"/>
      <w:bookmarkEnd w:id="331"/>
      <w:bookmarkStart w:id="332" w:name="_Toc184310291"/>
      <w:bookmarkEnd w:id="332"/>
      <w:bookmarkStart w:id="333" w:name="_Toc184310273"/>
      <w:bookmarkEnd w:id="333"/>
      <w:bookmarkStart w:id="334" w:name="_Toc184314463"/>
      <w:bookmarkEnd w:id="334"/>
      <w:bookmarkStart w:id="335" w:name="_Toc184313257"/>
      <w:bookmarkEnd w:id="335"/>
      <w:bookmarkStart w:id="336" w:name="_Toc184310331"/>
      <w:bookmarkEnd w:id="336"/>
      <w:bookmarkStart w:id="337" w:name="_Toc184308040"/>
      <w:bookmarkEnd w:id="337"/>
      <w:bookmarkStart w:id="338" w:name="_Toc184312108"/>
      <w:bookmarkEnd w:id="338"/>
      <w:bookmarkStart w:id="339" w:name="_Toc184310335"/>
      <w:bookmarkEnd w:id="339"/>
      <w:bookmarkStart w:id="340" w:name="_Toc184313304"/>
      <w:bookmarkEnd w:id="340"/>
      <w:bookmarkStart w:id="341" w:name="_Toc184308091"/>
      <w:bookmarkEnd w:id="341"/>
      <w:bookmarkStart w:id="342" w:name="_Toc184312077"/>
      <w:bookmarkEnd w:id="342"/>
      <w:bookmarkStart w:id="343" w:name="_Toc184312120"/>
      <w:bookmarkEnd w:id="343"/>
      <w:bookmarkStart w:id="344" w:name="_Toc184310342"/>
      <w:bookmarkEnd w:id="344"/>
      <w:bookmarkStart w:id="345" w:name="_Toc184310290"/>
      <w:bookmarkEnd w:id="345"/>
      <w:bookmarkStart w:id="346" w:name="_Toc184314466"/>
      <w:bookmarkEnd w:id="346"/>
      <w:bookmarkStart w:id="347" w:name="_Toc184308084"/>
      <w:bookmarkEnd w:id="347"/>
      <w:bookmarkStart w:id="348" w:name="_Toc184314480"/>
      <w:bookmarkEnd w:id="348"/>
      <w:bookmarkStart w:id="349" w:name="_Toc184312123"/>
      <w:bookmarkEnd w:id="349"/>
      <w:bookmarkStart w:id="350" w:name="_Toc184308086"/>
      <w:bookmarkEnd w:id="350"/>
      <w:bookmarkStart w:id="351" w:name="_Toc184308038"/>
      <w:bookmarkEnd w:id="351"/>
      <w:bookmarkStart w:id="352" w:name="_Toc184310326"/>
      <w:bookmarkEnd w:id="352"/>
      <w:bookmarkStart w:id="353" w:name="_Toc184312084"/>
      <w:bookmarkEnd w:id="353"/>
      <w:bookmarkStart w:id="354" w:name="_Toc184310274"/>
      <w:bookmarkEnd w:id="354"/>
      <w:bookmarkStart w:id="355" w:name="_Toc184313282"/>
      <w:bookmarkEnd w:id="355"/>
      <w:bookmarkStart w:id="356" w:name="_Toc184314447"/>
      <w:bookmarkEnd w:id="356"/>
      <w:bookmarkStart w:id="357" w:name="_Toc184314461"/>
      <w:bookmarkEnd w:id="357"/>
      <w:bookmarkStart w:id="358" w:name="_Toc184313295"/>
      <w:bookmarkEnd w:id="358"/>
      <w:bookmarkStart w:id="359" w:name="_Toc184310311"/>
      <w:bookmarkEnd w:id="359"/>
      <w:bookmarkStart w:id="360" w:name="_Toc184314473"/>
      <w:bookmarkEnd w:id="360"/>
      <w:bookmarkStart w:id="361" w:name="_Toc184313272"/>
      <w:bookmarkEnd w:id="361"/>
      <w:bookmarkStart w:id="362" w:name="_Toc184312075"/>
      <w:bookmarkEnd w:id="362"/>
      <w:bookmarkStart w:id="363" w:name="_Toc184312129"/>
      <w:bookmarkEnd w:id="363"/>
      <w:bookmarkStart w:id="364" w:name="_Toc184310289"/>
      <w:bookmarkEnd w:id="364"/>
      <w:bookmarkStart w:id="365" w:name="_Toc184314450"/>
      <w:bookmarkEnd w:id="365"/>
      <w:bookmarkStart w:id="366" w:name="_Toc184308096"/>
      <w:bookmarkEnd w:id="366"/>
      <w:bookmarkStart w:id="367" w:name="_Toc184312085"/>
      <w:bookmarkEnd w:id="367"/>
      <w:bookmarkStart w:id="368" w:name="_Toc184310301"/>
      <w:bookmarkEnd w:id="368"/>
      <w:bookmarkStart w:id="369" w:name="_Toc184308106"/>
      <w:bookmarkEnd w:id="369"/>
      <w:bookmarkStart w:id="370" w:name="_Toc184310333"/>
      <w:bookmarkEnd w:id="370"/>
      <w:bookmarkStart w:id="371" w:name="_Toc184308083"/>
      <w:bookmarkEnd w:id="371"/>
      <w:bookmarkStart w:id="372" w:name="_Toc184310279"/>
      <w:bookmarkEnd w:id="372"/>
      <w:bookmarkStart w:id="373" w:name="_Toc184314417"/>
      <w:bookmarkEnd w:id="373"/>
      <w:bookmarkStart w:id="374" w:name="_Toc184308045"/>
      <w:bookmarkEnd w:id="374"/>
      <w:bookmarkStart w:id="375" w:name="_Toc184312081"/>
      <w:bookmarkEnd w:id="375"/>
      <w:bookmarkStart w:id="376" w:name="_Toc184314414"/>
      <w:bookmarkEnd w:id="376"/>
      <w:bookmarkStart w:id="377" w:name="_Toc184314472"/>
      <w:bookmarkEnd w:id="377"/>
      <w:bookmarkStart w:id="378" w:name="_Toc184312067"/>
      <w:bookmarkEnd w:id="378"/>
      <w:bookmarkStart w:id="379" w:name="_Toc184310323"/>
      <w:bookmarkEnd w:id="379"/>
      <w:bookmarkStart w:id="380" w:name="_Toc184308108"/>
      <w:bookmarkEnd w:id="380"/>
      <w:bookmarkStart w:id="381" w:name="_Toc184314449"/>
      <w:bookmarkEnd w:id="381"/>
      <w:bookmarkStart w:id="382" w:name="_Toc184308094"/>
      <w:bookmarkEnd w:id="382"/>
      <w:bookmarkStart w:id="383" w:name="_Toc184308100"/>
      <w:bookmarkEnd w:id="383"/>
      <w:bookmarkStart w:id="384" w:name="_Toc184308042"/>
      <w:bookmarkEnd w:id="384"/>
      <w:bookmarkStart w:id="385" w:name="_Toc184308062"/>
      <w:bookmarkEnd w:id="385"/>
      <w:bookmarkStart w:id="386" w:name="_Toc184312089"/>
      <w:bookmarkEnd w:id="386"/>
      <w:bookmarkStart w:id="387" w:name="_Toc184310303"/>
      <w:bookmarkEnd w:id="387"/>
      <w:bookmarkStart w:id="388" w:name="_Toc184310314"/>
      <w:bookmarkEnd w:id="388"/>
      <w:bookmarkStart w:id="389" w:name="_Toc184312139"/>
      <w:bookmarkEnd w:id="389"/>
      <w:bookmarkStart w:id="390" w:name="_Toc184313301"/>
      <w:bookmarkEnd w:id="390"/>
      <w:bookmarkStart w:id="391" w:name="_Toc184313306"/>
      <w:bookmarkEnd w:id="391"/>
      <w:bookmarkStart w:id="392" w:name="_Toc184313254"/>
      <w:bookmarkEnd w:id="392"/>
      <w:bookmarkStart w:id="393" w:name="_Toc184310285"/>
      <w:bookmarkEnd w:id="393"/>
      <w:bookmarkStart w:id="394" w:name="_Toc184312071"/>
      <w:bookmarkEnd w:id="394"/>
      <w:bookmarkStart w:id="395" w:name="_Toc184310306"/>
      <w:bookmarkEnd w:id="395"/>
      <w:bookmarkStart w:id="396" w:name="_Toc184310278"/>
      <w:bookmarkEnd w:id="396"/>
      <w:bookmarkStart w:id="397" w:name="_Toc184314482"/>
      <w:bookmarkEnd w:id="397"/>
      <w:bookmarkStart w:id="398" w:name="_Toc184313300"/>
      <w:bookmarkEnd w:id="398"/>
      <w:bookmarkStart w:id="399" w:name="_Toc184310283"/>
      <w:bookmarkEnd w:id="399"/>
      <w:bookmarkStart w:id="400" w:name="_Toc184308046"/>
      <w:bookmarkEnd w:id="400"/>
      <w:bookmarkStart w:id="401" w:name="_Toc184308105"/>
      <w:bookmarkEnd w:id="401"/>
      <w:bookmarkStart w:id="402" w:name="_Toc184313244"/>
      <w:bookmarkEnd w:id="402"/>
      <w:bookmarkStart w:id="403" w:name="_Toc184310272"/>
      <w:bookmarkEnd w:id="403"/>
      <w:bookmarkStart w:id="404" w:name="_Toc184313246"/>
      <w:bookmarkEnd w:id="404"/>
      <w:bookmarkStart w:id="405" w:name="_Toc184314432"/>
      <w:bookmarkEnd w:id="405"/>
      <w:bookmarkStart w:id="406" w:name="_Toc184314470"/>
      <w:bookmarkEnd w:id="406"/>
      <w:bookmarkStart w:id="407" w:name="_Toc184314438"/>
      <w:bookmarkEnd w:id="407"/>
      <w:bookmarkStart w:id="408" w:name="_Toc184314444"/>
      <w:bookmarkEnd w:id="408"/>
      <w:bookmarkStart w:id="409" w:name="_Toc184314420"/>
      <w:bookmarkEnd w:id="409"/>
      <w:bookmarkStart w:id="410" w:name="_Toc184313238"/>
      <w:bookmarkEnd w:id="410"/>
      <w:bookmarkStart w:id="411" w:name="_Toc184312092"/>
      <w:bookmarkEnd w:id="411"/>
      <w:bookmarkStart w:id="412" w:name="_Toc184308089"/>
      <w:bookmarkEnd w:id="412"/>
      <w:bookmarkStart w:id="413" w:name="_Toc184312093"/>
      <w:bookmarkEnd w:id="413"/>
      <w:bookmarkStart w:id="414" w:name="_Toc184313266"/>
      <w:bookmarkEnd w:id="414"/>
      <w:bookmarkStart w:id="415" w:name="_Toc184310324"/>
      <w:bookmarkEnd w:id="415"/>
      <w:bookmarkStart w:id="416" w:name="_Toc184312115"/>
      <w:bookmarkEnd w:id="416"/>
      <w:bookmarkStart w:id="417" w:name="_Toc184312099"/>
      <w:bookmarkEnd w:id="417"/>
      <w:bookmarkStart w:id="418" w:name="_Toc184314415"/>
      <w:bookmarkEnd w:id="418"/>
      <w:bookmarkStart w:id="419" w:name="_Toc184308067"/>
      <w:bookmarkEnd w:id="419"/>
      <w:bookmarkStart w:id="420" w:name="_Toc184313243"/>
      <w:bookmarkEnd w:id="420"/>
      <w:bookmarkStart w:id="421" w:name="_Toc184308041"/>
      <w:bookmarkEnd w:id="421"/>
      <w:bookmarkStart w:id="422" w:name="_Toc184312105"/>
      <w:bookmarkEnd w:id="422"/>
      <w:bookmarkStart w:id="423" w:name="_Toc184314440"/>
      <w:bookmarkEnd w:id="423"/>
      <w:bookmarkStart w:id="424" w:name="_Toc184310312"/>
      <w:bookmarkEnd w:id="424"/>
      <w:bookmarkStart w:id="425" w:name="_Toc184314410"/>
      <w:bookmarkEnd w:id="425"/>
      <w:bookmarkStart w:id="426" w:name="_Toc184312111"/>
      <w:bookmarkEnd w:id="426"/>
      <w:bookmarkStart w:id="427" w:name="_Toc184313239"/>
      <w:bookmarkEnd w:id="427"/>
      <w:bookmarkStart w:id="428" w:name="_Toc184312078"/>
      <w:bookmarkEnd w:id="428"/>
      <w:bookmarkStart w:id="429" w:name="_Toc184310300"/>
      <w:bookmarkEnd w:id="429"/>
      <w:bookmarkStart w:id="430" w:name="_Toc184308039"/>
      <w:bookmarkEnd w:id="430"/>
      <w:bookmarkStart w:id="431" w:name="_Toc184312104"/>
      <w:bookmarkEnd w:id="431"/>
      <w:bookmarkStart w:id="432" w:name="_Toc184310299"/>
      <w:bookmarkEnd w:id="432"/>
      <w:bookmarkStart w:id="433" w:name="_Toc184313274"/>
      <w:bookmarkEnd w:id="433"/>
      <w:bookmarkStart w:id="434" w:name="_Toc184310316"/>
      <w:bookmarkEnd w:id="434"/>
      <w:bookmarkStart w:id="435" w:name="_Toc184308079"/>
      <w:bookmarkEnd w:id="435"/>
      <w:bookmarkStart w:id="436" w:name="_Toc184310339"/>
      <w:bookmarkEnd w:id="436"/>
      <w:bookmarkStart w:id="437" w:name="_Toc184312110"/>
      <w:bookmarkEnd w:id="437"/>
      <w:bookmarkStart w:id="438" w:name="_Toc184313264"/>
      <w:bookmarkEnd w:id="438"/>
      <w:bookmarkStart w:id="439" w:name="_Toc184313262"/>
      <w:bookmarkEnd w:id="439"/>
      <w:bookmarkStart w:id="440" w:name="_Toc184310341"/>
      <w:bookmarkEnd w:id="440"/>
      <w:r>
        <w:rPr>
          <w:rFonts w:hint="eastAsia" w:ascii="宋体" w:hAnsi="宋体" w:cs="宋体"/>
          <w:b/>
          <w:color w:val="auto"/>
          <w:sz w:val="36"/>
          <w:szCs w:val="36"/>
          <w:highlight w:val="none"/>
        </w:rPr>
        <w:t>评标办法</w:t>
      </w:r>
      <w:bookmarkEnd w:id="74"/>
      <w:bookmarkEnd w:id="75"/>
    </w:p>
    <w:p>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9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1699"/>
        <w:gridCol w:w="709"/>
        <w:gridCol w:w="5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pPr>
              <w:spacing w:line="360" w:lineRule="auto"/>
              <w:jc w:val="center"/>
              <w:rPr>
                <w:color w:val="auto"/>
              </w:rPr>
            </w:pPr>
            <w:r>
              <w:rPr>
                <w:rFonts w:hint="eastAsia"/>
                <w:color w:val="auto"/>
              </w:rPr>
              <w:t>序号</w:t>
            </w:r>
          </w:p>
        </w:tc>
        <w:tc>
          <w:tcPr>
            <w:tcW w:w="1699" w:type="dxa"/>
            <w:vAlign w:val="center"/>
          </w:tcPr>
          <w:p>
            <w:pPr>
              <w:spacing w:line="360" w:lineRule="auto"/>
              <w:rPr>
                <w:color w:val="auto"/>
              </w:rPr>
            </w:pPr>
            <w:r>
              <w:rPr>
                <w:rFonts w:hint="eastAsia"/>
                <w:color w:val="auto"/>
              </w:rPr>
              <w:t>评标项目</w:t>
            </w:r>
          </w:p>
        </w:tc>
        <w:tc>
          <w:tcPr>
            <w:tcW w:w="709" w:type="dxa"/>
            <w:vAlign w:val="center"/>
          </w:tcPr>
          <w:p>
            <w:pPr>
              <w:spacing w:line="360" w:lineRule="auto"/>
              <w:rPr>
                <w:color w:val="auto"/>
              </w:rPr>
            </w:pPr>
            <w:r>
              <w:rPr>
                <w:rFonts w:hint="eastAsia"/>
                <w:color w:val="auto"/>
              </w:rPr>
              <w:t>评标分值</w:t>
            </w:r>
          </w:p>
        </w:tc>
        <w:tc>
          <w:tcPr>
            <w:tcW w:w="5974" w:type="dxa"/>
            <w:vAlign w:val="center"/>
          </w:tcPr>
          <w:p>
            <w:pPr>
              <w:spacing w:line="360" w:lineRule="auto"/>
              <w:jc w:val="center"/>
              <w:rPr>
                <w:color w:val="auto"/>
              </w:rPr>
            </w:pPr>
            <w:r>
              <w:rPr>
                <w:rFonts w:hint="eastAsia"/>
                <w:color w:val="auto"/>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pPr>
              <w:spacing w:line="360" w:lineRule="auto"/>
              <w:jc w:val="center"/>
              <w:rPr>
                <w:color w:val="auto"/>
              </w:rPr>
            </w:pPr>
            <w:r>
              <w:rPr>
                <w:rFonts w:hint="eastAsia"/>
                <w:color w:val="auto"/>
              </w:rPr>
              <w:t>1</w:t>
            </w:r>
          </w:p>
        </w:tc>
        <w:tc>
          <w:tcPr>
            <w:tcW w:w="1699" w:type="dxa"/>
            <w:vAlign w:val="center"/>
          </w:tcPr>
          <w:p>
            <w:pPr>
              <w:spacing w:line="360" w:lineRule="auto"/>
              <w:rPr>
                <w:color w:val="auto"/>
              </w:rPr>
            </w:pPr>
            <w:r>
              <w:rPr>
                <w:rFonts w:hint="eastAsia"/>
                <w:color w:val="auto"/>
              </w:rPr>
              <w:t>价格分</w:t>
            </w:r>
          </w:p>
        </w:tc>
        <w:tc>
          <w:tcPr>
            <w:tcW w:w="709" w:type="dxa"/>
            <w:vAlign w:val="center"/>
          </w:tcPr>
          <w:p>
            <w:pPr>
              <w:spacing w:line="360" w:lineRule="auto"/>
              <w:rPr>
                <w:color w:val="auto"/>
              </w:rPr>
            </w:pPr>
            <w:r>
              <w:rPr>
                <w:rFonts w:hint="eastAsia"/>
                <w:color w:val="auto"/>
              </w:rPr>
              <w:t>30分</w:t>
            </w:r>
          </w:p>
        </w:tc>
        <w:tc>
          <w:tcPr>
            <w:tcW w:w="5974" w:type="dxa"/>
            <w:vAlign w:val="center"/>
          </w:tcPr>
          <w:p>
            <w:pPr>
              <w:spacing w:line="360" w:lineRule="auto"/>
              <w:rPr>
                <w:color w:val="auto"/>
              </w:rPr>
            </w:pPr>
            <w:r>
              <w:rPr>
                <w:rFonts w:hint="eastAsia"/>
                <w:color w:val="auto"/>
              </w:rPr>
              <w:t>（1）评标报价为投标人的投标报价进行政策性扣除后的价格，评标报价只是作为评标时使用。最终中标人的中标金额等于投标报价。</w:t>
            </w:r>
          </w:p>
          <w:p>
            <w:pPr>
              <w:spacing w:line="360" w:lineRule="auto"/>
              <w:rPr>
                <w:color w:val="auto"/>
              </w:rPr>
            </w:pPr>
            <w:r>
              <w:rPr>
                <w:rFonts w:hint="eastAsia"/>
                <w:color w:val="auto"/>
              </w:rPr>
              <w:t>（2）①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pPr>
              <w:spacing w:line="360" w:lineRule="auto"/>
              <w:rPr>
                <w:color w:val="auto"/>
              </w:rPr>
            </w:pPr>
            <w:r>
              <w:rPr>
                <w:rFonts w:hint="eastAsia"/>
                <w:color w:val="auto"/>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rPr>
                <w:color w:val="auto"/>
              </w:rPr>
            </w:pPr>
            <w:r>
              <w:rPr>
                <w:rFonts w:hint="eastAsia"/>
                <w:color w:val="auto"/>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rPr>
                <w:color w:val="auto"/>
              </w:rPr>
            </w:pPr>
            <w:r>
              <w:rPr>
                <w:rFonts w:hint="eastAsia"/>
                <w:color w:val="auto"/>
              </w:rPr>
              <w:t>④政策性扣除计算方法：评标报价=投标报价×（1-20%）；除上述政策性扣除情况外，评标报价=投标报价。</w:t>
            </w:r>
          </w:p>
          <w:p>
            <w:pPr>
              <w:spacing w:line="360" w:lineRule="auto"/>
              <w:rPr>
                <w:color w:val="auto"/>
              </w:rPr>
            </w:pPr>
            <w:r>
              <w:rPr>
                <w:rFonts w:hint="eastAsia"/>
                <w:color w:val="auto"/>
              </w:rPr>
              <w:t>（3）满足招标文件要求且评标报价最低的评标报价为评标基准价，基准价报价得分为 30 分。</w:t>
            </w:r>
          </w:p>
          <w:p>
            <w:pPr>
              <w:spacing w:line="360" w:lineRule="auto"/>
              <w:rPr>
                <w:color w:val="auto"/>
              </w:rPr>
            </w:pPr>
            <w:r>
              <w:rPr>
                <w:rFonts w:hint="eastAsia"/>
                <w:color w:val="auto"/>
              </w:rPr>
              <w:t>（4）价格分计算公式：价格分=(评标基准价／评标报价)×30分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7" w:type="dxa"/>
            <w:vAlign w:val="center"/>
          </w:tcPr>
          <w:p>
            <w:pPr>
              <w:spacing w:line="360" w:lineRule="auto"/>
              <w:jc w:val="center"/>
              <w:rPr>
                <w:color w:val="auto"/>
              </w:rPr>
            </w:pPr>
            <w:r>
              <w:rPr>
                <w:rFonts w:hint="eastAsia"/>
                <w:color w:val="auto"/>
              </w:rPr>
              <w:t>2</w:t>
            </w:r>
          </w:p>
        </w:tc>
        <w:tc>
          <w:tcPr>
            <w:tcW w:w="1699" w:type="dxa"/>
            <w:vAlign w:val="center"/>
          </w:tcPr>
          <w:p>
            <w:pPr>
              <w:spacing w:line="360" w:lineRule="auto"/>
              <w:rPr>
                <w:color w:val="auto"/>
              </w:rPr>
            </w:pPr>
            <w:r>
              <w:rPr>
                <w:rFonts w:hint="eastAsia"/>
                <w:color w:val="auto"/>
              </w:rPr>
              <w:t>设备性能及配置</w:t>
            </w:r>
          </w:p>
        </w:tc>
        <w:tc>
          <w:tcPr>
            <w:tcW w:w="709" w:type="dxa"/>
            <w:vAlign w:val="center"/>
          </w:tcPr>
          <w:p>
            <w:pPr>
              <w:spacing w:line="360" w:lineRule="auto"/>
              <w:rPr>
                <w:color w:val="auto"/>
              </w:rPr>
            </w:pPr>
            <w:r>
              <w:rPr>
                <w:rFonts w:hint="eastAsia"/>
                <w:color w:val="auto"/>
              </w:rPr>
              <w:t>1</w:t>
            </w:r>
            <w:r>
              <w:rPr>
                <w:rFonts w:hint="eastAsia"/>
                <w:color w:val="auto"/>
                <w:lang w:val="en-US" w:eastAsia="zh-CN"/>
              </w:rPr>
              <w:t>5</w:t>
            </w:r>
            <w:r>
              <w:rPr>
                <w:rFonts w:hint="eastAsia"/>
                <w:color w:val="auto"/>
              </w:rPr>
              <w:t>分</w:t>
            </w:r>
          </w:p>
        </w:tc>
        <w:tc>
          <w:tcPr>
            <w:tcW w:w="5974" w:type="dxa"/>
            <w:vAlign w:val="center"/>
          </w:tcPr>
          <w:p>
            <w:pPr>
              <w:spacing w:line="360" w:lineRule="auto"/>
              <w:rPr>
                <w:color w:val="auto"/>
              </w:rPr>
            </w:pPr>
            <w:r>
              <w:rPr>
                <w:rFonts w:hint="eastAsia"/>
                <w:color w:val="auto"/>
              </w:rPr>
              <w:t>重要技术参数、性能、配置（指招标项目采购需求标注“★”的技术参数及配置）全部满足得1</w:t>
            </w:r>
            <w:r>
              <w:rPr>
                <w:rFonts w:hint="eastAsia"/>
                <w:color w:val="auto"/>
                <w:lang w:val="en-US" w:eastAsia="zh-CN"/>
              </w:rPr>
              <w:t>5</w:t>
            </w:r>
            <w:r>
              <w:rPr>
                <w:rFonts w:hint="eastAsia"/>
                <w:color w:val="auto"/>
              </w:rPr>
              <w:t>分，每有一项负偏离扣</w:t>
            </w:r>
            <w:r>
              <w:rPr>
                <w:rFonts w:hint="eastAsia"/>
                <w:color w:val="auto"/>
                <w:lang w:val="en-US" w:eastAsia="zh-CN"/>
              </w:rPr>
              <w:t>0.5</w:t>
            </w:r>
            <w:r>
              <w:rPr>
                <w:rFonts w:hint="eastAsia"/>
                <w:color w:val="auto"/>
              </w:rPr>
              <w:t>分，扣完为止。招标文件如要求提供重要技术参数、性能、配置响应的相关证明材料（相关证明材料可以是第三方机构检测报告、测试报告等能体现具体参数的证明材料复印件并加盖投标人电子印章），未提供的视为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pPr>
              <w:spacing w:line="360" w:lineRule="auto"/>
              <w:jc w:val="center"/>
              <w:rPr>
                <w:color w:val="auto"/>
              </w:rPr>
            </w:pPr>
            <w:r>
              <w:rPr>
                <w:rFonts w:hint="eastAsia"/>
                <w:color w:val="auto"/>
              </w:rPr>
              <w:t>3</w:t>
            </w:r>
          </w:p>
        </w:tc>
        <w:tc>
          <w:tcPr>
            <w:tcW w:w="1699" w:type="dxa"/>
            <w:vAlign w:val="center"/>
          </w:tcPr>
          <w:p>
            <w:pPr>
              <w:spacing w:line="360" w:lineRule="auto"/>
              <w:rPr>
                <w:color w:val="auto"/>
              </w:rPr>
            </w:pPr>
            <w:r>
              <w:rPr>
                <w:rFonts w:hint="eastAsia"/>
                <w:color w:val="auto"/>
              </w:rPr>
              <w:t>项目实施方案</w:t>
            </w:r>
          </w:p>
        </w:tc>
        <w:tc>
          <w:tcPr>
            <w:tcW w:w="709" w:type="dxa"/>
            <w:vAlign w:val="center"/>
          </w:tcPr>
          <w:p>
            <w:pPr>
              <w:spacing w:line="360" w:lineRule="auto"/>
              <w:rPr>
                <w:color w:val="auto"/>
              </w:rPr>
            </w:pPr>
            <w:r>
              <w:rPr>
                <w:rFonts w:hint="eastAsia"/>
                <w:color w:val="auto"/>
              </w:rPr>
              <w:t>30分</w:t>
            </w:r>
          </w:p>
        </w:tc>
        <w:tc>
          <w:tcPr>
            <w:tcW w:w="5974" w:type="dxa"/>
            <w:vAlign w:val="center"/>
          </w:tcPr>
          <w:p>
            <w:pPr>
              <w:spacing w:line="360" w:lineRule="auto"/>
              <w:rPr>
                <w:color w:val="auto"/>
              </w:rPr>
            </w:pPr>
            <w:r>
              <w:rPr>
                <w:rFonts w:hint="eastAsia"/>
                <w:color w:val="auto"/>
              </w:rPr>
              <w:t>投标文件中未提供项目实施方案不得分</w:t>
            </w:r>
          </w:p>
          <w:p>
            <w:pPr>
              <w:spacing w:line="360" w:lineRule="auto"/>
              <w:rPr>
                <w:color w:val="auto"/>
              </w:rPr>
            </w:pPr>
            <w:r>
              <w:rPr>
                <w:rFonts w:hint="eastAsia"/>
                <w:b/>
                <w:bCs/>
                <w:color w:val="auto"/>
              </w:rPr>
              <w:t>一档（3分）：</w:t>
            </w:r>
            <w:r>
              <w:rPr>
                <w:rFonts w:hint="eastAsia"/>
                <w:color w:val="auto"/>
              </w:rPr>
              <w:t>具有项目管理措施，包含设备安装具体实施流程。</w:t>
            </w:r>
          </w:p>
          <w:p>
            <w:pPr>
              <w:spacing w:line="360" w:lineRule="auto"/>
              <w:rPr>
                <w:color w:val="auto"/>
              </w:rPr>
            </w:pPr>
            <w:r>
              <w:rPr>
                <w:rFonts w:hint="eastAsia"/>
                <w:b/>
                <w:bCs/>
                <w:color w:val="auto"/>
              </w:rPr>
              <w:t>二档（12分）：</w:t>
            </w:r>
            <w:r>
              <w:rPr>
                <w:rFonts w:hint="eastAsia"/>
                <w:color w:val="auto"/>
              </w:rPr>
              <w:t>具有项目管理措施，包含设备安装具体实施流程、设备运输安排、设备运输过程中保护措施、设备调试进度安排、设备质量保证措施。</w:t>
            </w:r>
          </w:p>
          <w:p>
            <w:pPr>
              <w:spacing w:line="360" w:lineRule="auto"/>
              <w:rPr>
                <w:color w:val="auto"/>
              </w:rPr>
            </w:pPr>
            <w:r>
              <w:rPr>
                <w:rFonts w:hint="eastAsia"/>
                <w:b/>
                <w:bCs/>
                <w:color w:val="auto"/>
              </w:rPr>
              <w:t>三档（21分）：</w:t>
            </w:r>
            <w:r>
              <w:rPr>
                <w:rFonts w:hint="eastAsia"/>
                <w:color w:val="auto"/>
              </w:rPr>
              <w:t>具有项目管理措施，包含设备安装具体实施流程、设备运输安排、设备运输过程中保护措施、设备调试进度安排、设备质量保证措施，具有项目风险防范措施，提供实施各个阶段工作安排和进度计划。</w:t>
            </w:r>
          </w:p>
          <w:p>
            <w:pPr>
              <w:spacing w:line="360" w:lineRule="auto"/>
              <w:rPr>
                <w:color w:val="auto"/>
              </w:rPr>
            </w:pPr>
            <w:r>
              <w:rPr>
                <w:rFonts w:hint="eastAsia"/>
                <w:b/>
                <w:bCs/>
                <w:color w:val="auto"/>
              </w:rPr>
              <w:t>四档（30分）：</w:t>
            </w:r>
            <w:r>
              <w:rPr>
                <w:rFonts w:hint="eastAsia"/>
                <w:color w:val="auto"/>
              </w:rPr>
              <w:t>具有项目管理措施，包含设备安装具体实施流程、设备运输安排、设备运输过程中保护措施、设备交付进度安排、设备安装过程中的保护措施、设备调试进度安排、设备质量保证措施、设备安装调试风险防范措施，具有机房施工防范措施，提供实施各个阶段工作安排和进度计划，有管理组织机构图，提供各阶段风险管理措施、联调及验收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7" w:type="dxa"/>
            <w:vAlign w:val="center"/>
          </w:tcPr>
          <w:p>
            <w:pPr>
              <w:spacing w:line="360" w:lineRule="auto"/>
              <w:jc w:val="center"/>
              <w:rPr>
                <w:color w:val="auto"/>
              </w:rPr>
            </w:pPr>
            <w:r>
              <w:rPr>
                <w:rFonts w:hint="eastAsia"/>
                <w:color w:val="auto"/>
              </w:rPr>
              <w:t>4</w:t>
            </w:r>
          </w:p>
        </w:tc>
        <w:tc>
          <w:tcPr>
            <w:tcW w:w="1699" w:type="dxa"/>
            <w:vAlign w:val="center"/>
          </w:tcPr>
          <w:p>
            <w:pPr>
              <w:spacing w:line="360" w:lineRule="auto"/>
              <w:rPr>
                <w:color w:val="auto"/>
              </w:rPr>
            </w:pPr>
            <w:bookmarkStart w:id="473" w:name="_GoBack"/>
            <w:bookmarkStart w:id="441" w:name="OLE_LINK10"/>
            <w:r>
              <w:rPr>
                <w:rFonts w:hint="eastAsia"/>
                <w:color w:val="auto"/>
              </w:rPr>
              <w:t>售后服务分</w:t>
            </w:r>
            <w:bookmarkEnd w:id="441"/>
            <w:bookmarkEnd w:id="473"/>
          </w:p>
        </w:tc>
        <w:tc>
          <w:tcPr>
            <w:tcW w:w="709" w:type="dxa"/>
            <w:vAlign w:val="center"/>
          </w:tcPr>
          <w:p>
            <w:pPr>
              <w:spacing w:line="360" w:lineRule="auto"/>
              <w:rPr>
                <w:color w:val="auto"/>
              </w:rPr>
            </w:pPr>
            <w:r>
              <w:rPr>
                <w:rFonts w:hint="eastAsia"/>
                <w:color w:val="auto"/>
                <w:lang w:val="en-US" w:eastAsia="zh-CN"/>
              </w:rPr>
              <w:t>22</w:t>
            </w:r>
            <w:r>
              <w:rPr>
                <w:rFonts w:hint="eastAsia"/>
                <w:color w:val="auto"/>
              </w:rPr>
              <w:t>分</w:t>
            </w:r>
          </w:p>
        </w:tc>
        <w:tc>
          <w:tcPr>
            <w:tcW w:w="5974" w:type="dxa"/>
            <w:vAlign w:val="center"/>
          </w:tcPr>
          <w:p>
            <w:pPr>
              <w:spacing w:line="360" w:lineRule="auto"/>
              <w:rPr>
                <w:rFonts w:ascii="宋体" w:hAnsi="宋体" w:cs="宋体"/>
                <w:color w:val="auto"/>
              </w:rPr>
            </w:pPr>
            <w:r>
              <w:rPr>
                <w:rFonts w:hint="eastAsia" w:ascii="宋体" w:hAnsi="宋体" w:cs="宋体"/>
                <w:color w:val="auto"/>
              </w:rPr>
              <w:t>评标委员会对投标供应商的投标文件中售后服务承诺书内容，即：到达故障现场时间、问题出现解决方案、送货方案其他优惠措施等方面，由评标委员会根据各投标供应商的承诺的内容进行独立打分。</w:t>
            </w:r>
          </w:p>
          <w:p>
            <w:pPr>
              <w:spacing w:line="360" w:lineRule="auto"/>
              <w:rPr>
                <w:rFonts w:ascii="宋体" w:hAnsi="宋体" w:cs="宋体"/>
                <w:color w:val="auto"/>
              </w:rPr>
            </w:pPr>
            <w:r>
              <w:rPr>
                <w:rFonts w:hint="eastAsia" w:ascii="宋体" w:hAnsi="宋体" w:cs="宋体"/>
                <w:b/>
                <w:bCs/>
                <w:color w:val="auto"/>
              </w:rPr>
              <w:t>一档（6分）：</w:t>
            </w:r>
            <w:r>
              <w:rPr>
                <w:rFonts w:hint="eastAsia" w:ascii="宋体" w:hAnsi="宋体" w:cs="宋体"/>
                <w:bCs/>
                <w:color w:val="auto"/>
              </w:rPr>
              <w:t>基本</w:t>
            </w:r>
            <w:r>
              <w:rPr>
                <w:rFonts w:hint="eastAsia" w:ascii="宋体" w:hAnsi="宋体" w:cs="宋体"/>
                <w:color w:val="auto"/>
              </w:rPr>
              <w:t>按招标文件质保期和售后技术服务要求进行保修，质保期内接到故障通知，故障响应时间、重大故障承诺解决时间、提供故障解决方案基本满足项目要求。</w:t>
            </w:r>
          </w:p>
          <w:p>
            <w:pPr>
              <w:spacing w:line="360" w:lineRule="auto"/>
              <w:rPr>
                <w:rFonts w:ascii="宋体" w:hAnsi="宋体" w:cs="宋体"/>
                <w:color w:val="auto"/>
              </w:rPr>
            </w:pPr>
            <w:r>
              <w:rPr>
                <w:rFonts w:hint="eastAsia" w:ascii="宋体" w:hAnsi="宋体" w:cs="宋体"/>
                <w:b/>
                <w:bCs/>
                <w:color w:val="auto"/>
              </w:rPr>
              <w:t>二档（1</w:t>
            </w:r>
            <w:r>
              <w:rPr>
                <w:rFonts w:hint="eastAsia" w:ascii="宋体" w:hAnsi="宋体" w:cs="宋体"/>
                <w:b/>
                <w:bCs/>
                <w:color w:val="auto"/>
                <w:lang w:val="en-US" w:eastAsia="zh-CN"/>
              </w:rPr>
              <w:t>4</w:t>
            </w:r>
            <w:r>
              <w:rPr>
                <w:rFonts w:hint="eastAsia" w:ascii="宋体" w:hAnsi="宋体" w:cs="宋体"/>
                <w:b/>
                <w:bCs/>
                <w:color w:val="auto"/>
              </w:rPr>
              <w:t>分）：</w:t>
            </w:r>
            <w:r>
              <w:rPr>
                <w:rFonts w:hint="eastAsia" w:ascii="宋体" w:hAnsi="宋体" w:cs="宋体"/>
                <w:color w:val="auto"/>
              </w:rPr>
              <w:t>按招标文件质保期和售后技术服务要求进行保修，提供年内维护保养，质保期内接到故障通知，故障响应时间、重大故障承诺解决时间、提供故障解决方案满足项目要求。提供送货方案、服务流程（包括故障处理、上门维护、紧急维护、重要服务、电话维护、主动巡检等）。</w:t>
            </w:r>
          </w:p>
          <w:p>
            <w:pPr>
              <w:spacing w:line="360" w:lineRule="auto"/>
              <w:rPr>
                <w:strike/>
                <w:color w:val="auto"/>
              </w:rPr>
            </w:pPr>
            <w:r>
              <w:rPr>
                <w:rFonts w:hint="eastAsia" w:ascii="宋体" w:hAnsi="宋体" w:cs="宋体"/>
                <w:b/>
                <w:bCs/>
                <w:color w:val="auto"/>
              </w:rPr>
              <w:t>三档（2</w:t>
            </w:r>
            <w:r>
              <w:rPr>
                <w:rFonts w:hint="eastAsia" w:ascii="宋体" w:hAnsi="宋体" w:cs="宋体"/>
                <w:b/>
                <w:bCs/>
                <w:color w:val="auto"/>
                <w:lang w:val="en-US" w:eastAsia="zh-CN"/>
              </w:rPr>
              <w:t>2</w:t>
            </w:r>
            <w:r>
              <w:rPr>
                <w:rFonts w:hint="eastAsia" w:ascii="宋体" w:hAnsi="宋体" w:cs="宋体"/>
                <w:b/>
                <w:bCs/>
                <w:color w:val="auto"/>
              </w:rPr>
              <w:t>分）：</w:t>
            </w:r>
            <w:r>
              <w:rPr>
                <w:rFonts w:hint="eastAsia" w:ascii="宋体" w:hAnsi="宋体" w:cs="宋体"/>
                <w:color w:val="auto"/>
              </w:rPr>
              <w:t>按招标文件质保期和售后技术服务要求进行保修，提供保修期满后维修零配件优惠，提供1年不少于4次维护保养；质保期内接到故障通知，故障响应时间、重大故障承诺解决时间、提供故障解决方案较好满足项目要求。提供送货方案，包含售后响应时间、服务承诺等，满足项目需求，提供服务流程（包括故障处理、上门维护、紧急维护、重要服务、电话维护、主动巡检等），产品的售后服务机构，提供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087" w:type="dxa"/>
            <w:vMerge w:val="restart"/>
            <w:vAlign w:val="center"/>
          </w:tcPr>
          <w:p>
            <w:pPr>
              <w:spacing w:line="360" w:lineRule="auto"/>
              <w:jc w:val="center"/>
              <w:rPr>
                <w:color w:val="auto"/>
              </w:rPr>
            </w:pPr>
            <w:r>
              <w:rPr>
                <w:rFonts w:hint="eastAsia"/>
                <w:color w:val="auto"/>
              </w:rPr>
              <w:t>5</w:t>
            </w:r>
          </w:p>
        </w:tc>
        <w:tc>
          <w:tcPr>
            <w:tcW w:w="1699" w:type="dxa"/>
            <w:vMerge w:val="restart"/>
            <w:vAlign w:val="center"/>
          </w:tcPr>
          <w:p>
            <w:pPr>
              <w:spacing w:line="360" w:lineRule="auto"/>
              <w:rPr>
                <w:color w:val="auto"/>
              </w:rPr>
            </w:pPr>
            <w:r>
              <w:rPr>
                <w:rFonts w:hint="eastAsia"/>
                <w:color w:val="auto"/>
              </w:rPr>
              <w:t>政策功能分（节能、环保、区内产品等）</w:t>
            </w:r>
          </w:p>
        </w:tc>
        <w:tc>
          <w:tcPr>
            <w:tcW w:w="709" w:type="dxa"/>
            <w:vMerge w:val="restart"/>
            <w:vAlign w:val="center"/>
          </w:tcPr>
          <w:p>
            <w:pPr>
              <w:spacing w:line="360" w:lineRule="auto"/>
              <w:rPr>
                <w:color w:val="auto"/>
              </w:rPr>
            </w:pPr>
            <w:r>
              <w:rPr>
                <w:rFonts w:hint="eastAsia"/>
                <w:color w:val="auto"/>
              </w:rPr>
              <w:t>3分</w:t>
            </w:r>
          </w:p>
        </w:tc>
        <w:tc>
          <w:tcPr>
            <w:tcW w:w="5974" w:type="dxa"/>
            <w:tcBorders>
              <w:bottom w:val="single" w:color="auto" w:sz="4" w:space="0"/>
            </w:tcBorders>
            <w:vAlign w:val="center"/>
          </w:tcPr>
          <w:p>
            <w:pPr>
              <w:pStyle w:val="34"/>
              <w:spacing w:line="360" w:lineRule="auto"/>
              <w:rPr>
                <w:color w:val="auto"/>
              </w:rPr>
            </w:pPr>
            <w:r>
              <w:rPr>
                <w:rFonts w:hint="eastAsia"/>
                <w:color w:val="auto"/>
              </w:rPr>
              <w:t>（1）投标产品纳入财政部 国家发展改革委《关于印发节能产品政府采购品目清单的通知》（财库[2019]19号）中节能产品政府采购品目清单的，有一项得1分，满分1分。（投标时须提供国家确定的认证机构出具的、处于有效期之内的有效的节能产品认证证书复印件并加盖投标人公章。适用于非强制采购节能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jc w:val="center"/>
        </w:trPr>
        <w:tc>
          <w:tcPr>
            <w:tcW w:w="1087" w:type="dxa"/>
            <w:vMerge w:val="continue"/>
            <w:vAlign w:val="center"/>
          </w:tcPr>
          <w:p>
            <w:pPr>
              <w:spacing w:line="360" w:lineRule="auto"/>
              <w:jc w:val="center"/>
              <w:rPr>
                <w:color w:val="auto"/>
              </w:rPr>
            </w:pPr>
          </w:p>
        </w:tc>
        <w:tc>
          <w:tcPr>
            <w:tcW w:w="1699" w:type="dxa"/>
            <w:vMerge w:val="continue"/>
            <w:vAlign w:val="center"/>
          </w:tcPr>
          <w:p>
            <w:pPr>
              <w:spacing w:line="360" w:lineRule="auto"/>
              <w:rPr>
                <w:color w:val="auto"/>
              </w:rPr>
            </w:pPr>
          </w:p>
        </w:tc>
        <w:tc>
          <w:tcPr>
            <w:tcW w:w="709" w:type="dxa"/>
            <w:vMerge w:val="continue"/>
            <w:vAlign w:val="center"/>
          </w:tcPr>
          <w:p>
            <w:pPr>
              <w:spacing w:line="360" w:lineRule="auto"/>
              <w:rPr>
                <w:color w:val="auto"/>
              </w:rPr>
            </w:pPr>
          </w:p>
        </w:tc>
        <w:tc>
          <w:tcPr>
            <w:tcW w:w="5974" w:type="dxa"/>
            <w:tcBorders>
              <w:top w:val="single" w:color="auto" w:sz="4" w:space="0"/>
              <w:bottom w:val="single" w:color="auto" w:sz="4" w:space="0"/>
            </w:tcBorders>
            <w:vAlign w:val="center"/>
          </w:tcPr>
          <w:p>
            <w:pPr>
              <w:pStyle w:val="34"/>
              <w:spacing w:line="360" w:lineRule="auto"/>
              <w:rPr>
                <w:color w:val="auto"/>
              </w:rPr>
            </w:pPr>
            <w:r>
              <w:rPr>
                <w:rFonts w:hint="eastAsia"/>
                <w:color w:val="auto"/>
              </w:rPr>
              <w:t>（2）投标产品纳入财政部 国家发展改革委《关于印发环境标志产品政府采购品目清单的通知》（财库[2019]18号）中环境标志产品政府采购品目清单的，有一项得1分，满分1分。（投标时须提供国家确定的认证机构出具的、处于有效期之内的有效的认证证书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87" w:type="dxa"/>
            <w:vMerge w:val="continue"/>
            <w:vAlign w:val="center"/>
          </w:tcPr>
          <w:p>
            <w:pPr>
              <w:spacing w:line="360" w:lineRule="auto"/>
              <w:jc w:val="center"/>
              <w:rPr>
                <w:color w:val="auto"/>
              </w:rPr>
            </w:pPr>
          </w:p>
        </w:tc>
        <w:tc>
          <w:tcPr>
            <w:tcW w:w="1699" w:type="dxa"/>
            <w:vMerge w:val="continue"/>
            <w:vAlign w:val="center"/>
          </w:tcPr>
          <w:p>
            <w:pPr>
              <w:spacing w:line="360" w:lineRule="auto"/>
              <w:rPr>
                <w:color w:val="auto"/>
              </w:rPr>
            </w:pPr>
          </w:p>
        </w:tc>
        <w:tc>
          <w:tcPr>
            <w:tcW w:w="709" w:type="dxa"/>
            <w:vMerge w:val="continue"/>
            <w:tcBorders>
              <w:bottom w:val="single" w:color="auto" w:sz="4" w:space="0"/>
            </w:tcBorders>
            <w:vAlign w:val="center"/>
          </w:tcPr>
          <w:p>
            <w:pPr>
              <w:spacing w:line="360" w:lineRule="auto"/>
              <w:rPr>
                <w:color w:val="auto"/>
              </w:rPr>
            </w:pPr>
          </w:p>
        </w:tc>
        <w:tc>
          <w:tcPr>
            <w:tcW w:w="5974" w:type="dxa"/>
            <w:tcBorders>
              <w:top w:val="single" w:color="auto" w:sz="4" w:space="0"/>
              <w:bottom w:val="single" w:color="auto" w:sz="4" w:space="0"/>
            </w:tcBorders>
            <w:vAlign w:val="center"/>
          </w:tcPr>
          <w:p>
            <w:pPr>
              <w:pStyle w:val="34"/>
              <w:spacing w:line="360" w:lineRule="auto"/>
              <w:rPr>
                <w:color w:val="auto"/>
              </w:rPr>
            </w:pPr>
            <w:r>
              <w:rPr>
                <w:rFonts w:hint="eastAsia"/>
                <w:color w:val="auto"/>
              </w:rPr>
              <w:t>（3）出具经由省级以上行业主管部门认定的符合创新要求的产品证明材料，有一项得1分，满分1分。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9469" w:type="dxa"/>
            <w:gridSpan w:val="4"/>
            <w:vAlign w:val="center"/>
          </w:tcPr>
          <w:p>
            <w:pPr>
              <w:spacing w:line="360" w:lineRule="auto"/>
              <w:jc w:val="left"/>
              <w:rPr>
                <w:color w:val="auto"/>
              </w:rPr>
            </w:pPr>
            <w:r>
              <w:rPr>
                <w:rFonts w:hint="eastAsia"/>
                <w:b/>
                <w:bCs/>
                <w:color w:val="auto"/>
              </w:rPr>
              <w:t>总得分：1+2+3+4+5</w:t>
            </w:r>
          </w:p>
        </w:tc>
      </w:tr>
    </w:tbl>
    <w:p>
      <w:pPr>
        <w:tabs>
          <w:tab w:val="left" w:pos="284"/>
        </w:tabs>
        <w:snapToGrid w:val="0"/>
        <w:spacing w:line="360" w:lineRule="auto"/>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tabs>
          <w:tab w:val="left" w:pos="284"/>
        </w:tabs>
        <w:snapToGrid w:val="0"/>
        <w:spacing w:line="360" w:lineRule="auto"/>
        <w:rPr>
          <w:rFonts w:ascii="宋体" w:hAnsi="宋体" w:cs="宋体"/>
          <w:b/>
          <w:color w:val="auto"/>
          <w:sz w:val="32"/>
          <w:highlight w:val="none"/>
        </w:rPr>
      </w:pP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B最低评标价法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30"/>
        <w:spacing w:before="0"/>
        <w:ind w:firstLine="480"/>
        <w:rPr>
          <w:rFonts w:ascii="宋体" w:hAnsi="宋体" w:cs="宋体"/>
          <w:color w:val="auto"/>
          <w:kern w:val="0"/>
          <w:szCs w:val="24"/>
        </w:rPr>
      </w:pPr>
      <w:r>
        <w:rPr>
          <w:rFonts w:hint="eastAsia" w:ascii="宋体" w:hAnsi="宋体" w:cs="宋体"/>
          <w:color w:val="auto"/>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3.4.4.1根据《北海市财政局关于开展推动解决政府采购异常低价问题试点工作的通知》（北财采〔2025〕25 号）规定，试点项目评审中出现下列情形之一的，评审委员会应当启动异常低价投标（响应）审查程序: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（4）其他评审委员会认为供应商报价过低，有可能影响产品质量或者不能诚信履约的情形。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3.4.4.2审查工作流程。评审委员会严格按照评审现场说明、综合评估研判和出具处理结果三个步骤开展审查流程。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rPr>
        <w:t>20</w:t>
      </w:r>
      <w:r>
        <w:rPr>
          <w:rFonts w:hint="eastAsia" w:ascii="宋体" w:hAnsi="宋体" w:cs="宋体"/>
          <w:color w:val="auto"/>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rPr>
        <w:t>6</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4"/>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4"/>
        <w:rPr>
          <w:color w:val="auto"/>
          <w:highlight w:val="none"/>
        </w:rPr>
      </w:pPr>
      <w:r>
        <w:rPr>
          <w:rFonts w:hint="eastAsia" w:cs="宋体"/>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4"/>
        <w:rPr>
          <w:color w:val="auto"/>
        </w:rPr>
      </w:pPr>
      <w:r>
        <w:rPr>
          <w:rFonts w:hint="eastAsia"/>
          <w:color w:val="auto"/>
        </w:rPr>
        <w:t>4.2.13 投标文件不满足招标文件的其它实质性要求的；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4.2.14参与同一个采购包（标段）的供应商存在下列情形之一且无法合理解释的，其投标（响应）文件无效：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（3）不同供应商的投标（响应）文件的内容存在3处（含）以上错误一致的；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（4）不同供应商联系人为同一人或不同联系人的联系电话一致的。</w:t>
      </w:r>
    </w:p>
    <w:p>
      <w:pPr>
        <w:pStyle w:val="26"/>
        <w:snapToGrid w:val="0"/>
        <w:spacing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4.2.15法律、法规、规章（适用本市的）及省级以上规范性文件（适用本市的）规定的其他无效情形。</w:t>
      </w:r>
    </w:p>
    <w:p>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6"/>
        <w:snapToGrid w:val="0"/>
        <w:spacing w:line="360" w:lineRule="auto"/>
        <w:rPr>
          <w:rFonts w:cs="宋体"/>
          <w:color w:val="auto"/>
          <w:highlight w:val="none"/>
        </w:rPr>
      </w:pPr>
      <w:r>
        <w:rPr>
          <w:rFonts w:hint="eastAsia" w:cs="宋体"/>
          <w:color w:val="auto"/>
          <w:highlight w:val="none"/>
        </w:rPr>
        <w:t>5.4因重大变故，采购任务取消的。</w:t>
      </w:r>
    </w:p>
    <w:p>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6"/>
        <w:snapToGrid w:val="0"/>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4"/>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67"/>
    <w:p>
      <w:pPr>
        <w:spacing w:line="360" w:lineRule="auto"/>
        <w:ind w:left="720" w:leftChars="343" w:firstLine="1084" w:firstLineChars="300"/>
        <w:rPr>
          <w:rFonts w:ascii="宋体" w:hAnsi="宋体" w:cs="宋体"/>
          <w:b/>
          <w:color w:val="auto"/>
          <w:sz w:val="36"/>
          <w:szCs w:val="36"/>
          <w:highlight w:val="none"/>
        </w:rPr>
      </w:pPr>
      <w:bookmarkStart w:id="442" w:name="第五部分"/>
      <w:bookmarkStart w:id="443" w:name="_Toc86217003"/>
    </w:p>
    <w:p>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pPr>
        <w:pStyle w:val="84"/>
        <w:rPr>
          <w:color w:val="auto"/>
          <w:highlight w:val="none"/>
        </w:rPr>
      </w:pPr>
      <w:r>
        <w:rPr>
          <w:color w:val="auto"/>
          <w:highlight w:val="none"/>
        </w:rPr>
        <w:br w:type="page"/>
      </w:r>
    </w:p>
    <w:p>
      <w:pPr>
        <w:pStyle w:val="84"/>
        <w:rPr>
          <w:color w:val="auto"/>
          <w:highlight w:val="none"/>
        </w:rPr>
      </w:pPr>
    </w:p>
    <w:p>
      <w:pPr>
        <w:spacing w:line="360" w:lineRule="auto"/>
        <w:jc w:val="center"/>
        <w:outlineLvl w:val="0"/>
        <w:rPr>
          <w:rFonts w:ascii="宋体" w:hAnsi="宋体" w:cs="宋体"/>
          <w:b/>
          <w:color w:val="auto"/>
          <w:sz w:val="36"/>
          <w:szCs w:val="36"/>
          <w:highlight w:val="none"/>
        </w:rPr>
      </w:pPr>
      <w:bookmarkStart w:id="444" w:name="_Toc176343852"/>
      <w:bookmarkStart w:id="445" w:name="_Toc176185125"/>
      <w:r>
        <w:rPr>
          <w:rFonts w:hint="eastAsia" w:ascii="宋体" w:hAnsi="宋体" w:cs="宋体"/>
          <w:b/>
          <w:color w:val="auto"/>
          <w:sz w:val="36"/>
          <w:szCs w:val="36"/>
          <w:highlight w:val="none"/>
        </w:rPr>
        <w:t>第五部分  拟签订的合同文本</w:t>
      </w:r>
      <w:bookmarkEnd w:id="444"/>
      <w:bookmarkEnd w:id="445"/>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446"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46"/>
      <w:bookmarkStart w:id="447" w:name="_Toc22209"/>
      <w:r>
        <w:rPr>
          <w:rFonts w:hint="eastAsia" w:ascii="黑体" w:hAnsi="黑体" w:eastAsia="黑体"/>
          <w:color w:val="auto"/>
          <w:sz w:val="28"/>
          <w:szCs w:val="28"/>
          <w:highlight w:val="none"/>
        </w:rPr>
        <w:t>第一节 政府采购合同协议书</w:t>
      </w:r>
      <w:bookmarkEnd w:id="447"/>
    </w:p>
    <w:p>
      <w:pPr>
        <w:pStyle w:val="84"/>
        <w:rPr>
          <w:color w:val="auto"/>
          <w:highlight w:val="none"/>
        </w:rPr>
      </w:pPr>
    </w:p>
    <w:p>
      <w:pPr>
        <w:pStyle w:val="84"/>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84"/>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84"/>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84"/>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84"/>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4"/>
        <w:ind w:firstLine="0"/>
        <w:rPr>
          <w:b/>
          <w:color w:val="auto"/>
          <w:highlight w:val="none"/>
        </w:rPr>
      </w:pPr>
      <w:r>
        <w:rPr>
          <w:rFonts w:hint="eastAsia"/>
          <w:b/>
          <w:color w:val="auto"/>
          <w:highlight w:val="none"/>
        </w:rPr>
        <w:t>1.项目信息</w:t>
      </w:r>
    </w:p>
    <w:p>
      <w:pPr>
        <w:pStyle w:val="84"/>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84"/>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84"/>
        <w:ind w:firstLine="480" w:firstLineChars="200"/>
        <w:rPr>
          <w:color w:val="auto"/>
          <w:highlight w:val="none"/>
        </w:rPr>
      </w:pPr>
      <w:r>
        <w:rPr>
          <w:rFonts w:hint="eastAsia"/>
          <w:color w:val="auto"/>
          <w:highlight w:val="none"/>
        </w:rPr>
        <w:t>（3）项目内容：</w:t>
      </w:r>
    </w:p>
    <w:p>
      <w:pPr>
        <w:pStyle w:val="84"/>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84"/>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84"/>
        <w:ind w:firstLine="480" w:firstLineChars="200"/>
        <w:rPr>
          <w:color w:val="auto"/>
          <w:highlight w:val="none"/>
          <w:u w:val="single"/>
        </w:rPr>
      </w:pPr>
      <w:r>
        <w:rPr>
          <w:rFonts w:hint="eastAsia"/>
          <w:color w:val="auto"/>
          <w:highlight w:val="none"/>
        </w:rPr>
        <w:t>采购标的的技术要求、商务要求具体见附件。</w:t>
      </w:r>
    </w:p>
    <w:p>
      <w:pPr>
        <w:pStyle w:val="84"/>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84"/>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84"/>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4"/>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84"/>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84"/>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84"/>
        <w:ind w:firstLine="480" w:firstLineChars="200"/>
        <w:rPr>
          <w:rFonts w:cs="宋体"/>
          <w:color w:val="auto"/>
          <w:highlight w:val="none"/>
        </w:rPr>
      </w:pPr>
      <w:r>
        <w:rPr>
          <w:rFonts w:hint="eastAsia" w:cs="宋体"/>
          <w:color w:val="auto"/>
          <w:highlight w:val="none"/>
        </w:rPr>
        <w:t>②涉及车辆采购，请填写是否属于新能源汽车：</w:t>
      </w:r>
    </w:p>
    <w:p>
      <w:pPr>
        <w:pStyle w:val="84"/>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84"/>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84"/>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84"/>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84"/>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84"/>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84"/>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84"/>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4"/>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4"/>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4"/>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4"/>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84"/>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分包供应商/制造商名称（如供应商和制造商不同，请分别填写）：</w:t>
      </w:r>
    </w:p>
    <w:p>
      <w:pPr>
        <w:pStyle w:val="84"/>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分包供应商/制造商类型（如果供应商和制造商不同，只填写制造商类型）：</w:t>
      </w:r>
    </w:p>
    <w:p>
      <w:pPr>
        <w:pStyle w:val="84"/>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84"/>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84"/>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84"/>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84"/>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84"/>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84"/>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84"/>
        <w:ind w:firstLine="480" w:firstLineChars="200"/>
        <w:rPr>
          <w:color w:val="auto"/>
          <w:highlight w:val="none"/>
        </w:rPr>
      </w:pPr>
      <w:r>
        <w:rPr>
          <w:color w:val="auto"/>
          <w:highlight w:val="none"/>
        </w:rPr>
        <w:sym w:font="Wingdings" w:char="F0A8"/>
      </w:r>
      <w:r>
        <w:rPr>
          <w:rFonts w:hint="eastAsia"/>
          <w:color w:val="auto"/>
          <w:highlight w:val="none"/>
        </w:rPr>
        <w:t>否</w:t>
      </w:r>
    </w:p>
    <w:p>
      <w:pPr>
        <w:pStyle w:val="84"/>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84"/>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4"/>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4"/>
        <w:ind w:firstLine="480" w:firstLineChars="200"/>
        <w:rPr>
          <w:color w:val="auto"/>
          <w:highlight w:val="none"/>
        </w:rPr>
      </w:pPr>
      <w:r>
        <w:rPr>
          <w:color w:val="auto"/>
          <w:highlight w:val="none"/>
        </w:rPr>
        <w:sym w:font="Wingdings" w:char="F0A8"/>
      </w:r>
      <w:r>
        <w:rPr>
          <w:rFonts w:hint="eastAsia"/>
          <w:color w:val="auto"/>
          <w:highlight w:val="none"/>
        </w:rPr>
        <w:t>否</w:t>
      </w:r>
    </w:p>
    <w:p>
      <w:pPr>
        <w:pStyle w:val="84"/>
        <w:ind w:firstLine="480" w:firstLineChars="200"/>
        <w:rPr>
          <w:color w:val="auto"/>
          <w:highlight w:val="none"/>
        </w:rPr>
      </w:pPr>
      <w:r>
        <w:rPr>
          <w:rFonts w:hint="eastAsia"/>
          <w:color w:val="auto"/>
          <w:highlight w:val="none"/>
        </w:rPr>
        <w:t>是否涉及环境标志产品：</w:t>
      </w:r>
    </w:p>
    <w:p>
      <w:pPr>
        <w:pStyle w:val="84"/>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84"/>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4"/>
        <w:ind w:firstLine="480" w:firstLineChars="200"/>
        <w:rPr>
          <w:color w:val="auto"/>
          <w:highlight w:val="none"/>
        </w:rPr>
      </w:pPr>
      <w:r>
        <w:rPr>
          <w:color w:val="auto"/>
          <w:highlight w:val="none"/>
        </w:rPr>
        <w:sym w:font="Wingdings" w:char="F0A8"/>
      </w:r>
      <w:r>
        <w:rPr>
          <w:rFonts w:hint="eastAsia"/>
          <w:color w:val="auto"/>
          <w:highlight w:val="none"/>
        </w:rPr>
        <w:t>否</w:t>
      </w:r>
    </w:p>
    <w:p>
      <w:pPr>
        <w:pStyle w:val="84"/>
        <w:ind w:firstLine="480" w:firstLineChars="200"/>
        <w:rPr>
          <w:color w:val="auto"/>
          <w:highlight w:val="none"/>
        </w:rPr>
      </w:pPr>
      <w:r>
        <w:rPr>
          <w:rFonts w:hint="eastAsia"/>
          <w:color w:val="auto"/>
          <w:highlight w:val="none"/>
        </w:rPr>
        <w:t xml:space="preserve">是否涉及绿色产品： </w:t>
      </w:r>
    </w:p>
    <w:p>
      <w:pPr>
        <w:pStyle w:val="84"/>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84"/>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84"/>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84"/>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84"/>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84"/>
        <w:ind w:firstLineChars="200"/>
        <w:rPr>
          <w:b/>
          <w:color w:val="auto"/>
          <w:highlight w:val="none"/>
        </w:rPr>
      </w:pPr>
      <w:r>
        <w:rPr>
          <w:rFonts w:hint="eastAsia"/>
          <w:b/>
          <w:color w:val="auto"/>
          <w:highlight w:val="none"/>
        </w:rPr>
        <w:t>2.合同金额</w:t>
      </w:r>
    </w:p>
    <w:p>
      <w:pPr>
        <w:pStyle w:val="84"/>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84"/>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84"/>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 xml:space="preserve">    （注：固定单价合同应填写单价和最高限价）</w:t>
      </w:r>
    </w:p>
    <w:p>
      <w:pPr>
        <w:pStyle w:val="84"/>
        <w:ind w:firstLine="480" w:firstLineChars="200"/>
        <w:rPr>
          <w:color w:val="auto"/>
          <w:highlight w:val="none"/>
        </w:rPr>
      </w:pPr>
      <w:r>
        <w:rPr>
          <w:rFonts w:hint="eastAsia"/>
          <w:color w:val="auto"/>
          <w:highlight w:val="none"/>
        </w:rPr>
        <w:t>（2）合同定价方式（采用组合定价方式的，可以勾选多项）：</w:t>
      </w:r>
    </w:p>
    <w:p>
      <w:pPr>
        <w:pStyle w:val="84"/>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（3）付款方式（按项目实际勾选填写）：</w:t>
      </w:r>
    </w:p>
    <w:p>
      <w:pPr>
        <w:pStyle w:val="84"/>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84"/>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84"/>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84"/>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84"/>
        <w:ind w:firstLineChars="200"/>
        <w:rPr>
          <w:b/>
          <w:color w:val="auto"/>
          <w:highlight w:val="none"/>
          <w:u w:val="single"/>
        </w:rPr>
      </w:pPr>
      <w:r>
        <w:rPr>
          <w:rFonts w:hint="eastAsia"/>
          <w:b/>
          <w:color w:val="auto"/>
          <w:highlight w:val="none"/>
        </w:rPr>
        <w:t>3.合同履行</w:t>
      </w:r>
    </w:p>
    <w:p>
      <w:pPr>
        <w:pStyle w:val="84"/>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84"/>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84"/>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84"/>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84"/>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84"/>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84"/>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84"/>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84"/>
        <w:ind w:firstLineChars="200"/>
        <w:rPr>
          <w:b/>
          <w:color w:val="auto"/>
          <w:highlight w:val="none"/>
        </w:rPr>
      </w:pPr>
      <w:r>
        <w:rPr>
          <w:rFonts w:hint="eastAsia"/>
          <w:b/>
          <w:color w:val="auto"/>
          <w:highlight w:val="none"/>
        </w:rPr>
        <w:t>4.合同验收</w:t>
      </w:r>
    </w:p>
    <w:p>
      <w:pPr>
        <w:pStyle w:val="84"/>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84"/>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84"/>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84"/>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84"/>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84"/>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84"/>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84"/>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84"/>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84"/>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84"/>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84"/>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84"/>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84"/>
        <w:ind w:firstLineChars="200"/>
        <w:rPr>
          <w:b/>
          <w:color w:val="auto"/>
          <w:highlight w:val="none"/>
        </w:rPr>
      </w:pPr>
      <w:r>
        <w:rPr>
          <w:rFonts w:hint="eastAsia"/>
          <w:b/>
          <w:color w:val="auto"/>
          <w:highlight w:val="none"/>
        </w:rPr>
        <w:t>5.组成合同的文件</w:t>
      </w:r>
    </w:p>
    <w:p>
      <w:pPr>
        <w:pStyle w:val="84"/>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84"/>
        <w:ind w:firstLine="480" w:firstLineChars="200"/>
        <w:rPr>
          <w:color w:val="auto"/>
          <w:highlight w:val="none"/>
        </w:rPr>
      </w:pPr>
      <w:r>
        <w:rPr>
          <w:rFonts w:hint="eastAsia"/>
          <w:color w:val="auto"/>
          <w:highlight w:val="none"/>
        </w:rPr>
        <w:t>（1）政府采购合同协议书及其变更、补充协议</w:t>
      </w:r>
    </w:p>
    <w:p>
      <w:pPr>
        <w:pStyle w:val="84"/>
        <w:ind w:firstLine="480" w:firstLineChars="200"/>
        <w:rPr>
          <w:color w:val="auto"/>
          <w:highlight w:val="none"/>
        </w:rPr>
      </w:pPr>
      <w:r>
        <w:rPr>
          <w:rFonts w:hint="eastAsia"/>
          <w:color w:val="auto"/>
          <w:highlight w:val="none"/>
        </w:rPr>
        <w:t>（2）政府采购合同专用条款</w:t>
      </w:r>
    </w:p>
    <w:p>
      <w:pPr>
        <w:pStyle w:val="84"/>
        <w:ind w:firstLine="480" w:firstLineChars="200"/>
        <w:rPr>
          <w:color w:val="auto"/>
          <w:highlight w:val="none"/>
        </w:rPr>
      </w:pPr>
      <w:r>
        <w:rPr>
          <w:rFonts w:hint="eastAsia"/>
          <w:color w:val="auto"/>
          <w:highlight w:val="none"/>
        </w:rPr>
        <w:t>（3）政府采购合同通用条款</w:t>
      </w:r>
    </w:p>
    <w:p>
      <w:pPr>
        <w:pStyle w:val="84"/>
        <w:ind w:firstLine="480" w:firstLineChars="200"/>
        <w:rPr>
          <w:color w:val="auto"/>
          <w:highlight w:val="none"/>
        </w:rPr>
      </w:pPr>
      <w:r>
        <w:rPr>
          <w:rFonts w:hint="eastAsia"/>
          <w:color w:val="auto"/>
          <w:highlight w:val="none"/>
        </w:rPr>
        <w:t>（4）中标（成交）通知书</w:t>
      </w:r>
    </w:p>
    <w:p>
      <w:pPr>
        <w:pStyle w:val="84"/>
        <w:ind w:firstLine="480" w:firstLineChars="200"/>
        <w:rPr>
          <w:color w:val="auto"/>
          <w:highlight w:val="none"/>
        </w:rPr>
      </w:pPr>
      <w:r>
        <w:rPr>
          <w:rFonts w:hint="eastAsia"/>
          <w:color w:val="auto"/>
          <w:highlight w:val="none"/>
        </w:rPr>
        <w:t>（5）投标（响应）文件</w:t>
      </w:r>
    </w:p>
    <w:p>
      <w:pPr>
        <w:pStyle w:val="84"/>
        <w:ind w:firstLine="480" w:firstLineChars="200"/>
        <w:rPr>
          <w:color w:val="auto"/>
          <w:highlight w:val="none"/>
        </w:rPr>
      </w:pPr>
      <w:r>
        <w:rPr>
          <w:rFonts w:hint="eastAsia"/>
          <w:color w:val="auto"/>
          <w:highlight w:val="none"/>
        </w:rPr>
        <w:t>（6）采购文件</w:t>
      </w:r>
    </w:p>
    <w:p>
      <w:pPr>
        <w:pStyle w:val="84"/>
        <w:ind w:firstLine="480" w:firstLineChars="200"/>
        <w:rPr>
          <w:color w:val="auto"/>
          <w:highlight w:val="none"/>
        </w:rPr>
      </w:pPr>
      <w:r>
        <w:rPr>
          <w:rFonts w:hint="eastAsia"/>
          <w:color w:val="auto"/>
          <w:highlight w:val="none"/>
        </w:rPr>
        <w:t>（7）有关技术文件，图纸</w:t>
      </w:r>
    </w:p>
    <w:p>
      <w:pPr>
        <w:pStyle w:val="84"/>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84"/>
        <w:ind w:firstLineChars="200"/>
        <w:rPr>
          <w:b/>
          <w:color w:val="auto"/>
          <w:highlight w:val="none"/>
        </w:rPr>
      </w:pPr>
      <w:r>
        <w:rPr>
          <w:rFonts w:hint="eastAsia"/>
          <w:b/>
          <w:color w:val="auto"/>
          <w:highlight w:val="none"/>
        </w:rPr>
        <w:t>6.合同生效</w:t>
      </w:r>
    </w:p>
    <w:p>
      <w:pPr>
        <w:pStyle w:val="84"/>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84"/>
        <w:ind w:firstLineChars="200"/>
        <w:rPr>
          <w:b/>
          <w:color w:val="auto"/>
          <w:highlight w:val="none"/>
        </w:rPr>
      </w:pPr>
      <w:r>
        <w:rPr>
          <w:rFonts w:hint="eastAsia"/>
          <w:b/>
          <w:color w:val="auto"/>
          <w:highlight w:val="none"/>
        </w:rPr>
        <w:t>7.合同份数</w:t>
      </w:r>
    </w:p>
    <w:p>
      <w:pPr>
        <w:pStyle w:val="84"/>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84"/>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84"/>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84"/>
        <w:ind w:firstLine="480" w:firstLineChars="200"/>
        <w:rPr>
          <w:color w:val="auto"/>
          <w:highlight w:val="none"/>
        </w:rPr>
      </w:pPr>
      <w:r>
        <w:rPr>
          <w:rFonts w:hint="eastAsia"/>
          <w:color w:val="auto"/>
          <w:highlight w:val="none"/>
        </w:rPr>
        <w:t>附件：具体标的及其技术要求和商务要求、联合协议、分包意向协议等。</w:t>
      </w:r>
    </w:p>
    <w:p>
      <w:pPr>
        <w:pStyle w:val="84"/>
        <w:rPr>
          <w:color w:val="auto"/>
          <w:highlight w:val="none"/>
        </w:rPr>
      </w:pPr>
    </w:p>
    <w:p>
      <w:pPr>
        <w:pStyle w:val="84"/>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48" w:name="_Toc27624"/>
      <w:r>
        <w:rPr>
          <w:rFonts w:hint="eastAsia" w:ascii="黑体" w:hAnsi="黑体" w:eastAsia="黑体"/>
          <w:color w:val="auto"/>
          <w:sz w:val="28"/>
          <w:szCs w:val="28"/>
          <w:highlight w:val="none"/>
        </w:rPr>
        <w:t>第二节 政府采购合同通用条款</w:t>
      </w:r>
      <w:bookmarkEnd w:id="448"/>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49"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49"/>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50"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50"/>
    </w:p>
    <w:tbl>
      <w:tblPr>
        <w:tblStyle w:val="6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spacing w:line="360" w:lineRule="auto"/>
        <w:ind w:left="-420" w:leftChars="-200" w:right="-420" w:rightChars="-200"/>
        <w:rPr>
          <w:rFonts w:ascii="宋体" w:hAnsi="宋体" w:cs="宋体"/>
          <w:color w:val="auto"/>
          <w:sz w:val="24"/>
          <w:highlight w:val="none"/>
        </w:rPr>
      </w:pPr>
    </w:p>
    <w:p>
      <w:pPr>
        <w:pStyle w:val="3"/>
        <w:rPr>
          <w:color w:val="auto"/>
          <w:highlight w:val="none"/>
        </w:rPr>
      </w:pPr>
      <w:r>
        <w:rPr>
          <w:color w:val="auto"/>
          <w:highlight w:val="none"/>
        </w:rPr>
        <w:br w:type="page"/>
      </w:r>
    </w:p>
    <w:p>
      <w:pPr>
        <w:rPr>
          <w:color w:val="auto"/>
          <w:highlight w:val="none"/>
        </w:rPr>
      </w:pPr>
    </w:p>
    <w:p>
      <w:pPr>
        <w:spacing w:line="360" w:lineRule="auto"/>
        <w:ind w:left="720" w:firstLine="723" w:firstLineChars="200"/>
        <w:outlineLvl w:val="0"/>
        <w:rPr>
          <w:rFonts w:ascii="宋体" w:hAnsi="宋体" w:cs="宋体"/>
          <w:b/>
          <w:color w:val="auto"/>
          <w:sz w:val="36"/>
          <w:szCs w:val="20"/>
          <w:highlight w:val="none"/>
        </w:rPr>
      </w:pPr>
      <w:bookmarkStart w:id="451" w:name="_Toc176185126"/>
      <w:bookmarkStart w:id="452" w:name="_Toc176343853"/>
      <w:r>
        <w:rPr>
          <w:rFonts w:hint="eastAsia" w:ascii="宋体" w:hAnsi="宋体" w:cs="宋体"/>
          <w:b/>
          <w:color w:val="auto"/>
          <w:sz w:val="36"/>
          <w:szCs w:val="20"/>
          <w:highlight w:val="none"/>
        </w:rPr>
        <w:t>第六部分</w:t>
      </w:r>
      <w:bookmarkEnd w:id="442"/>
      <w:r>
        <w:rPr>
          <w:rFonts w:hint="eastAsia" w:ascii="宋体" w:hAnsi="宋体" w:cs="宋体"/>
          <w:b/>
          <w:color w:val="auto"/>
          <w:sz w:val="36"/>
          <w:szCs w:val="20"/>
          <w:highlight w:val="none"/>
        </w:rPr>
        <w:t xml:space="preserve"> </w:t>
      </w:r>
      <w:bookmarkEnd w:id="443"/>
      <w:r>
        <w:rPr>
          <w:rFonts w:hint="eastAsia" w:ascii="宋体" w:hAnsi="宋体" w:cs="宋体"/>
          <w:b/>
          <w:color w:val="auto"/>
          <w:sz w:val="36"/>
          <w:szCs w:val="20"/>
          <w:highlight w:val="none"/>
        </w:rPr>
        <w:t xml:space="preserve"> 应提交的有关格式范例</w:t>
      </w:r>
      <w:bookmarkEnd w:id="451"/>
      <w:bookmarkEnd w:id="452"/>
    </w:p>
    <w:p>
      <w:pPr>
        <w:pStyle w:val="84"/>
        <w:rPr>
          <w:color w:val="auto"/>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pStyle w:val="84"/>
        <w:rPr>
          <w:color w:val="auto"/>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tabs>
          <w:tab w:val="left" w:pos="284"/>
        </w:tabs>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bookmarkStart w:id="453" w:name="_Hlk203408480"/>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bookmarkEnd w:id="453"/>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54" w:name="_Hlk203408512"/>
      <w:r>
        <w:rPr>
          <w:rFonts w:hint="eastAsia" w:ascii="宋体" w:hAnsi="宋体" w:cs="宋体"/>
          <w:color w:val="auto"/>
          <w:szCs w:val="21"/>
          <w:highlight w:val="none"/>
        </w:rPr>
        <w:t>▲</w:t>
      </w:r>
      <w:bookmarkEnd w:id="454"/>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bookmarkStart w:id="455" w:name="_Hlk203408516"/>
      <w:r>
        <w:rPr>
          <w:rFonts w:hint="eastAsia" w:ascii="宋体" w:hAnsi="宋体" w:cs="宋体"/>
          <w:color w:val="auto"/>
          <w:szCs w:val="21"/>
          <w:highlight w:val="none"/>
        </w:rPr>
        <w:t>▲</w:t>
      </w:r>
      <w:bookmarkEnd w:id="455"/>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cs="宋体"/>
          <w:b w:val="0"/>
          <w:bCs/>
          <w:color w:val="auto"/>
          <w:szCs w:val="24"/>
          <w:highlight w:val="none"/>
        </w:rPr>
        <w:t>▲</w:t>
      </w:r>
      <w:r>
        <w:rPr>
          <w:rFonts w:hint="eastAsia" w:cs="宋体"/>
          <w:b w:val="0"/>
          <w:bCs/>
          <w:color w:val="auto"/>
          <w:szCs w:val="24"/>
          <w:highlight w:val="none"/>
          <w:lang w:eastAsia="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pPr>
        <w:pStyle w:val="84"/>
        <w:rPr>
          <w:color w:val="auto"/>
          <w:highlight w:val="none"/>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rPr>
      </w:pPr>
    </w:p>
    <w:p>
      <w:pPr>
        <w:pStyle w:val="84"/>
        <w:rPr>
          <w:color w:val="auto"/>
          <w:highlight w:val="none"/>
        </w:rPr>
      </w:pPr>
    </w:p>
    <w:p>
      <w:pPr>
        <w:rPr>
          <w:color w:val="auto"/>
          <w:highlight w:val="none"/>
        </w:rPr>
      </w:pPr>
    </w:p>
    <w:p>
      <w:pPr>
        <w:snapToGrid w:val="0"/>
        <w:spacing w:line="360" w:lineRule="auto"/>
        <w:ind w:firstLine="3855" w:firstLineChars="1200"/>
        <w:rPr>
          <w:rFonts w:ascii="宋体" w:hAnsi="宋体" w:cs="宋体"/>
          <w:b/>
          <w:color w:val="auto"/>
          <w:kern w:val="0"/>
          <w:sz w:val="32"/>
          <w:szCs w:val="32"/>
          <w:highlight w:val="none"/>
        </w:rPr>
      </w:pPr>
    </w:p>
    <w:p>
      <w:pPr>
        <w:snapToGrid w:val="0"/>
        <w:spacing w:line="360" w:lineRule="auto"/>
        <w:ind w:firstLine="3855" w:firstLineChars="1200"/>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ind w:firstLine="3855" w:firstLineChars="120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4"/>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pStyle w:val="148"/>
        <w:spacing w:line="360" w:lineRule="auto"/>
        <w:rPr>
          <w:rFonts w:hAnsi="宋体"/>
          <w:color w:val="auto"/>
          <w:sz w:val="24"/>
          <w:highlight w:val="none"/>
        </w:rPr>
      </w:pPr>
    </w:p>
    <w:p>
      <w:pPr>
        <w:pStyle w:val="148"/>
        <w:spacing w:line="360" w:lineRule="auto"/>
        <w:rPr>
          <w:rFonts w:hAnsi="宋体" w:cs="宋体"/>
          <w:bCs/>
          <w:color w:val="auto"/>
          <w:sz w:val="24"/>
          <w:highlight w:val="none"/>
        </w:rPr>
      </w:pPr>
      <w:r>
        <w:rPr>
          <w:rFonts w:hint="eastAsia" w:hAnsi="宋体"/>
          <w:color w:val="auto"/>
          <w:sz w:val="24"/>
          <w:highlight w:val="none"/>
        </w:rPr>
        <w:t>委托代理人和法定代表人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397" w:footer="567"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3"/>
          <w:color w:val="auto"/>
          <w:highlight w:val="none"/>
        </w:rPr>
      </w:pPr>
      <w:r>
        <w:rPr>
          <w:rStyle w:val="83"/>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3"/>
          <w:rFonts w:hint="eastAsia"/>
          <w:color w:val="auto"/>
          <w:highlight w:val="none"/>
        </w:rPr>
        <w:t>联合体成</w:t>
      </w:r>
      <w:r>
        <w:rPr>
          <w:rFonts w:hint="eastAsia" w:ascii="宋体" w:hAnsi="宋体" w:cs="宋体"/>
          <w:color w:val="auto"/>
          <w:kern w:val="0"/>
          <w:sz w:val="24"/>
          <w:highlight w:val="none"/>
          <w:lang w:val="zh-CN"/>
        </w:rPr>
        <w:t>员名称(公章)：</w:t>
      </w:r>
    </w:p>
    <w:p>
      <w:pPr>
        <w:pStyle w:val="84"/>
        <w:ind w:firstLine="5040" w:firstLineChars="2100"/>
        <w:rPr>
          <w:color w:val="auto"/>
          <w:highlight w:val="none"/>
        </w:rPr>
      </w:pPr>
      <w:r>
        <w:rPr>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pStyle w:val="148"/>
        <w:spacing w:line="360" w:lineRule="auto"/>
        <w:rPr>
          <w:rFonts w:hAnsi="宋体"/>
          <w:color w:val="auto"/>
          <w:sz w:val="24"/>
          <w:highlight w:val="none"/>
        </w:rPr>
      </w:pPr>
    </w:p>
    <w:p>
      <w:pPr>
        <w:pStyle w:val="148"/>
        <w:spacing w:line="360" w:lineRule="auto"/>
        <w:rPr>
          <w:rFonts w:hAnsi="宋体" w:cs="宋体"/>
          <w:bCs/>
          <w:color w:val="auto"/>
          <w:sz w:val="24"/>
          <w:highlight w:val="none"/>
        </w:rPr>
      </w:pPr>
      <w:r>
        <w:rPr>
          <w:rFonts w:hint="eastAsia" w:hAnsi="宋体"/>
          <w:color w:val="auto"/>
          <w:sz w:val="24"/>
          <w:highlight w:val="none"/>
        </w:rPr>
        <w:t>委托代理人和联合体牵头单位法定代表人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p>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8"/>
        <w:spacing w:line="360" w:lineRule="auto"/>
        <w:rPr>
          <w:rFonts w:hAnsi="宋体" w:cs="宋体"/>
          <w:bCs/>
          <w:color w:val="auto"/>
          <w:sz w:val="24"/>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pStyle w:val="148"/>
        <w:spacing w:line="360" w:lineRule="auto"/>
        <w:rPr>
          <w:rFonts w:hAnsi="宋体" w:cs="宋体"/>
          <w:bCs/>
          <w:color w:val="auto"/>
          <w:sz w:val="24"/>
          <w:highlight w:val="none"/>
        </w:rPr>
      </w:pPr>
      <w:r>
        <w:rPr>
          <w:rFonts w:hint="eastAsia" w:hAnsi="宋体" w:cs="宋体"/>
          <w:color w:val="auto"/>
          <w:kern w:val="0"/>
          <w:sz w:val="24"/>
          <w:highlight w:val="none"/>
          <w:lang w:val="zh-CN"/>
        </w:rPr>
        <w:t xml:space="preserve">                               日期：  年  月  日</w:t>
      </w:r>
    </w:p>
    <w:p>
      <w:pPr>
        <w:pStyle w:val="148"/>
        <w:spacing w:line="360" w:lineRule="auto"/>
        <w:rPr>
          <w:rFonts w:hAnsi="宋体" w:cs="宋体"/>
          <w:bCs/>
          <w:color w:val="auto"/>
          <w:sz w:val="24"/>
          <w:highlight w:val="none"/>
        </w:rPr>
      </w:pPr>
    </w:p>
    <w:p>
      <w:pPr>
        <w:pStyle w:val="148"/>
        <w:spacing w:line="360" w:lineRule="auto"/>
        <w:rPr>
          <w:rFonts w:hAnsi="宋体" w:cs="宋体"/>
          <w:bCs/>
          <w:color w:val="auto"/>
          <w:sz w:val="24"/>
          <w:highlight w:val="none"/>
        </w:rPr>
      </w:pPr>
      <w:r>
        <w:rPr>
          <w:rFonts w:hint="eastAsia" w:hAnsi="宋体"/>
          <w:color w:val="auto"/>
          <w:sz w:val="24"/>
          <w:highlight w:val="none"/>
        </w:rPr>
        <w:t>法定代表人</w:t>
      </w:r>
      <w:r>
        <w:rPr>
          <w:rFonts w:hint="eastAsia" w:hAnsi="宋体" w:cs="宋体"/>
          <w:color w:val="auto"/>
          <w:kern w:val="0"/>
          <w:sz w:val="24"/>
          <w:highlight w:val="none"/>
        </w:rPr>
        <w:t>（负责人）</w:t>
      </w: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456"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56"/>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p>
    <w:p>
      <w:pPr>
        <w:pStyle w:val="84"/>
        <w:rPr>
          <w:color w:val="auto"/>
          <w:highlight w:val="none"/>
        </w:rPr>
      </w:pPr>
    </w:p>
    <w:p>
      <w:pPr>
        <w:rPr>
          <w:color w:val="auto"/>
          <w:highlight w:val="none"/>
        </w:rPr>
      </w:pPr>
    </w:p>
    <w:p>
      <w:pPr>
        <w:pStyle w:val="84"/>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00" w:lineRule="auto"/>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00" w:lineRule="auto"/>
        <w:jc w:val="center"/>
        <w:rPr>
          <w:rFonts w:cs="仿宋_GB2312" w:asciiTheme="minorEastAsia" w:hAnsiTheme="minorEastAsia" w:eastAsiaTheme="minorEastAsia"/>
          <w:b/>
          <w:bCs/>
          <w:color w:val="auto"/>
          <w:sz w:val="32"/>
          <w:szCs w:val="32"/>
          <w:highlight w:val="none"/>
        </w:rPr>
      </w:pPr>
    </w:p>
    <w:p>
      <w:pPr>
        <w:spacing w:line="30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pPr>
        <w:spacing w:line="30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00" w:lineRule="auto"/>
        <w:jc w:val="center"/>
        <w:rPr>
          <w:rFonts w:cs="仿宋_GB2312" w:asciiTheme="minorEastAsia" w:hAnsiTheme="minorEastAsia" w:eastAsiaTheme="minorEastAsia"/>
          <w:color w:val="auto"/>
          <w:sz w:val="24"/>
          <w:highlight w:val="none"/>
        </w:rPr>
      </w:pPr>
    </w:p>
    <w:p>
      <w:pPr>
        <w:autoSpaceDE w:val="0"/>
        <w:autoSpaceDN w:val="0"/>
        <w:spacing w:line="300" w:lineRule="auto"/>
        <w:rPr>
          <w:rFonts w:cs="仿宋_GB2312" w:asciiTheme="minorEastAsia" w:hAnsiTheme="minorEastAsia" w:eastAsiaTheme="minorEastAsia"/>
          <w:color w:val="auto"/>
          <w:kern w:val="0"/>
          <w:sz w:val="24"/>
          <w:highlight w:val="none"/>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0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pStyle w:val="3"/>
        <w:ind w:left="0" w:firstLine="0"/>
        <w:rPr>
          <w:color w:val="auto"/>
          <w:highlight w:val="none"/>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bookmarkStart w:id="457" w:name="OLE_LINK218"/>
      <w:bookmarkStart w:id="458" w:name="OLE_LINK217"/>
      <w:r>
        <w:rPr>
          <w:rFonts w:hint="eastAsia" w:ascii="宋体" w:hAnsi="宋体" w:cs="宋体"/>
          <w:color w:val="auto"/>
          <w:szCs w:val="21"/>
          <w:highlight w:val="none"/>
        </w:rPr>
        <w:t>▲</w:t>
      </w:r>
      <w:bookmarkEnd w:id="457"/>
      <w:bookmarkEnd w:id="458"/>
      <w:r>
        <w:rPr>
          <w:rFonts w:hint="eastAsia" w:ascii="宋体" w:hAnsi="宋体" w:cs="宋体"/>
          <w:color w:val="auto"/>
          <w:sz w:val="24"/>
          <w:highlight w:val="none"/>
        </w:rPr>
        <w:t>（1）</w:t>
      </w:r>
      <w:bookmarkStart w:id="459" w:name="OLE_LINK219"/>
      <w:bookmarkStart w:id="460" w:name="OLE_LINK220"/>
      <w:r>
        <w:rPr>
          <w:rFonts w:hint="eastAsia" w:ascii="宋体" w:hAnsi="宋体" w:cs="宋体"/>
          <w:color w:val="auto"/>
          <w:sz w:val="24"/>
          <w:highlight w:val="none"/>
        </w:rPr>
        <w:t>开标一览表</w:t>
      </w:r>
      <w:bookmarkEnd w:id="459"/>
      <w:bookmarkEnd w:id="460"/>
      <w:r>
        <w:rPr>
          <w:rFonts w:hint="eastAsia" w:ascii="宋体" w:hAnsi="宋体" w:cs="宋体"/>
          <w:color w:val="auto"/>
          <w:sz w:val="24"/>
          <w:highlight w:val="none"/>
        </w:rPr>
        <w:t>（报价表）………………………………………………………（页码）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4"/>
        <w:jc w:val="center"/>
        <w:rPr>
          <w:b/>
          <w:color w:val="auto"/>
          <w:sz w:val="32"/>
          <w:szCs w:val="32"/>
          <w:highlight w:val="none"/>
        </w:rPr>
      </w:pPr>
      <w:bookmarkStart w:id="461" w:name="_Toc176185127"/>
      <w:r>
        <w:rPr>
          <w:rFonts w:hint="eastAsia"/>
          <w:b/>
          <w:color w:val="auto"/>
          <w:sz w:val="32"/>
          <w:szCs w:val="32"/>
          <w:highlight w:val="none"/>
        </w:rPr>
        <w:t>一、开标一览表（报价表）</w:t>
      </w:r>
      <w:bookmarkEnd w:id="461"/>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autoSpaceDE w:val="0"/>
        <w:autoSpaceDN w:val="0"/>
        <w:spacing w:line="360" w:lineRule="auto"/>
        <w:ind w:left="2"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lang w:val="zh-CN"/>
        </w:rPr>
        <w:t>、本项目为北海市推动解决政府采购异常低价试点项目，供应商投标报价属于采购文件规定异常低价情况的，应按评标委员会要求在规定时间内提供书面证明及必要的证明材料，否则投标无效。</w:t>
      </w:r>
    </w:p>
    <w:p>
      <w:pPr>
        <w:spacing w:line="360" w:lineRule="auto"/>
        <w:ind w:firstLine="6240" w:firstLineChars="2600"/>
        <w:rPr>
          <w:rFonts w:hint="eastAsia" w:ascii="宋体" w:hAnsi="宋体" w:cs="宋体"/>
          <w:color w:val="auto"/>
          <w:sz w:val="24"/>
          <w:highlight w:val="none"/>
        </w:rPr>
      </w:pPr>
    </w:p>
    <w:p>
      <w:pPr>
        <w:spacing w:line="360" w:lineRule="auto"/>
        <w:ind w:firstLine="6240" w:firstLineChars="2600"/>
        <w:rPr>
          <w:rFonts w:hint="eastAsia" w:ascii="宋体" w:hAnsi="宋体" w:cs="宋体"/>
          <w:color w:val="auto"/>
          <w:sz w:val="24"/>
          <w:highlight w:val="none"/>
        </w:rPr>
      </w:pP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firstLine="482" w:firstLineChars="200"/>
        <w:rPr>
          <w:rFonts w:ascii="宋体" w:hAnsi="宋体" w:cs="宋体"/>
          <w:b/>
          <w:color w:val="auto"/>
          <w:kern w:val="0"/>
          <w:sz w:val="24"/>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84"/>
        <w:jc w:val="center"/>
        <w:rPr>
          <w:b/>
          <w:color w:val="auto"/>
          <w:sz w:val="32"/>
          <w:szCs w:val="32"/>
          <w:highlight w:val="none"/>
        </w:rPr>
      </w:pPr>
      <w:bookmarkStart w:id="462" w:name="_Toc176185128"/>
      <w:r>
        <w:rPr>
          <w:rFonts w:hint="eastAsia"/>
          <w:b/>
          <w:color w:val="auto"/>
          <w:kern w:val="2"/>
          <w:sz w:val="32"/>
          <w:szCs w:val="32"/>
          <w:highlight w:val="none"/>
        </w:rPr>
        <w:t>二、</w:t>
      </w:r>
      <w:r>
        <w:rPr>
          <w:rFonts w:hint="eastAsia"/>
          <w:b/>
          <w:color w:val="auto"/>
          <w:sz w:val="32"/>
          <w:szCs w:val="32"/>
          <w:highlight w:val="none"/>
        </w:rPr>
        <w:t>中小企业声明函</w:t>
      </w:r>
      <w:bookmarkStart w:id="463" w:name="_Hlk101259491"/>
      <w:r>
        <w:rPr>
          <w:rFonts w:hint="eastAsia"/>
          <w:b/>
          <w:color w:val="auto"/>
          <w:sz w:val="32"/>
          <w:szCs w:val="32"/>
          <w:highlight w:val="none"/>
        </w:rPr>
        <w:t>（如果有）</w:t>
      </w:r>
      <w:bookmarkEnd w:id="462"/>
      <w:bookmarkEnd w:id="463"/>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2"/>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4"/>
        <w:jc w:val="center"/>
        <w:rPr>
          <w:b/>
          <w:color w:val="auto"/>
          <w:sz w:val="36"/>
          <w:szCs w:val="36"/>
          <w:highlight w:val="none"/>
        </w:rPr>
      </w:pPr>
      <w:bookmarkStart w:id="464" w:name="_Toc465665161"/>
      <w:r>
        <w:rPr>
          <w:rFonts w:hint="eastAsia"/>
          <w:b/>
          <w:color w:val="auto"/>
          <w:sz w:val="36"/>
          <w:szCs w:val="36"/>
          <w:highlight w:val="none"/>
        </w:rPr>
        <w:t>附件</w:t>
      </w:r>
      <w:bookmarkEnd w:id="464"/>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65" w:name="OLE_LINK14"/>
      <w:bookmarkStart w:id="466" w:name="OLE_LINK13"/>
      <w:r>
        <w:rPr>
          <w:rFonts w:hint="eastAsia" w:ascii="宋体" w:hAnsi="宋体" w:cs="宋体"/>
          <w:b/>
          <w:color w:val="auto"/>
          <w:spacing w:val="6"/>
          <w:sz w:val="32"/>
          <w:szCs w:val="32"/>
          <w:highlight w:val="none"/>
        </w:rPr>
        <w:t>残疾人福利性单位声明函</w:t>
      </w:r>
    </w:p>
    <w:bookmarkEnd w:id="465"/>
    <w:bookmarkEnd w:id="466"/>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left"/>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6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67"/>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3"/>
          <w:color w:val="auto"/>
          <w:highlight w:val="none"/>
        </w:rPr>
      </w:pPr>
      <w:r>
        <w:rPr>
          <w:rStyle w:val="83"/>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3"/>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4"/>
        <w:rPr>
          <w:color w:val="auto"/>
          <w:highlight w:val="none"/>
        </w:rPr>
      </w:pPr>
      <w:r>
        <w:rPr>
          <w:rFonts w:hint="eastAsia"/>
          <w:color w:val="auto"/>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6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68"/>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投标人名称(公章)：</w:t>
      </w:r>
    </w:p>
    <w:p>
      <w:pPr>
        <w:snapToGrid w:val="0"/>
        <w:spacing w:line="360" w:lineRule="auto"/>
        <w:rPr>
          <w:rStyle w:val="83"/>
          <w:color w:val="auto"/>
          <w:highlight w:val="none"/>
        </w:rPr>
      </w:pPr>
      <w:r>
        <w:rPr>
          <w:rStyle w:val="83"/>
          <w:rFonts w:hint="eastAsia"/>
          <w:color w:val="auto"/>
          <w:highlight w:val="none"/>
        </w:rPr>
        <w:t xml:space="preserve">                                              法定代表人（负责人） (签名)：</w:t>
      </w:r>
    </w:p>
    <w:p>
      <w:pPr>
        <w:snapToGrid w:val="0"/>
        <w:spacing w:line="360" w:lineRule="auto"/>
        <w:ind w:right="480"/>
        <w:rPr>
          <w:rFonts w:ascii="宋体" w:hAnsi="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分包供应商名称(公章)：</w:t>
      </w:r>
    </w:p>
    <w:p>
      <w:pPr>
        <w:pStyle w:val="84"/>
        <w:ind w:firstLine="5520" w:firstLineChars="2300"/>
        <w:jc w:val="both"/>
        <w:rPr>
          <w:color w:val="auto"/>
          <w:highlight w:val="none"/>
        </w:rPr>
      </w:pPr>
      <w:r>
        <w:rPr>
          <w:rStyle w:val="83"/>
          <w:rFonts w:hint="eastAsia"/>
          <w:color w:val="auto"/>
          <w:highlight w:val="none"/>
        </w:rPr>
        <w:t>法定代表人（负责人） (签名)：</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rPr>
        <w:t>……</w:t>
      </w:r>
    </w:p>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4"/>
      </w:rPr>
    </w:pPr>
    <w:r>
      <w:fldChar w:fldCharType="begin"/>
    </w:r>
    <w:r>
      <w:rPr>
        <w:rStyle w:val="74"/>
      </w:rPr>
      <w:instrText xml:space="preserve">PAGE  </w:instrText>
    </w:r>
    <w:r>
      <w:fldChar w:fldCharType="end"/>
    </w:r>
  </w:p>
  <w:p>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bookmarkStart w:id="469" w:name="_Toc36110187"/>
    <w:bookmarkStart w:id="470" w:name="_Toc164085800"/>
    <w:bookmarkStart w:id="471" w:name="_Toc131845147"/>
    <w:bookmarkStart w:id="472" w:name="_Toc91899912"/>
    <w:r>
      <w:rPr>
        <w:rFonts w:hint="eastAsia" w:ascii="仿宋_GB2312" w:eastAsia="仿宋_GB2312"/>
        <w:kern w:val="0"/>
        <w:sz w:val="21"/>
        <w:szCs w:val="21"/>
      </w:rPr>
      <w:t xml:space="preserve"> 页</w:t>
    </w:r>
    <w:bookmarkEnd w:id="469"/>
    <w:bookmarkEnd w:id="470"/>
    <w:bookmarkEnd w:id="471"/>
    <w:bookmarkEnd w:id="47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4"/>
      </w:rPr>
    </w:pPr>
    <w:r>
      <w:fldChar w:fldCharType="begin"/>
    </w:r>
    <w:r>
      <w:rPr>
        <w:rStyle w:val="74"/>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4F99"/>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2FEB"/>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70F"/>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191"/>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3B3"/>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77D"/>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777"/>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BF3"/>
    <w:rsid w:val="009A3C3E"/>
    <w:rsid w:val="009A4153"/>
    <w:rsid w:val="009A4C2C"/>
    <w:rsid w:val="009A59B3"/>
    <w:rsid w:val="009A5FAE"/>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6B61"/>
    <w:rsid w:val="00AF7003"/>
    <w:rsid w:val="00AF7389"/>
    <w:rsid w:val="00AF76B7"/>
    <w:rsid w:val="00AF79DF"/>
    <w:rsid w:val="00AF7C37"/>
    <w:rsid w:val="00B00378"/>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AF2"/>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AA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43D0"/>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57E3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81E"/>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2DA"/>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2B0C"/>
    <w:rsid w:val="00D42D6E"/>
    <w:rsid w:val="00D42F28"/>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1762F"/>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321C4E"/>
    <w:rsid w:val="06493CA7"/>
    <w:rsid w:val="065A6178"/>
    <w:rsid w:val="066F1CF3"/>
    <w:rsid w:val="06930BB8"/>
    <w:rsid w:val="07245D42"/>
    <w:rsid w:val="07264C62"/>
    <w:rsid w:val="0779354C"/>
    <w:rsid w:val="07C6615E"/>
    <w:rsid w:val="08061376"/>
    <w:rsid w:val="08452D77"/>
    <w:rsid w:val="0848341A"/>
    <w:rsid w:val="086401F8"/>
    <w:rsid w:val="08716E9D"/>
    <w:rsid w:val="08751CAA"/>
    <w:rsid w:val="087E4C40"/>
    <w:rsid w:val="08A871D0"/>
    <w:rsid w:val="08D66AD6"/>
    <w:rsid w:val="08DA33A3"/>
    <w:rsid w:val="08DF4206"/>
    <w:rsid w:val="08E80F13"/>
    <w:rsid w:val="09235E6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550AB"/>
    <w:rsid w:val="0A5B7E63"/>
    <w:rsid w:val="0AA374A5"/>
    <w:rsid w:val="0AA84B8F"/>
    <w:rsid w:val="0AAB7649"/>
    <w:rsid w:val="0ABC5606"/>
    <w:rsid w:val="0B30404E"/>
    <w:rsid w:val="0B453357"/>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CF0E49"/>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37799"/>
    <w:rsid w:val="0F596BA8"/>
    <w:rsid w:val="0F6248D2"/>
    <w:rsid w:val="0F660C14"/>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9E5910"/>
    <w:rsid w:val="11C6522A"/>
    <w:rsid w:val="11E104CC"/>
    <w:rsid w:val="11E20309"/>
    <w:rsid w:val="12255233"/>
    <w:rsid w:val="12530213"/>
    <w:rsid w:val="127723A9"/>
    <w:rsid w:val="12847322"/>
    <w:rsid w:val="12862074"/>
    <w:rsid w:val="12883966"/>
    <w:rsid w:val="129E45B4"/>
    <w:rsid w:val="12D81596"/>
    <w:rsid w:val="13072A44"/>
    <w:rsid w:val="135F4BE2"/>
    <w:rsid w:val="139B1A0A"/>
    <w:rsid w:val="139D25C7"/>
    <w:rsid w:val="13BF3CE4"/>
    <w:rsid w:val="13D3434C"/>
    <w:rsid w:val="141008D8"/>
    <w:rsid w:val="14125FE6"/>
    <w:rsid w:val="146D271E"/>
    <w:rsid w:val="14982588"/>
    <w:rsid w:val="149A5AD9"/>
    <w:rsid w:val="14A7619D"/>
    <w:rsid w:val="14D22583"/>
    <w:rsid w:val="150536C3"/>
    <w:rsid w:val="150C1963"/>
    <w:rsid w:val="151447A0"/>
    <w:rsid w:val="154A6454"/>
    <w:rsid w:val="15762120"/>
    <w:rsid w:val="15777D55"/>
    <w:rsid w:val="16A8729C"/>
    <w:rsid w:val="16B33777"/>
    <w:rsid w:val="16BC70A7"/>
    <w:rsid w:val="16C6339E"/>
    <w:rsid w:val="16E12F6C"/>
    <w:rsid w:val="172F2D79"/>
    <w:rsid w:val="17557BEF"/>
    <w:rsid w:val="17B407C1"/>
    <w:rsid w:val="17D349C1"/>
    <w:rsid w:val="18244F26"/>
    <w:rsid w:val="1830729E"/>
    <w:rsid w:val="185A4622"/>
    <w:rsid w:val="1870062C"/>
    <w:rsid w:val="187346A3"/>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8929FD"/>
    <w:rsid w:val="1D9247AE"/>
    <w:rsid w:val="1DB567EC"/>
    <w:rsid w:val="1DE561A6"/>
    <w:rsid w:val="1DF51A98"/>
    <w:rsid w:val="1E051CD9"/>
    <w:rsid w:val="1E0A4CCC"/>
    <w:rsid w:val="1E3D060F"/>
    <w:rsid w:val="1E3F7D2E"/>
    <w:rsid w:val="1E4134E4"/>
    <w:rsid w:val="1E5062B3"/>
    <w:rsid w:val="1E523514"/>
    <w:rsid w:val="1E714A66"/>
    <w:rsid w:val="1E793956"/>
    <w:rsid w:val="1E802593"/>
    <w:rsid w:val="1E8B6156"/>
    <w:rsid w:val="1EA703CC"/>
    <w:rsid w:val="1EB7330C"/>
    <w:rsid w:val="1F0A0FF3"/>
    <w:rsid w:val="1F5771FF"/>
    <w:rsid w:val="1FD52574"/>
    <w:rsid w:val="1FE868A9"/>
    <w:rsid w:val="20034907"/>
    <w:rsid w:val="20173E4B"/>
    <w:rsid w:val="204E48BC"/>
    <w:rsid w:val="208921B3"/>
    <w:rsid w:val="20973DEB"/>
    <w:rsid w:val="209F283E"/>
    <w:rsid w:val="20B26522"/>
    <w:rsid w:val="20B44310"/>
    <w:rsid w:val="211116EB"/>
    <w:rsid w:val="216133FC"/>
    <w:rsid w:val="21D56769"/>
    <w:rsid w:val="21E52EF3"/>
    <w:rsid w:val="21FB5D7B"/>
    <w:rsid w:val="22015E94"/>
    <w:rsid w:val="220B1C3D"/>
    <w:rsid w:val="221D1D20"/>
    <w:rsid w:val="22334A87"/>
    <w:rsid w:val="224044DA"/>
    <w:rsid w:val="22BE6801"/>
    <w:rsid w:val="22D83F1E"/>
    <w:rsid w:val="233500BF"/>
    <w:rsid w:val="23377FF7"/>
    <w:rsid w:val="236B425F"/>
    <w:rsid w:val="23701C41"/>
    <w:rsid w:val="23836192"/>
    <w:rsid w:val="23901F29"/>
    <w:rsid w:val="239C0061"/>
    <w:rsid w:val="23B908A4"/>
    <w:rsid w:val="23E27979"/>
    <w:rsid w:val="23E95BEF"/>
    <w:rsid w:val="23FD0064"/>
    <w:rsid w:val="245375B0"/>
    <w:rsid w:val="24642C0A"/>
    <w:rsid w:val="24B22173"/>
    <w:rsid w:val="24B95AD9"/>
    <w:rsid w:val="24BE24DA"/>
    <w:rsid w:val="24CF5825"/>
    <w:rsid w:val="24D663E6"/>
    <w:rsid w:val="24D77F2B"/>
    <w:rsid w:val="25357C43"/>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05425A"/>
    <w:rsid w:val="2B437463"/>
    <w:rsid w:val="2B6347FD"/>
    <w:rsid w:val="2B7807EE"/>
    <w:rsid w:val="2BA50BF7"/>
    <w:rsid w:val="2BBF00EC"/>
    <w:rsid w:val="2BC37CFD"/>
    <w:rsid w:val="2BCB43FB"/>
    <w:rsid w:val="2BD5237F"/>
    <w:rsid w:val="2BE536CE"/>
    <w:rsid w:val="2BE758D9"/>
    <w:rsid w:val="2BF346BB"/>
    <w:rsid w:val="2C09049E"/>
    <w:rsid w:val="2C0A653C"/>
    <w:rsid w:val="2C191F85"/>
    <w:rsid w:val="2C1B1013"/>
    <w:rsid w:val="2CE82D6F"/>
    <w:rsid w:val="2D343236"/>
    <w:rsid w:val="2D575011"/>
    <w:rsid w:val="2DCC5498"/>
    <w:rsid w:val="2DD15014"/>
    <w:rsid w:val="2DF72DE4"/>
    <w:rsid w:val="2E0220AF"/>
    <w:rsid w:val="2E4B082A"/>
    <w:rsid w:val="2E5D4E86"/>
    <w:rsid w:val="2E5D790B"/>
    <w:rsid w:val="2E9A3C18"/>
    <w:rsid w:val="2EA045AD"/>
    <w:rsid w:val="2EBB0FEE"/>
    <w:rsid w:val="2EC63002"/>
    <w:rsid w:val="2F0A6B38"/>
    <w:rsid w:val="2F552FA4"/>
    <w:rsid w:val="2F7A451C"/>
    <w:rsid w:val="2F946CCB"/>
    <w:rsid w:val="2FD25781"/>
    <w:rsid w:val="2FDB44A0"/>
    <w:rsid w:val="2FDC745C"/>
    <w:rsid w:val="2FFD7934"/>
    <w:rsid w:val="30733ACD"/>
    <w:rsid w:val="308C3862"/>
    <w:rsid w:val="309379D8"/>
    <w:rsid w:val="30A270F7"/>
    <w:rsid w:val="30CF56A8"/>
    <w:rsid w:val="30DF1478"/>
    <w:rsid w:val="30E26E1E"/>
    <w:rsid w:val="30EC586F"/>
    <w:rsid w:val="31131987"/>
    <w:rsid w:val="31242F36"/>
    <w:rsid w:val="314429A7"/>
    <w:rsid w:val="319C6071"/>
    <w:rsid w:val="31AC537E"/>
    <w:rsid w:val="31E3679B"/>
    <w:rsid w:val="31E732FD"/>
    <w:rsid w:val="32517576"/>
    <w:rsid w:val="3289247A"/>
    <w:rsid w:val="32BE5C2C"/>
    <w:rsid w:val="32BF12C4"/>
    <w:rsid w:val="32FB6478"/>
    <w:rsid w:val="33263B3F"/>
    <w:rsid w:val="33322E83"/>
    <w:rsid w:val="333740E3"/>
    <w:rsid w:val="336963EB"/>
    <w:rsid w:val="33816EEB"/>
    <w:rsid w:val="33EB55CD"/>
    <w:rsid w:val="33EC4C02"/>
    <w:rsid w:val="340D2360"/>
    <w:rsid w:val="3410665D"/>
    <w:rsid w:val="34211214"/>
    <w:rsid w:val="342E63AB"/>
    <w:rsid w:val="34950E68"/>
    <w:rsid w:val="34986E94"/>
    <w:rsid w:val="34AF62C9"/>
    <w:rsid w:val="34CB4388"/>
    <w:rsid w:val="34FA6E12"/>
    <w:rsid w:val="351673E1"/>
    <w:rsid w:val="354D7158"/>
    <w:rsid w:val="358D5588"/>
    <w:rsid w:val="35BA549C"/>
    <w:rsid w:val="361F3B45"/>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8C7D68"/>
    <w:rsid w:val="39B417A9"/>
    <w:rsid w:val="39EB58A2"/>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154FEA"/>
    <w:rsid w:val="3C471448"/>
    <w:rsid w:val="3C5F759A"/>
    <w:rsid w:val="3C6C525A"/>
    <w:rsid w:val="3CCE23CB"/>
    <w:rsid w:val="3CD17D17"/>
    <w:rsid w:val="3CE07CFB"/>
    <w:rsid w:val="3D1E5731"/>
    <w:rsid w:val="3D3C7F39"/>
    <w:rsid w:val="3D440F09"/>
    <w:rsid w:val="3D4504A0"/>
    <w:rsid w:val="3D8734BB"/>
    <w:rsid w:val="3D9A11D4"/>
    <w:rsid w:val="3DA16D89"/>
    <w:rsid w:val="3DA364BE"/>
    <w:rsid w:val="3DE041CB"/>
    <w:rsid w:val="3E0D48F6"/>
    <w:rsid w:val="3E1868B4"/>
    <w:rsid w:val="3E377251"/>
    <w:rsid w:val="3E3A7B93"/>
    <w:rsid w:val="3E42664B"/>
    <w:rsid w:val="3E43606C"/>
    <w:rsid w:val="3E5A7334"/>
    <w:rsid w:val="3E7B5D6B"/>
    <w:rsid w:val="3E843E66"/>
    <w:rsid w:val="3E8F51FE"/>
    <w:rsid w:val="3E926F87"/>
    <w:rsid w:val="3E994BA5"/>
    <w:rsid w:val="3E9A59DE"/>
    <w:rsid w:val="3EAF4836"/>
    <w:rsid w:val="3EC33DFA"/>
    <w:rsid w:val="3F060E16"/>
    <w:rsid w:val="3F1D1096"/>
    <w:rsid w:val="3F2F0234"/>
    <w:rsid w:val="3F6363FE"/>
    <w:rsid w:val="3F756B8F"/>
    <w:rsid w:val="3F95482B"/>
    <w:rsid w:val="3FE81821"/>
    <w:rsid w:val="4019356B"/>
    <w:rsid w:val="40592157"/>
    <w:rsid w:val="406E1CAE"/>
    <w:rsid w:val="40A0133A"/>
    <w:rsid w:val="40C31A53"/>
    <w:rsid w:val="40FF545D"/>
    <w:rsid w:val="410067C8"/>
    <w:rsid w:val="418F0D2A"/>
    <w:rsid w:val="41D01505"/>
    <w:rsid w:val="42474939"/>
    <w:rsid w:val="424C3C57"/>
    <w:rsid w:val="424F5558"/>
    <w:rsid w:val="42613FF3"/>
    <w:rsid w:val="42660D96"/>
    <w:rsid w:val="428667D2"/>
    <w:rsid w:val="42CD1CE0"/>
    <w:rsid w:val="42E1381E"/>
    <w:rsid w:val="42ED6459"/>
    <w:rsid w:val="42FE58DD"/>
    <w:rsid w:val="43174B3D"/>
    <w:rsid w:val="434B790E"/>
    <w:rsid w:val="4360274F"/>
    <w:rsid w:val="43977AB6"/>
    <w:rsid w:val="439C1F64"/>
    <w:rsid w:val="43A3342B"/>
    <w:rsid w:val="43C77C27"/>
    <w:rsid w:val="43CF5515"/>
    <w:rsid w:val="43DE09EE"/>
    <w:rsid w:val="44002FAD"/>
    <w:rsid w:val="449101DD"/>
    <w:rsid w:val="44DE1391"/>
    <w:rsid w:val="451B225C"/>
    <w:rsid w:val="452410C9"/>
    <w:rsid w:val="45317DFB"/>
    <w:rsid w:val="456D3CE4"/>
    <w:rsid w:val="4579042C"/>
    <w:rsid w:val="457F0571"/>
    <w:rsid w:val="45851176"/>
    <w:rsid w:val="45C63B94"/>
    <w:rsid w:val="45E72440"/>
    <w:rsid w:val="460E7DA5"/>
    <w:rsid w:val="46422483"/>
    <w:rsid w:val="4659254A"/>
    <w:rsid w:val="465B0637"/>
    <w:rsid w:val="465E3F0D"/>
    <w:rsid w:val="466A16E6"/>
    <w:rsid w:val="46893F2B"/>
    <w:rsid w:val="46B14003"/>
    <w:rsid w:val="46C4686E"/>
    <w:rsid w:val="471925E8"/>
    <w:rsid w:val="477B778F"/>
    <w:rsid w:val="478203EC"/>
    <w:rsid w:val="47B025FA"/>
    <w:rsid w:val="4809698F"/>
    <w:rsid w:val="4811697D"/>
    <w:rsid w:val="487A3E25"/>
    <w:rsid w:val="488B5503"/>
    <w:rsid w:val="48902B1E"/>
    <w:rsid w:val="48937E21"/>
    <w:rsid w:val="489A0361"/>
    <w:rsid w:val="489A57D5"/>
    <w:rsid w:val="48B94FF3"/>
    <w:rsid w:val="48E37AAB"/>
    <w:rsid w:val="48F07D25"/>
    <w:rsid w:val="48FD4B4C"/>
    <w:rsid w:val="490A68E0"/>
    <w:rsid w:val="491055FE"/>
    <w:rsid w:val="495F5B3E"/>
    <w:rsid w:val="496F77D7"/>
    <w:rsid w:val="497654FD"/>
    <w:rsid w:val="49B64211"/>
    <w:rsid w:val="49F6167F"/>
    <w:rsid w:val="4A064FA0"/>
    <w:rsid w:val="4A16615C"/>
    <w:rsid w:val="4A282DED"/>
    <w:rsid w:val="4A4424D7"/>
    <w:rsid w:val="4AB80079"/>
    <w:rsid w:val="4AB82D0F"/>
    <w:rsid w:val="4AEB7664"/>
    <w:rsid w:val="4AFD7C19"/>
    <w:rsid w:val="4B0567D1"/>
    <w:rsid w:val="4B236AAE"/>
    <w:rsid w:val="4B707271"/>
    <w:rsid w:val="4B9739F7"/>
    <w:rsid w:val="4BB851E7"/>
    <w:rsid w:val="4BEE2503"/>
    <w:rsid w:val="4C03434F"/>
    <w:rsid w:val="4C245A30"/>
    <w:rsid w:val="4CB6685F"/>
    <w:rsid w:val="4CB9595F"/>
    <w:rsid w:val="4CC367FE"/>
    <w:rsid w:val="4D03202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2472"/>
    <w:rsid w:val="5021480F"/>
    <w:rsid w:val="503A648D"/>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1F2928"/>
    <w:rsid w:val="53302599"/>
    <w:rsid w:val="53544462"/>
    <w:rsid w:val="5397158E"/>
    <w:rsid w:val="54013861"/>
    <w:rsid w:val="543171E7"/>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E7C51"/>
    <w:rsid w:val="57032A2C"/>
    <w:rsid w:val="570B073C"/>
    <w:rsid w:val="570F5219"/>
    <w:rsid w:val="575D12B5"/>
    <w:rsid w:val="57610A87"/>
    <w:rsid w:val="577B1140"/>
    <w:rsid w:val="577B7F21"/>
    <w:rsid w:val="577F181B"/>
    <w:rsid w:val="57921984"/>
    <w:rsid w:val="579737F0"/>
    <w:rsid w:val="57AB7B30"/>
    <w:rsid w:val="57AF5251"/>
    <w:rsid w:val="57B26373"/>
    <w:rsid w:val="57B63F04"/>
    <w:rsid w:val="57BC760A"/>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7408B"/>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2E75E8"/>
    <w:rsid w:val="5D397964"/>
    <w:rsid w:val="5D5A391C"/>
    <w:rsid w:val="5D5F10C0"/>
    <w:rsid w:val="5D891B7B"/>
    <w:rsid w:val="5DAD38EE"/>
    <w:rsid w:val="5DBA763D"/>
    <w:rsid w:val="5DFD27FA"/>
    <w:rsid w:val="5E006862"/>
    <w:rsid w:val="5E0207B9"/>
    <w:rsid w:val="5E1834A1"/>
    <w:rsid w:val="5E261785"/>
    <w:rsid w:val="5E4A7017"/>
    <w:rsid w:val="5E552BBA"/>
    <w:rsid w:val="5E611C10"/>
    <w:rsid w:val="5E7A0F3F"/>
    <w:rsid w:val="5EFC7377"/>
    <w:rsid w:val="5F06174D"/>
    <w:rsid w:val="5F3A3602"/>
    <w:rsid w:val="5F45733B"/>
    <w:rsid w:val="5F6277C6"/>
    <w:rsid w:val="5F643A4D"/>
    <w:rsid w:val="5F6D0B1D"/>
    <w:rsid w:val="5F8D0B82"/>
    <w:rsid w:val="5FCC5339"/>
    <w:rsid w:val="5FE34A5B"/>
    <w:rsid w:val="5FFE1E36"/>
    <w:rsid w:val="60232584"/>
    <w:rsid w:val="607330CE"/>
    <w:rsid w:val="60825176"/>
    <w:rsid w:val="609C2809"/>
    <w:rsid w:val="609F2AC4"/>
    <w:rsid w:val="60FA2EE8"/>
    <w:rsid w:val="61054A27"/>
    <w:rsid w:val="610A52BC"/>
    <w:rsid w:val="611D2366"/>
    <w:rsid w:val="61421856"/>
    <w:rsid w:val="615227C4"/>
    <w:rsid w:val="61654E3F"/>
    <w:rsid w:val="6182292A"/>
    <w:rsid w:val="619F7F92"/>
    <w:rsid w:val="61E8278C"/>
    <w:rsid w:val="61F94C26"/>
    <w:rsid w:val="62000E56"/>
    <w:rsid w:val="624F3E49"/>
    <w:rsid w:val="62632286"/>
    <w:rsid w:val="62885958"/>
    <w:rsid w:val="62F40B65"/>
    <w:rsid w:val="62FC2CFE"/>
    <w:rsid w:val="63024505"/>
    <w:rsid w:val="630C38C3"/>
    <w:rsid w:val="635600A5"/>
    <w:rsid w:val="635B1DB5"/>
    <w:rsid w:val="635E31C9"/>
    <w:rsid w:val="63711FED"/>
    <w:rsid w:val="63880DDC"/>
    <w:rsid w:val="638D750D"/>
    <w:rsid w:val="63AC6CC0"/>
    <w:rsid w:val="63B31590"/>
    <w:rsid w:val="64055776"/>
    <w:rsid w:val="64240056"/>
    <w:rsid w:val="643E143A"/>
    <w:rsid w:val="64491666"/>
    <w:rsid w:val="645D5803"/>
    <w:rsid w:val="648B6EEF"/>
    <w:rsid w:val="64C158BF"/>
    <w:rsid w:val="64CE2EAA"/>
    <w:rsid w:val="64FD7F3D"/>
    <w:rsid w:val="650079EA"/>
    <w:rsid w:val="653C3090"/>
    <w:rsid w:val="654207D2"/>
    <w:rsid w:val="65742AE1"/>
    <w:rsid w:val="65854376"/>
    <w:rsid w:val="658767BE"/>
    <w:rsid w:val="65892531"/>
    <w:rsid w:val="66195831"/>
    <w:rsid w:val="662E75B1"/>
    <w:rsid w:val="66342C2E"/>
    <w:rsid w:val="663E784C"/>
    <w:rsid w:val="668B6A45"/>
    <w:rsid w:val="672F3F24"/>
    <w:rsid w:val="673E055F"/>
    <w:rsid w:val="67551CE3"/>
    <w:rsid w:val="676C597E"/>
    <w:rsid w:val="67A22552"/>
    <w:rsid w:val="67B22DCC"/>
    <w:rsid w:val="67BE71AA"/>
    <w:rsid w:val="67D90273"/>
    <w:rsid w:val="67DE5875"/>
    <w:rsid w:val="67E55852"/>
    <w:rsid w:val="67EB1AB4"/>
    <w:rsid w:val="67FA1285"/>
    <w:rsid w:val="68551F4F"/>
    <w:rsid w:val="686573DB"/>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3457FB"/>
    <w:rsid w:val="6B504CDA"/>
    <w:rsid w:val="6B573233"/>
    <w:rsid w:val="6B5B6274"/>
    <w:rsid w:val="6B935D53"/>
    <w:rsid w:val="6C196F71"/>
    <w:rsid w:val="6C226FCB"/>
    <w:rsid w:val="6C31226F"/>
    <w:rsid w:val="6C552F0B"/>
    <w:rsid w:val="6C6F13BD"/>
    <w:rsid w:val="6C8C67B7"/>
    <w:rsid w:val="6C9D744C"/>
    <w:rsid w:val="6D003F41"/>
    <w:rsid w:val="6D167928"/>
    <w:rsid w:val="6D26299B"/>
    <w:rsid w:val="6D4772EC"/>
    <w:rsid w:val="6D8B27F6"/>
    <w:rsid w:val="6D9078AF"/>
    <w:rsid w:val="6DAA3FEF"/>
    <w:rsid w:val="6DC0172B"/>
    <w:rsid w:val="6DCB690C"/>
    <w:rsid w:val="6DD41A5B"/>
    <w:rsid w:val="6DF43C2E"/>
    <w:rsid w:val="6DF51CA3"/>
    <w:rsid w:val="6E8335BD"/>
    <w:rsid w:val="6E8E12EF"/>
    <w:rsid w:val="6E972936"/>
    <w:rsid w:val="6EAC5ADB"/>
    <w:rsid w:val="6ED446C5"/>
    <w:rsid w:val="6F2A7D94"/>
    <w:rsid w:val="6F8331F1"/>
    <w:rsid w:val="6FAE1A09"/>
    <w:rsid w:val="6FD75BF8"/>
    <w:rsid w:val="70740CF8"/>
    <w:rsid w:val="707723D0"/>
    <w:rsid w:val="70F5661B"/>
    <w:rsid w:val="710758EE"/>
    <w:rsid w:val="71360107"/>
    <w:rsid w:val="713B688E"/>
    <w:rsid w:val="71D43752"/>
    <w:rsid w:val="71F1796A"/>
    <w:rsid w:val="72154626"/>
    <w:rsid w:val="72213101"/>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7D762B"/>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924009"/>
    <w:rsid w:val="789A783C"/>
    <w:rsid w:val="78A42DB0"/>
    <w:rsid w:val="78A656AB"/>
    <w:rsid w:val="78B2245C"/>
    <w:rsid w:val="78E172CC"/>
    <w:rsid w:val="78EA1D1F"/>
    <w:rsid w:val="7904172F"/>
    <w:rsid w:val="790F7E27"/>
    <w:rsid w:val="792A231A"/>
    <w:rsid w:val="79316829"/>
    <w:rsid w:val="797E66A9"/>
    <w:rsid w:val="798518A4"/>
    <w:rsid w:val="799037C1"/>
    <w:rsid w:val="79A97383"/>
    <w:rsid w:val="79E27E8B"/>
    <w:rsid w:val="79F850CE"/>
    <w:rsid w:val="79FD443C"/>
    <w:rsid w:val="7A1D1975"/>
    <w:rsid w:val="7A3E5150"/>
    <w:rsid w:val="7A4670D6"/>
    <w:rsid w:val="7A534B63"/>
    <w:rsid w:val="7A613295"/>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743F7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9"/>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style>
  <w:style w:type="paragraph" w:styleId="6">
    <w:name w:val="Normal Indent"/>
    <w:basedOn w:val="1"/>
    <w:link w:val="192"/>
    <w:qFormat/>
    <w:uiPriority w:val="99"/>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link w:val="264"/>
    <w:qFormat/>
    <w:uiPriority w:val="99"/>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6"/>
    <w:link w:val="12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0"/>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7"/>
    <w:qFormat/>
    <w:uiPriority w:val="0"/>
    <w:rPr>
      <w:sz w:val="18"/>
      <w:szCs w:val="18"/>
    </w:rPr>
  </w:style>
  <w:style w:type="paragraph" w:styleId="41">
    <w:name w:val="footer"/>
    <w:basedOn w:val="1"/>
    <w:next w:val="1"/>
    <w:link w:val="382"/>
    <w:qFormat/>
    <w:uiPriority w:val="0"/>
    <w:pPr>
      <w:tabs>
        <w:tab w:val="center" w:pos="4153"/>
        <w:tab w:val="right" w:pos="8306"/>
      </w:tabs>
      <w:snapToGrid w:val="0"/>
      <w:jc w:val="left"/>
    </w:pPr>
    <w:rPr>
      <w:sz w:val="18"/>
      <w:szCs w:val="18"/>
    </w:rPr>
  </w:style>
  <w:style w:type="paragraph" w:styleId="42">
    <w:name w:val="header"/>
    <w:basedOn w:val="1"/>
    <w:link w:val="391"/>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5"/>
    <w:qFormat/>
    <w:uiPriority w:val="0"/>
    <w:rPr>
      <w:b/>
      <w:bCs/>
    </w:rPr>
  </w:style>
  <w:style w:type="paragraph" w:styleId="62">
    <w:name w:val="Body Text First Indent"/>
    <w:basedOn w:val="25"/>
    <w:link w:val="320"/>
    <w:qFormat/>
    <w:uiPriority w:val="99"/>
    <w:pPr>
      <w:ind w:firstLine="420"/>
    </w:pPr>
    <w:rPr>
      <w:rFonts w:hAnsi="Calibri" w:cs="Times New Roman"/>
      <w:snapToGrid/>
      <w:szCs w:val="20"/>
    </w:rPr>
  </w:style>
  <w:style w:type="paragraph" w:styleId="63">
    <w:name w:val="Body Text First Indent 2"/>
    <w:basedOn w:val="26"/>
    <w:link w:val="120"/>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3"/>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7"/>
    <w:qFormat/>
    <w:uiPriority w:val="0"/>
    <w:rPr>
      <w:rFonts w:ascii="宋体"/>
      <w:kern w:val="2"/>
      <w:sz w:val="24"/>
      <w:szCs w:val="21"/>
      <w:lang w:val="zh-CN"/>
    </w:rPr>
  </w:style>
  <w:style w:type="character" w:customStyle="1" w:styleId="181">
    <w:name w:val="标题 9 Char"/>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0"/>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1"/>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99"/>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6"/>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0"/>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0"/>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8"/>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9"/>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styleId="964">
    <w:name w:val="Intense Quote"/>
    <w:basedOn w:val="1"/>
    <w:next w:val="1"/>
    <w:link w:val="965"/>
    <w:qFormat/>
    <w:uiPriority w:val="0"/>
    <w:pPr>
      <w:wordWrap w:val="0"/>
      <w:adjustRightInd/>
      <w:spacing w:before="360" w:after="360"/>
      <w:ind w:left="950" w:right="950"/>
      <w:jc w:val="center"/>
    </w:pPr>
    <w:rPr>
      <w:i/>
    </w:rPr>
  </w:style>
  <w:style w:type="character" w:customStyle="1" w:styleId="965">
    <w:name w:val="明显引用 Char"/>
    <w:basedOn w:val="71"/>
    <w:link w:val="964"/>
    <w:qFormat/>
    <w:uiPriority w:val="0"/>
    <w:rPr>
      <w:i/>
      <w:kern w:val="2"/>
      <w:sz w:val="21"/>
      <w:szCs w:val="24"/>
    </w:rPr>
  </w:style>
  <w:style w:type="character" w:customStyle="1" w:styleId="966">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7">
    <w:name w:val="Table Normal"/>
    <w:semiHidden/>
    <w:unhideWhenUsed/>
    <w:qFormat/>
    <w:uiPriority w:val="0"/>
    <w:tblPr>
      <w:tblCellMar>
        <w:top w:w="0" w:type="dxa"/>
        <w:left w:w="0" w:type="dxa"/>
        <w:bottom w:w="0" w:type="dxa"/>
        <w:right w:w="0" w:type="dxa"/>
      </w:tblCellMar>
    </w:tblPr>
  </w:style>
  <w:style w:type="paragraph" w:customStyle="1" w:styleId="968">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6772-48A4-4E36-99D6-E55FD00C68E8}">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119</Pages>
  <Words>14021</Words>
  <Characters>79923</Characters>
  <Lines>666</Lines>
  <Paragraphs>187</Paragraphs>
  <TotalTime>104</TotalTime>
  <ScaleCrop>false</ScaleCrop>
  <LinksUpToDate>false</LinksUpToDate>
  <CharactersWithSpaces>93757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2025-11-27T01:02:12Z</cp:lastPrinted>
  <dcterms:modified xsi:type="dcterms:W3CDTF">2025-11-27T07:14:56Z</dcterms:modified>
  <dc:title>北海市政府采购中心</dc:title>
  <cp:revision>2902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