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F23AB">
      <w:pPr>
        <w:pStyle w:val="3"/>
        <w:jc w:val="center"/>
        <w:rPr>
          <w:rFonts w:hint="eastAsia" w:ascii="宋体" w:hAnsi="宋体" w:eastAsia="宋体" w:cs="宋体"/>
          <w:i/>
          <w:iCs/>
          <w:color w:val="auto"/>
          <w:sz w:val="32"/>
          <w:szCs w:val="32"/>
          <w:highlight w:val="none"/>
        </w:rPr>
      </w:pPr>
      <w:r>
        <w:rPr>
          <w:rFonts w:hint="eastAsia" w:ascii="宋体" w:hAnsi="宋体" w:eastAsia="宋体" w:cs="宋体"/>
          <w:bCs w:val="0"/>
          <w:color w:val="auto"/>
          <w:sz w:val="32"/>
          <w:szCs w:val="32"/>
          <w:highlight w:val="none"/>
        </w:rPr>
        <w:t>采购需求</w:t>
      </w:r>
    </w:p>
    <w:p w14:paraId="5C7B5C1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0A616EC">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1A8771DE">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4EAF72B9">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2.“实质性要求”是指磋商文件中已经指明不满足则响应文件按无效响应处理的条款，或者不能负偏离的条款，或者采购需求中带“▲”的条款。</w:t>
      </w:r>
    </w:p>
    <w:p w14:paraId="5D14FABE">
      <w:pPr>
        <w:pStyle w:val="4"/>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highlight w:val="none"/>
        </w:rPr>
        <w:t>如竞标产品存在侵犯他人的知识产权或者专利成果行为的，应承担相应法律责任。</w:t>
      </w:r>
    </w:p>
    <w:p w14:paraId="49781C64">
      <w:pPr>
        <w:tabs>
          <w:tab w:val="left" w:pos="180"/>
          <w:tab w:val="left" w:pos="1620"/>
        </w:tabs>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highlight w:val="none"/>
        </w:rPr>
        <w:t>4.采购标的对应的中小企业划分标准所属行业名称：</w:t>
      </w:r>
      <w:r>
        <w:rPr>
          <w:rFonts w:hint="eastAsia" w:ascii="宋体" w:hAnsi="宋体" w:eastAsia="宋体" w:cs="宋体"/>
          <w:color w:val="auto"/>
          <w:highlight w:val="none"/>
          <w:u w:val="single"/>
        </w:rPr>
        <w:t xml:space="preserve"> 其他未列明行业 </w:t>
      </w:r>
    </w:p>
    <w:tbl>
      <w:tblPr>
        <w:tblStyle w:val="5"/>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283"/>
        <w:gridCol w:w="800"/>
        <w:gridCol w:w="5860"/>
        <w:gridCol w:w="1428"/>
      </w:tblGrid>
      <w:tr w14:paraId="55FE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8" w:type="dxa"/>
            <w:gridSpan w:val="5"/>
            <w:tcBorders>
              <w:top w:val="single" w:color="auto" w:sz="4" w:space="0"/>
            </w:tcBorders>
            <w:noWrap w:val="0"/>
            <w:vAlign w:val="center"/>
          </w:tcPr>
          <w:p w14:paraId="5FE9FF6C">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一、需求一览表</w:t>
            </w:r>
          </w:p>
        </w:tc>
      </w:tr>
      <w:tr w14:paraId="6DF5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17" w:type="dxa"/>
            <w:tcBorders>
              <w:top w:val="single" w:color="auto" w:sz="4" w:space="0"/>
            </w:tcBorders>
            <w:noWrap w:val="0"/>
            <w:vAlign w:val="center"/>
          </w:tcPr>
          <w:p w14:paraId="0D4AAE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83" w:type="dxa"/>
            <w:tcBorders>
              <w:top w:val="single" w:color="auto" w:sz="4" w:space="0"/>
            </w:tcBorders>
            <w:noWrap w:val="0"/>
            <w:vAlign w:val="center"/>
          </w:tcPr>
          <w:p w14:paraId="199EA4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800" w:type="dxa"/>
            <w:tcBorders>
              <w:top w:val="single" w:color="auto" w:sz="4" w:space="0"/>
            </w:tcBorders>
            <w:noWrap w:val="0"/>
            <w:vAlign w:val="center"/>
          </w:tcPr>
          <w:p w14:paraId="1ADE02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p w14:paraId="4AE9AFCD">
            <w:pPr>
              <w:spacing w:line="360" w:lineRule="auto"/>
              <w:jc w:val="center"/>
              <w:rPr>
                <w:rFonts w:hint="eastAsia" w:ascii="宋体" w:hAnsi="宋体" w:eastAsia="宋体" w:cs="宋体"/>
                <w:color w:val="auto"/>
                <w:szCs w:val="21"/>
                <w:highlight w:val="none"/>
              </w:rPr>
            </w:pPr>
          </w:p>
        </w:tc>
        <w:tc>
          <w:tcPr>
            <w:tcW w:w="5860" w:type="dxa"/>
            <w:tcBorders>
              <w:top w:val="single" w:color="auto" w:sz="4" w:space="0"/>
            </w:tcBorders>
            <w:noWrap w:val="0"/>
            <w:vAlign w:val="center"/>
          </w:tcPr>
          <w:p w14:paraId="4F21C3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428" w:type="dxa"/>
            <w:tcBorders>
              <w:top w:val="single" w:color="auto" w:sz="4" w:space="0"/>
            </w:tcBorders>
            <w:noWrap w:val="0"/>
            <w:vAlign w:val="center"/>
          </w:tcPr>
          <w:p w14:paraId="2520FE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14:paraId="1043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17" w:type="dxa"/>
            <w:noWrap w:val="0"/>
            <w:vAlign w:val="center"/>
          </w:tcPr>
          <w:p w14:paraId="4F4E84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83" w:type="dxa"/>
            <w:noWrap w:val="0"/>
            <w:vAlign w:val="center"/>
          </w:tcPr>
          <w:p w14:paraId="198C280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 防城港市有色金属产业高质量发展“十五五”规划服务采购</w:t>
            </w:r>
          </w:p>
        </w:tc>
        <w:tc>
          <w:tcPr>
            <w:tcW w:w="800" w:type="dxa"/>
            <w:noWrap w:val="0"/>
            <w:vAlign w:val="center"/>
          </w:tcPr>
          <w:p w14:paraId="5ABBF4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5860" w:type="dxa"/>
            <w:noWrap w:val="0"/>
            <w:vAlign w:val="center"/>
          </w:tcPr>
          <w:p w14:paraId="4DB1202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一、项目概况</w:t>
            </w:r>
          </w:p>
          <w:p w14:paraId="0C22E230">
            <w:pPr>
              <w:spacing w:line="560" w:lineRule="exact"/>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按照自治区有色金属高质量发展“十个一”工作部署，以及防城港市产业发展需求，防城港市工业和信息化局计划开展《防城港市有色金属产业高质量发展“十五五”规划》编制工作，聚焦铝和铜两个品种。</w:t>
            </w:r>
          </w:p>
          <w:p w14:paraId="2CBEC99C">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二、编制内容</w:t>
            </w:r>
          </w:p>
          <w:p w14:paraId="40915857">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制防城港市有色金属产业高质量发展“十五五”规划（2026-2030年）。主要内容包括但不限于：1.防城港市有色金属产业政策环境。2.防城港市有色金属产业以及关键金属产业发展条件和基础。3.规划实施环境影响评价（如指项目环评，涉及事项过于繁杂，短期内无法开展）。4.防城港市有色金属产业以及关键金属产业发展总体发展战略、产业布局和集群发展。5.防城港市有色金属产业以及关键金属产业发展目标和重点任务。6.防城港市钢铜铝产业耦合发展。7.产业科技创新能力建设。8.保障措施。</w:t>
            </w:r>
          </w:p>
          <w:p w14:paraId="5B2CEF5E">
            <w:pPr>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三、拟投入人员要求</w:t>
            </w:r>
          </w:p>
          <w:p w14:paraId="378C7F87">
            <w:pPr>
              <w:spacing w:line="560" w:lineRule="exact"/>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1.项目负责人具有高级及以上职称。编制团队人员不少于5人，其中具有高级及以上职称人员占比不低于30%。</w:t>
            </w:r>
          </w:p>
          <w:p w14:paraId="5170AD16">
            <w:pPr>
              <w:spacing w:line="560" w:lineRule="exact"/>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2.人员专业涵盖冶金、材料、环境工程、管理等专业，覆盖绿色技术、高端材料、数字化等方向。</w:t>
            </w:r>
          </w:p>
          <w:p w14:paraId="583A84BD">
            <w:pPr>
              <w:spacing w:line="560" w:lineRule="exact"/>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四、编制要求（包括但不限于）</w:t>
            </w:r>
          </w:p>
          <w:p w14:paraId="0D317775">
            <w:pPr>
              <w:spacing w:line="560" w:lineRule="exact"/>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总结防城港市“十四五”时期有色金属产业发展取得的成就和存在的主要问题；研判分析当前及“十五五”时期防城港市面临的发展形势及影响；研究提出“十五五”时期防城港市有色金属产业高质量发展的指导思想、基本原则、发展目标、重点任务、规划保障措施等内容。</w:t>
            </w:r>
          </w:p>
          <w:p w14:paraId="57A389E6">
            <w:pPr>
              <w:spacing w:line="560" w:lineRule="exact"/>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2.突出政策导向：严格遵循国家、广西壮族自治区关于有色金属、关键金属产业发展的最新战略部署，深度衔接防城港市“十五五”规划及相关专项规划，确保规划的政策性、前瞻性和协同性。</w:t>
            </w:r>
          </w:p>
          <w:p w14:paraId="622B4097">
            <w:pPr>
              <w:spacing w:line="560" w:lineRule="exact"/>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结合本地产业发展现状：全面梳理防城港市有色金属、关键金属产业发展现有基础和核心优势，精准把握区位优势、产业特色、资源禀赋和发展短板，确保规划内容符合本地发展需求，具备较强的针对性和可操作性。</w:t>
            </w:r>
          </w:p>
          <w:p w14:paraId="72DE0DBA">
            <w:pPr>
              <w:spacing w:line="560" w:lineRule="exact"/>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突出创新驱动：聚焦科技创新与制造业深度融合，在有色金属产业推广新一代信息技术、人工智能技术等场景，强化科技创新、模式创新和制度创新在规划中的核心地位，助力防城港市有色金属产业实现转型升级和高质量发展。</w:t>
            </w:r>
          </w:p>
          <w:p w14:paraId="14C6EAF8">
            <w:pPr>
              <w:spacing w:line="560" w:lineRule="exact"/>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规范体例格式：按照核心内容模块组织编写，可适当拓展编制内容，逻辑清晰、层次分明，语言简洁准确、专业规范，符合政府专项规划的编制和行文要求，撰写高质量的“十五五”规划文本，并制作相关的汇报材料，为规划的审议和发布提供支持。</w:t>
            </w:r>
          </w:p>
        </w:tc>
        <w:tc>
          <w:tcPr>
            <w:tcW w:w="1428" w:type="dxa"/>
            <w:noWrap w:val="0"/>
            <w:vAlign w:val="center"/>
          </w:tcPr>
          <w:p w14:paraId="3D1009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r>
      <w:tr w14:paraId="41F2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788" w:type="dxa"/>
            <w:gridSpan w:val="5"/>
            <w:noWrap w:val="0"/>
            <w:vAlign w:val="center"/>
          </w:tcPr>
          <w:p w14:paraId="4042D466">
            <w:pPr>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二、商务条款</w:t>
            </w:r>
          </w:p>
        </w:tc>
      </w:tr>
      <w:tr w14:paraId="2AE5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53400DD7">
            <w:pPr>
              <w:tabs>
                <w:tab w:val="left" w:pos="180"/>
                <w:tab w:val="left" w:pos="1620"/>
              </w:tabs>
              <w:spacing w:line="360" w:lineRule="auto"/>
              <w:jc w:val="center"/>
              <w:rPr>
                <w:rFonts w:hint="eastAsia" w:ascii="宋体" w:hAnsi="宋体" w:eastAsia="宋体" w:cs="宋体"/>
                <w:color w:val="auto"/>
                <w:highlight w:val="none"/>
              </w:rPr>
            </w:pPr>
            <w:r>
              <w:rPr>
                <w:rFonts w:hint="eastAsia" w:ascii="宋体" w:hAnsi="宋体" w:eastAsia="宋体" w:cs="宋体"/>
                <w:bCs/>
                <w:color w:val="auto"/>
                <w:highlight w:val="none"/>
              </w:rPr>
              <w:t>合同签订时间</w:t>
            </w:r>
          </w:p>
        </w:tc>
        <w:tc>
          <w:tcPr>
            <w:tcW w:w="8088" w:type="dxa"/>
            <w:gridSpan w:val="3"/>
            <w:noWrap w:val="0"/>
            <w:vAlign w:val="center"/>
          </w:tcPr>
          <w:p w14:paraId="16E1B38B">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 xml:space="preserve">自成交通知书发出之日起25日内。 </w:t>
            </w:r>
          </w:p>
        </w:tc>
      </w:tr>
      <w:tr w14:paraId="6DC1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4D455B0F">
            <w:pPr>
              <w:widowControl/>
              <w:spacing w:line="360" w:lineRule="auto"/>
              <w:jc w:val="center"/>
              <w:rPr>
                <w:rFonts w:hint="eastAsia" w:ascii="宋体" w:hAnsi="宋体" w:eastAsia="宋体" w:cs="宋体"/>
                <w:color w:val="auto"/>
                <w:highlight w:val="none"/>
              </w:rPr>
            </w:pPr>
            <w:r>
              <w:rPr>
                <w:rFonts w:hint="eastAsia" w:ascii="宋体" w:hAnsi="宋体" w:eastAsia="宋体" w:cs="宋体"/>
                <w:bCs/>
                <w:color w:val="auto"/>
                <w:highlight w:val="none"/>
              </w:rPr>
              <w:t>成果交付时间及地点</w:t>
            </w:r>
          </w:p>
        </w:tc>
        <w:tc>
          <w:tcPr>
            <w:tcW w:w="8088" w:type="dxa"/>
            <w:gridSpan w:val="3"/>
            <w:noWrap w:val="0"/>
            <w:vAlign w:val="center"/>
          </w:tcPr>
          <w:p w14:paraId="737F5C5E">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.提交服务成果时间：</w:t>
            </w:r>
            <w:r>
              <w:rPr>
                <w:rFonts w:hint="eastAsia" w:ascii="宋体" w:hAnsi="宋体" w:eastAsia="宋体" w:cs="宋体"/>
                <w:color w:val="auto"/>
                <w:highlight w:val="none"/>
                <w:lang w:eastAsia="zh-CN"/>
              </w:rPr>
              <w:t>合同生效后90日内提交规划初稿，至成果验收合格并经正式印发实施之日止（最终印发单位以领导实际签批为准）。</w:t>
            </w:r>
          </w:p>
          <w:p w14:paraId="550ABA0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2.交付地点：广西防城港市采购人指定地点。</w:t>
            </w:r>
          </w:p>
        </w:tc>
      </w:tr>
      <w:tr w14:paraId="14CE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630B4BDF">
            <w:pPr>
              <w:tabs>
                <w:tab w:val="left" w:pos="180"/>
                <w:tab w:val="left" w:pos="1620"/>
              </w:tabs>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付款形式</w:t>
            </w:r>
          </w:p>
        </w:tc>
        <w:tc>
          <w:tcPr>
            <w:tcW w:w="8088" w:type="dxa"/>
            <w:gridSpan w:val="3"/>
            <w:noWrap w:val="0"/>
            <w:vAlign w:val="center"/>
          </w:tcPr>
          <w:p w14:paraId="29883EE4">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rPr>
              <w:t>提交规划初稿后</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0日内支付不超过合同总价款的70%；余款于成果验收通过后付清。每次支付前，乙方均须向甲方提供与当期计量支付金额等额的合法的增值税发票。</w:t>
            </w:r>
          </w:p>
        </w:tc>
      </w:tr>
      <w:tr w14:paraId="60E6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64203C46">
            <w:pPr>
              <w:tabs>
                <w:tab w:val="left" w:pos="180"/>
                <w:tab w:val="left" w:pos="1620"/>
              </w:tabs>
              <w:spacing w:line="360" w:lineRule="auto"/>
              <w:jc w:val="center"/>
              <w:rPr>
                <w:rFonts w:hint="eastAsia" w:ascii="宋体" w:hAnsi="宋体" w:eastAsia="宋体" w:cs="宋体"/>
                <w:color w:val="auto"/>
                <w:highlight w:val="none"/>
              </w:rPr>
            </w:pPr>
            <w:r>
              <w:rPr>
                <w:rFonts w:hint="eastAsia" w:ascii="宋体" w:hAnsi="宋体" w:eastAsia="宋体" w:cs="宋体"/>
                <w:bCs/>
                <w:color w:val="auto"/>
                <w:highlight w:val="none"/>
              </w:rPr>
              <w:t>报价及其他要求</w:t>
            </w:r>
          </w:p>
        </w:tc>
        <w:tc>
          <w:tcPr>
            <w:tcW w:w="8088" w:type="dxa"/>
            <w:gridSpan w:val="3"/>
            <w:noWrap w:val="0"/>
            <w:vAlign w:val="center"/>
          </w:tcPr>
          <w:p w14:paraId="46A4A29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就全部服务内容做完整唯一报价，且总价不能超过采购预算金额。磋商报价是履行合同的最终价格，应包括但不限于项目所有服务内容、资料收集、研究编制、项目所需投入的人员、技术、车辆、交通、差旅、专家评审、验收、代理费等费用、包含各项保险费用和各项税金。政策性文件规定及合同包含的应有风险、责任等各项应有费用。</w:t>
            </w:r>
          </w:p>
        </w:tc>
      </w:tr>
      <w:tr w14:paraId="7263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71F83E88">
            <w:pPr>
              <w:spacing w:line="360" w:lineRule="auto"/>
              <w:jc w:val="center"/>
              <w:rPr>
                <w:rFonts w:hint="eastAsia" w:ascii="宋体" w:hAnsi="宋体" w:eastAsia="宋体" w:cs="宋体"/>
                <w:color w:val="auto"/>
                <w:highlight w:val="none"/>
              </w:rPr>
            </w:pPr>
            <w:r>
              <w:rPr>
                <w:rFonts w:hint="eastAsia" w:ascii="宋体" w:hAnsi="宋体" w:eastAsia="宋体" w:cs="宋体"/>
                <w:bCs/>
                <w:color w:val="auto"/>
                <w:highlight w:val="none"/>
              </w:rPr>
              <w:t>售后服务要求</w:t>
            </w:r>
          </w:p>
        </w:tc>
        <w:tc>
          <w:tcPr>
            <w:tcW w:w="8088" w:type="dxa"/>
            <w:gridSpan w:val="3"/>
            <w:noWrap w:val="0"/>
            <w:vAlign w:val="center"/>
          </w:tcPr>
          <w:p w14:paraId="0366F87D">
            <w:pPr>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1.质量保证期1年（自提交服务成果并验收合格之日起计算）。</w:t>
            </w:r>
          </w:p>
          <w:p w14:paraId="2372ABCC">
            <w:pPr>
              <w:spacing w:line="360" w:lineRule="auto"/>
              <w:jc w:val="left"/>
              <w:rPr>
                <w:rFonts w:hint="eastAsia" w:ascii="宋体" w:hAnsi="宋体" w:eastAsia="宋体" w:cs="宋体"/>
                <w:bCs/>
                <w:color w:val="auto"/>
                <w:highlight w:val="none"/>
              </w:rPr>
            </w:pPr>
            <w:r>
              <w:rPr>
                <w:rFonts w:hint="eastAsia" w:ascii="宋体" w:hAnsi="宋体" w:eastAsia="宋体" w:cs="宋体"/>
                <w:bCs/>
                <w:color w:val="auto"/>
                <w:highlight w:val="none"/>
              </w:rPr>
              <w:t>2.处理问题响应时间：接到采购人处理问题通知后24小时内到达采购人指定现场。</w:t>
            </w:r>
          </w:p>
          <w:p w14:paraId="4037E710">
            <w:pPr>
              <w:spacing w:line="360" w:lineRule="auto"/>
              <w:jc w:val="left"/>
              <w:rPr>
                <w:rFonts w:hint="eastAsia" w:ascii="宋体" w:hAnsi="宋体" w:eastAsia="宋体" w:cs="宋体"/>
                <w:color w:val="auto"/>
                <w:highlight w:val="none"/>
              </w:rPr>
            </w:pPr>
            <w:r>
              <w:rPr>
                <w:rFonts w:hint="eastAsia" w:ascii="宋体" w:hAnsi="宋体" w:eastAsia="宋体" w:cs="宋体"/>
                <w:bCs/>
                <w:color w:val="auto"/>
                <w:highlight w:val="none"/>
              </w:rPr>
              <w:t>3.其他：根据评审会、工作对接会、协调会等意见相应修改完善设计内容。</w:t>
            </w:r>
          </w:p>
        </w:tc>
      </w:tr>
      <w:tr w14:paraId="61BE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41B681E4">
            <w:pPr>
              <w:widowControl/>
              <w:spacing w:line="360" w:lineRule="auto"/>
              <w:ind w:firstLine="210" w:firstLineChars="100"/>
              <w:jc w:val="center"/>
              <w:rPr>
                <w:rFonts w:hint="eastAsia" w:ascii="宋体" w:hAnsi="宋体" w:eastAsia="宋体" w:cs="宋体"/>
                <w:color w:val="auto"/>
                <w:highlight w:val="none"/>
              </w:rPr>
            </w:pPr>
            <w:r>
              <w:rPr>
                <w:rFonts w:hint="eastAsia" w:ascii="宋体" w:hAnsi="宋体" w:eastAsia="宋体" w:cs="宋体"/>
                <w:bCs/>
                <w:color w:val="auto"/>
                <w:highlight w:val="none"/>
              </w:rPr>
              <w:t>验收标准、验收要求</w:t>
            </w:r>
          </w:p>
        </w:tc>
        <w:tc>
          <w:tcPr>
            <w:tcW w:w="8088" w:type="dxa"/>
            <w:gridSpan w:val="3"/>
            <w:noWrap w:val="0"/>
            <w:vAlign w:val="center"/>
          </w:tcPr>
          <w:p w14:paraId="027DD8E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1.成交供应商在服务验收时由采购人对照竞争性磋商文件的服务内容及要求全面核对检验，对所有要求出具的证明文件的原件进行核查，如不符合竞争性磋商文件的技术需求及要求以及提供虚假承诺的，按相关规定做不予接受服务处理及违约处理，成交供应商承担所有责任和费用，采购人保留进一步追究责任的权利。 </w:t>
            </w:r>
          </w:p>
          <w:p w14:paraId="2847886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2.供应商提交成果需满足采购人组织的专家评审会审查要求，项目有其他要求的按其要求。 </w:t>
            </w:r>
          </w:p>
          <w:p w14:paraId="72D797C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3.其他验收要求按本项目采购合同执行，未尽事宜按照《关于印发广西壮族自治区政府采购项目履约验收管理办法的通知》[桂财采〔2015〕22 号]以及《财政部关于进一步加强政府采购需求和履约验收管理的指导意见》[财库〔2016〕205 号]规定执行。 </w:t>
            </w:r>
          </w:p>
        </w:tc>
      </w:tr>
      <w:tr w14:paraId="4D47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0" w:type="dxa"/>
            <w:gridSpan w:val="2"/>
            <w:noWrap w:val="0"/>
            <w:vAlign w:val="center"/>
          </w:tcPr>
          <w:p w14:paraId="1882EE75">
            <w:pPr>
              <w:widowControl/>
              <w:spacing w:line="360" w:lineRule="auto"/>
              <w:ind w:firstLine="210" w:firstLineChars="100"/>
              <w:jc w:val="left"/>
              <w:rPr>
                <w:rFonts w:hint="eastAsia" w:ascii="宋体" w:hAnsi="宋体" w:eastAsia="宋体" w:cs="宋体"/>
                <w:color w:val="auto"/>
                <w:highlight w:val="none"/>
              </w:rPr>
            </w:pPr>
            <w:r>
              <w:rPr>
                <w:rFonts w:hint="eastAsia" w:ascii="宋体" w:hAnsi="宋体" w:eastAsia="宋体" w:cs="宋体"/>
                <w:bCs/>
                <w:color w:val="auto"/>
                <w:highlight w:val="none"/>
              </w:rPr>
              <w:t>其他要求</w:t>
            </w:r>
          </w:p>
        </w:tc>
        <w:tc>
          <w:tcPr>
            <w:tcW w:w="8088" w:type="dxa"/>
            <w:gridSpan w:val="3"/>
            <w:noWrap w:val="0"/>
            <w:vAlign w:val="center"/>
          </w:tcPr>
          <w:p w14:paraId="1B3FE52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1.成交供应商在编制研究过程中应对有关重要的研究结论、技术需求等及时并分阶段向采购人沟通。</w:t>
            </w:r>
          </w:p>
          <w:p w14:paraId="48333BB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2.成交供应商不得承担本项目工程建设的系统集成及相关实施工作。</w:t>
            </w:r>
          </w:p>
          <w:p w14:paraId="6539141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本项目成果及其相关知识产权权利归采购人所有。本项目研究报告无论是否通过评审验收，研究成果归采购人所有，成交供应商不得以任何单位或个人的名义擅自使用及公开发表或向他人提供。项目研究组或参加研究者个人申报研究成果奖或成果认证须经采购人同意。否则，采购人有权作出必要处置（比如向成交供应商通报其违规行为等），直至追回已拨付给成交供应商的全部研究经费，甚至追究成交供应商的法律责任。</w:t>
            </w:r>
          </w:p>
        </w:tc>
      </w:tr>
    </w:tbl>
    <w:p w14:paraId="2980C59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B4A77"/>
    <w:rsid w:val="771F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2273</Words>
  <Characters>2332</Characters>
  <Lines>0</Lines>
  <Paragraphs>0</Paragraphs>
  <TotalTime>0</TotalTime>
  <ScaleCrop>false</ScaleCrop>
  <LinksUpToDate>false</LinksUpToDate>
  <CharactersWithSpaces>2343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2026-03-12T02:26:00Z</dcterms:created>
  <dc:creator>Administrator</dc:creator>
  <cp:lastModifiedBy>小猪</cp:lastModifiedBy>
  <dcterms:modified xsi:type="dcterms:W3CDTF">2026-03-26T08:44:08Z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eyJoZGlkIjoiMDg4MGExNjAzZTNjZDdjMTc5ZmZkODNlNGY4NzAxN2MiLCJ1c2VySWQiOiI2MjA0ODA0MDcifQ==</vt:lpwstr>
  </property>
  <property fmtid="{D5CDD505-2E9C-101B-9397-08002B2CF9AE}" pid="4" name="ICV">
    <vt:lpwstr>1D82C0814AFD43D188AE775A987FA2D2_12</vt:lpwstr>
  </property>
</Properties>
</file>