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4D36C59">
      <w:pPr>
        <w:keepNext/>
        <w:keepLines/>
        <w:widowControl w:val="0"/>
        <w:spacing w:before="340" w:after="330" w:line="578" w:lineRule="auto"/>
        <w:jc w:val="center"/>
        <w:outlineLvl w:val="0"/>
        <w:rPr>
          <w:rFonts w:hint="eastAsia" w:ascii="Cambria" w:hAnsi="Cambria" w:eastAsia="宋体" w:cs="Times New Roman"/>
          <w:b/>
          <w:bCs w:val="0"/>
          <w:color w:val="auto"/>
          <w:kern w:val="44"/>
          <w:sz w:val="32"/>
          <w:szCs w:val="32"/>
          <w:highlight w:val="none"/>
          <w:lang w:val="en-US" w:eastAsia="zh-CN" w:bidi="ar-SA"/>
        </w:rPr>
      </w:pPr>
      <w:r>
        <w:rPr>
          <w:rFonts w:hint="eastAsia" w:ascii="Cambria" w:hAnsi="Cambria" w:eastAsia="宋体" w:cs="Times New Roman"/>
          <w:b/>
          <w:bCs w:val="0"/>
          <w:color w:val="auto"/>
          <w:kern w:val="44"/>
          <w:sz w:val="32"/>
          <w:szCs w:val="32"/>
          <w:highlight w:val="none"/>
          <w:lang w:val="en-US" w:eastAsia="zh-CN" w:bidi="ar-SA"/>
        </w:rPr>
        <w:t>采购需求</w:t>
      </w:r>
    </w:p>
    <w:p w14:paraId="2A351E18">
      <w:pPr>
        <w:spacing w:line="420" w:lineRule="exact"/>
        <w:jc w:val="left"/>
        <w:rPr>
          <w:rFonts w:hint="eastAsia" w:eastAsia="宋体" w:cs="宋体"/>
          <w:color w:val="auto"/>
          <w:szCs w:val="21"/>
          <w:highlight w:val="none"/>
        </w:rPr>
      </w:pPr>
      <w:r>
        <w:rPr>
          <w:rFonts w:hint="eastAsia" w:eastAsia="宋体" w:cs="宋体"/>
          <w:color w:val="auto"/>
          <w:szCs w:val="21"/>
          <w:highlight w:val="none"/>
        </w:rPr>
        <w:t>说明：</w:t>
      </w:r>
    </w:p>
    <w:p w14:paraId="650E30B4">
      <w:pPr>
        <w:spacing w:line="42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highlight w:val="none"/>
        </w:rPr>
        <w:t>1. 为落实政府采购政策需满足的要求：</w:t>
      </w:r>
      <w:r>
        <w:rPr>
          <w:rFonts w:hint="eastAsia" w:ascii="宋体" w:hAnsi="宋体" w:eastAsia="宋体" w:cs="宋体"/>
          <w:color w:val="auto"/>
          <w:szCs w:val="21"/>
          <w:highlight w:val="none"/>
        </w:rPr>
        <w:t>本竞争性磋商文件所称中小企业必须符合《政府采购促进中小企业发展管理办法》（财库〔2020〕46号）的规定。</w:t>
      </w:r>
    </w:p>
    <w:p w14:paraId="2C9BCB87">
      <w:pPr>
        <w:spacing w:line="420" w:lineRule="exact"/>
        <w:ind w:firstLine="420" w:firstLineChars="200"/>
        <w:jc w:val="left"/>
        <w:rPr>
          <w:rFonts w:hint="eastAsia" w:ascii="宋体" w:hAnsi="宋体" w:eastAsia="宋体" w:cs="宋体"/>
          <w:b w:val="0"/>
          <w:bCs w:val="0"/>
          <w:color w:val="auto"/>
          <w:sz w:val="21"/>
          <w:szCs w:val="21"/>
          <w:highlight w:val="none"/>
          <w:lang w:val="en-US"/>
        </w:rPr>
      </w:pPr>
      <w:r>
        <w:rPr>
          <w:rFonts w:hint="eastAsia" w:ascii="宋体" w:hAnsi="宋体" w:eastAsia="宋体" w:cs="宋体"/>
          <w:b w:val="0"/>
          <w:bCs w:val="0"/>
          <w:color w:val="auto"/>
          <w:szCs w:val="21"/>
          <w:highlight w:val="none"/>
        </w:rPr>
        <w:t>2.</w:t>
      </w:r>
      <w:r>
        <w:rPr>
          <w:rFonts w:hint="eastAsia" w:ascii="宋体" w:hAnsi="宋体" w:eastAsia="宋体" w:cs="宋体"/>
          <w:color w:val="auto"/>
          <w:sz w:val="21"/>
          <w:szCs w:val="21"/>
          <w:highlight w:val="none"/>
          <w:lang w:val="en-US"/>
        </w:rPr>
        <w:t xml:space="preserve"> </w:t>
      </w:r>
      <w:r>
        <w:rPr>
          <w:rFonts w:hint="eastAsia" w:ascii="宋体" w:hAnsi="宋体" w:eastAsia="宋体" w:cs="宋体"/>
          <w:b w:val="0"/>
          <w:bCs w:val="0"/>
          <w:color w:val="auto"/>
          <w:sz w:val="21"/>
          <w:szCs w:val="21"/>
          <w:highlight w:val="none"/>
          <w:lang w:val="en-US"/>
        </w:rPr>
        <w:t>采购需求中带“▲”的条款</w:t>
      </w:r>
      <w:r>
        <w:rPr>
          <w:rFonts w:hint="eastAsia" w:ascii="宋体" w:hAnsi="宋体" w:eastAsia="宋体" w:cs="宋体"/>
          <w:b w:val="0"/>
          <w:bCs w:val="0"/>
          <w:color w:val="auto"/>
          <w:sz w:val="21"/>
          <w:szCs w:val="21"/>
          <w:highlight w:val="none"/>
          <w:lang w:val="en-US" w:eastAsia="zh-CN"/>
        </w:rPr>
        <w:t>为实质性条款，不满足作</w:t>
      </w:r>
      <w:r>
        <w:rPr>
          <w:rFonts w:hint="eastAsia" w:ascii="宋体" w:hAnsi="宋体" w:eastAsia="宋体" w:cs="宋体"/>
          <w:b w:val="0"/>
          <w:bCs w:val="0"/>
          <w:color w:val="auto"/>
          <w:sz w:val="21"/>
          <w:szCs w:val="21"/>
          <w:highlight w:val="none"/>
          <w:lang w:val="en-US"/>
        </w:rPr>
        <w:t>无效响应处理。</w:t>
      </w:r>
    </w:p>
    <w:p w14:paraId="2E3C35FB">
      <w:pPr>
        <w:spacing w:line="42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rPr>
        <w:t>3</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eastAsia="zh-CN"/>
        </w:rPr>
        <w:t>本</w:t>
      </w:r>
      <w:r>
        <w:rPr>
          <w:rFonts w:hint="eastAsia" w:ascii="宋体" w:hAnsi="宋体" w:eastAsia="宋体" w:cs="宋体"/>
          <w:color w:val="auto"/>
          <w:szCs w:val="21"/>
          <w:highlight w:val="none"/>
        </w:rPr>
        <w:t>服务项目中伴随货物的，采购需求中出现的品牌、型号或者</w:t>
      </w:r>
      <w:r>
        <w:rPr>
          <w:rFonts w:hint="eastAsia" w:ascii="宋体" w:hAnsi="宋体" w:eastAsia="宋体" w:cs="宋体"/>
          <w:color w:val="auto"/>
          <w:szCs w:val="21"/>
          <w:highlight w:val="none"/>
          <w:lang w:eastAsia="zh-CN"/>
        </w:rPr>
        <w:t>制造商</w:t>
      </w:r>
      <w:r>
        <w:rPr>
          <w:rFonts w:hint="eastAsia" w:ascii="宋体" w:hAnsi="宋体" w:eastAsia="宋体" w:cs="宋体"/>
          <w:color w:val="auto"/>
          <w:szCs w:val="21"/>
          <w:highlight w:val="none"/>
        </w:rPr>
        <w:t>仅起参考作用，不属于指定品牌、型号或者</w:t>
      </w:r>
      <w:r>
        <w:rPr>
          <w:rFonts w:hint="eastAsia" w:ascii="宋体" w:hAnsi="宋体" w:eastAsia="宋体" w:cs="宋体"/>
          <w:color w:val="auto"/>
          <w:szCs w:val="21"/>
          <w:highlight w:val="none"/>
          <w:lang w:eastAsia="zh-CN"/>
        </w:rPr>
        <w:t>制造商</w:t>
      </w:r>
      <w:r>
        <w:rPr>
          <w:rFonts w:hint="eastAsia" w:ascii="宋体" w:hAnsi="宋体" w:eastAsia="宋体" w:cs="宋体"/>
          <w:color w:val="auto"/>
          <w:szCs w:val="21"/>
          <w:highlight w:val="none"/>
        </w:rPr>
        <w:t>的情形。</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可参照或者选用其他相当的品牌、型号或者</w:t>
      </w:r>
      <w:r>
        <w:rPr>
          <w:rFonts w:hint="eastAsia" w:ascii="宋体" w:hAnsi="宋体" w:eastAsia="宋体" w:cs="宋体"/>
          <w:color w:val="auto"/>
          <w:szCs w:val="21"/>
          <w:highlight w:val="none"/>
          <w:lang w:eastAsia="zh-CN"/>
        </w:rPr>
        <w:t>制造商</w:t>
      </w:r>
      <w:r>
        <w:rPr>
          <w:rFonts w:hint="eastAsia" w:ascii="宋体" w:hAnsi="宋体" w:eastAsia="宋体" w:cs="宋体"/>
          <w:color w:val="auto"/>
          <w:szCs w:val="21"/>
          <w:highlight w:val="none"/>
        </w:rPr>
        <w:t>替代，但选用的</w:t>
      </w:r>
      <w:r>
        <w:rPr>
          <w:rFonts w:hint="eastAsia" w:ascii="宋体" w:hAnsi="宋体" w:eastAsia="宋体" w:cs="宋体"/>
          <w:color w:val="auto"/>
          <w:szCs w:val="21"/>
          <w:highlight w:val="none"/>
          <w:lang w:eastAsia="zh-CN"/>
        </w:rPr>
        <w:t>竞标</w:t>
      </w:r>
      <w:r>
        <w:rPr>
          <w:rFonts w:hint="eastAsia" w:ascii="宋体" w:hAnsi="宋体" w:eastAsia="宋体" w:cs="宋体"/>
          <w:color w:val="auto"/>
          <w:szCs w:val="21"/>
          <w:highlight w:val="none"/>
        </w:rPr>
        <w:t>产品</w:t>
      </w:r>
      <w:r>
        <w:rPr>
          <w:rFonts w:hint="eastAsia" w:ascii="宋体" w:hAnsi="宋体" w:eastAsia="宋体" w:cs="宋体"/>
          <w:color w:val="auto"/>
          <w:szCs w:val="21"/>
          <w:highlight w:val="none"/>
          <w:lang w:eastAsia="zh-CN"/>
        </w:rPr>
        <w:t>技术</w:t>
      </w:r>
      <w:r>
        <w:rPr>
          <w:rFonts w:hint="eastAsia" w:ascii="宋体" w:hAnsi="宋体" w:eastAsia="宋体" w:cs="宋体"/>
          <w:color w:val="auto"/>
          <w:szCs w:val="21"/>
          <w:highlight w:val="none"/>
        </w:rPr>
        <w:t>参数</w:t>
      </w:r>
      <w:r>
        <w:rPr>
          <w:rFonts w:hint="eastAsia" w:ascii="宋体" w:hAnsi="宋体" w:eastAsia="宋体" w:cs="宋体"/>
          <w:color w:val="auto"/>
          <w:szCs w:val="21"/>
          <w:highlight w:val="none"/>
          <w:lang w:eastAsia="zh-CN"/>
        </w:rPr>
        <w:t>及配置</w:t>
      </w:r>
      <w:r>
        <w:rPr>
          <w:rFonts w:hint="eastAsia" w:ascii="宋体" w:hAnsi="宋体" w:eastAsia="宋体" w:cs="宋体"/>
          <w:color w:val="auto"/>
          <w:szCs w:val="21"/>
          <w:highlight w:val="none"/>
        </w:rPr>
        <w:t>必须满足</w:t>
      </w:r>
      <w:r>
        <w:rPr>
          <w:rFonts w:hint="eastAsia" w:ascii="宋体" w:hAnsi="宋体" w:eastAsia="宋体" w:cs="宋体"/>
          <w:color w:val="auto"/>
          <w:szCs w:val="21"/>
          <w:highlight w:val="none"/>
          <w:lang w:eastAsia="zh-CN"/>
        </w:rPr>
        <w:t>采购</w:t>
      </w:r>
      <w:r>
        <w:rPr>
          <w:rFonts w:hint="eastAsia" w:ascii="宋体" w:hAnsi="宋体" w:eastAsia="宋体" w:cs="宋体"/>
          <w:color w:val="auto"/>
          <w:szCs w:val="21"/>
          <w:highlight w:val="none"/>
        </w:rPr>
        <w:t>要求。</w:t>
      </w:r>
    </w:p>
    <w:p w14:paraId="70B26646">
      <w:pPr>
        <w:spacing w:line="420" w:lineRule="exact"/>
        <w:ind w:firstLine="420" w:firstLineChars="200"/>
        <w:jc w:val="left"/>
        <w:rPr>
          <w:rFonts w:hint="eastAsia" w:ascii="宋体" w:hAnsi="宋体" w:eastAsia="宋体" w:cs="宋体"/>
          <w:color w:val="auto"/>
          <w:highlight w:val="none"/>
        </w:rPr>
      </w:pP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供应商</w:t>
      </w:r>
      <w:r>
        <w:rPr>
          <w:rFonts w:hint="eastAsia" w:ascii="宋体" w:hAnsi="宋体" w:eastAsia="宋体" w:cs="宋体"/>
          <w:color w:val="auto"/>
          <w:szCs w:val="21"/>
          <w:highlight w:val="none"/>
        </w:rPr>
        <w:t>必须对</w:t>
      </w:r>
      <w:r>
        <w:rPr>
          <w:rFonts w:hint="eastAsia" w:ascii="宋体" w:hAnsi="宋体" w:eastAsia="宋体" w:cs="宋体"/>
          <w:color w:val="auto"/>
          <w:szCs w:val="21"/>
          <w:highlight w:val="none"/>
          <w:lang w:eastAsia="zh-CN"/>
        </w:rPr>
        <w:t>响应文件</w:t>
      </w:r>
      <w:r>
        <w:rPr>
          <w:rFonts w:hint="eastAsia" w:ascii="宋体" w:hAnsi="宋体" w:eastAsia="宋体" w:cs="宋体"/>
          <w:color w:val="auto"/>
          <w:szCs w:val="21"/>
          <w:highlight w:val="none"/>
        </w:rPr>
        <w:t>中提供的证明材料和资质文件真实性负责，如出现虚假应标情况，</w:t>
      </w:r>
      <w:r>
        <w:rPr>
          <w:rFonts w:hint="eastAsia" w:ascii="宋体" w:hAnsi="宋体" w:eastAsia="宋体" w:cs="宋体"/>
          <w:color w:val="auto"/>
          <w:szCs w:val="21"/>
          <w:highlight w:val="none"/>
          <w:lang w:val="en-US" w:eastAsia="zh-CN"/>
        </w:rPr>
        <w:t>供应商</w:t>
      </w:r>
      <w:r>
        <w:rPr>
          <w:rFonts w:hint="eastAsia" w:ascii="宋体" w:hAnsi="宋体" w:eastAsia="宋体" w:cs="宋体"/>
          <w:color w:val="auto"/>
          <w:szCs w:val="21"/>
          <w:highlight w:val="none"/>
        </w:rPr>
        <w:t>除了应接受有关部门的处罚外，还应依据《中华人民共和国民法典》的相关条款来</w:t>
      </w:r>
      <w:r>
        <w:rPr>
          <w:rFonts w:hint="eastAsia" w:ascii="宋体" w:hAnsi="宋体" w:eastAsia="宋体" w:cs="宋体"/>
          <w:color w:val="auto"/>
          <w:szCs w:val="21"/>
          <w:highlight w:val="none"/>
          <w:lang w:eastAsia="zh-CN"/>
        </w:rPr>
        <w:t>进行</w:t>
      </w:r>
      <w:r>
        <w:rPr>
          <w:rFonts w:hint="eastAsia" w:ascii="宋体" w:hAnsi="宋体" w:eastAsia="宋体" w:cs="宋体"/>
          <w:color w:val="auto"/>
          <w:szCs w:val="21"/>
          <w:highlight w:val="none"/>
        </w:rPr>
        <w:t>赔偿。</w:t>
      </w:r>
    </w:p>
    <w:p w14:paraId="1FE662CA">
      <w:pPr>
        <w:widowControl w:val="0"/>
        <w:spacing w:line="420" w:lineRule="exact"/>
        <w:ind w:firstLine="420" w:firstLineChars="200"/>
        <w:jc w:val="left"/>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5.</w:t>
      </w:r>
      <w:r>
        <w:rPr>
          <w:rFonts w:hint="eastAsia" w:ascii="宋体" w:hAnsi="宋体" w:eastAsia="宋体" w:cs="宋体"/>
          <w:color w:val="auto"/>
          <w:kern w:val="2"/>
          <w:sz w:val="21"/>
          <w:szCs w:val="21"/>
          <w:highlight w:val="none"/>
          <w:lang w:val="en-US" w:eastAsia="zh-CN" w:bidi="ar-SA"/>
        </w:rPr>
        <w:t>供应商</w:t>
      </w:r>
      <w:r>
        <w:rPr>
          <w:rFonts w:hint="eastAsia" w:ascii="宋体" w:hAnsi="宋体" w:eastAsia="宋体" w:cs="宋体"/>
          <w:color w:val="auto"/>
          <w:kern w:val="2"/>
          <w:sz w:val="21"/>
          <w:szCs w:val="24"/>
          <w:highlight w:val="none"/>
          <w:lang w:val="en-US" w:eastAsia="zh-CN" w:bidi="ar-SA"/>
        </w:rPr>
        <w:t>应对竞标内容所涉及的专利承担法律责任，并负责保护采购人的利益不受任何损害。一切由于文字、商标、技术和软件专利授权引起的法律裁决、诉讼和赔偿费用均由成交</w:t>
      </w:r>
      <w:r>
        <w:rPr>
          <w:rFonts w:hint="eastAsia" w:ascii="宋体" w:hAnsi="宋体" w:eastAsia="宋体" w:cs="宋体"/>
          <w:color w:val="auto"/>
          <w:kern w:val="2"/>
          <w:sz w:val="21"/>
          <w:szCs w:val="21"/>
          <w:highlight w:val="none"/>
          <w:lang w:val="en-US" w:eastAsia="zh-CN" w:bidi="ar-SA"/>
        </w:rPr>
        <w:t>供应商</w:t>
      </w:r>
      <w:r>
        <w:rPr>
          <w:rFonts w:hint="eastAsia" w:ascii="宋体" w:hAnsi="宋体" w:eastAsia="宋体" w:cs="宋体"/>
          <w:color w:val="auto"/>
          <w:kern w:val="2"/>
          <w:sz w:val="21"/>
          <w:szCs w:val="24"/>
          <w:highlight w:val="none"/>
          <w:lang w:val="en-US" w:eastAsia="zh-CN" w:bidi="ar-SA"/>
        </w:rPr>
        <w:t>负责。</w:t>
      </w:r>
    </w:p>
    <w:p w14:paraId="0251246A">
      <w:pPr>
        <w:tabs>
          <w:tab w:val="left" w:pos="180"/>
          <w:tab w:val="left" w:pos="1620"/>
        </w:tabs>
        <w:spacing w:line="420" w:lineRule="exact"/>
        <w:ind w:firstLine="420" w:firstLineChars="200"/>
        <w:rPr>
          <w:rFonts w:hint="eastAsia" w:eastAsia="宋体" w:cs="宋体"/>
          <w:b/>
          <w:bCs/>
          <w:color w:val="auto"/>
          <w:sz w:val="24"/>
          <w:highlight w:val="none"/>
        </w:rPr>
      </w:pPr>
      <w:r>
        <w:rPr>
          <w:rFonts w:hint="eastAsia" w:ascii="宋体" w:hAnsi="宋体" w:eastAsia="宋体" w:cs="宋体"/>
          <w:color w:val="auto"/>
          <w:highlight w:val="none"/>
          <w:lang w:val="en-US" w:eastAsia="zh-CN"/>
        </w:rPr>
        <w:t>6.采购标的对应的中小企业划分标准所属行业名称</w:t>
      </w:r>
      <w:r>
        <w:rPr>
          <w:rFonts w:hint="eastAsia" w:ascii="宋体" w:hAnsi="宋体" w:eastAsia="宋体" w:cs="宋体"/>
          <w:color w:val="auto"/>
          <w:szCs w:val="21"/>
          <w:highlight w:val="none"/>
        </w:rPr>
        <w:t>（行业名称及划分见本章附件</w:t>
      </w:r>
      <w:r>
        <w:rPr>
          <w:rFonts w:hint="eastAsia" w:ascii="宋体" w:hAnsi="宋体" w:eastAsia="宋体" w:cs="宋体"/>
          <w:color w:val="auto"/>
          <w:szCs w:val="21"/>
          <w:highlight w:val="none"/>
          <w:lang w:val="en-US" w:eastAsia="zh-CN"/>
        </w:rPr>
        <w:t>1</w:t>
      </w:r>
      <w:r>
        <w:rPr>
          <w:rFonts w:hint="eastAsia" w:ascii="宋体" w:hAnsi="宋体" w:eastAsia="宋体" w:cs="宋体"/>
          <w:color w:val="auto"/>
          <w:highlight w:val="none"/>
          <w:lang w:val="en-US" w:eastAsia="zh-CN"/>
        </w:rPr>
        <w:t>）：</w:t>
      </w:r>
      <w:r>
        <w:rPr>
          <w:rFonts w:hint="eastAsia" w:ascii="宋体" w:hAnsi="宋体" w:eastAsia="宋体" w:cs="宋体"/>
          <w:color w:val="auto"/>
          <w:szCs w:val="21"/>
          <w:highlight w:val="none"/>
        </w:rPr>
        <w:t>其他未列明行业</w:t>
      </w:r>
    </w:p>
    <w:tbl>
      <w:tblPr>
        <w:tblStyle w:val="6"/>
        <w:tblW w:w="101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0"/>
        <w:gridCol w:w="449"/>
        <w:gridCol w:w="924"/>
        <w:gridCol w:w="856"/>
        <w:gridCol w:w="7306"/>
      </w:tblGrid>
      <w:tr w14:paraId="5CE116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10105" w:type="dxa"/>
            <w:gridSpan w:val="5"/>
            <w:tcBorders>
              <w:top w:val="single" w:color="auto" w:sz="4" w:space="0"/>
              <w:left w:val="single" w:color="auto" w:sz="4" w:space="0"/>
              <w:bottom w:val="single" w:color="auto" w:sz="4" w:space="0"/>
              <w:right w:val="single" w:color="auto" w:sz="4" w:space="0"/>
            </w:tcBorders>
            <w:noWrap w:val="0"/>
            <w:vAlign w:val="center"/>
          </w:tcPr>
          <w:p w14:paraId="34DBF6CD">
            <w:pPr>
              <w:spacing w:line="320" w:lineRule="exact"/>
              <w:jc w:val="left"/>
              <w:rPr>
                <w:rFonts w:hint="default" w:ascii="宋体" w:hAnsi="宋体" w:eastAsia="宋体" w:cs="宋体"/>
                <w:color w:val="auto"/>
                <w:sz w:val="32"/>
                <w:szCs w:val="32"/>
                <w:highlight w:val="none"/>
                <w:lang w:val="en-US"/>
              </w:rPr>
            </w:pPr>
            <w:r>
              <w:rPr>
                <w:rFonts w:hint="eastAsia" w:ascii="宋体" w:hAnsi="宋体" w:eastAsia="宋体" w:cs="宋体"/>
                <w:color w:val="auto"/>
                <w:sz w:val="21"/>
                <w:szCs w:val="21"/>
                <w:highlight w:val="none"/>
                <w:lang w:eastAsia="zh-CN"/>
              </w:rPr>
              <w:t>分标：</w:t>
            </w:r>
          </w:p>
        </w:tc>
      </w:tr>
      <w:tr w14:paraId="01CF8E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70" w:type="dxa"/>
            <w:vMerge w:val="restart"/>
            <w:tcBorders>
              <w:top w:val="single" w:color="auto" w:sz="4" w:space="0"/>
            </w:tcBorders>
            <w:noWrap w:val="0"/>
            <w:vAlign w:val="center"/>
          </w:tcPr>
          <w:p w14:paraId="7D7EEE37">
            <w:pPr>
              <w:spacing w:line="32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需求一览表</w:t>
            </w:r>
          </w:p>
        </w:tc>
        <w:tc>
          <w:tcPr>
            <w:tcW w:w="449" w:type="dxa"/>
            <w:tcBorders>
              <w:top w:val="single" w:color="auto" w:sz="4" w:space="0"/>
            </w:tcBorders>
            <w:noWrap w:val="0"/>
            <w:vAlign w:val="center"/>
          </w:tcPr>
          <w:p w14:paraId="5F17066F">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序号</w:t>
            </w:r>
          </w:p>
        </w:tc>
        <w:tc>
          <w:tcPr>
            <w:tcW w:w="924" w:type="dxa"/>
            <w:tcBorders>
              <w:top w:val="single" w:color="auto" w:sz="4" w:space="0"/>
            </w:tcBorders>
            <w:noWrap w:val="0"/>
            <w:vAlign w:val="center"/>
          </w:tcPr>
          <w:p w14:paraId="07CD6CA1">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标的名称</w:t>
            </w:r>
          </w:p>
        </w:tc>
        <w:tc>
          <w:tcPr>
            <w:tcW w:w="856" w:type="dxa"/>
            <w:tcBorders>
              <w:top w:val="single" w:color="auto" w:sz="4" w:space="0"/>
            </w:tcBorders>
            <w:noWrap w:val="0"/>
            <w:vAlign w:val="center"/>
          </w:tcPr>
          <w:p w14:paraId="04EDB1D5">
            <w:pPr>
              <w:spacing w:line="360" w:lineRule="auto"/>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数量</w:t>
            </w:r>
          </w:p>
          <w:p w14:paraId="4F131F1A">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 w:val="21"/>
                <w:szCs w:val="21"/>
                <w:highlight w:val="none"/>
                <w:lang w:eastAsia="zh-CN"/>
              </w:rPr>
              <w:t>及</w:t>
            </w:r>
            <w:r>
              <w:rPr>
                <w:rFonts w:hint="eastAsia" w:ascii="宋体" w:hAnsi="宋体" w:eastAsia="宋体" w:cs="宋体"/>
                <w:color w:val="auto"/>
                <w:sz w:val="21"/>
                <w:szCs w:val="21"/>
                <w:highlight w:val="none"/>
              </w:rPr>
              <w:t>单位</w:t>
            </w:r>
          </w:p>
          <w:p w14:paraId="0C482680">
            <w:pPr>
              <w:spacing w:line="360" w:lineRule="auto"/>
              <w:jc w:val="center"/>
              <w:rPr>
                <w:rFonts w:hint="eastAsia" w:ascii="宋体" w:hAnsi="宋体" w:eastAsia="宋体" w:cs="宋体"/>
                <w:color w:val="auto"/>
                <w:szCs w:val="21"/>
                <w:highlight w:val="none"/>
              </w:rPr>
            </w:pPr>
          </w:p>
        </w:tc>
        <w:tc>
          <w:tcPr>
            <w:tcW w:w="7306" w:type="dxa"/>
            <w:tcBorders>
              <w:top w:val="single" w:color="auto" w:sz="4" w:space="0"/>
            </w:tcBorders>
            <w:noWrap w:val="0"/>
            <w:vAlign w:val="center"/>
          </w:tcPr>
          <w:p w14:paraId="19326608">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服务</w:t>
            </w:r>
            <w:r>
              <w:rPr>
                <w:rFonts w:hint="eastAsia" w:ascii="宋体" w:hAnsi="宋体" w:eastAsia="宋体" w:cs="宋体"/>
                <w:color w:val="auto"/>
                <w:szCs w:val="21"/>
                <w:highlight w:val="none"/>
                <w:lang w:eastAsia="zh-CN"/>
              </w:rPr>
              <w:t>要求</w:t>
            </w:r>
          </w:p>
        </w:tc>
      </w:tr>
      <w:tr w14:paraId="6CBBDC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570" w:type="dxa"/>
            <w:vMerge w:val="continue"/>
            <w:noWrap w:val="0"/>
            <w:vAlign w:val="center"/>
          </w:tcPr>
          <w:p w14:paraId="0B33BF78">
            <w:pPr>
              <w:spacing w:line="320" w:lineRule="exact"/>
              <w:jc w:val="center"/>
              <w:rPr>
                <w:rFonts w:hint="eastAsia" w:ascii="宋体" w:hAnsi="宋体" w:eastAsia="宋体" w:cs="宋体"/>
                <w:color w:val="auto"/>
                <w:szCs w:val="21"/>
                <w:highlight w:val="none"/>
              </w:rPr>
            </w:pPr>
          </w:p>
        </w:tc>
        <w:tc>
          <w:tcPr>
            <w:tcW w:w="449" w:type="dxa"/>
            <w:noWrap w:val="0"/>
            <w:vAlign w:val="center"/>
          </w:tcPr>
          <w:p w14:paraId="2ED2CFDC">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924" w:type="dxa"/>
            <w:noWrap w:val="0"/>
            <w:vAlign w:val="center"/>
          </w:tcPr>
          <w:p w14:paraId="646D0DA3">
            <w:pPr>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港口区近岸海域清洁长效管理服务</w:t>
            </w:r>
          </w:p>
        </w:tc>
        <w:tc>
          <w:tcPr>
            <w:tcW w:w="856" w:type="dxa"/>
            <w:noWrap w:val="0"/>
            <w:vAlign w:val="center"/>
          </w:tcPr>
          <w:p w14:paraId="6F29EBE3">
            <w:pPr>
              <w:spacing w:line="360" w:lineRule="auto"/>
              <w:jc w:val="center"/>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1项</w:t>
            </w:r>
          </w:p>
        </w:tc>
        <w:tc>
          <w:tcPr>
            <w:tcW w:w="7306" w:type="dxa"/>
            <w:noWrap w:val="0"/>
            <w:vAlign w:val="center"/>
          </w:tcPr>
          <w:p w14:paraId="3230EE8B">
            <w:pPr>
              <w:spacing w:line="360" w:lineRule="auto"/>
              <w:ind w:firstLine="422" w:firstLineChars="200"/>
              <w:jc w:val="left"/>
              <w:rPr>
                <w:rFonts w:hint="eastAsia" w:ascii="宋体" w:hAnsi="宋体" w:eastAsia="宋体" w:cs="宋体"/>
                <w:color w:val="auto"/>
                <w:szCs w:val="21"/>
                <w:highlight w:val="none"/>
                <w:lang w:val="en-US" w:eastAsia="zh-CN"/>
              </w:rPr>
            </w:pPr>
            <w:r>
              <w:rPr>
                <w:rFonts w:hint="eastAsia" w:ascii="宋体" w:hAnsi="宋体" w:eastAsia="宋体" w:cs="宋体"/>
                <w:b/>
                <w:bCs/>
                <w:color w:val="auto"/>
                <w:szCs w:val="21"/>
                <w:highlight w:val="none"/>
                <w:lang w:val="en-US" w:eastAsia="zh-CN"/>
              </w:rPr>
              <w:t>一、项目基本情况</w:t>
            </w:r>
          </w:p>
          <w:p w14:paraId="39C7BC1B">
            <w:pPr>
              <w:spacing w:line="360" w:lineRule="auto"/>
              <w:ind w:firstLine="420" w:firstLineChars="200"/>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拟采用购买第三方服务的方式对港口区辖区范围内的公共岸线、海域范围（约200公里）开展海洋垃圾日常清洁工作，清洁清理范围内因生产、生活产生和江河、海洋潮流带来的滞留在海面上、滩涂上的各种海洋垃圾和固体废弃物、东湾养殖清理整顿后所滞留在海面上滩涂上的各种废弃设施及物件（包括但不限于蚝排、蚝柱、泡沫等），以及影响岸线环境整洁的无法找到责任主体和责任人的各种围网、木桩、临时围网设施、废弃船体和残骸等固体垃圾和废弃物进行清理。</w:t>
            </w:r>
          </w:p>
          <w:p w14:paraId="3991E9F0">
            <w:pPr>
              <w:spacing w:line="360" w:lineRule="auto"/>
              <w:ind w:firstLine="422" w:firstLineChars="200"/>
              <w:jc w:val="left"/>
              <w:rPr>
                <w:rFonts w:hint="eastAsia" w:ascii="宋体" w:hAnsi="宋体" w:eastAsia="宋体" w:cs="宋体"/>
                <w:b/>
                <w:bCs/>
                <w:color w:val="auto"/>
                <w:szCs w:val="21"/>
                <w:highlight w:val="none"/>
                <w:lang w:val="en-US" w:eastAsia="zh-CN"/>
              </w:rPr>
            </w:pPr>
            <w:r>
              <w:rPr>
                <w:rFonts w:hint="eastAsia" w:ascii="宋体" w:hAnsi="宋体" w:eastAsia="宋体" w:cs="宋体"/>
                <w:b/>
                <w:bCs/>
                <w:color w:val="auto"/>
                <w:szCs w:val="21"/>
                <w:highlight w:val="none"/>
                <w:lang w:val="en-US" w:eastAsia="zh-CN"/>
              </w:rPr>
              <w:t>二、清理对象和范围</w:t>
            </w:r>
          </w:p>
          <w:p w14:paraId="25427949">
            <w:pPr>
              <w:spacing w:line="360" w:lineRule="auto"/>
              <w:ind w:firstLine="420" w:firstLineChars="200"/>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（1）清理对象：因当地生产、生活产生和江河、海洋  潮流带来的各种海洋垃圾和固体废弃物，养殖清理整顿后所 滞留在海面上、滩涂上各种废弃设施及物件（包括但不限于蚝排、蚝柱、泡沫等），影响岸线环境整洁的无法找到责任主体和责任人的各种围网、木桩、临时围网设施、废弃船体和残骸，以及采购人认为会造成环境污染的物体。</w:t>
            </w:r>
          </w:p>
          <w:p w14:paraId="328ABEB8">
            <w:pPr>
              <w:spacing w:line="360" w:lineRule="auto"/>
              <w:ind w:firstLine="420" w:firstLineChars="200"/>
              <w:jc w:val="left"/>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清洁范围：港口区辖区内除市海洋局负责的西湾海域范围和用海主体（企业）负责的海域外的公共海域和岸线，西湾（大小独墩岛）以及公共区域岸线沿岸最高与最低潮位潮间带范围的岸线，港口区海域公共区域的岸线（具体以测绘数据为准）。凡在此区域内最高潮位至最低潮位间的区域为清洁范围，特殊地段为最高潮位向海一侧50米（在区域范围内有海堤或红树林的，靠海一侧海堤斜面和红树林有林区均属清洁范围）。如需要增加或调整清洁范围的，由双方另行协商确认。后附清洁范围示意图。</w:t>
            </w:r>
          </w:p>
          <w:p w14:paraId="34FDF411">
            <w:pPr>
              <w:spacing w:line="360" w:lineRule="auto"/>
              <w:ind w:firstLine="422" w:firstLineChars="200"/>
              <w:jc w:val="left"/>
              <w:rPr>
                <w:rFonts w:hint="eastAsia" w:ascii="宋体" w:hAnsi="宋体" w:eastAsia="宋体" w:cs="宋体"/>
                <w:color w:val="auto"/>
                <w:szCs w:val="21"/>
                <w:highlight w:val="none"/>
                <w:lang w:val="en-US" w:eastAsia="zh-CN"/>
              </w:rPr>
            </w:pPr>
            <w:r>
              <w:rPr>
                <w:rFonts w:hint="eastAsia" w:ascii="宋体" w:hAnsi="宋体" w:eastAsia="宋体" w:cs="宋体"/>
                <w:b/>
                <w:bCs/>
                <w:color w:val="auto"/>
                <w:szCs w:val="21"/>
                <w:highlight w:val="none"/>
                <w:lang w:val="en-US" w:eastAsia="zh-CN"/>
              </w:rPr>
              <w:t>三、清洁工作目标</w:t>
            </w:r>
          </w:p>
          <w:p w14:paraId="0B78CA68">
            <w:pPr>
              <w:spacing w:line="360" w:lineRule="auto"/>
              <w:ind w:firstLine="420" w:firstLineChars="200"/>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保持清洁范围内的岸线区域常态化清洁，实现岸滩和海面基本清洁目标，垃圾覆盖度≤5%，并建立健全长效监管机制。</w:t>
            </w:r>
          </w:p>
          <w:p w14:paraId="1B38BC31">
            <w:pPr>
              <w:spacing w:line="360" w:lineRule="auto"/>
              <w:ind w:firstLine="422" w:firstLineChars="200"/>
              <w:rPr>
                <w:rFonts w:hint="eastAsia" w:ascii="Times New Roman" w:hAnsi="Times New Roman" w:eastAsia="宋体" w:cs="Times New Roman"/>
                <w:color w:val="auto"/>
                <w:highlight w:val="none"/>
              </w:rPr>
            </w:pPr>
            <w:r>
              <w:rPr>
                <w:rFonts w:hint="eastAsia" w:ascii="Times New Roman" w:hAnsi="Times New Roman" w:eastAsia="宋体" w:cs="Times New Roman"/>
                <w:b/>
                <w:bCs/>
                <w:color w:val="auto"/>
                <w:highlight w:val="none"/>
                <w:lang w:val="en-US" w:eastAsia="zh-CN"/>
              </w:rPr>
              <w:t>四、</w:t>
            </w:r>
            <w:r>
              <w:rPr>
                <w:rFonts w:hint="eastAsia" w:ascii="Times New Roman" w:hAnsi="Times New Roman" w:eastAsia="宋体" w:cs="Times New Roman"/>
                <w:b/>
                <w:bCs/>
                <w:color w:val="auto"/>
                <w:highlight w:val="none"/>
              </w:rPr>
              <w:t>清洁和清理工作要求</w:t>
            </w:r>
          </w:p>
          <w:p w14:paraId="751BD065">
            <w:pPr>
              <w:spacing w:line="360" w:lineRule="auto"/>
              <w:ind w:firstLine="420" w:firstLineChars="200"/>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rPr>
              <w:t>（1）凡在约定清洁和清理范围内的岸线区域，</w:t>
            </w:r>
            <w:r>
              <w:rPr>
                <w:rFonts w:hint="eastAsia" w:ascii="Times New Roman" w:hAnsi="Times New Roman" w:eastAsia="宋体" w:cs="Times New Roman"/>
                <w:color w:val="auto"/>
                <w:highlight w:val="none"/>
                <w:lang w:eastAsia="zh-CN"/>
              </w:rPr>
              <w:t>服务期限</w:t>
            </w:r>
            <w:r>
              <w:rPr>
                <w:rFonts w:hint="eastAsia" w:ascii="Times New Roman" w:hAnsi="Times New Roman" w:eastAsia="宋体" w:cs="Times New Roman"/>
                <w:color w:val="auto"/>
                <w:highlight w:val="none"/>
              </w:rPr>
              <w:t>内必须全天候（含双休日）保持清洁；</w:t>
            </w:r>
          </w:p>
          <w:p w14:paraId="3BD8C88B">
            <w:pPr>
              <w:spacing w:line="360" w:lineRule="auto"/>
              <w:ind w:firstLine="420" w:firstLineChars="200"/>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rPr>
              <w:t>（2）凡在约定清理范围内的海域区域，</w:t>
            </w:r>
            <w:r>
              <w:rPr>
                <w:rFonts w:hint="eastAsia" w:ascii="Times New Roman" w:hAnsi="Times New Roman" w:eastAsia="宋体" w:cs="Times New Roman"/>
                <w:color w:val="auto"/>
                <w:highlight w:val="none"/>
                <w:lang w:eastAsia="zh-CN"/>
              </w:rPr>
              <w:t>服务期限</w:t>
            </w:r>
            <w:r>
              <w:rPr>
                <w:rFonts w:hint="eastAsia" w:ascii="Times New Roman" w:hAnsi="Times New Roman" w:eastAsia="宋体" w:cs="Times New Roman"/>
                <w:color w:val="auto"/>
                <w:highlight w:val="none"/>
              </w:rPr>
              <w:t>内发现的范围内存在的各种海洋垃圾和围网、木桩、临时围网设施以及其他废弃设施和物件，必须在三天之内完成清理。</w:t>
            </w:r>
          </w:p>
          <w:p w14:paraId="130CD533">
            <w:pPr>
              <w:spacing w:line="360" w:lineRule="auto"/>
              <w:ind w:firstLine="420" w:firstLineChars="200"/>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rPr>
              <w:t>（3）每天需安排人员开展清洁范围巡查，其中容易滞留海洋垃圾的重点区域每天全线巡查不少于3次，早上、中午、傍晚各一次；其他清洁和清理岸段每天全线巡查不少于2次，早上、傍晚各一次；此外，需使用无人机每周至少开展一次</w:t>
            </w:r>
            <w:r>
              <w:rPr>
                <w:rFonts w:hint="eastAsia" w:ascii="Times New Roman" w:hAnsi="Times New Roman" w:eastAsia="宋体" w:cs="Times New Roman"/>
                <w:color w:val="auto"/>
                <w:highlight w:val="none"/>
                <w:lang w:val="en-US" w:eastAsia="zh-CN"/>
              </w:rPr>
              <w:t>清洁</w:t>
            </w:r>
            <w:r>
              <w:rPr>
                <w:rFonts w:hint="eastAsia" w:ascii="Times New Roman" w:hAnsi="Times New Roman" w:eastAsia="宋体" w:cs="Times New Roman"/>
                <w:color w:val="auto"/>
                <w:highlight w:val="none"/>
              </w:rPr>
              <w:t>全域巡查，以上巡查照片需及时反馈给采购人；</w:t>
            </w:r>
          </w:p>
          <w:p w14:paraId="3763F698">
            <w:pPr>
              <w:spacing w:line="360" w:lineRule="auto"/>
              <w:ind w:firstLine="420" w:firstLineChars="200"/>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rPr>
              <w:t>（4）每月全体清洁</w:t>
            </w:r>
            <w:r>
              <w:rPr>
                <w:rFonts w:hint="eastAsia" w:ascii="Times New Roman" w:hAnsi="Times New Roman" w:eastAsia="宋体" w:cs="Times New Roman"/>
                <w:color w:val="auto"/>
                <w:highlight w:val="none"/>
                <w:lang w:eastAsia="zh-CN"/>
              </w:rPr>
              <w:t>队员</w:t>
            </w:r>
            <w:r>
              <w:rPr>
                <w:rFonts w:hint="eastAsia" w:ascii="Times New Roman" w:hAnsi="Times New Roman" w:eastAsia="宋体" w:cs="Times New Roman"/>
                <w:color w:val="auto"/>
                <w:highlight w:val="none"/>
              </w:rPr>
              <w:t>参与清洁活动的天数不少于20天。</w:t>
            </w:r>
          </w:p>
          <w:p w14:paraId="3121090B">
            <w:pPr>
              <w:spacing w:line="360" w:lineRule="auto"/>
              <w:ind w:firstLine="420" w:firstLineChars="200"/>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rPr>
              <w:t>（5）在收到市委、市政府</w:t>
            </w:r>
            <w:r>
              <w:rPr>
                <w:rFonts w:hint="eastAsia" w:ascii="Times New Roman" w:hAnsi="Times New Roman" w:eastAsia="宋体" w:cs="Times New Roman"/>
                <w:color w:val="auto"/>
                <w:highlight w:val="none"/>
                <w:lang w:eastAsia="zh-CN"/>
              </w:rPr>
              <w:t>、</w:t>
            </w:r>
            <w:r>
              <w:rPr>
                <w:rFonts w:hint="eastAsia" w:ascii="Times New Roman" w:hAnsi="Times New Roman" w:eastAsia="宋体" w:cs="Times New Roman"/>
                <w:color w:val="auto"/>
                <w:highlight w:val="none"/>
                <w:lang w:val="en-US" w:eastAsia="zh-CN"/>
              </w:rPr>
              <w:t>区政府</w:t>
            </w:r>
            <w:r>
              <w:rPr>
                <w:rFonts w:hint="eastAsia" w:ascii="Times New Roman" w:hAnsi="Times New Roman" w:eastAsia="宋体" w:cs="Times New Roman"/>
                <w:color w:val="auto"/>
                <w:highlight w:val="none"/>
              </w:rPr>
              <w:t>等上级部门要求、其他</w:t>
            </w:r>
            <w:r>
              <w:rPr>
                <w:rFonts w:hint="eastAsia" w:ascii="Times New Roman" w:hAnsi="Times New Roman" w:eastAsia="宋体" w:cs="Times New Roman"/>
                <w:color w:val="auto"/>
                <w:highlight w:val="none"/>
                <w:lang w:val="en-US" w:eastAsia="zh-CN"/>
              </w:rPr>
              <w:t>相关</w:t>
            </w:r>
            <w:r>
              <w:rPr>
                <w:rFonts w:hint="eastAsia" w:ascii="Times New Roman" w:hAnsi="Times New Roman" w:eastAsia="宋体" w:cs="Times New Roman"/>
                <w:color w:val="auto"/>
                <w:highlight w:val="none"/>
              </w:rPr>
              <w:t>部门反映或群众举报的在约定清理范</w:t>
            </w:r>
            <w:r>
              <w:rPr>
                <w:rFonts w:hint="eastAsia" w:ascii="Times New Roman" w:hAnsi="Times New Roman" w:eastAsia="宋体" w:cs="Times New Roman"/>
                <w:color w:val="auto"/>
                <w:highlight w:val="none"/>
                <w:lang w:eastAsia="zh-CN"/>
              </w:rPr>
              <w:t>围内</w:t>
            </w:r>
            <w:r>
              <w:rPr>
                <w:rFonts w:hint="eastAsia" w:ascii="Times New Roman" w:hAnsi="Times New Roman" w:eastAsia="宋体" w:cs="Times New Roman"/>
                <w:color w:val="auto"/>
                <w:highlight w:val="none"/>
              </w:rPr>
              <w:t>存在影响市容景观的固体垃圾及其他废弃物时，成交人需立即派人进行清理。</w:t>
            </w:r>
          </w:p>
          <w:p w14:paraId="56ED4876">
            <w:pPr>
              <w:spacing w:line="360" w:lineRule="auto"/>
              <w:ind w:firstLine="420" w:firstLineChars="200"/>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rPr>
              <w:t>（6）因重大活动或其他实际工作需要，采购人要求成交人开展突击清理的，成交人应服从安排，立即进行清理，突击清理的时间以采购人通知的时间为准。</w:t>
            </w:r>
          </w:p>
          <w:p w14:paraId="5ADD74CC">
            <w:pPr>
              <w:spacing w:line="360" w:lineRule="auto"/>
              <w:ind w:firstLine="420" w:firstLineChars="200"/>
              <w:rPr>
                <w:rFonts w:hint="default"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rPr>
              <w:t>（7）全年突击清理次数不超过12次的，不另计费用；超过12次的，超出的部分每次按实际支出支付清洁服务费。</w:t>
            </w:r>
            <w:r>
              <w:rPr>
                <w:rFonts w:hint="eastAsia" w:ascii="Times New Roman" w:hAnsi="Times New Roman" w:eastAsia="宋体" w:cs="Times New Roman"/>
                <w:color w:val="auto"/>
                <w:highlight w:val="none"/>
                <w:lang w:eastAsia="zh-CN"/>
              </w:rPr>
              <w:t>（</w:t>
            </w:r>
            <w:r>
              <w:rPr>
                <w:rFonts w:hint="eastAsia" w:ascii="Times New Roman" w:hAnsi="Times New Roman" w:eastAsia="宋体" w:cs="Times New Roman"/>
                <w:color w:val="auto"/>
                <w:highlight w:val="none"/>
                <w:lang w:val="en-US" w:eastAsia="zh-CN"/>
              </w:rPr>
              <w:t>不包含配合开展大型活动、会议、相关赛事突击清洁）</w:t>
            </w:r>
          </w:p>
          <w:p w14:paraId="52B99808">
            <w:pPr>
              <w:spacing w:line="360" w:lineRule="auto"/>
              <w:ind w:firstLine="420" w:firstLineChars="200"/>
              <w:rPr>
                <w:rFonts w:hint="eastAsia"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rPr>
              <w:t>（8）因不可抗力因素如极端天气（台风、暴雨、风暴潮等足以影响成交人开展清洁作业的天气，相关气象信息以防城港市气象局公布信息为准）等不能正常开展工作的，成交人需立即向采购人报告，不可抗力因素消除后即时开展清洁和清理工作。</w:t>
            </w:r>
          </w:p>
          <w:p w14:paraId="0C38C5F7">
            <w:pPr>
              <w:spacing w:line="360" w:lineRule="auto"/>
              <w:ind w:firstLine="420" w:firstLineChars="200"/>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rPr>
              <w:t>（9）清洁和清理所收集的垃圾及废弃物由成交人负责运至市政垃圾中转站妥善处理（体积较大的固体垃圾及废弃物由成交人按照市政垃圾中转站处理要求提前做好切割等达标预处理）。</w:t>
            </w:r>
          </w:p>
          <w:p w14:paraId="51CA3B5A">
            <w:pPr>
              <w:spacing w:line="360" w:lineRule="auto"/>
              <w:ind w:firstLine="422" w:firstLineChars="200"/>
              <w:jc w:val="left"/>
              <w:rPr>
                <w:rFonts w:hint="eastAsia" w:ascii="宋体" w:hAnsi="宋体" w:eastAsia="宋体" w:cs="宋体"/>
                <w:color w:val="auto"/>
                <w:szCs w:val="21"/>
                <w:highlight w:val="none"/>
                <w:lang w:val="en-US" w:eastAsia="zh-CN"/>
              </w:rPr>
            </w:pPr>
            <w:r>
              <w:rPr>
                <w:rFonts w:hint="eastAsia" w:ascii="宋体" w:hAnsi="宋体" w:eastAsia="宋体" w:cs="Times New Roman"/>
                <w:b/>
                <w:bCs w:val="0"/>
                <w:color w:val="auto"/>
                <w:szCs w:val="21"/>
                <w:highlight w:val="none"/>
                <w:lang w:val="en-US" w:eastAsia="zh-CN"/>
              </w:rPr>
              <w:t>五、</w:t>
            </w:r>
            <w:r>
              <w:rPr>
                <w:rFonts w:hint="eastAsia" w:ascii="宋体" w:hAnsi="宋体" w:eastAsia="宋体" w:cs="Times New Roman"/>
                <w:b/>
                <w:bCs w:val="0"/>
                <w:color w:val="auto"/>
                <w:szCs w:val="21"/>
                <w:highlight w:val="none"/>
              </w:rPr>
              <w:t>设备及人员要求</w:t>
            </w:r>
          </w:p>
          <w:p w14:paraId="4ECFB14C">
            <w:pPr>
              <w:spacing w:line="360" w:lineRule="auto"/>
              <w:ind w:firstLine="420" w:firstLineChars="200"/>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 xml:space="preserve">1.成交人必须承诺成交后组建拥有不少于1条垃圾清运船、4台垃圾清运车（含至少1台四轮燃油垃圾运输车和3台三轮垃圾清运车）、20名清洁清理队员的海洋环卫清洁队伍。垃圾清运船必须出具合法的船证复印件及租用合同（协议）复印件（原件备查），四轮燃油垃圾运输车必须为具有合法作业证件并且年检合格的车辆。 </w:t>
            </w:r>
          </w:p>
          <w:p w14:paraId="6666E01F">
            <w:pPr>
              <w:spacing w:line="360" w:lineRule="auto"/>
              <w:ind w:firstLine="420" w:firstLineChars="200"/>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成交人负责实施项目人员的人身安全及财产安全，要求清理工作时，现场所有工作人员必须穿戴救生衣，船上配备急救用品，严格要求工作人员进行安全作业。成交人出现安全问题或因成交人原因致使第三方出现财产损失、人身安全问题，采购人概不负责。</w:t>
            </w:r>
          </w:p>
          <w:p w14:paraId="6D60D215">
            <w:pPr>
              <w:spacing w:line="360" w:lineRule="auto"/>
              <w:ind w:firstLine="420" w:firstLineChars="200"/>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3.开展清洁工作过程中成交人需安排有船舶和车辆合法驾驶证件并具有一定驾驶经验的人员驾驶清运船舶和清运车辆，清洁清理人员在清洁清理工作过程中的人身和财产安全问题全部由成交人负责，采购人概不负责。</w:t>
            </w:r>
          </w:p>
          <w:p w14:paraId="142B4C87">
            <w:pPr>
              <w:spacing w:line="360" w:lineRule="auto"/>
              <w:ind w:firstLine="422" w:firstLineChars="200"/>
              <w:jc w:val="left"/>
              <w:rPr>
                <w:rFonts w:hint="eastAsia" w:ascii="宋体" w:hAnsi="宋体" w:eastAsia="宋体" w:cs="宋体"/>
                <w:color w:val="auto"/>
                <w:szCs w:val="21"/>
                <w:highlight w:val="none"/>
                <w:lang w:val="en-US" w:eastAsia="zh-CN"/>
              </w:rPr>
            </w:pPr>
            <w:r>
              <w:rPr>
                <w:rFonts w:hint="eastAsia" w:ascii="宋体" w:hAnsi="宋体" w:eastAsia="宋体" w:cs="宋体"/>
                <w:b/>
                <w:bCs/>
                <w:color w:val="auto"/>
                <w:szCs w:val="21"/>
                <w:highlight w:val="none"/>
                <w:lang w:val="en-US" w:eastAsia="zh-CN"/>
              </w:rPr>
              <w:t>六、其他要求</w:t>
            </w:r>
          </w:p>
          <w:p w14:paraId="262D1964">
            <w:pPr>
              <w:spacing w:line="360" w:lineRule="auto"/>
              <w:ind w:firstLine="420" w:firstLineChars="200"/>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采购人有权对成交人进行每月考核。如采购人在服务期限内检查时发现成交人有清洁清理不达标准的，对成交人进行通报批评。凡在服务期限内收到市级其他部门通报或者被群众举报的存在海域清洁问题的，成交人需按照要求，及时开展清理和整改工作，不按要求整改的，采购人可根据实际情况扣减下个季度海洋垃圾清洁和清理工作费用的5%至10%（季度工作费用为合同金额4个季度的平均值）；出现3次以上（含3次）被市级其他部门通报或者被群众举报且拒不清理和整改的，采购人有权单方解除协议，成交人还应当按照合同总价30%向采购人支付违约金并赔偿损失。</w:t>
            </w:r>
          </w:p>
          <w:p w14:paraId="05C8998D">
            <w:pPr>
              <w:spacing w:line="360" w:lineRule="auto"/>
              <w:ind w:firstLine="420" w:firstLineChars="200"/>
              <w:jc w:val="left"/>
              <w:rPr>
                <w:rFonts w:hint="default" w:eastAsia="宋体"/>
                <w:color w:val="auto"/>
                <w:highlight w:val="none"/>
                <w:lang w:val="en-US"/>
              </w:rPr>
            </w:pPr>
            <w:r>
              <w:rPr>
                <w:rFonts w:hint="eastAsia" w:ascii="宋体" w:hAnsi="宋体" w:eastAsia="宋体" w:cs="宋体"/>
                <w:color w:val="auto"/>
                <w:szCs w:val="21"/>
                <w:highlight w:val="none"/>
                <w:lang w:val="en-US" w:eastAsia="zh-CN"/>
              </w:rPr>
              <w:t>2.如成交人在服务期限内不能按照约定按时开展清洁、清理工作，造成采购人损失的，由成交人负责赔偿，包括但不限于采购人另外雇请第三方进行清洁清理的全部费用。</w:t>
            </w:r>
          </w:p>
        </w:tc>
      </w:tr>
      <w:tr w14:paraId="77157E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70" w:type="dxa"/>
            <w:noWrap w:val="0"/>
            <w:vAlign w:val="center"/>
          </w:tcPr>
          <w:p w14:paraId="0F298B3E">
            <w:pPr>
              <w:spacing w:line="400" w:lineRule="exact"/>
              <w:rPr>
                <w:rFonts w:hint="eastAsia" w:ascii="宋体" w:hAnsi="宋体" w:eastAsia="宋体" w:cs="宋体"/>
                <w:color w:val="auto"/>
                <w:highlight w:val="none"/>
              </w:rPr>
            </w:pPr>
            <w:r>
              <w:rPr>
                <w:rFonts w:hint="eastAsia" w:ascii="宋体" w:hAnsi="宋体" w:eastAsia="宋体" w:cs="宋体"/>
                <w:color w:val="auto"/>
                <w:highlight w:val="none"/>
              </w:rPr>
              <w:t>商务条款</w:t>
            </w:r>
          </w:p>
        </w:tc>
        <w:tc>
          <w:tcPr>
            <w:tcW w:w="9535" w:type="dxa"/>
            <w:gridSpan w:val="4"/>
            <w:noWrap w:val="0"/>
            <w:vAlign w:val="top"/>
          </w:tcPr>
          <w:p w14:paraId="69F3B9AD">
            <w:pPr>
              <w:spacing w:line="360" w:lineRule="auto"/>
              <w:rPr>
                <w:rFonts w:eastAsia="宋体"/>
                <w:color w:val="auto"/>
                <w:highlight w:val="none"/>
              </w:rPr>
            </w:pPr>
            <w:r>
              <w:rPr>
                <w:rFonts w:hint="eastAsia" w:ascii="宋体" w:hAnsi="宋体" w:eastAsia="宋体" w:cs="宋体"/>
                <w:color w:val="auto"/>
                <w:highlight w:val="none"/>
              </w:rPr>
              <w:t>一、合同签订</w:t>
            </w:r>
            <w:r>
              <w:rPr>
                <w:rFonts w:hint="eastAsia" w:ascii="宋体" w:hAnsi="宋体" w:eastAsia="宋体" w:cs="宋体"/>
                <w:color w:val="auto"/>
                <w:highlight w:val="none"/>
                <w:lang w:eastAsia="zh-CN"/>
              </w:rPr>
              <w:t>期限</w:t>
            </w:r>
            <w:r>
              <w:rPr>
                <w:rFonts w:hint="eastAsia" w:ascii="宋体" w:hAnsi="宋体" w:eastAsia="宋体" w:cs="宋体"/>
                <w:color w:val="auto"/>
                <w:highlight w:val="none"/>
              </w:rPr>
              <w:t>：</w:t>
            </w:r>
            <w:r>
              <w:rPr>
                <w:rFonts w:hint="eastAsia" w:ascii="宋体" w:hAnsi="宋体" w:eastAsia="宋体" w:cs="宋体"/>
                <w:color w:val="auto"/>
                <w:szCs w:val="21"/>
                <w:highlight w:val="none"/>
              </w:rPr>
              <w:t>自</w:t>
            </w:r>
            <w:r>
              <w:rPr>
                <w:rFonts w:hint="eastAsia" w:ascii="宋体" w:hAnsi="宋体" w:eastAsia="宋体" w:cs="宋体"/>
                <w:color w:val="auto"/>
                <w:szCs w:val="21"/>
                <w:highlight w:val="none"/>
                <w:lang w:eastAsia="zh-CN"/>
              </w:rPr>
              <w:t>成交</w:t>
            </w:r>
            <w:r>
              <w:rPr>
                <w:rFonts w:hint="eastAsia" w:ascii="宋体" w:hAnsi="宋体" w:eastAsia="宋体" w:cs="宋体"/>
                <w:color w:val="auto"/>
                <w:szCs w:val="21"/>
                <w:highlight w:val="none"/>
              </w:rPr>
              <w:t>通知书发出之日起</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 xml:space="preserve">25 </w:t>
            </w:r>
            <w:r>
              <w:rPr>
                <w:rFonts w:hint="eastAsia" w:ascii="宋体" w:hAnsi="宋体" w:eastAsia="宋体" w:cs="宋体"/>
                <w:color w:val="auto"/>
                <w:szCs w:val="21"/>
                <w:highlight w:val="none"/>
              </w:rPr>
              <w:t>日内</w:t>
            </w:r>
            <w:r>
              <w:rPr>
                <w:rFonts w:hint="eastAsia" w:ascii="宋体" w:hAnsi="宋体" w:eastAsia="宋体" w:cs="宋体"/>
                <w:color w:val="auto"/>
                <w:highlight w:val="none"/>
                <w:lang w:eastAsia="zh-CN"/>
              </w:rPr>
              <w:t>。</w:t>
            </w:r>
          </w:p>
          <w:p w14:paraId="21F645D2">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lang w:val="en-US" w:eastAsia="zh-CN"/>
              </w:rPr>
            </w:pPr>
            <w:r>
              <w:rPr>
                <w:rFonts w:hint="eastAsia" w:ascii="宋体" w:hAnsi="宋体" w:eastAsia="宋体" w:cs="宋体"/>
                <w:color w:val="auto"/>
                <w:kern w:val="2"/>
                <w:sz w:val="21"/>
                <w:szCs w:val="24"/>
                <w:highlight w:val="none"/>
                <w:lang w:val="en-US" w:eastAsia="zh-CN" w:bidi="ar-SA"/>
              </w:rPr>
              <w:t>二、</w:t>
            </w:r>
            <w:r>
              <w:rPr>
                <w:rFonts w:hint="eastAsia" w:ascii="宋体" w:hAnsi="宋体" w:eastAsia="宋体" w:cs="宋体"/>
                <w:color w:val="auto"/>
                <w:highlight w:val="none"/>
                <w:lang w:eastAsia="zh-CN"/>
              </w:rPr>
              <w:t>服务期：</w:t>
            </w:r>
            <w:r>
              <w:rPr>
                <w:rFonts w:hint="eastAsia" w:ascii="宋体" w:hAnsi="宋体" w:eastAsia="宋体" w:cs="宋体"/>
                <w:color w:val="auto"/>
                <w:highlight w:val="none"/>
                <w:lang w:val="en-US" w:eastAsia="zh-CN"/>
              </w:rPr>
              <w:t>自合同签订之日起1年。</w:t>
            </w:r>
          </w:p>
          <w:p w14:paraId="261BB398">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ascii="宋体" w:hAnsi="宋体" w:eastAsia="宋体" w:cs="宋体"/>
                <w:color w:val="auto"/>
                <w:highlight w:val="none"/>
                <w:lang w:val="en-US" w:eastAsia="zh-CN"/>
              </w:rPr>
            </w:pPr>
            <w:r>
              <w:rPr>
                <w:rFonts w:hint="eastAsia" w:ascii="宋体" w:hAnsi="宋体" w:eastAsia="宋体" w:cs="宋体"/>
                <w:color w:val="auto"/>
                <w:kern w:val="2"/>
                <w:sz w:val="21"/>
                <w:szCs w:val="24"/>
                <w:highlight w:val="none"/>
                <w:lang w:val="en-US" w:eastAsia="zh-CN" w:bidi="ar-SA"/>
              </w:rPr>
              <w:t>三、</w:t>
            </w:r>
            <w:r>
              <w:rPr>
                <w:rFonts w:hint="eastAsia" w:ascii="宋体" w:hAnsi="宋体" w:eastAsia="宋体" w:cs="Times New Roman"/>
                <w:color w:val="auto"/>
                <w:szCs w:val="21"/>
                <w:highlight w:val="none"/>
                <w:lang w:val="en-US" w:eastAsia="zh-CN"/>
              </w:rPr>
              <w:t>服务地点：防城港市港口区辖区范围内的公共岸线、海域范围（约200公里）。</w:t>
            </w:r>
          </w:p>
          <w:p w14:paraId="2454145B">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eastAsia="宋体"/>
                <w:color w:val="auto"/>
                <w:highlight w:val="none"/>
              </w:rPr>
            </w:pPr>
            <w:r>
              <w:rPr>
                <w:rFonts w:hint="eastAsia" w:ascii="宋体" w:hAnsi="宋体" w:eastAsia="宋体" w:cs="宋体"/>
                <w:color w:val="auto"/>
                <w:kern w:val="2"/>
                <w:sz w:val="21"/>
                <w:szCs w:val="24"/>
                <w:highlight w:val="none"/>
                <w:lang w:val="en-US" w:eastAsia="zh-CN" w:bidi="ar-SA"/>
              </w:rPr>
              <w:t>四、</w:t>
            </w:r>
            <w:r>
              <w:rPr>
                <w:rFonts w:hint="eastAsia" w:ascii="宋体" w:hAnsi="宋体" w:eastAsia="宋体"/>
                <w:b w:val="0"/>
                <w:bCs/>
                <w:color w:val="auto"/>
                <w:szCs w:val="21"/>
                <w:highlight w:val="none"/>
                <w:lang w:val="en-US" w:eastAsia="zh-CN"/>
              </w:rPr>
              <w:t>质量要求：</w:t>
            </w:r>
            <w:r>
              <w:rPr>
                <w:rFonts w:hint="default" w:ascii="宋体" w:hAnsi="宋体" w:eastAsia="宋体" w:cs="宋体"/>
                <w:color w:val="auto"/>
                <w:highlight w:val="none"/>
                <w:lang w:val="en-US" w:eastAsia="zh-CN"/>
              </w:rPr>
              <w:t>符合国家规定的标准、政策和现行技术规范、规程要求。</w:t>
            </w:r>
          </w:p>
          <w:p w14:paraId="4942C9B7">
            <w:pPr>
              <w:spacing w:line="360" w:lineRule="auto"/>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五</w:t>
            </w:r>
            <w:r>
              <w:rPr>
                <w:rFonts w:hint="eastAsia" w:ascii="宋体" w:hAnsi="宋体" w:eastAsia="宋体" w:cs="宋体"/>
                <w:color w:val="auto"/>
                <w:highlight w:val="none"/>
              </w:rPr>
              <w:t>、验收要求</w:t>
            </w:r>
          </w:p>
          <w:p w14:paraId="0FD0F498">
            <w:pPr>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1.验收方式：</w:t>
            </w:r>
          </w:p>
          <w:p w14:paraId="45E8F152">
            <w:pPr>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（1）由采购人与成交人共同成立验收小组；</w:t>
            </w:r>
          </w:p>
          <w:p w14:paraId="48090FF1">
            <w:pPr>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（2）成交人根据清理计划进行清理，要求对验收成果进行验收时，须提前通知采购人进行现场验收，成交人对验收过程必须全程录制视频监控。</w:t>
            </w:r>
          </w:p>
          <w:p w14:paraId="3EBC5D0C">
            <w:pPr>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验收小组现场根据验收程序和要求，经确认无误后，共同签署清理工作确认表，完成此次验收。</w:t>
            </w:r>
          </w:p>
          <w:p w14:paraId="28E38018">
            <w:pPr>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（3）清理验收标准应达到：保持清洁范围内的岸线区域常态化清洁，实现岸滩和海面基本清洁目标，垃圾覆盖度≤5%</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并建立健全长效监管机制。</w:t>
            </w:r>
          </w:p>
          <w:p w14:paraId="231A3F26">
            <w:pPr>
              <w:spacing w:line="360" w:lineRule="auto"/>
              <w:rPr>
                <w:rFonts w:hint="default" w:ascii="宋体" w:hAnsi="宋体" w:eastAsia="宋体" w:cs="宋体"/>
                <w:color w:val="auto"/>
                <w:highlight w:val="none"/>
                <w:lang w:val="en-US" w:eastAsia="zh-CN"/>
              </w:rPr>
            </w:pPr>
            <w:r>
              <w:rPr>
                <w:rFonts w:hint="eastAsia" w:ascii="宋体" w:hAnsi="宋体" w:eastAsia="宋体" w:cs="宋体"/>
                <w:color w:val="auto"/>
                <w:highlight w:val="none"/>
              </w:rPr>
              <w:t>2.验收费用：</w:t>
            </w:r>
            <w:r>
              <w:rPr>
                <w:rFonts w:hint="eastAsia" w:ascii="宋体" w:hAnsi="宋体" w:eastAsia="宋体" w:cs="宋体"/>
                <w:color w:val="auto"/>
                <w:highlight w:val="none"/>
                <w:lang w:val="en-US" w:eastAsia="zh-CN"/>
              </w:rPr>
              <w:t>由成交人负责。</w:t>
            </w:r>
          </w:p>
          <w:p w14:paraId="1DFF4A2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六</w:t>
            </w:r>
            <w:r>
              <w:rPr>
                <w:rFonts w:hint="eastAsia" w:ascii="宋体" w:hAnsi="宋体" w:eastAsia="宋体" w:cs="宋体"/>
                <w:color w:val="auto"/>
                <w:highlight w:val="none"/>
              </w:rPr>
              <w:t>、其他要求</w:t>
            </w:r>
          </w:p>
          <w:p w14:paraId="706F3DA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highlight w:val="none"/>
              </w:rPr>
              <w:t>1</w:t>
            </w:r>
            <w:r>
              <w:rPr>
                <w:rFonts w:hint="eastAsia" w:ascii="宋体" w:hAnsi="宋体" w:eastAsia="宋体" w:cs="宋体"/>
                <w:color w:val="auto"/>
                <w:kern w:val="0"/>
                <w:szCs w:val="21"/>
                <w:highlight w:val="none"/>
              </w:rPr>
              <w:t>.</w:t>
            </w:r>
            <w:r>
              <w:rPr>
                <w:rFonts w:hint="eastAsia" w:ascii="宋体" w:hAnsi="宋体" w:eastAsia="宋体" w:cs="宋体"/>
                <w:color w:val="auto"/>
                <w:kern w:val="2"/>
                <w:sz w:val="21"/>
                <w:szCs w:val="24"/>
                <w:highlight w:val="none"/>
                <w:lang w:val="en-US" w:eastAsia="zh-CN" w:bidi="ar-SA"/>
              </w:rPr>
              <w:t>供应商最终磋商报价为履行合同的最终价格，应包括整体服务价格以及设备、人员工资、社保、商业保险、税金、利润等一切费用。</w:t>
            </w:r>
          </w:p>
          <w:p w14:paraId="00952703">
            <w:pPr>
              <w:spacing w:line="360" w:lineRule="auto"/>
              <w:rPr>
                <w:rFonts w:hint="eastAsia" w:ascii="宋体" w:hAnsi="宋体" w:eastAsia="宋体" w:cs="宋体"/>
                <w:color w:val="auto"/>
                <w:highlight w:val="none"/>
                <w:lang w:eastAsia="zh-CN"/>
              </w:rPr>
            </w:pPr>
            <w:r>
              <w:rPr>
                <w:rFonts w:hint="eastAsia" w:ascii="宋体" w:hAnsi="宋体" w:eastAsia="宋体" w:cs="宋体"/>
                <w:color w:val="auto"/>
                <w:kern w:val="2"/>
                <w:sz w:val="21"/>
                <w:szCs w:val="24"/>
                <w:highlight w:val="none"/>
                <w:lang w:val="en-US" w:eastAsia="zh-CN" w:bidi="ar-SA"/>
              </w:rPr>
              <w:t>2</w:t>
            </w:r>
            <w:r>
              <w:rPr>
                <w:rFonts w:hint="eastAsia" w:ascii="宋体" w:hAnsi="宋体" w:eastAsia="宋体" w:cs="宋体"/>
                <w:color w:val="auto"/>
                <w:kern w:val="0"/>
                <w:szCs w:val="21"/>
                <w:highlight w:val="none"/>
              </w:rPr>
              <w:t>.</w:t>
            </w:r>
            <w:r>
              <w:rPr>
                <w:rFonts w:hint="eastAsia" w:ascii="宋体" w:hAnsi="宋体" w:eastAsia="宋体" w:cs="宋体"/>
                <w:color w:val="auto"/>
                <w:kern w:val="2"/>
                <w:sz w:val="21"/>
                <w:szCs w:val="24"/>
                <w:highlight w:val="none"/>
                <w:lang w:val="en-US" w:eastAsia="zh-CN" w:bidi="ar-SA"/>
              </w:rPr>
              <w:t>付款方式：本合同签订后10 个工作日内，采购人支付合同总金额的30%作为预付款；后续费用按每季度结算支付，每季度应付合同金额优先从上述预付款中抵扣，预付款抵扣完毕后，采购人按季度据实支付剩余款项。</w:t>
            </w:r>
          </w:p>
        </w:tc>
      </w:tr>
      <w:tr w14:paraId="43FB3C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2" w:hRule="atLeast"/>
          <w:jc w:val="center"/>
        </w:trPr>
        <w:tc>
          <w:tcPr>
            <w:tcW w:w="570" w:type="dxa"/>
            <w:noWrap w:val="0"/>
            <w:vAlign w:val="center"/>
          </w:tcPr>
          <w:p w14:paraId="5814D3EA">
            <w:pPr>
              <w:spacing w:line="400" w:lineRule="exact"/>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highlight w:val="none"/>
              </w:rPr>
              <w:t>其他说明</w:t>
            </w:r>
          </w:p>
        </w:tc>
        <w:tc>
          <w:tcPr>
            <w:tcW w:w="9535" w:type="dxa"/>
            <w:gridSpan w:val="4"/>
            <w:noWrap w:val="0"/>
            <w:vAlign w:val="top"/>
          </w:tcPr>
          <w:p w14:paraId="60CC097A">
            <w:pPr>
              <w:tabs>
                <w:tab w:val="left" w:pos="180"/>
                <w:tab w:val="left" w:pos="1620"/>
              </w:tabs>
              <w:spacing w:line="360" w:lineRule="auto"/>
              <w:ind w:firstLine="422" w:firstLineChars="200"/>
              <w:rPr>
                <w:rFonts w:hint="eastAsia" w:ascii="宋体" w:hAnsi="宋体" w:eastAsia="宋体" w:cs="宋体"/>
                <w:b w:val="0"/>
                <w:bCs/>
                <w:i w:val="0"/>
                <w:iCs w:val="0"/>
                <w:color w:val="auto"/>
                <w:szCs w:val="21"/>
                <w:highlight w:val="none"/>
                <w:lang w:eastAsia="zh-CN"/>
              </w:rPr>
            </w:pPr>
            <w:r>
              <w:rPr>
                <w:rFonts w:hint="eastAsia" w:ascii="宋体" w:hAnsi="宋体" w:eastAsia="宋体" w:cs="宋体"/>
                <w:b/>
                <w:color w:val="auto"/>
                <w:szCs w:val="21"/>
                <w:highlight w:val="none"/>
                <w:lang w:val="en-US" w:eastAsia="zh-CN"/>
              </w:rPr>
              <w:t>一</w:t>
            </w:r>
            <w:r>
              <w:rPr>
                <w:rFonts w:hint="eastAsia" w:ascii="宋体" w:hAnsi="宋体" w:eastAsia="宋体" w:cs="宋体"/>
                <w:b/>
                <w:color w:val="auto"/>
                <w:szCs w:val="21"/>
                <w:highlight w:val="none"/>
              </w:rPr>
              <w:t>、与</w:t>
            </w:r>
            <w:r>
              <w:rPr>
                <w:rFonts w:hint="eastAsia" w:ascii="宋体" w:hAnsi="宋体" w:eastAsia="宋体" w:cs="宋体"/>
                <w:b/>
                <w:color w:val="auto"/>
                <w:szCs w:val="21"/>
                <w:highlight w:val="none"/>
                <w:lang w:eastAsia="zh-CN"/>
              </w:rPr>
              <w:t>本项目</w:t>
            </w:r>
            <w:r>
              <w:rPr>
                <w:rFonts w:hint="eastAsia" w:ascii="宋体" w:hAnsi="宋体" w:eastAsia="宋体" w:cs="宋体"/>
                <w:b/>
                <w:color w:val="auto"/>
                <w:szCs w:val="21"/>
                <w:highlight w:val="none"/>
              </w:rPr>
              <w:t>有关的设计图纸、技术规范、文件等附件资料及其获取方式</w:t>
            </w:r>
            <w:r>
              <w:rPr>
                <w:rFonts w:hint="eastAsia" w:ascii="宋体" w:hAnsi="宋体" w:eastAsia="宋体" w:cs="宋体"/>
                <w:b/>
                <w:bCs w:val="0"/>
                <w:i/>
                <w:iCs/>
                <w:color w:val="auto"/>
                <w:szCs w:val="21"/>
                <w:highlight w:val="none"/>
              </w:rPr>
              <w:t>（如有</w:t>
            </w:r>
            <w:r>
              <w:rPr>
                <w:rFonts w:hint="eastAsia" w:ascii="宋体" w:hAnsi="宋体" w:eastAsia="宋体" w:cs="宋体"/>
                <w:b/>
                <w:bCs w:val="0"/>
                <w:i/>
                <w:iCs/>
                <w:color w:val="auto"/>
                <w:szCs w:val="21"/>
                <w:highlight w:val="none"/>
                <w:lang w:eastAsia="zh-CN"/>
              </w:rPr>
              <w:t>）</w:t>
            </w:r>
          </w:p>
          <w:p w14:paraId="7705C663">
            <w:pPr>
              <w:tabs>
                <w:tab w:val="left" w:pos="180"/>
                <w:tab w:val="left" w:pos="1620"/>
              </w:tabs>
              <w:spacing w:line="360" w:lineRule="auto"/>
              <w:ind w:firstLine="420" w:firstLineChars="20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文件或者资料名称：</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无</w:t>
            </w:r>
            <w:r>
              <w:rPr>
                <w:rFonts w:hint="eastAsia" w:ascii="宋体" w:hAnsi="宋体" w:eastAsia="宋体" w:cs="宋体"/>
                <w:color w:val="auto"/>
                <w:szCs w:val="21"/>
                <w:highlight w:val="none"/>
                <w:u w:val="single"/>
              </w:rPr>
              <w:t xml:space="preserve">                               </w:t>
            </w:r>
          </w:p>
          <w:p w14:paraId="783FAFF5">
            <w:pPr>
              <w:tabs>
                <w:tab w:val="left" w:pos="180"/>
                <w:tab w:val="left" w:pos="1620"/>
              </w:tabs>
              <w:spacing w:line="360" w:lineRule="auto"/>
              <w:ind w:firstLine="420" w:firstLineChars="200"/>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szCs w:val="21"/>
                <w:highlight w:val="none"/>
              </w:rPr>
              <w:t>公布渠道或者获取方式：</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无</w:t>
            </w:r>
            <w:r>
              <w:rPr>
                <w:rFonts w:hint="eastAsia" w:ascii="宋体" w:hAnsi="宋体" w:eastAsia="宋体" w:cs="宋体"/>
                <w:color w:val="auto"/>
                <w:szCs w:val="21"/>
                <w:highlight w:val="none"/>
                <w:u w:val="single"/>
              </w:rPr>
              <w:t xml:space="preserve">                         </w:t>
            </w:r>
          </w:p>
        </w:tc>
      </w:tr>
    </w:tbl>
    <w:p w14:paraId="10F50BE1">
      <w:pPr>
        <w:spacing w:line="428" w:lineRule="exact"/>
        <w:ind w:left="119"/>
        <w:rPr>
          <w:rFonts w:hint="eastAsia" w:ascii="Arial Unicode MS" w:hAnsi="Arial Unicode MS" w:eastAsia="Arial Unicode MS" w:cs="Arial Unicode MS"/>
          <w:color w:val="auto"/>
          <w:sz w:val="32"/>
          <w:szCs w:val="32"/>
          <w:highlight w:val="none"/>
        </w:rPr>
      </w:pPr>
    </w:p>
    <w:p w14:paraId="337CFE69">
      <w:pPr>
        <w:ind w:left="0" w:leftChars="0" w:right="0" w:rightChars="0" w:firstLine="0" w:firstLineChars="0"/>
        <w:jc w:val="center"/>
        <w:rPr>
          <w:rFonts w:hint="eastAsia" w:ascii="Arial Unicode MS" w:hAnsi="Arial Unicode MS" w:eastAsia="Arial Unicode MS" w:cs="Arial Unicode MS"/>
          <w:b/>
          <w:bCs/>
          <w:color w:val="auto"/>
          <w:sz w:val="28"/>
          <w:szCs w:val="28"/>
          <w:highlight w:val="none"/>
          <w:lang w:val="en-US" w:eastAsia="zh-CN"/>
        </w:rPr>
      </w:pPr>
      <w:r>
        <w:rPr>
          <w:rFonts w:hint="eastAsia" w:ascii="Arial Unicode MS" w:hAnsi="Arial Unicode MS" w:eastAsia="Arial Unicode MS" w:cs="Arial Unicode MS"/>
          <w:color w:val="auto"/>
          <w:sz w:val="32"/>
          <w:szCs w:val="32"/>
          <w:highlight w:val="none"/>
        </w:rPr>
        <w:br w:type="page"/>
      </w:r>
      <w:r>
        <w:rPr>
          <w:rFonts w:hint="eastAsia" w:ascii="Arial Unicode MS" w:hAnsi="Arial Unicode MS" w:eastAsia="Arial Unicode MS" w:cs="Arial Unicode MS"/>
          <w:b/>
          <w:bCs/>
          <w:color w:val="auto"/>
          <w:sz w:val="28"/>
          <w:szCs w:val="28"/>
          <w:highlight w:val="none"/>
          <w:lang w:val="en-US" w:eastAsia="zh-CN"/>
        </w:rPr>
        <w:t>清洁范围示意图</w:t>
      </w:r>
      <w:bookmarkStart w:id="0" w:name="_GoBack"/>
      <w:bookmarkEnd w:id="0"/>
    </w:p>
    <w:p w14:paraId="0549CC11">
      <w:r>
        <w:rPr>
          <w:rFonts w:hint="eastAsia" w:ascii="Arial Unicode MS" w:hAnsi="Arial Unicode MS" w:eastAsia="Arial Unicode MS" w:cs="Arial Unicode MS"/>
          <w:color w:val="auto"/>
          <w:sz w:val="32"/>
          <w:szCs w:val="32"/>
          <w:highlight w:val="none"/>
        </w:rPr>
        <w:drawing>
          <wp:inline distT="0" distB="0" distL="114300" distR="114300">
            <wp:extent cx="5539740" cy="7836535"/>
            <wp:effectExtent l="0" t="0" r="3810" b="12065"/>
            <wp:docPr id="2" name="图片 2" descr="64129509c5364d11bea32ffbf41ca06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64129509c5364d11bea32ffbf41ca06a"/>
                    <pic:cNvPicPr>
                      <a:picLocks noChangeAspect="1"/>
                    </pic:cNvPicPr>
                  </pic:nvPicPr>
                  <pic:blipFill>
                    <a:blip r:embed="rId4"/>
                    <a:stretch>
                      <a:fillRect/>
                    </a:stretch>
                  </pic:blipFill>
                  <pic:spPr>
                    <a:xfrm>
                      <a:off x="0" y="0"/>
                      <a:ext cx="5539740" cy="7836535"/>
                    </a:xfrm>
                    <a:prstGeom prst="rect">
                      <a:avLst/>
                    </a:prstGeom>
                    <a:noFill/>
                    <a:ln>
                      <a:noFill/>
                    </a:ln>
                  </pic:spPr>
                </pic:pic>
              </a:graphicData>
            </a:graphic>
          </wp:inline>
        </w:drawing>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Cambria">
    <w:panose1 w:val="02040503050406030204"/>
    <w:charset w:val="00"/>
    <w:family w:val="roman"/>
    <w:pitch w:val="default"/>
    <w:sig w:usb0="E00006FF" w:usb1="420024FF" w:usb2="02000000" w:usb3="00000000" w:csb0="2000019F" w:csb1="00000000"/>
  </w:font>
  <w:font w:name="Arial Unicode MS">
    <w:altName w:val="宋体"/>
    <w:panose1 w:val="020B0604020202020204"/>
    <w:charset w:val="86"/>
    <w:family w:val="roman"/>
    <w:pitch w:val="default"/>
    <w:sig w:usb0="00000000" w:usb1="00000000"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5B97831"/>
    <w:rsid w:val="1C4C6724"/>
    <w:rsid w:val="2C894FAE"/>
    <w:rsid w:val="383D0C57"/>
    <w:rsid w:val="5A2647C3"/>
    <w:rsid w:val="67296979"/>
    <w:rsid w:val="6CFF7C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qFormat/>
    <w:uiPriority w:val="0"/>
    <w:pPr>
      <w:keepNext/>
      <w:keepLines/>
      <w:spacing w:before="340" w:beforeLines="0" w:beforeAutospacing="0" w:after="330" w:afterLines="0" w:afterAutospacing="0" w:line="240" w:lineRule="auto"/>
      <w:outlineLvl w:val="0"/>
    </w:pPr>
    <w:rPr>
      <w:rFonts w:ascii="Times New Roman" w:hAnsi="Times New Roman" w:eastAsia="微软雅黑" w:cs="Times New Roman"/>
      <w:b/>
      <w:kern w:val="44"/>
      <w:sz w:val="32"/>
      <w:szCs w:val="24"/>
      <w:lang w:eastAsia="zh-CN"/>
    </w:rPr>
  </w:style>
  <w:style w:type="character" w:default="1" w:styleId="7">
    <w:name w:val="Default Paragraph Font"/>
    <w:autoRedefine/>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next w:val="3"/>
    <w:unhideWhenUsed/>
    <w:qFormat/>
    <w:uiPriority w:val="0"/>
    <w:pPr>
      <w:widowControl w:val="0"/>
      <w:spacing w:after="120"/>
      <w:jc w:val="both"/>
    </w:pPr>
    <w:rPr>
      <w:rFonts w:ascii="Times New Roman" w:hAnsi="Times New Roman" w:eastAsia="宋体" w:cs="Times New Roman"/>
      <w:kern w:val="2"/>
      <w:sz w:val="21"/>
      <w:szCs w:val="24"/>
      <w:lang w:val="en-US" w:eastAsia="zh-CN" w:bidi="ar-SA"/>
    </w:rPr>
  </w:style>
  <w:style w:type="paragraph" w:styleId="3">
    <w:name w:val="Subtitle"/>
    <w:next w:val="1"/>
    <w:qFormat/>
    <w:uiPriority w:val="0"/>
    <w:pPr>
      <w:widowControl w:val="0"/>
      <w:spacing w:before="240" w:after="60" w:line="312" w:lineRule="auto"/>
      <w:jc w:val="center"/>
      <w:outlineLvl w:val="1"/>
    </w:pPr>
    <w:rPr>
      <w:rFonts w:ascii="Cambria" w:hAnsi="Cambria" w:eastAsia="宋体" w:cs="Times New Roman"/>
      <w:b/>
      <w:bCs/>
      <w:kern w:val="28"/>
      <w:sz w:val="32"/>
      <w:szCs w:val="32"/>
      <w:lang w:val="en-US" w:eastAsia="zh-CN" w:bidi="ar-SA"/>
    </w:rPr>
  </w:style>
  <w:style w:type="paragraph" w:styleId="5">
    <w:name w:val="annotation text"/>
    <w:qFormat/>
    <w:uiPriority w:val="0"/>
    <w:pPr>
      <w:widowControl w:val="0"/>
      <w:jc w:val="left"/>
    </w:pPr>
    <w:rPr>
      <w:rFonts w:ascii="Times New Roman" w:hAnsi="Times New Roman" w:eastAsia="宋体" w:cs="Times New Roman"/>
      <w:kern w:val="2"/>
      <w:sz w:val="21"/>
      <w:szCs w:val="24"/>
      <w:lang w:val="en-US" w:eastAsia="zh-CN" w:bidi="ar-SA"/>
    </w:rPr>
  </w:style>
  <w:style w:type="paragraph" w:customStyle="1" w:styleId="8">
    <w:name w:val="投标正文"/>
    <w:basedOn w:val="1"/>
    <w:qFormat/>
    <w:uiPriority w:val="0"/>
    <w:pPr>
      <w:spacing w:line="360" w:lineRule="auto"/>
      <w:ind w:firstLine="480" w:firstLineChars="200"/>
      <w:contextualSpacing/>
    </w:pPr>
    <w:rPr>
      <w:rFonts w:hint="eastAsia" w:ascii="宋体" w:hAnsi="宋体" w:eastAsia="仿宋"/>
      <w:color w:val="auto"/>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3071</Words>
  <Characters>3118</Characters>
  <Lines>0</Lines>
  <Paragraphs>0</Paragraphs>
  <TotalTime>0</TotalTime>
  <ScaleCrop>false</ScaleCrop>
  <LinksUpToDate>false</LinksUpToDate>
  <CharactersWithSpaces>3190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2024-04-16T08:15:00Z</dcterms:created>
  <dc:creator>Administrator</dc:creator>
  <cp:lastModifiedBy>oho</cp:lastModifiedBy>
  <dcterms:modified xsi:type="dcterms:W3CDTF">2026-03-19T03:50:12Z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52464D54D0134E728D979A153ECEBD23_12</vt:lpwstr>
  </property>
  <property fmtid="{D5CDD505-2E9C-101B-9397-08002B2CF9AE}" pid="4" name="KSOTemplateDocerSaveRecord">
    <vt:lpwstr>eyJoZGlkIjoiOTYxZjEyODIzZDgwNTQwYjJmMzJiYzBjZDdlNTkzYTEiLCJ1c2VySWQiOiIzODEwOTA4NzUifQ==</vt:lpwstr>
  </property>
</Properties>
</file>