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4E61E">
      <w:pPr>
        <w:jc w:val="center"/>
        <w:rPr>
          <w:rFonts w:hint="eastAsia" w:ascii="宋体" w:hAnsi="宋体" w:eastAsia="宋体" w:cs="宋体"/>
          <w:b/>
          <w:color w:val="000000" w:themeColor="text1"/>
          <w:sz w:val="52"/>
          <w:lang w:val="en-US" w:eastAsia="zh-CN"/>
          <w14:textFill>
            <w14:solidFill>
              <w14:schemeClr w14:val="tx1"/>
            </w14:solidFill>
          </w14:textFill>
        </w:rPr>
      </w:pPr>
      <w:r>
        <w:rPr>
          <w:rFonts w:hint="eastAsia" w:ascii="宋体" w:hAnsi="宋体" w:eastAsia="宋体" w:cs="宋体"/>
          <w:b/>
          <w:color w:val="000000" w:themeColor="text1"/>
          <w:sz w:val="52"/>
          <w:lang w:val="en-US" w:eastAsia="zh-CN"/>
          <w14:textFill>
            <w14:solidFill>
              <w14:schemeClr w14:val="tx1"/>
            </w14:solidFill>
          </w14:textFill>
        </w:rPr>
        <w:t>防 城 港 市 政 府 采 购 中 心</w:t>
      </w:r>
    </w:p>
    <w:p w14:paraId="34609D16">
      <w:pPr>
        <w:jc w:val="center"/>
        <w:rPr>
          <w:rFonts w:hint="eastAsia" w:ascii="宋体" w:hAnsi="宋体" w:eastAsia="宋体" w:cs="宋体"/>
          <w:b/>
          <w:color w:val="000000" w:themeColor="text1"/>
          <w:sz w:val="52"/>
          <w:lang w:val="en-US" w:eastAsia="zh-CN"/>
          <w14:textFill>
            <w14:solidFill>
              <w14:schemeClr w14:val="tx1"/>
            </w14:solidFill>
          </w14:textFill>
        </w:rPr>
      </w:pPr>
    </w:p>
    <w:p w14:paraId="749C2A6F">
      <w:pPr>
        <w:pStyle w:val="13"/>
        <w:rPr>
          <w:rFonts w:ascii="宋体" w:hAnsi="宋体" w:cs="宋体"/>
          <w:b/>
          <w:bCs/>
          <w:color w:val="000000" w:themeColor="text1"/>
          <w:sz w:val="52"/>
          <w:szCs w:val="52"/>
          <w14:textFill>
            <w14:solidFill>
              <w14:schemeClr w14:val="tx1"/>
            </w14:solidFill>
          </w14:textFill>
        </w:rPr>
      </w:pPr>
    </w:p>
    <w:p w14:paraId="749051A3">
      <w:pPr>
        <w:pStyle w:val="13"/>
        <w:rPr>
          <w:rFonts w:ascii="宋体" w:hAnsi="宋体" w:cs="宋体"/>
          <w:b/>
          <w:bCs/>
          <w:color w:val="000000" w:themeColor="text1"/>
          <w:sz w:val="52"/>
          <w:szCs w:val="52"/>
          <w14:textFill>
            <w14:solidFill>
              <w14:schemeClr w14:val="tx1"/>
            </w14:solidFill>
          </w14:textFill>
        </w:rPr>
      </w:pPr>
    </w:p>
    <w:p w14:paraId="5B91C459">
      <w:pPr>
        <w:spacing w:beforeLines="100" w:afterLines="50"/>
        <w:jc w:val="center"/>
        <w:rPr>
          <w:rFonts w:hint="eastAsia" w:ascii="宋体" w:hAnsi="宋体" w:cs="宋体"/>
          <w:b/>
          <w:color w:val="000000" w:themeColor="text1"/>
          <w:spacing w:val="93"/>
          <w:sz w:val="72"/>
          <w:szCs w:val="72"/>
          <w14:textFill>
            <w14:solidFill>
              <w14:schemeClr w14:val="tx1"/>
            </w14:solidFill>
          </w14:textFill>
        </w:rPr>
      </w:pPr>
      <w:r>
        <w:rPr>
          <w:rFonts w:hint="eastAsia" w:ascii="宋体" w:hAnsi="宋体" w:cs="宋体"/>
          <w:b/>
          <w:color w:val="000000" w:themeColor="text1"/>
          <w:spacing w:val="93"/>
          <w:sz w:val="72"/>
          <w:szCs w:val="72"/>
          <w14:textFill>
            <w14:solidFill>
              <w14:schemeClr w14:val="tx1"/>
            </w14:solidFill>
          </w14:textFill>
        </w:rPr>
        <w:t>公开招标文件</w:t>
      </w:r>
    </w:p>
    <w:p w14:paraId="4282BFDC">
      <w:pPr>
        <w:spacing w:beforeLines="100" w:afterLines="50"/>
        <w:jc w:val="center"/>
        <w:rPr>
          <w:rFonts w:ascii="宋体" w:hAnsi="宋体" w:cs="宋体"/>
          <w:sz w:val="40"/>
          <w:szCs w:val="40"/>
        </w:rPr>
      </w:pPr>
      <w:r>
        <w:rPr>
          <w:rFonts w:hint="eastAsia" w:ascii="宋体" w:hAnsi="宋体" w:cs="宋体"/>
          <w:sz w:val="40"/>
          <w:szCs w:val="40"/>
        </w:rPr>
        <w:t>（全流程电子化采购）</w:t>
      </w:r>
    </w:p>
    <w:p w14:paraId="4A6EC553">
      <w:pPr>
        <w:jc w:val="center"/>
        <w:rPr>
          <w:rFonts w:ascii="宋体" w:hAnsi="宋体" w:cs="宋体"/>
          <w:b/>
          <w:bCs/>
          <w:color w:val="000000" w:themeColor="text1"/>
          <w:sz w:val="52"/>
          <w:szCs w:val="52"/>
          <w14:textFill>
            <w14:solidFill>
              <w14:schemeClr w14:val="tx1"/>
            </w14:solidFill>
          </w14:textFill>
        </w:rPr>
      </w:pPr>
    </w:p>
    <w:p w14:paraId="652F9805">
      <w:pPr>
        <w:jc w:val="center"/>
        <w:rPr>
          <w:rFonts w:ascii="宋体" w:hAnsi="宋体" w:cs="宋体"/>
          <w:b/>
          <w:bCs/>
          <w:color w:val="000000" w:themeColor="text1"/>
          <w:sz w:val="52"/>
          <w:szCs w:val="52"/>
          <w14:textFill>
            <w14:solidFill>
              <w14:schemeClr w14:val="tx1"/>
            </w14:solidFill>
          </w14:textFill>
        </w:rPr>
      </w:pPr>
    </w:p>
    <w:p w14:paraId="5F8E52B2">
      <w:pPr>
        <w:jc w:val="center"/>
        <w:rPr>
          <w:rFonts w:ascii="宋体" w:hAnsi="宋体" w:cs="宋体"/>
          <w:b/>
          <w:bCs/>
          <w:color w:val="000000" w:themeColor="text1"/>
          <w:sz w:val="52"/>
          <w:szCs w:val="52"/>
          <w14:textFill>
            <w14:solidFill>
              <w14:schemeClr w14:val="tx1"/>
            </w14:solidFill>
          </w14:textFill>
        </w:rPr>
      </w:pPr>
    </w:p>
    <w:p w14:paraId="670B6C3D">
      <w:pPr>
        <w:pStyle w:val="12"/>
        <w:adjustRightInd w:val="0"/>
        <w:snapToGrid w:val="0"/>
        <w:spacing w:line="360" w:lineRule="auto"/>
        <w:jc w:val="left"/>
        <w:rPr>
          <w:rFonts w:hint="default" w:ascii="宋体" w:hAnsi="宋体" w:eastAsia="宋体" w:cs="宋体"/>
          <w:b/>
          <w:bCs/>
          <w:color w:val="000000" w:themeColor="text1"/>
          <w:sz w:val="32"/>
          <w:szCs w:val="32"/>
          <w:u w:val="single"/>
          <w:lang w:val="en-US" w:eastAsia="zh-CN"/>
          <w14:textFill>
            <w14:solidFill>
              <w14:schemeClr w14:val="tx1"/>
            </w14:solidFill>
          </w14:textFill>
        </w:rPr>
      </w:pPr>
      <w:r>
        <w:rPr>
          <w:rFonts w:hint="eastAsia" w:hAnsi="宋体" w:eastAsia="宋体" w:cs="宋体"/>
          <w:b/>
          <w:sz w:val="32"/>
          <w:szCs w:val="32"/>
        </w:rPr>
        <w:t>项目名称：防城港市</w:t>
      </w:r>
      <w:r>
        <w:rPr>
          <w:rFonts w:hint="eastAsia" w:hAnsi="宋体" w:eastAsia="宋体" w:cs="宋体"/>
          <w:b/>
          <w:sz w:val="32"/>
          <w:szCs w:val="32"/>
          <w:lang w:val="en-US" w:eastAsia="zh-CN"/>
        </w:rPr>
        <w:t>电子政务外网市本级城域网运维服务</w:t>
      </w:r>
    </w:p>
    <w:p w14:paraId="5E1224DE">
      <w:pPr>
        <w:pStyle w:val="12"/>
        <w:adjustRightInd w:val="0"/>
        <w:snapToGrid w:val="0"/>
        <w:spacing w:line="360" w:lineRule="auto"/>
        <w:jc w:val="left"/>
        <w:rPr>
          <w:rFonts w:hint="default" w:hAnsi="宋体" w:eastAsia="宋体" w:cs="宋体"/>
          <w:b/>
          <w:sz w:val="32"/>
          <w:szCs w:val="32"/>
          <w:lang w:val="en-US" w:eastAsia="zh-CN"/>
        </w:rPr>
      </w:pPr>
      <w:r>
        <w:rPr>
          <w:rFonts w:hint="eastAsia" w:hAnsi="宋体" w:eastAsia="宋体" w:cs="宋体"/>
          <w:b/>
          <w:sz w:val="32"/>
          <w:szCs w:val="32"/>
        </w:rPr>
        <w:t>项目编号：FCZC2026-G3-990013-FCGS</w:t>
      </w:r>
    </w:p>
    <w:p w14:paraId="11049797">
      <w:pPr>
        <w:jc w:val="both"/>
        <w:rPr>
          <w:rFonts w:ascii="宋体" w:hAnsi="宋体" w:cs="宋体"/>
          <w:color w:val="000000" w:themeColor="text1"/>
          <w:sz w:val="32"/>
          <w:szCs w:val="32"/>
          <w14:textFill>
            <w14:solidFill>
              <w14:schemeClr w14:val="tx1"/>
            </w14:solidFill>
          </w14:textFill>
        </w:rPr>
      </w:pPr>
    </w:p>
    <w:p w14:paraId="7FB148F7">
      <w:pPr>
        <w:rPr>
          <w:rFonts w:ascii="宋体" w:hAnsi="宋体" w:cs="宋体"/>
          <w:color w:val="000000" w:themeColor="text1"/>
          <w:sz w:val="32"/>
          <w:szCs w:val="32"/>
          <w14:textFill>
            <w14:solidFill>
              <w14:schemeClr w14:val="tx1"/>
            </w14:solidFill>
          </w14:textFill>
        </w:rPr>
      </w:pPr>
    </w:p>
    <w:p w14:paraId="758D61C2">
      <w:pPr>
        <w:pStyle w:val="13"/>
        <w:rPr>
          <w:rFonts w:hint="eastAsia" w:ascii="宋体" w:hAnsi="宋体" w:cs="宋体" w:eastAsiaTheme="minorEastAsia"/>
          <w:b/>
          <w:bCs/>
          <w:color w:val="000000" w:themeColor="text1"/>
          <w:kern w:val="2"/>
          <w:sz w:val="32"/>
          <w:szCs w:val="32"/>
          <w:u w:val="none"/>
          <w:lang w:val="en-US" w:eastAsia="zh-CN" w:bidi="ar-SA"/>
          <w14:textFill>
            <w14:solidFill>
              <w14:schemeClr w14:val="tx1"/>
            </w14:solidFill>
          </w14:textFill>
        </w:rPr>
      </w:pPr>
    </w:p>
    <w:p w14:paraId="27B665F1">
      <w:pPr>
        <w:pStyle w:val="12"/>
        <w:adjustRightInd w:val="0"/>
        <w:snapToGrid w:val="0"/>
        <w:spacing w:line="360" w:lineRule="auto"/>
        <w:jc w:val="left"/>
        <w:rPr>
          <w:rFonts w:hint="eastAsia" w:hAnsi="宋体" w:eastAsia="宋体" w:cs="宋体"/>
          <w:b/>
          <w:sz w:val="32"/>
          <w:szCs w:val="32"/>
          <w:lang w:val="en-US" w:eastAsia="zh-CN"/>
        </w:rPr>
      </w:pPr>
      <w:r>
        <w:rPr>
          <w:rFonts w:hint="eastAsia" w:hAnsi="宋体" w:eastAsia="宋体" w:cs="宋体"/>
          <w:b/>
          <w:sz w:val="32"/>
          <w:szCs w:val="32"/>
          <w:lang w:val="en-US" w:eastAsia="zh-CN"/>
        </w:rPr>
        <w:t>采购单位：防城港市大数据和行政审批局</w:t>
      </w:r>
    </w:p>
    <w:p w14:paraId="0A84CE46">
      <w:pPr>
        <w:pStyle w:val="12"/>
        <w:adjustRightInd w:val="0"/>
        <w:snapToGrid w:val="0"/>
        <w:spacing w:line="360" w:lineRule="auto"/>
        <w:jc w:val="left"/>
        <w:rPr>
          <w:rFonts w:hint="eastAsia" w:hAnsi="宋体" w:eastAsia="宋体" w:cs="宋体"/>
          <w:b/>
          <w:sz w:val="32"/>
          <w:szCs w:val="32"/>
          <w:lang w:val="en-US" w:eastAsia="zh-CN"/>
        </w:rPr>
      </w:pPr>
      <w:r>
        <w:rPr>
          <w:rFonts w:hint="eastAsia" w:hAnsi="宋体" w:eastAsia="宋体" w:cs="宋体"/>
          <w:b/>
          <w:sz w:val="32"/>
          <w:szCs w:val="32"/>
          <w:lang w:val="en-US" w:eastAsia="zh-CN"/>
        </w:rPr>
        <w:t>采购代理机构：防城港市政府采购中心</w:t>
      </w:r>
    </w:p>
    <w:p w14:paraId="49A318B6">
      <w:pPr>
        <w:rPr>
          <w:rFonts w:hint="eastAsia"/>
          <w:lang w:val="en-US" w:eastAsia="zh-CN"/>
        </w:rPr>
      </w:pPr>
    </w:p>
    <w:p w14:paraId="540A241A">
      <w:pPr>
        <w:pStyle w:val="13"/>
        <w:rPr>
          <w:rFonts w:hint="eastAsia"/>
          <w:color w:val="auto"/>
          <w:lang w:val="en-US" w:eastAsia="zh-CN"/>
        </w:rPr>
      </w:pPr>
    </w:p>
    <w:p w14:paraId="277DF225">
      <w:pPr>
        <w:pStyle w:val="13"/>
        <w:rPr>
          <w:rFonts w:hint="eastAsia"/>
          <w:color w:val="auto"/>
          <w:lang w:val="en-US" w:eastAsia="zh-CN"/>
        </w:rPr>
      </w:pPr>
    </w:p>
    <w:p w14:paraId="4E062616">
      <w:pPr>
        <w:pStyle w:val="13"/>
        <w:rPr>
          <w:rFonts w:hint="eastAsia"/>
          <w:color w:val="auto"/>
          <w:lang w:val="en-US" w:eastAsia="zh-CN"/>
        </w:rPr>
      </w:pPr>
    </w:p>
    <w:p w14:paraId="6B7FE94A">
      <w:pPr>
        <w:pStyle w:val="13"/>
        <w:rPr>
          <w:rFonts w:hint="eastAsia"/>
          <w:color w:val="auto"/>
          <w:lang w:val="en-US" w:eastAsia="zh-CN"/>
        </w:rPr>
      </w:pPr>
    </w:p>
    <w:p w14:paraId="6E27AA5E">
      <w:pPr>
        <w:pStyle w:val="13"/>
        <w:rPr>
          <w:rFonts w:hint="eastAsia"/>
          <w:color w:val="auto"/>
          <w:lang w:val="en-US" w:eastAsia="zh-CN"/>
        </w:rPr>
      </w:pPr>
    </w:p>
    <w:p w14:paraId="4C5F1695">
      <w:pPr>
        <w:pStyle w:val="13"/>
        <w:jc w:val="center"/>
        <w:rPr>
          <w:rFonts w:hint="eastAsia" w:ascii="宋体" w:hAnsi="宋体" w:cs="宋体" w:eastAsiaTheme="minorEastAsia"/>
          <w:b/>
          <w:bCs/>
          <w:color w:val="auto"/>
          <w:kern w:val="2"/>
          <w:sz w:val="32"/>
          <w:szCs w:val="32"/>
          <w:lang w:val="en-US" w:eastAsia="zh-CN" w:bidi="ar-SA"/>
        </w:rPr>
      </w:pPr>
      <w:r>
        <w:rPr>
          <w:rFonts w:hint="eastAsia" w:ascii="宋体" w:hAnsi="宋体" w:cs="宋体" w:eastAsiaTheme="minorEastAsia"/>
          <w:b/>
          <w:bCs/>
          <w:color w:val="auto"/>
          <w:kern w:val="2"/>
          <w:sz w:val="32"/>
          <w:szCs w:val="32"/>
          <w:lang w:val="en-US" w:eastAsia="zh-CN" w:bidi="ar-SA"/>
        </w:rPr>
        <w:t>202</w:t>
      </w:r>
      <w:r>
        <w:rPr>
          <w:rFonts w:hint="eastAsia" w:ascii="宋体" w:hAnsi="宋体" w:cs="宋体"/>
          <w:b/>
          <w:bCs/>
          <w:color w:val="auto"/>
          <w:kern w:val="2"/>
          <w:sz w:val="32"/>
          <w:szCs w:val="32"/>
          <w:lang w:val="en-US" w:eastAsia="zh-CN" w:bidi="ar-SA"/>
        </w:rPr>
        <w:t>6</w:t>
      </w:r>
      <w:r>
        <w:rPr>
          <w:rFonts w:hint="eastAsia" w:ascii="宋体" w:hAnsi="宋体" w:cs="宋体" w:eastAsiaTheme="minorEastAsia"/>
          <w:b/>
          <w:bCs/>
          <w:color w:val="auto"/>
          <w:kern w:val="2"/>
          <w:sz w:val="32"/>
          <w:szCs w:val="32"/>
          <w:lang w:val="en-US" w:eastAsia="zh-CN" w:bidi="ar-SA"/>
        </w:rPr>
        <w:t>年</w:t>
      </w:r>
      <w:r>
        <w:rPr>
          <w:rFonts w:hint="eastAsia" w:ascii="宋体" w:hAnsi="宋体" w:cs="宋体"/>
          <w:b/>
          <w:bCs/>
          <w:color w:val="auto"/>
          <w:kern w:val="2"/>
          <w:sz w:val="32"/>
          <w:szCs w:val="32"/>
          <w:lang w:val="en-US" w:eastAsia="zh-CN" w:bidi="ar-SA"/>
        </w:rPr>
        <w:t xml:space="preserve"> </w:t>
      </w:r>
      <w:r>
        <w:rPr>
          <w:rFonts w:hint="eastAsia" w:ascii="宋体" w:hAnsi="宋体" w:cs="宋体" w:eastAsiaTheme="minorEastAsia"/>
          <w:b/>
          <w:bCs/>
          <w:color w:val="auto"/>
          <w:kern w:val="2"/>
          <w:sz w:val="32"/>
          <w:szCs w:val="32"/>
          <w:lang w:val="en-US" w:eastAsia="zh-CN" w:bidi="ar-SA"/>
        </w:rPr>
        <w:t>月</w:t>
      </w:r>
      <w:r>
        <w:rPr>
          <w:rFonts w:hint="eastAsia" w:ascii="宋体" w:hAnsi="宋体" w:cs="宋体"/>
          <w:b/>
          <w:bCs/>
          <w:color w:val="auto"/>
          <w:kern w:val="2"/>
          <w:sz w:val="32"/>
          <w:szCs w:val="32"/>
          <w:lang w:val="en-US" w:eastAsia="zh-CN" w:bidi="ar-SA"/>
        </w:rPr>
        <w:t xml:space="preserve">  </w:t>
      </w:r>
      <w:r>
        <w:rPr>
          <w:rFonts w:hint="eastAsia" w:ascii="宋体" w:hAnsi="宋体" w:cs="宋体" w:eastAsiaTheme="minorEastAsia"/>
          <w:b/>
          <w:bCs/>
          <w:color w:val="auto"/>
          <w:kern w:val="2"/>
          <w:sz w:val="32"/>
          <w:szCs w:val="32"/>
          <w:lang w:val="en-US" w:eastAsia="zh-CN" w:bidi="ar-SA"/>
        </w:rPr>
        <w:t>日</w:t>
      </w:r>
    </w:p>
    <w:p w14:paraId="593B6869">
      <w:pPr>
        <w:rPr>
          <w:rFonts w:hint="eastAsia"/>
          <w:lang w:val="en-US" w:eastAsia="zh-CN"/>
        </w:rPr>
        <w:sectPr>
          <w:headerReference r:id="rId3" w:type="default"/>
          <w:pgSz w:w="11910" w:h="16840"/>
          <w:pgMar w:top="1440" w:right="1080" w:bottom="1440" w:left="1080" w:header="698" w:footer="912" w:gutter="0"/>
          <w:pgNumType w:fmt="decimal" w:start="1"/>
          <w:cols w:space="720" w:num="1"/>
        </w:sectPr>
      </w:pPr>
    </w:p>
    <w:sdt>
      <w:sdtPr>
        <w:rPr>
          <w:rFonts w:ascii="宋体" w:hAnsi="宋体" w:eastAsia="宋体" w:cstheme="minorBidi"/>
          <w:b/>
          <w:bCs/>
          <w:kern w:val="2"/>
          <w:sz w:val="44"/>
          <w:szCs w:val="44"/>
          <w:lang w:val="en-US" w:eastAsia="zh-CN" w:bidi="ar-SA"/>
        </w:rPr>
        <w:id w:val="147472812"/>
        <w15:color w:val="DBDBDB"/>
        <w:docPartObj>
          <w:docPartGallery w:val="Table of Contents"/>
          <w:docPartUnique/>
        </w:docPartObj>
      </w:sdtPr>
      <w:sdtEndPr>
        <w:rPr>
          <w:rFonts w:asciiTheme="minorHAnsi" w:hAnsiTheme="minorHAnsi" w:eastAsiaTheme="minorEastAsia" w:cstheme="minorBidi"/>
          <w:b/>
          <w:bCs/>
          <w:kern w:val="2"/>
          <w:sz w:val="21"/>
          <w:szCs w:val="24"/>
          <w:lang w:val="en-US" w:eastAsia="zh-CN" w:bidi="ar-SA"/>
        </w:rPr>
      </w:sdtEndPr>
      <w:sdtContent>
        <w:p w14:paraId="118A2AAF">
          <w:pPr>
            <w:spacing w:before="0" w:beforeLines="0" w:after="0" w:afterLines="0" w:line="240" w:lineRule="auto"/>
            <w:ind w:left="0" w:leftChars="0" w:right="0" w:rightChars="0" w:firstLine="0" w:firstLineChars="0"/>
            <w:jc w:val="center"/>
            <w:rPr>
              <w:rFonts w:ascii="宋体" w:hAnsi="宋体" w:eastAsia="宋体" w:cstheme="minorBidi"/>
              <w:b/>
              <w:bCs/>
              <w:kern w:val="2"/>
              <w:sz w:val="44"/>
              <w:szCs w:val="44"/>
              <w:lang w:val="en-US" w:eastAsia="zh-CN" w:bidi="ar-SA"/>
            </w:rPr>
          </w:pPr>
          <w:r>
            <w:rPr>
              <w:rFonts w:ascii="宋体" w:hAnsi="宋体" w:eastAsia="宋体" w:cstheme="minorBidi"/>
              <w:b/>
              <w:bCs/>
              <w:kern w:val="2"/>
              <w:sz w:val="44"/>
              <w:szCs w:val="44"/>
              <w:lang w:val="en-US" w:eastAsia="zh-CN" w:bidi="ar-SA"/>
            </w:rPr>
            <w:t>目录</w:t>
          </w:r>
        </w:p>
        <w:p w14:paraId="44C70698">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fldChar w:fldCharType="begin"/>
          </w:r>
          <w:r>
            <w:instrText xml:space="preserve">TOC \o "1-1" \h \u </w:instrText>
          </w:r>
          <w:r>
            <w:fldChar w:fldCharType="separate"/>
          </w:r>
          <w:r>
            <w:rPr>
              <w:sz w:val="24"/>
              <w:szCs w:val="24"/>
            </w:rPr>
            <w:fldChar w:fldCharType="begin"/>
          </w:r>
          <w:r>
            <w:rPr>
              <w:sz w:val="24"/>
              <w:szCs w:val="24"/>
            </w:rPr>
            <w:instrText xml:space="preserve"> HYPERLINK \l _Toc9587 </w:instrText>
          </w:r>
          <w:r>
            <w:rPr>
              <w:sz w:val="24"/>
              <w:szCs w:val="24"/>
            </w:rPr>
            <w:fldChar w:fldCharType="separate"/>
          </w:r>
          <w:r>
            <w:rPr>
              <w:rFonts w:hint="eastAsia" w:ascii="宋体" w:hAnsi="宋体" w:eastAsia="宋体" w:cs="宋体"/>
              <w:bCs w:val="0"/>
              <w:kern w:val="2"/>
              <w:sz w:val="24"/>
              <w:szCs w:val="24"/>
              <w:lang w:val="en-US" w:eastAsia="zh-CN" w:bidi="ar-SA"/>
            </w:rPr>
            <w:t>第一章 公开招标公告</w:t>
          </w:r>
          <w:r>
            <w:rPr>
              <w:sz w:val="24"/>
              <w:szCs w:val="24"/>
            </w:rPr>
            <w:tab/>
          </w:r>
          <w:r>
            <w:rPr>
              <w:sz w:val="24"/>
              <w:szCs w:val="24"/>
            </w:rPr>
            <w:fldChar w:fldCharType="begin"/>
          </w:r>
          <w:r>
            <w:rPr>
              <w:sz w:val="24"/>
              <w:szCs w:val="24"/>
            </w:rPr>
            <w:instrText xml:space="preserve"> PAGEREF _Toc9587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7FBE6785">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_Toc8668 </w:instrText>
          </w:r>
          <w:r>
            <w:rPr>
              <w:sz w:val="24"/>
              <w:szCs w:val="24"/>
            </w:rPr>
            <w:fldChar w:fldCharType="separate"/>
          </w:r>
          <w:r>
            <w:rPr>
              <w:rFonts w:hint="eastAsia" w:ascii="宋体" w:hAnsi="宋体" w:eastAsia="宋体" w:cs="宋体"/>
              <w:bCs/>
              <w:kern w:val="44"/>
              <w:sz w:val="24"/>
              <w:szCs w:val="24"/>
              <w:lang w:val="en-US" w:eastAsia="zh-CN" w:bidi="ar-SA"/>
            </w:rPr>
            <w:t xml:space="preserve">第二章 </w:t>
          </w:r>
          <w:r>
            <w:rPr>
              <w:rFonts w:hint="eastAsia" w:ascii="宋体" w:hAnsi="宋体" w:eastAsia="宋体" w:cs="宋体"/>
              <w:sz w:val="24"/>
              <w:szCs w:val="24"/>
              <w:highlight w:val="none"/>
            </w:rPr>
            <w:t>采购需求</w:t>
          </w:r>
          <w:r>
            <w:rPr>
              <w:sz w:val="24"/>
              <w:szCs w:val="24"/>
            </w:rPr>
            <w:tab/>
          </w:r>
          <w:r>
            <w:rPr>
              <w:sz w:val="24"/>
              <w:szCs w:val="24"/>
            </w:rPr>
            <w:fldChar w:fldCharType="begin"/>
          </w:r>
          <w:r>
            <w:rPr>
              <w:sz w:val="24"/>
              <w:szCs w:val="24"/>
            </w:rPr>
            <w:instrText xml:space="preserve"> PAGEREF _Toc8668 \h </w:instrText>
          </w:r>
          <w:r>
            <w:rPr>
              <w:sz w:val="24"/>
              <w:szCs w:val="24"/>
            </w:rPr>
            <w:fldChar w:fldCharType="separate"/>
          </w:r>
          <w:r>
            <w:rPr>
              <w:sz w:val="24"/>
              <w:szCs w:val="24"/>
            </w:rPr>
            <w:t>5</w:t>
          </w:r>
          <w:r>
            <w:rPr>
              <w:sz w:val="24"/>
              <w:szCs w:val="24"/>
            </w:rPr>
            <w:fldChar w:fldCharType="end"/>
          </w:r>
          <w:r>
            <w:rPr>
              <w:sz w:val="24"/>
              <w:szCs w:val="24"/>
            </w:rPr>
            <w:fldChar w:fldCharType="end"/>
          </w:r>
        </w:p>
        <w:p w14:paraId="04E2F251">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_Toc11765 </w:instrText>
          </w:r>
          <w:r>
            <w:rPr>
              <w:sz w:val="24"/>
              <w:szCs w:val="24"/>
            </w:rPr>
            <w:fldChar w:fldCharType="separate"/>
          </w:r>
          <w:r>
            <w:rPr>
              <w:rFonts w:hint="eastAsia" w:ascii="宋体" w:hAnsi="宋体" w:eastAsia="宋体" w:cs="宋体"/>
              <w:bCs/>
              <w:kern w:val="44"/>
              <w:sz w:val="24"/>
              <w:szCs w:val="24"/>
              <w:lang w:val="en-US" w:eastAsia="zh-CN" w:bidi="ar-SA"/>
            </w:rPr>
            <w:t>第三章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投标人须知</w:t>
          </w:r>
          <w:r>
            <w:rPr>
              <w:sz w:val="24"/>
              <w:szCs w:val="24"/>
            </w:rPr>
            <w:tab/>
          </w:r>
          <w:r>
            <w:rPr>
              <w:sz w:val="24"/>
              <w:szCs w:val="24"/>
            </w:rPr>
            <w:fldChar w:fldCharType="begin"/>
          </w:r>
          <w:r>
            <w:rPr>
              <w:sz w:val="24"/>
              <w:szCs w:val="24"/>
            </w:rPr>
            <w:instrText xml:space="preserve"> PAGEREF _Toc11765 \h </w:instrText>
          </w:r>
          <w:r>
            <w:rPr>
              <w:sz w:val="24"/>
              <w:szCs w:val="24"/>
            </w:rPr>
            <w:fldChar w:fldCharType="separate"/>
          </w:r>
          <w:r>
            <w:rPr>
              <w:sz w:val="24"/>
              <w:szCs w:val="24"/>
            </w:rPr>
            <w:t>16</w:t>
          </w:r>
          <w:r>
            <w:rPr>
              <w:sz w:val="24"/>
              <w:szCs w:val="24"/>
            </w:rPr>
            <w:fldChar w:fldCharType="end"/>
          </w:r>
          <w:r>
            <w:rPr>
              <w:sz w:val="24"/>
              <w:szCs w:val="24"/>
            </w:rPr>
            <w:fldChar w:fldCharType="end"/>
          </w:r>
        </w:p>
        <w:p w14:paraId="755320F1">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_Toc17248 </w:instrText>
          </w:r>
          <w:r>
            <w:rPr>
              <w:sz w:val="24"/>
              <w:szCs w:val="24"/>
            </w:rPr>
            <w:fldChar w:fldCharType="separate"/>
          </w:r>
          <w:r>
            <w:rPr>
              <w:rFonts w:hint="eastAsia" w:ascii="宋体" w:hAnsi="宋体" w:eastAsia="宋体" w:cs="宋体"/>
              <w:bCs/>
              <w:kern w:val="44"/>
              <w:sz w:val="24"/>
              <w:szCs w:val="24"/>
              <w:lang w:val="en-US" w:eastAsia="zh-CN" w:bidi="ar-SA"/>
            </w:rPr>
            <w:t xml:space="preserve">第四章 </w:t>
          </w:r>
          <w:r>
            <w:rPr>
              <w:rFonts w:hint="eastAsia" w:ascii="宋体" w:hAnsi="宋体" w:eastAsia="宋体" w:cs="宋体"/>
              <w:sz w:val="24"/>
              <w:szCs w:val="24"/>
              <w:highlight w:val="none"/>
              <w:lang w:val="en-US" w:eastAsia="zh-CN"/>
            </w:rPr>
            <w:t>评标方法及评标标准</w:t>
          </w:r>
          <w:r>
            <w:rPr>
              <w:sz w:val="24"/>
              <w:szCs w:val="24"/>
            </w:rPr>
            <w:tab/>
          </w:r>
          <w:r>
            <w:rPr>
              <w:sz w:val="24"/>
              <w:szCs w:val="24"/>
            </w:rPr>
            <w:fldChar w:fldCharType="begin"/>
          </w:r>
          <w:r>
            <w:rPr>
              <w:sz w:val="24"/>
              <w:szCs w:val="24"/>
            </w:rPr>
            <w:instrText xml:space="preserve"> PAGEREF _Toc17248 \h </w:instrText>
          </w:r>
          <w:r>
            <w:rPr>
              <w:sz w:val="24"/>
              <w:szCs w:val="24"/>
            </w:rPr>
            <w:fldChar w:fldCharType="separate"/>
          </w:r>
          <w:r>
            <w:rPr>
              <w:sz w:val="24"/>
              <w:szCs w:val="24"/>
            </w:rPr>
            <w:t>37</w:t>
          </w:r>
          <w:r>
            <w:rPr>
              <w:sz w:val="24"/>
              <w:szCs w:val="24"/>
            </w:rPr>
            <w:fldChar w:fldCharType="end"/>
          </w:r>
          <w:r>
            <w:rPr>
              <w:sz w:val="24"/>
              <w:szCs w:val="24"/>
            </w:rPr>
            <w:fldChar w:fldCharType="end"/>
          </w:r>
        </w:p>
        <w:p w14:paraId="22DFEB8F">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_Toc23791 </w:instrText>
          </w:r>
          <w:r>
            <w:rPr>
              <w:sz w:val="24"/>
              <w:szCs w:val="24"/>
            </w:rPr>
            <w:fldChar w:fldCharType="separate"/>
          </w:r>
          <w:r>
            <w:rPr>
              <w:rFonts w:hint="eastAsia" w:ascii="宋体" w:hAnsi="宋体" w:eastAsia="宋体" w:cs="宋体"/>
              <w:bCs/>
              <w:kern w:val="44"/>
              <w:sz w:val="24"/>
              <w:szCs w:val="24"/>
              <w:lang w:val="en-US" w:eastAsia="zh-CN" w:bidi="ar-SA"/>
            </w:rPr>
            <w:t xml:space="preserve">第五章 </w:t>
          </w:r>
          <w:r>
            <w:rPr>
              <w:rFonts w:hint="eastAsia" w:ascii="宋体" w:hAnsi="宋体" w:eastAsia="宋体" w:cs="宋体"/>
              <w:sz w:val="24"/>
              <w:szCs w:val="24"/>
              <w:highlight w:val="none"/>
              <w:lang w:val="en-US" w:eastAsia="zh-CN"/>
            </w:rPr>
            <w:t>拟签订的合同文本</w:t>
          </w:r>
          <w:r>
            <w:rPr>
              <w:sz w:val="24"/>
              <w:szCs w:val="24"/>
            </w:rPr>
            <w:tab/>
          </w:r>
          <w:r>
            <w:rPr>
              <w:sz w:val="24"/>
              <w:szCs w:val="24"/>
            </w:rPr>
            <w:fldChar w:fldCharType="begin"/>
          </w:r>
          <w:r>
            <w:rPr>
              <w:sz w:val="24"/>
              <w:szCs w:val="24"/>
            </w:rPr>
            <w:instrText xml:space="preserve"> PAGEREF _Toc23791 \h </w:instrText>
          </w:r>
          <w:r>
            <w:rPr>
              <w:sz w:val="24"/>
              <w:szCs w:val="24"/>
            </w:rPr>
            <w:fldChar w:fldCharType="separate"/>
          </w:r>
          <w:r>
            <w:rPr>
              <w:sz w:val="24"/>
              <w:szCs w:val="24"/>
            </w:rPr>
            <w:t>45</w:t>
          </w:r>
          <w:r>
            <w:rPr>
              <w:sz w:val="24"/>
              <w:szCs w:val="24"/>
            </w:rPr>
            <w:fldChar w:fldCharType="end"/>
          </w:r>
          <w:r>
            <w:rPr>
              <w:sz w:val="24"/>
              <w:szCs w:val="24"/>
            </w:rPr>
            <w:fldChar w:fldCharType="end"/>
          </w:r>
        </w:p>
        <w:p w14:paraId="7E6F4819">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pPr>
          <w:r>
            <w:rPr>
              <w:sz w:val="24"/>
              <w:szCs w:val="24"/>
            </w:rPr>
            <w:fldChar w:fldCharType="begin"/>
          </w:r>
          <w:r>
            <w:rPr>
              <w:sz w:val="24"/>
              <w:szCs w:val="24"/>
            </w:rPr>
            <w:instrText xml:space="preserve"> HYPERLINK \l _Toc8202 </w:instrText>
          </w:r>
          <w:r>
            <w:rPr>
              <w:sz w:val="24"/>
              <w:szCs w:val="24"/>
            </w:rPr>
            <w:fldChar w:fldCharType="separate"/>
          </w:r>
          <w:r>
            <w:rPr>
              <w:rFonts w:hint="eastAsia" w:ascii="宋体" w:hAnsi="宋体" w:eastAsia="宋体" w:cs="宋体"/>
              <w:bCs/>
              <w:kern w:val="44"/>
              <w:sz w:val="24"/>
              <w:szCs w:val="24"/>
              <w:lang w:val="en-US" w:eastAsia="zh-CN" w:bidi="ar-SA"/>
            </w:rPr>
            <w:t xml:space="preserve">第六章 </w:t>
          </w:r>
          <w:r>
            <w:rPr>
              <w:rFonts w:hint="eastAsia" w:ascii="宋体" w:hAnsi="宋体" w:eastAsia="宋体" w:cs="宋体"/>
              <w:sz w:val="24"/>
              <w:szCs w:val="24"/>
              <w:highlight w:val="none"/>
              <w:lang w:val="en-US" w:eastAsia="zh-CN"/>
            </w:rPr>
            <w:t>投标文件格式</w:t>
          </w:r>
          <w:r>
            <w:rPr>
              <w:sz w:val="24"/>
              <w:szCs w:val="24"/>
            </w:rPr>
            <w:tab/>
          </w:r>
          <w:r>
            <w:rPr>
              <w:sz w:val="24"/>
              <w:szCs w:val="24"/>
            </w:rPr>
            <w:fldChar w:fldCharType="begin"/>
          </w:r>
          <w:r>
            <w:rPr>
              <w:sz w:val="24"/>
              <w:szCs w:val="24"/>
            </w:rPr>
            <w:instrText xml:space="preserve"> PAGEREF _Toc8202 \h </w:instrText>
          </w:r>
          <w:r>
            <w:rPr>
              <w:sz w:val="24"/>
              <w:szCs w:val="24"/>
            </w:rPr>
            <w:fldChar w:fldCharType="separate"/>
          </w:r>
          <w:r>
            <w:rPr>
              <w:sz w:val="24"/>
              <w:szCs w:val="24"/>
            </w:rPr>
            <w:t>49</w:t>
          </w:r>
          <w:r>
            <w:rPr>
              <w:sz w:val="24"/>
              <w:szCs w:val="24"/>
            </w:rPr>
            <w:fldChar w:fldCharType="end"/>
          </w:r>
          <w:r>
            <w:rPr>
              <w:sz w:val="24"/>
              <w:szCs w:val="24"/>
            </w:rPr>
            <w:fldChar w:fldCharType="end"/>
          </w:r>
        </w:p>
        <w:p w14:paraId="5CA56506">
          <w:pPr>
            <w:rPr>
              <w:rFonts w:asciiTheme="minorHAnsi" w:hAnsiTheme="minorHAnsi" w:eastAsiaTheme="minorEastAsia" w:cstheme="minorBidi"/>
              <w:kern w:val="2"/>
              <w:sz w:val="21"/>
              <w:szCs w:val="24"/>
              <w:lang w:val="en-US" w:eastAsia="zh-CN" w:bidi="ar-SA"/>
            </w:rPr>
            <w:sectPr>
              <w:footerReference r:id="rId4" w:type="default"/>
              <w:pgSz w:w="11906" w:h="16838"/>
              <w:pgMar w:top="1440" w:right="1080" w:bottom="1440" w:left="1080" w:header="851" w:footer="992" w:gutter="0"/>
              <w:pgNumType w:start="1"/>
              <w:cols w:space="425" w:num="1"/>
              <w:docGrid w:type="lines" w:linePitch="312" w:charSpace="0"/>
            </w:sectPr>
          </w:pPr>
          <w:r>
            <w:fldChar w:fldCharType="end"/>
          </w:r>
        </w:p>
      </w:sdtContent>
    </w:sdt>
    <w:p w14:paraId="67F7D842">
      <w:pPr>
        <w:pStyle w:val="3"/>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b/>
          <w:bCs w:val="0"/>
          <w:kern w:val="2"/>
          <w:sz w:val="44"/>
          <w:szCs w:val="44"/>
          <w:lang w:val="en-US" w:eastAsia="zh-CN" w:bidi="ar-SA"/>
        </w:rPr>
      </w:pPr>
      <w:bookmarkStart w:id="0" w:name="_Toc3799"/>
      <w:bookmarkStart w:id="1" w:name="_Toc9587"/>
      <w:bookmarkStart w:id="2" w:name="_Toc28939"/>
      <w:r>
        <w:rPr>
          <w:rFonts w:hint="eastAsia" w:ascii="宋体" w:hAnsi="宋体" w:eastAsia="宋体" w:cs="宋体"/>
          <w:b/>
          <w:bCs w:val="0"/>
          <w:kern w:val="2"/>
          <w:sz w:val="44"/>
          <w:szCs w:val="44"/>
          <w:lang w:val="en-US" w:eastAsia="zh-CN" w:bidi="ar-SA"/>
        </w:rPr>
        <w:t>第一章 公开招标公告</w:t>
      </w:r>
      <w:bookmarkEnd w:id="0"/>
      <w:bookmarkEnd w:id="1"/>
      <w:bookmarkEnd w:id="2"/>
    </w:p>
    <w:p w14:paraId="3B7487F9">
      <w:pPr>
        <w:keepNext w:val="0"/>
        <w:keepLines w:val="0"/>
        <w:pageBreakBefore w:val="0"/>
        <w:kinsoku/>
        <w:overflowPunct/>
        <w:topLinePunct w:val="0"/>
        <w:autoSpaceDE/>
        <w:autoSpaceDN/>
        <w:bidi w:val="0"/>
        <w:adjustRightInd/>
        <w:spacing w:line="240" w:lineRule="auto"/>
        <w:jc w:val="center"/>
        <w:textAlignment w:val="auto"/>
        <w:rPr>
          <w:rFonts w:hint="eastAsia" w:ascii="宋体" w:hAnsi="宋体" w:eastAsia="宋体" w:cs="宋体"/>
          <w:b/>
          <w:color w:val="EE822F" w:themeColor="accent2"/>
          <w:sz w:val="21"/>
          <w:szCs w:val="21"/>
          <w:highlight w:val="none"/>
          <w:lang w:val="en-US" w:eastAsia="zh-CN"/>
          <w14:textFill>
            <w14:solidFill>
              <w14:schemeClr w14:val="accent2"/>
            </w14:solidFill>
          </w14:textFill>
        </w:rPr>
      </w:pPr>
    </w:p>
    <w:p w14:paraId="2B598B36">
      <w:pPr>
        <w:keepNext w:val="0"/>
        <w:keepLines w:val="0"/>
        <w:pageBreakBefore w:val="0"/>
        <w:kinsoku/>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防城港市电子政务外网市本级城域网运维服务项目的公开招标公告</w:t>
      </w:r>
      <w:r>
        <w:rPr>
          <w:rFonts w:hint="eastAsia" w:ascii="宋体" w:hAnsi="宋体" w:cs="宋体"/>
          <w:b/>
          <w:color w:val="auto"/>
          <w:sz w:val="21"/>
          <w:szCs w:val="21"/>
          <w:highlight w:val="none"/>
          <w:lang w:val="en-US" w:eastAsia="zh-CN"/>
        </w:rPr>
        <w:t>（远程异地评标）</w:t>
      </w:r>
    </w:p>
    <w:p w14:paraId="716C4C1E">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5D718211">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防城港市电子政务外网市本级城域网运维服务项目</w:t>
      </w:r>
      <w:r>
        <w:rPr>
          <w:rFonts w:hint="eastAsia" w:ascii="宋体" w:hAnsi="宋体" w:eastAsia="宋体" w:cs="宋体"/>
          <w:color w:val="auto"/>
          <w:sz w:val="21"/>
          <w:szCs w:val="21"/>
          <w:highlight w:val="none"/>
        </w:rPr>
        <w:t>的潜在投标人应在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获取招标文件，并于</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月</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 xml:space="preserve">日  </w:t>
      </w:r>
      <w:r>
        <w:rPr>
          <w:rFonts w:hint="eastAsia" w:ascii="宋体" w:hAnsi="宋体" w:eastAsia="宋体" w:cs="宋体"/>
          <w:bCs/>
          <w:color w:val="auto"/>
          <w:sz w:val="21"/>
          <w:szCs w:val="21"/>
          <w:highlight w:val="none"/>
        </w:rPr>
        <w:t>时</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分（北京时间）前按要求提交投标文件</w:t>
      </w:r>
      <w:r>
        <w:rPr>
          <w:rFonts w:hint="eastAsia" w:ascii="宋体" w:hAnsi="宋体" w:eastAsia="宋体" w:cs="宋体"/>
          <w:color w:val="auto"/>
          <w:sz w:val="21"/>
          <w:szCs w:val="21"/>
          <w:highlight w:val="none"/>
        </w:rPr>
        <w:t>。</w:t>
      </w:r>
    </w:p>
    <w:p w14:paraId="2655E1F0">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bookmarkStart w:id="3" w:name="_Toc28359002"/>
      <w:bookmarkStart w:id="4" w:name="_Toc35393621"/>
      <w:bookmarkStart w:id="5" w:name="_Toc35393790"/>
      <w:bookmarkStart w:id="6" w:name="_Toc28359079"/>
      <w:bookmarkStart w:id="7" w:name="_Hlk24379207"/>
      <w:r>
        <w:rPr>
          <w:rFonts w:hint="eastAsia" w:ascii="宋体" w:hAnsi="宋体" w:eastAsia="宋体" w:cs="宋体"/>
          <w:b/>
          <w:bCs/>
          <w:color w:val="auto"/>
          <w:sz w:val="21"/>
          <w:szCs w:val="21"/>
          <w:highlight w:val="none"/>
        </w:rPr>
        <w:t>一、项目基本情况</w:t>
      </w:r>
      <w:bookmarkEnd w:id="3"/>
      <w:bookmarkEnd w:id="4"/>
      <w:bookmarkEnd w:id="5"/>
      <w:bookmarkEnd w:id="6"/>
    </w:p>
    <w:p w14:paraId="1DA60578">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项目编号：FCZC2026-G3-990013-FCGS</w:t>
      </w:r>
      <w:bookmarkStart w:id="139" w:name="_GoBack"/>
      <w:bookmarkEnd w:id="139"/>
    </w:p>
    <w:p w14:paraId="41B9F743">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bookmarkEnd w:id="7"/>
      <w:r>
        <w:rPr>
          <w:rFonts w:hint="eastAsia" w:ascii="宋体" w:hAnsi="宋体" w:eastAsia="宋体" w:cs="宋体"/>
          <w:color w:val="auto"/>
          <w:sz w:val="21"/>
          <w:szCs w:val="21"/>
          <w:highlight w:val="none"/>
          <w:lang w:val="en-US" w:eastAsia="zh-CN"/>
        </w:rPr>
        <w:t>防城港市电子政务外网市本级城域网运维服务</w:t>
      </w:r>
    </w:p>
    <w:p w14:paraId="6D4F82CB">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预算总金额：</w:t>
      </w:r>
      <w:r>
        <w:rPr>
          <w:rFonts w:hint="eastAsia" w:ascii="宋体" w:hAnsi="宋体" w:eastAsia="宋体" w:cs="宋体"/>
          <w:color w:val="auto"/>
          <w:sz w:val="21"/>
          <w:szCs w:val="21"/>
          <w:highlight w:val="none"/>
          <w:lang w:val="en-US" w:eastAsia="zh-CN"/>
        </w:rPr>
        <w:t>3366249.60元</w:t>
      </w:r>
    </w:p>
    <w:p w14:paraId="24667C73">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lang w:val="en-US" w:eastAsia="zh-CN"/>
        </w:rPr>
        <w:t>同预算</w:t>
      </w:r>
    </w:p>
    <w:p w14:paraId="10A255D4">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highlight w:val="none"/>
          <w:lang w:val="en-US" w:eastAsia="zh-CN" w:bidi="ar-SA"/>
        </w:rPr>
        <w:t>采购需求：(1)防城港市电子政务外网市本级城域网设备维保服务(含病毒库，特征库)。具体包括政务外网中心机房内防火墙、网关、交换机等网络设备的维护、故障响应、日常管理、设备巡检等服务，服务周期3年。(2)线路租用。含79条200M电路专线、1条300M电路专线、4条1000M电路专线、新增1条1G互联网专线(提供32个固定IPV6地址)、1条3G互联网专线(升级原1.5G专线)、1条10G电路专线、租用时长为3年。(3)网络运维工程师定制驻点服务。包含设备监控、网络攻防演练、文档报告等服务，服务周期3年。</w:t>
      </w:r>
      <w:r>
        <w:rPr>
          <w:rFonts w:hint="eastAsia" w:ascii="宋体" w:hAnsi="宋体" w:eastAsia="宋体" w:cs="宋体"/>
          <w:color w:val="auto"/>
          <w:sz w:val="21"/>
          <w:szCs w:val="21"/>
          <w:highlight w:val="none"/>
          <w:lang w:eastAsia="zh-CN"/>
        </w:rPr>
        <w:t>具体内容详见《采购需求》。</w:t>
      </w:r>
    </w:p>
    <w:p w14:paraId="1EB60DD5">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项目所属行业：信息传输业</w:t>
      </w:r>
    </w:p>
    <w:p w14:paraId="0600A8E6">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kern w:val="2"/>
          <w:sz w:val="21"/>
          <w:szCs w:val="21"/>
          <w:highlight w:val="none"/>
          <w:lang w:val="en-US" w:eastAsia="zh-CN" w:bidi="ar-SA"/>
        </w:rPr>
        <w:t>自合同签订之日起，服务期3年</w:t>
      </w:r>
      <w:r>
        <w:rPr>
          <w:rFonts w:hint="eastAsia" w:ascii="宋体" w:hAnsi="宋体" w:cs="宋体"/>
          <w:color w:val="auto"/>
          <w:kern w:val="2"/>
          <w:sz w:val="21"/>
          <w:szCs w:val="21"/>
          <w:highlight w:val="none"/>
          <w:u w:val="none"/>
          <w:lang w:val="en-US" w:eastAsia="zh-CN" w:bidi="ar-SA"/>
        </w:rPr>
        <w:t>。</w:t>
      </w:r>
    </w:p>
    <w:p w14:paraId="76A22DBF">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接受联合体。</w:t>
      </w:r>
    </w:p>
    <w:p w14:paraId="4FDD227B">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8" w:name="_Toc28359080"/>
      <w:bookmarkStart w:id="9" w:name="_Toc28359003"/>
      <w:bookmarkStart w:id="10" w:name="_Toc35393791"/>
      <w:bookmarkStart w:id="11" w:name="_Toc35393622"/>
      <w:r>
        <w:rPr>
          <w:rFonts w:hint="eastAsia" w:ascii="宋体" w:hAnsi="宋体" w:eastAsia="宋体" w:cs="宋体"/>
          <w:b/>
          <w:bCs/>
          <w:color w:val="000000" w:themeColor="text1"/>
          <w:sz w:val="21"/>
          <w:szCs w:val="21"/>
          <w:highlight w:val="none"/>
          <w14:textFill>
            <w14:solidFill>
              <w14:schemeClr w14:val="tx1"/>
            </w14:solidFill>
          </w14:textFill>
        </w:rPr>
        <w:t>二、申请人的资格要求：</w:t>
      </w:r>
      <w:bookmarkEnd w:id="8"/>
      <w:bookmarkEnd w:id="9"/>
      <w:bookmarkEnd w:id="10"/>
      <w:bookmarkEnd w:id="11"/>
    </w:p>
    <w:p w14:paraId="55F78573">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2" w:name="_Hlk51746371"/>
      <w:r>
        <w:rPr>
          <w:rFonts w:hint="eastAsia" w:ascii="宋体" w:hAnsi="宋体" w:eastAsia="宋体" w:cs="宋体"/>
          <w:color w:val="000000" w:themeColor="text1"/>
          <w:sz w:val="21"/>
          <w:szCs w:val="21"/>
          <w:highlight w:val="none"/>
          <w14:textFill>
            <w14:solidFill>
              <w14:schemeClr w14:val="tx1"/>
            </w14:solidFill>
          </w14:textFill>
        </w:rPr>
        <w:t>1.满足《中华人民共和国政府采购法》第二十二条规定；</w:t>
      </w:r>
    </w:p>
    <w:p w14:paraId="03B4C1A1">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bookmarkStart w:id="13" w:name="_Toc28359004"/>
      <w:bookmarkStart w:id="14" w:name="_Toc28359081"/>
      <w:r>
        <w:rPr>
          <w:rFonts w:hint="eastAsia" w:ascii="宋体" w:hAnsi="宋体" w:eastAsia="宋体" w:cs="宋体"/>
          <w:color w:val="auto"/>
          <w:sz w:val="21"/>
          <w:szCs w:val="21"/>
          <w:highlight w:val="none"/>
        </w:rPr>
        <w:t>2.落实政府采购政策需满足的资格要求：</w:t>
      </w:r>
      <w:bookmarkEnd w:id="12"/>
      <w:bookmarkStart w:id="15" w:name="_Toc35393623"/>
      <w:bookmarkStart w:id="16" w:name="_Toc35393792"/>
      <w:r>
        <w:rPr>
          <w:rFonts w:hint="eastAsia" w:ascii="宋体" w:hAnsi="宋体" w:eastAsia="宋体" w:cs="宋体"/>
          <w:b w:val="0"/>
          <w:bCs w:val="0"/>
          <w:color w:val="auto"/>
          <w:sz w:val="21"/>
          <w:szCs w:val="21"/>
          <w:highlight w:val="none"/>
          <w:lang w:val="en-US" w:eastAsia="zh-CN"/>
        </w:rPr>
        <w:t>无</w:t>
      </w:r>
      <w:r>
        <w:rPr>
          <w:rFonts w:hint="eastAsia" w:ascii="宋体" w:hAnsi="宋体" w:eastAsia="宋体" w:cs="宋体"/>
          <w:color w:val="auto"/>
          <w:sz w:val="21"/>
          <w:szCs w:val="21"/>
          <w:highlight w:val="none"/>
        </w:rPr>
        <w:t>；</w:t>
      </w:r>
    </w:p>
    <w:p w14:paraId="4B7EDB86">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r>
        <w:rPr>
          <w:rFonts w:hint="eastAsia" w:ascii="宋体" w:hAnsi="宋体" w:eastAsia="宋体" w:cs="宋体"/>
          <w:color w:val="auto"/>
          <w:sz w:val="21"/>
          <w:szCs w:val="21"/>
          <w:highlight w:val="none"/>
          <w:lang w:val="en-US" w:eastAsia="zh-CN"/>
        </w:rPr>
        <w:t>无</w:t>
      </w:r>
      <w:r>
        <w:rPr>
          <w:rFonts w:hint="eastAsia" w:ascii="宋体" w:hAnsi="宋体" w:eastAsia="宋体" w:cs="宋体"/>
          <w:iCs/>
          <w:color w:val="auto"/>
          <w:sz w:val="21"/>
          <w:szCs w:val="21"/>
          <w:highlight w:val="none"/>
        </w:rPr>
        <w:t>。</w:t>
      </w:r>
    </w:p>
    <w:p w14:paraId="11E8830F">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bookmarkEnd w:id="13"/>
      <w:bookmarkEnd w:id="14"/>
      <w:bookmarkEnd w:id="15"/>
      <w:bookmarkEnd w:id="16"/>
    </w:p>
    <w:p w14:paraId="68A9CF8F">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月</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日</w:t>
      </w:r>
      <w:r>
        <w:rPr>
          <w:rFonts w:hint="eastAsia" w:ascii="宋体" w:hAnsi="宋体" w:eastAsia="宋体" w:cs="宋体"/>
          <w:bCs/>
          <w:color w:val="auto"/>
          <w:kern w:val="0"/>
          <w:sz w:val="21"/>
          <w:szCs w:val="21"/>
          <w:highlight w:val="none"/>
        </w:rPr>
        <w:t>至</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日</w:t>
      </w:r>
      <w:r>
        <w:rPr>
          <w:rFonts w:hint="eastAsia" w:ascii="宋体" w:hAnsi="宋体" w:eastAsia="宋体" w:cs="宋体"/>
          <w:bCs/>
          <w:color w:val="auto"/>
          <w:kern w:val="0"/>
          <w:sz w:val="21"/>
          <w:szCs w:val="21"/>
          <w:highlight w:val="none"/>
        </w:rPr>
        <w:t>，</w:t>
      </w:r>
      <w:r>
        <w:rPr>
          <w:rFonts w:hint="eastAsia" w:ascii="宋体" w:hAnsi="宋体" w:eastAsia="宋体" w:cs="宋体"/>
          <w:color w:val="auto"/>
          <w:sz w:val="21"/>
          <w:szCs w:val="21"/>
          <w:highlight w:val="none"/>
        </w:rPr>
        <w:t>每天</w:t>
      </w:r>
      <w:r>
        <w:rPr>
          <w:rFonts w:hint="eastAsia" w:ascii="宋体" w:hAnsi="宋体" w:eastAsia="宋体" w:cs="宋体"/>
          <w:color w:val="000000" w:themeColor="text1"/>
          <w:sz w:val="21"/>
          <w:szCs w:val="21"/>
          <w:highlight w:val="none"/>
          <w14:textFill>
            <w14:solidFill>
              <w14:schemeClr w14:val="tx1"/>
            </w14:solidFill>
          </w14:textFill>
        </w:rPr>
        <w:t>上午</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时00分至12时00分，下午</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时00分至</w:t>
      </w: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eastAsia="宋体" w:cs="宋体"/>
          <w:color w:val="000000" w:themeColor="text1"/>
          <w:sz w:val="21"/>
          <w:szCs w:val="21"/>
          <w:highlight w:val="none"/>
          <w:lang w:val="en-US" w:eastAsia="zh-CN"/>
          <w14:textFill>
            <w14:solidFill>
              <w14:schemeClr w14:val="tx1"/>
            </w14:solidFill>
          </w14:textFill>
        </w:rPr>
        <w:t>59</w:t>
      </w:r>
      <w:r>
        <w:rPr>
          <w:rFonts w:hint="eastAsia" w:ascii="宋体" w:hAnsi="宋体" w:eastAsia="宋体" w:cs="宋体"/>
          <w:color w:val="000000" w:themeColor="text1"/>
          <w:sz w:val="21"/>
          <w:szCs w:val="21"/>
          <w:highlight w:val="none"/>
          <w14:textFill>
            <w14:solidFill>
              <w14:schemeClr w14:val="tx1"/>
            </w14:solidFill>
          </w14:textFill>
        </w:rPr>
        <w:t>分（北京时间，法定节假日除外）。</w:t>
      </w:r>
    </w:p>
    <w:p w14:paraId="6C2506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76" w:afterAutospacing="0" w:line="360" w:lineRule="exact"/>
        <w:ind w:left="0" w:right="0" w:firstLine="420" w:firstLineChars="200"/>
        <w:jc w:val="left"/>
        <w:textAlignment w:val="auto"/>
        <w:rPr>
          <w:rFonts w:hint="eastAsia" w:ascii="Times New Roman" w:hAnsi="Times New Roman" w:eastAsia="宋体" w:cs="Times New Roman"/>
          <w:color w:val="333333"/>
          <w:kern w:val="0"/>
          <w:sz w:val="21"/>
          <w:szCs w:val="21"/>
          <w:shd w:val="clear" w:fill="FFFFFF"/>
          <w:lang w:val="en-US" w:eastAsia="zh-CN" w:bidi="ar"/>
        </w:rPr>
      </w:pPr>
      <w:r>
        <w:rPr>
          <w:rFonts w:hint="eastAsia" w:ascii="宋体" w:hAnsi="宋体" w:eastAsia="宋体" w:cs="宋体"/>
          <w:bCs/>
          <w:color w:val="auto"/>
          <w:kern w:val="0"/>
          <w:sz w:val="21"/>
          <w:szCs w:val="21"/>
          <w:highlight w:val="none"/>
        </w:rPr>
        <w:t>地</w:t>
      </w:r>
      <w:r>
        <w:rPr>
          <w:rFonts w:hint="eastAsia" w:ascii="宋体" w:hAnsi="宋体" w:cs="宋体"/>
          <w:bCs/>
          <w:color w:val="auto"/>
          <w:kern w:val="0"/>
          <w:sz w:val="21"/>
          <w:szCs w:val="21"/>
          <w:highlight w:val="none"/>
          <w:lang w:val="en-US" w:eastAsia="zh-CN"/>
        </w:rPr>
        <w:t>址</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cs="宋体"/>
          <w:bCs/>
          <w:color w:val="auto"/>
          <w:kern w:val="0"/>
          <w:sz w:val="21"/>
          <w:szCs w:val="21"/>
          <w:highlight w:val="none"/>
          <w:lang w:eastAsia="zh-CN"/>
        </w:rPr>
        <w:t>（</w:t>
      </w:r>
      <w:r>
        <w:rPr>
          <w:rFonts w:hint="default" w:ascii="Times New Roman" w:hAnsi="Times New Roman" w:eastAsia="宋体" w:cs="Times New Roman"/>
          <w:color w:val="333333"/>
          <w:kern w:val="0"/>
          <w:sz w:val="21"/>
          <w:szCs w:val="21"/>
          <w:shd w:val="clear" w:fill="FFFFFF"/>
          <w:lang w:val="en-US" w:eastAsia="zh-CN" w:bidi="ar"/>
        </w:rPr>
        <w:t>https</w:t>
      </w:r>
      <w:r>
        <w:rPr>
          <w:rFonts w:hint="eastAsia" w:ascii="Times New Roman" w:hAnsi="Times New Roman" w:eastAsia="宋体" w:cs="Times New Roman"/>
          <w:color w:val="333333"/>
          <w:kern w:val="0"/>
          <w:sz w:val="21"/>
          <w:szCs w:val="21"/>
          <w:shd w:val="clear" w:fill="FFFFFF"/>
          <w:lang w:val="en-US" w:eastAsia="zh-CN" w:bidi="ar"/>
        </w:rPr>
        <w:t>：</w:t>
      </w:r>
      <w:r>
        <w:rPr>
          <w:rFonts w:hint="default" w:ascii="Times New Roman" w:hAnsi="Times New Roman" w:eastAsia="宋体" w:cs="Times New Roman"/>
          <w:color w:val="333333"/>
          <w:kern w:val="0"/>
          <w:sz w:val="21"/>
          <w:szCs w:val="21"/>
          <w:shd w:val="clear" w:fill="FFFFFF"/>
          <w:lang w:val="en-US" w:eastAsia="zh-CN" w:bidi="ar"/>
        </w:rPr>
        <w:t>//www.gcy.zfcg.gxzf.gov.cn/</w:t>
      </w:r>
      <w:r>
        <w:rPr>
          <w:rFonts w:hint="eastAsia" w:ascii="Times New Roman" w:hAnsi="Times New Roman" w:eastAsia="宋体" w:cs="Times New Roman"/>
          <w:color w:val="333333"/>
          <w:kern w:val="0"/>
          <w:sz w:val="21"/>
          <w:szCs w:val="21"/>
          <w:shd w:val="clear" w:fill="FFFFFF"/>
          <w:lang w:val="en-US" w:eastAsia="zh-CN" w:bidi="ar"/>
        </w:rPr>
        <w:t>）</w:t>
      </w:r>
    </w:p>
    <w:p w14:paraId="21C26B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76" w:afterAutospacing="0" w:line="360" w:lineRule="exact"/>
        <w:ind w:left="0" w:right="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方式：</w:t>
      </w:r>
      <w:r>
        <w:rPr>
          <w:rFonts w:hint="eastAsia" w:ascii="宋体" w:hAnsi="宋体" w:eastAsia="宋体" w:cs="宋体"/>
          <w:color w:val="auto"/>
          <w:sz w:val="21"/>
          <w:szCs w:val="21"/>
          <w:highlight w:val="none"/>
        </w:rPr>
        <w:t>网上下载。本项目不提供纸质文件，潜在供应商需使用账号登录或者使用CA登录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-进入“项目采购”应用，在获取采购文件菜单中选择项目，获取采购文件（或在“政采云电子投标客户端-获取采购文件”跳转到政采云系统获取）。电子响应文件制作需要基于</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获取的采购文件编制，通过其他方式获取采购文件的，将有可能导致供应商无法在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编制及上传响应文件。未注册的供应商可登录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进行注册（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商家入驻-注册），如在操作过程中遇到问题或者需要技术支持，请致电政采云客服热线：95763。供应商未按以上时间、方式获取本项目采购文件的，本公司将拒收其响应文件。已获取采购文件的供应商不等于符合本项目的供应商资格。</w:t>
      </w:r>
    </w:p>
    <w:p w14:paraId="3D471771">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售价：</w:t>
      </w:r>
      <w:r>
        <w:rPr>
          <w:rFonts w:hint="eastAsia" w:ascii="宋体" w:hAnsi="宋体" w:eastAsia="宋体" w:cs="宋体"/>
          <w:color w:val="auto"/>
          <w:sz w:val="21"/>
          <w:szCs w:val="21"/>
          <w:highlight w:val="none"/>
        </w:rPr>
        <w:t>0元。</w:t>
      </w:r>
    </w:p>
    <w:p w14:paraId="0D08A60F">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四、投标响应文件提交</w:t>
      </w:r>
    </w:p>
    <w:p w14:paraId="6DBA2F84">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月</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 xml:space="preserve">日  </w:t>
      </w:r>
      <w:r>
        <w:rPr>
          <w:rFonts w:hint="eastAsia" w:ascii="宋体" w:hAnsi="宋体" w:eastAsia="宋体" w:cs="宋体"/>
          <w:bCs/>
          <w:color w:val="auto"/>
          <w:sz w:val="21"/>
          <w:szCs w:val="21"/>
          <w:highlight w:val="none"/>
        </w:rPr>
        <w:t>时</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r>
        <w:rPr>
          <w:rFonts w:hint="eastAsia" w:ascii="宋体" w:hAnsi="宋体" w:eastAsia="宋体" w:cs="宋体"/>
          <w:bCs/>
          <w:color w:val="auto"/>
          <w:kern w:val="0"/>
          <w:sz w:val="21"/>
          <w:szCs w:val="21"/>
          <w:highlight w:val="none"/>
        </w:rPr>
        <w:t>（北京时间）</w:t>
      </w:r>
    </w:p>
    <w:p w14:paraId="1C47CD18">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地点：通过</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实行在线投标。</w:t>
      </w:r>
    </w:p>
    <w:p w14:paraId="17E773F0">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五、开启</w:t>
      </w:r>
    </w:p>
    <w:p w14:paraId="6548058D">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 xml:space="preserve">月  日  </w:t>
      </w:r>
      <w:r>
        <w:rPr>
          <w:rFonts w:hint="eastAsia" w:ascii="宋体" w:hAnsi="宋体" w:eastAsia="宋体" w:cs="宋体"/>
          <w:bCs/>
          <w:color w:val="auto"/>
          <w:sz w:val="21"/>
          <w:szCs w:val="21"/>
          <w:highlight w:val="none"/>
        </w:rPr>
        <w:t>时</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r>
        <w:rPr>
          <w:rFonts w:hint="eastAsia" w:ascii="宋体" w:hAnsi="宋体" w:eastAsia="宋体" w:cs="宋体"/>
          <w:bCs/>
          <w:color w:val="auto"/>
          <w:kern w:val="0"/>
          <w:sz w:val="21"/>
          <w:szCs w:val="21"/>
          <w:highlight w:val="none"/>
        </w:rPr>
        <w:t>（北京时间）</w:t>
      </w:r>
    </w:p>
    <w:p w14:paraId="6E357685">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地点：</w:t>
      </w:r>
      <w:r>
        <w:rPr>
          <w:rFonts w:hint="eastAsia" w:ascii="宋体" w:hAnsi="宋体" w:eastAsia="宋体" w:cs="宋体"/>
          <w:bCs/>
          <w:color w:val="auto"/>
          <w:kern w:val="0"/>
          <w:sz w:val="21"/>
          <w:szCs w:val="21"/>
          <w:highlight w:val="none"/>
          <w:lang w:eastAsia="zh-CN"/>
        </w:rPr>
        <w:t>广西壮族自治区防城港市政府采购开</w:t>
      </w:r>
      <w:r>
        <w:rPr>
          <w:rFonts w:hint="eastAsia" w:ascii="宋体" w:hAnsi="宋体" w:eastAsia="宋体" w:cs="宋体"/>
          <w:bCs/>
          <w:color w:val="auto"/>
          <w:kern w:val="0"/>
          <w:sz w:val="21"/>
          <w:szCs w:val="21"/>
          <w:highlight w:val="none"/>
          <w:lang w:val="en-US" w:eastAsia="zh-CN"/>
        </w:rPr>
        <w:t>评</w:t>
      </w:r>
      <w:r>
        <w:rPr>
          <w:rFonts w:hint="eastAsia" w:ascii="宋体" w:hAnsi="宋体" w:eastAsia="宋体" w:cs="宋体"/>
          <w:bCs/>
          <w:color w:val="auto"/>
          <w:kern w:val="0"/>
          <w:sz w:val="21"/>
          <w:szCs w:val="21"/>
          <w:highlight w:val="none"/>
          <w:lang w:eastAsia="zh-CN"/>
        </w:rPr>
        <w:t>标室</w:t>
      </w:r>
      <w:r>
        <w:rPr>
          <w:rFonts w:hint="eastAsia" w:ascii="宋体" w:hAnsi="宋体" w:eastAsia="宋体" w:cs="宋体"/>
          <w:bCs/>
          <w:color w:val="auto"/>
          <w:kern w:val="0"/>
          <w:sz w:val="21"/>
          <w:szCs w:val="21"/>
          <w:highlight w:val="none"/>
          <w:lang w:val="en-US" w:eastAsia="zh-CN"/>
        </w:rPr>
        <w:t>x</w:t>
      </w:r>
    </w:p>
    <w:p w14:paraId="7185D93B">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六、公告期限</w:t>
      </w:r>
    </w:p>
    <w:p w14:paraId="24E8EB2A">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自本公告发布之日起5个工作日。</w:t>
      </w:r>
    </w:p>
    <w:p w14:paraId="59F4E33D">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bookmarkStart w:id="17" w:name="_Toc35393795"/>
      <w:bookmarkStart w:id="18" w:name="_Toc35393626"/>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、其他补充事宜</w:t>
      </w:r>
      <w:bookmarkEnd w:id="17"/>
      <w:bookmarkEnd w:id="18"/>
    </w:p>
    <w:p w14:paraId="61F4C522">
      <w:pPr>
        <w:pStyle w:val="20"/>
        <w:keepNext w:val="0"/>
        <w:keepLines w:val="0"/>
        <w:pageBreakBefore w:val="0"/>
        <w:kinsoku/>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bookmarkStart w:id="19" w:name="_Hlk37428740"/>
      <w:bookmarkStart w:id="20" w:name="_Toc35393796"/>
      <w:bookmarkStart w:id="21" w:name="_Toc28359085"/>
      <w:bookmarkStart w:id="22" w:name="_Toc28359008"/>
      <w:bookmarkStart w:id="23" w:name="_Toc35393627"/>
      <w:r>
        <w:rPr>
          <w:rFonts w:hint="eastAsia" w:ascii="宋体" w:hAnsi="宋体" w:eastAsia="宋体" w:cs="宋体"/>
          <w:color w:val="auto"/>
          <w:sz w:val="21"/>
          <w:szCs w:val="21"/>
          <w:highlight w:val="none"/>
        </w:rPr>
        <w:t>1.网上查询地址：中国政府采购网、广西壮族自治区政府采购网、全国公共资源交易平台（广西·防城港）。</w:t>
      </w:r>
    </w:p>
    <w:bookmarkEnd w:id="19"/>
    <w:p w14:paraId="26D7A428">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2.本项目政府采购落实政策：</w:t>
      </w:r>
    </w:p>
    <w:p w14:paraId="2D694ABE">
      <w:pPr>
        <w:pStyle w:val="20"/>
        <w:keepNext w:val="0"/>
        <w:keepLines w:val="0"/>
        <w:pageBreakBefore w:val="0"/>
        <w:kinsoku/>
        <w:wordWrap w:val="0"/>
        <w:overflowPunct/>
        <w:topLinePunct w:val="0"/>
        <w:autoSpaceDE/>
        <w:autoSpaceDN/>
        <w:bidi w:val="0"/>
        <w:adjustRightInd/>
        <w:snapToGrid/>
        <w:spacing w:line="360" w:lineRule="exact"/>
        <w:ind w:left="420" w:leftChars="20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（2）政府采购支持采用本国产品的政策。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（3）强制采购节能产品；优先采购节能产品、环境标志产品。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（4）政府采购促进残疾人就业政策。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（5）政府采购支持监狱企业发展。</w:t>
      </w:r>
    </w:p>
    <w:p w14:paraId="168C3870">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3.投标保证金：不收取投标保证金。</w:t>
      </w:r>
    </w:p>
    <w:p w14:paraId="63A274E7">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4.监督部门</w:t>
      </w:r>
    </w:p>
    <w:p w14:paraId="37C7146A">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称：防城港市财政局</w:t>
      </w:r>
    </w:p>
    <w:p w14:paraId="788520B8">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话：0770-6102323</w:t>
      </w:r>
    </w:p>
    <w:p w14:paraId="713AB205">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6C4862C3">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在“信用中国”网站、中国政府采购网等渠道列入失信被执行人、重大税收违法案件当事人名单、政府采购严重违法失信行为记录名单及其他不符合《中华人民共和国政府采购法》第二十二条规定条件的供应商，不得参与政府采购活动。</w:t>
      </w:r>
    </w:p>
    <w:p w14:paraId="78CA2A52">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7.在线投标响应（电子投标）说明及注意事项</w:t>
      </w:r>
    </w:p>
    <w:p w14:paraId="250F58F9">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（1）本项目为全流程电子化采购项目，通过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实行在线电子投标，投标人应先安装“政采云电子交易客户端”（请自行前往</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进行下载），并按照本项目招标文件和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的要求编制、加密后在投标响应文件递交截止时间前通过网络上传至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，投标人在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提交电子投标响应文件时，请填写参加远程开标活动经办人联系方式。投标人登录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，依次进入“服务中心-项目采购-操作流程-电子招投标-政府采购项目电子交易管理操作指南-供应商”查看电子投标具体操作流程。</w:t>
      </w:r>
    </w:p>
    <w:p w14:paraId="1F404F71">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投标人将无法参与本项目政府采购活动，投标人应当在投标响应文件递交截止时间前，完成电子交易平台上的CA数字证书办理（投标人可登录“广西政府采购网”，依次进入“办事服务-下载专区”或者登陆</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，依次进入“服务中心-入驻与配置”中查看CA数字证书办理操作流程。如在操作过程中遇到问题或者需要技术支持，请致电政采云客服热线：95763）及响应文件的提交。</w:t>
      </w:r>
    </w:p>
    <w:p w14:paraId="71D5338D">
      <w:pPr>
        <w:pStyle w:val="20"/>
        <w:keepNext w:val="0"/>
        <w:keepLines w:val="0"/>
        <w:pageBreakBefore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（3）CA证书在线解密：投标人投标时，需携带制作投标响应文件时用来加密的有效数字证书（CA认证）登录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电子开标大厅现场按规定时间对加密的投标响应文件进行解密，否则后果自负。</w:t>
      </w:r>
    </w:p>
    <w:p w14:paraId="59924266">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（4）投标人需要在具备有摄像头及语音功能且互联网网络状况良好的电脑登录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远程开标大厅参与本次投标，否则后果自负。</w:t>
      </w:r>
    </w:p>
    <w:p w14:paraId="7E018E47">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认为招标文件使自己的权益受到损害的，可以自获取招标文件之日或者招标文件公告期限届满之日（公告期限届满后获取招标文件的，以公告期限届满之日为准）起7个工作日内以书面形式一次性向采购人和采购代理机构提出同一环节的质疑。否则，逾期的质疑采购人及招标代理机构可不予接受。质疑投标人对采购人、采购代理机构的答复不满意或者采购人、采购代理机构未在规定的时间内作出答复的，可以在答复期满后十五个工作日内向同级政府采购监督管理部门投诉。</w:t>
      </w:r>
    </w:p>
    <w:p w14:paraId="31C75F80">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（6）本项目不接受未登陆</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获取本项目招标文件的投标人投标。</w:t>
      </w:r>
    </w:p>
    <w:p w14:paraId="4AEB16F9">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为确保网上操作合法、有效和安全，请投标人确保在电子投标过程中能够对相关数据电文进行加密和使用电子签章，妥善保管CA数字证书并使用有效的CA数字证书参与整个投标活动。2）投标人应当在投标响应文件提交截止时间前完成电子投标响应文件的上传、提交，投标响应文件提交截止时间前可以补充、修改或者撤回投标响应文件。补充或者修改投标响应文件的，应当先行撤回原投标响应文件，补充、修改后重新上传、提交，投标响应文件提交截止时间前未完成上传、提交的，视为撤回投标响应文件。投标响应文件提交截止时间以后上传递交的投标响应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将予以拒收。</w:t>
      </w:r>
    </w:p>
    <w:p w14:paraId="7F61DBCC">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7</w:t>
      </w:r>
      <w:r>
        <w:rPr>
          <w:rFonts w:hint="eastAsia" w:cs="宋体"/>
          <w:color w:val="auto"/>
          <w:sz w:val="21"/>
          <w:szCs w:val="21"/>
          <w:highlight w:val="none"/>
          <w:lang w:eastAsia="zh-CN"/>
        </w:rPr>
        <w:t>）</w:t>
      </w:r>
      <w:r>
        <w:rPr>
          <w:rFonts w:hint="eastAsia" w:cs="宋体"/>
          <w:color w:val="auto"/>
          <w:sz w:val="21"/>
          <w:szCs w:val="21"/>
          <w:highlight w:val="none"/>
          <w:lang w:val="en-US" w:eastAsia="zh-CN"/>
        </w:rPr>
        <w:t>不同投标人的投标文件由同一单位或者个人编制，或不同投标人报名的</w:t>
      </w:r>
      <w:r>
        <w:rPr>
          <w:rFonts w:hint="default" w:ascii="Times New Roman" w:hAnsi="Times New Roman" w:cs="Times New Roman"/>
          <w:color w:val="auto"/>
          <w:sz w:val="21"/>
          <w:szCs w:val="21"/>
          <w:highlight w:val="none"/>
          <w:lang w:val="en-US" w:eastAsia="zh-CN"/>
        </w:rPr>
        <w:t>ip</w:t>
      </w:r>
      <w:r>
        <w:rPr>
          <w:rFonts w:hint="eastAsia" w:cs="宋体"/>
          <w:color w:val="auto"/>
          <w:sz w:val="21"/>
          <w:szCs w:val="21"/>
          <w:highlight w:val="none"/>
          <w:lang w:val="en-US" w:eastAsia="zh-CN"/>
        </w:rPr>
        <w:t>地址一致的，此类投标供应商将视为无效。</w:t>
      </w:r>
    </w:p>
    <w:p w14:paraId="235AB10B">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、对本次招标提出询问，请按以下方式联系。</w:t>
      </w:r>
      <w:bookmarkEnd w:id="20"/>
      <w:bookmarkEnd w:id="21"/>
      <w:bookmarkEnd w:id="22"/>
      <w:bookmarkEnd w:id="23"/>
    </w:p>
    <w:p w14:paraId="036EAFBE">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lang w:val="en-US" w:eastAsia="zh-CN"/>
        </w:rPr>
        <w:t>1.</w:t>
      </w:r>
      <w:r>
        <w:rPr>
          <w:rFonts w:hint="eastAsia" w:hAnsi="宋体" w:cs="宋体"/>
          <w:color w:val="auto"/>
          <w:szCs w:val="21"/>
        </w:rPr>
        <w:t>采购人信息</w:t>
      </w:r>
    </w:p>
    <w:p w14:paraId="3F082810">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eastAsia" w:hAnsi="宋体" w:cs="宋体" w:eastAsiaTheme="minorEastAsia"/>
          <w:color w:val="auto"/>
          <w:szCs w:val="21"/>
          <w:lang w:val="en-US" w:eastAsia="zh-CN"/>
        </w:rPr>
      </w:pPr>
      <w:r>
        <w:rPr>
          <w:rFonts w:hint="eastAsia" w:hAnsi="宋体" w:cs="宋体"/>
          <w:color w:val="auto"/>
          <w:szCs w:val="21"/>
        </w:rPr>
        <w:t>名    称：防城港市</w:t>
      </w:r>
      <w:r>
        <w:rPr>
          <w:rFonts w:hint="eastAsia" w:hAnsi="宋体" w:cs="宋体"/>
          <w:color w:val="auto"/>
          <w:szCs w:val="21"/>
          <w:lang w:val="en-US" w:eastAsia="zh-CN"/>
        </w:rPr>
        <w:t>大数据和行政审批局</w:t>
      </w:r>
    </w:p>
    <w:p w14:paraId="33B8F200">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Ansi="宋体" w:cs="宋体"/>
          <w:color w:val="auto"/>
          <w:szCs w:val="21"/>
        </w:rPr>
      </w:pPr>
      <w:r>
        <w:rPr>
          <w:rFonts w:hint="eastAsia" w:hAnsi="宋体" w:cs="宋体"/>
          <w:color w:val="auto"/>
          <w:szCs w:val="21"/>
        </w:rPr>
        <w:t>地    址：防城港市红树林大厦东塔</w:t>
      </w:r>
      <w:r>
        <w:rPr>
          <w:rFonts w:hint="eastAsia" w:hAnsi="宋体" w:cs="宋体"/>
          <w:color w:val="auto"/>
          <w:szCs w:val="21"/>
          <w:lang w:val="en-US" w:eastAsia="zh-CN"/>
        </w:rPr>
        <w:t>2</w:t>
      </w:r>
      <w:r>
        <w:rPr>
          <w:rFonts w:hint="eastAsia" w:hAnsi="宋体" w:cs="宋体"/>
          <w:color w:val="auto"/>
          <w:szCs w:val="21"/>
        </w:rPr>
        <w:t>楼</w:t>
      </w:r>
    </w:p>
    <w:p w14:paraId="0BB67F14">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default" w:hAnsi="宋体" w:cs="宋体" w:eastAsiaTheme="minorEastAsia"/>
          <w:color w:val="auto"/>
          <w:szCs w:val="21"/>
          <w:highlight w:val="none"/>
          <w:lang w:val="en-US" w:eastAsia="zh-CN"/>
        </w:rPr>
      </w:pPr>
      <w:r>
        <w:rPr>
          <w:rFonts w:hint="eastAsia" w:hAnsi="宋体" w:cs="宋体"/>
          <w:color w:val="auto"/>
          <w:szCs w:val="21"/>
          <w:highlight w:val="none"/>
        </w:rPr>
        <w:t>项目联系人：黄</w:t>
      </w:r>
      <w:r>
        <w:rPr>
          <w:rFonts w:hint="eastAsia" w:hAnsi="宋体" w:cs="宋体"/>
          <w:color w:val="auto"/>
          <w:szCs w:val="21"/>
          <w:highlight w:val="none"/>
          <w:lang w:val="en-US" w:eastAsia="zh-CN"/>
        </w:rPr>
        <w:t>渝婷</w:t>
      </w:r>
    </w:p>
    <w:p w14:paraId="783E7B53">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default" w:hAnsi="宋体" w:cs="宋体" w:eastAsiaTheme="minorEastAsia"/>
          <w:color w:val="auto"/>
          <w:szCs w:val="21"/>
          <w:highlight w:val="none"/>
          <w:lang w:val="en-US" w:eastAsia="zh-CN"/>
        </w:rPr>
      </w:pPr>
      <w:r>
        <w:rPr>
          <w:rFonts w:hint="eastAsia" w:hAnsi="宋体" w:cs="宋体"/>
          <w:color w:val="auto"/>
          <w:szCs w:val="21"/>
          <w:highlight w:val="none"/>
        </w:rPr>
        <w:t>项目联系方式：0770</w:t>
      </w:r>
      <w:r>
        <w:rPr>
          <w:rFonts w:hint="eastAsia" w:hAnsi="宋体" w:cs="宋体"/>
          <w:color w:val="auto"/>
          <w:szCs w:val="21"/>
          <w:highlight w:val="none"/>
          <w:lang w:val="en-US" w:eastAsia="zh-CN"/>
        </w:rPr>
        <w:t>-</w:t>
      </w:r>
      <w:r>
        <w:rPr>
          <w:rFonts w:hint="eastAsia" w:hAnsi="宋体" w:cs="宋体"/>
          <w:color w:val="auto"/>
          <w:szCs w:val="21"/>
          <w:highlight w:val="none"/>
        </w:rPr>
        <w:t>28812</w:t>
      </w:r>
      <w:r>
        <w:rPr>
          <w:rFonts w:hint="eastAsia" w:hAnsi="宋体" w:cs="宋体"/>
          <w:color w:val="auto"/>
          <w:szCs w:val="21"/>
          <w:highlight w:val="none"/>
          <w:lang w:val="en-US" w:eastAsia="zh-CN"/>
        </w:rPr>
        <w:t>75</w:t>
      </w:r>
    </w:p>
    <w:p w14:paraId="06DC6749">
      <w:pPr>
        <w:keepNext w:val="0"/>
        <w:keepLines w:val="0"/>
        <w:pageBreakBefore w:val="0"/>
        <w:numPr>
          <w:ilvl w:val="0"/>
          <w:numId w:val="0"/>
        </w:numPr>
        <w:kinsoku/>
        <w:wordWrap w:val="0"/>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lang w:val="en-US" w:eastAsia="zh-CN"/>
        </w:rPr>
        <w:t>2.</w:t>
      </w:r>
      <w:r>
        <w:rPr>
          <w:rFonts w:hint="eastAsia" w:hAnsi="宋体" w:cs="宋体"/>
          <w:color w:val="auto"/>
          <w:szCs w:val="21"/>
        </w:rPr>
        <w:t>采购代理机构信息</w:t>
      </w:r>
    </w:p>
    <w:p w14:paraId="021F7F24">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rPr>
        <w:t>名    称：防城港市政府采购中心</w:t>
      </w:r>
    </w:p>
    <w:p w14:paraId="3F1D5BE9">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rPr>
        <w:t>地    址：防城港市红树林大厦东塔6楼</w:t>
      </w:r>
    </w:p>
    <w:p w14:paraId="7FAF2043">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default" w:hAnsi="宋体" w:cs="宋体"/>
          <w:color w:val="auto"/>
          <w:szCs w:val="21"/>
          <w:lang w:val="en-US"/>
        </w:rPr>
      </w:pPr>
      <w:r>
        <w:rPr>
          <w:rFonts w:hint="eastAsia" w:hAnsi="宋体" w:cs="宋体"/>
          <w:color w:val="auto"/>
          <w:szCs w:val="21"/>
        </w:rPr>
        <w:t>项目联系人：</w:t>
      </w:r>
      <w:r>
        <w:rPr>
          <w:rFonts w:hint="eastAsia" w:hAnsi="宋体" w:cs="宋体"/>
          <w:color w:val="auto"/>
          <w:szCs w:val="21"/>
          <w:lang w:val="en-US" w:eastAsia="zh-CN"/>
        </w:rPr>
        <w:t>肖秀艺、黄世蒋</w:t>
      </w:r>
    </w:p>
    <w:p w14:paraId="6D9ADEDC">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default" w:hAnsi="宋体" w:eastAsia="宋体"/>
          <w:color w:val="auto"/>
          <w:szCs w:val="21"/>
          <w:lang w:val="en-US" w:eastAsia="zh-CN"/>
        </w:rPr>
      </w:pPr>
      <w:r>
        <w:rPr>
          <w:rFonts w:hint="eastAsia" w:hAnsi="宋体" w:cs="宋体"/>
          <w:color w:val="auto"/>
          <w:szCs w:val="21"/>
        </w:rPr>
        <w:t>项目联系方式：</w:t>
      </w:r>
      <w:r>
        <w:rPr>
          <w:rFonts w:hint="eastAsia" w:hAnsi="宋体" w:cs="宋体"/>
          <w:color w:val="auto"/>
          <w:szCs w:val="21"/>
          <w:lang w:val="en-US" w:eastAsia="zh-CN"/>
        </w:rPr>
        <w:t>0770-6126192</w:t>
      </w:r>
    </w:p>
    <w:p w14:paraId="75BBB616">
      <w:pPr>
        <w:keepNext w:val="0"/>
        <w:keepLines w:val="0"/>
        <w:pageBreakBefore w:val="0"/>
        <w:kinsoku/>
        <w:wordWrap w:val="0"/>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sz w:val="21"/>
          <w:szCs w:val="21"/>
          <w:highlight w:val="none"/>
          <w:lang w:val="zh-CN"/>
        </w:rPr>
      </w:pPr>
    </w:p>
    <w:p w14:paraId="016418DA">
      <w:pPr>
        <w:keepNext w:val="0"/>
        <w:keepLines w:val="0"/>
        <w:pageBreakBefore w:val="0"/>
        <w:kinsoku/>
        <w:wordWrap w:val="0"/>
        <w:overflowPunct/>
        <w:topLinePunct w:val="0"/>
        <w:autoSpaceDE/>
        <w:autoSpaceDN/>
        <w:bidi w:val="0"/>
        <w:adjustRightInd/>
        <w:snapToGrid/>
        <w:spacing w:line="360" w:lineRule="exact"/>
        <w:ind w:firstLine="420" w:firstLineChars="200"/>
        <w:jc w:val="righ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采购人：</w:t>
      </w:r>
      <w:r>
        <w:rPr>
          <w:rFonts w:hint="eastAsia" w:hAnsi="宋体" w:cs="宋体"/>
          <w:color w:val="auto"/>
          <w:szCs w:val="21"/>
        </w:rPr>
        <w:t>防城港市</w:t>
      </w:r>
      <w:r>
        <w:rPr>
          <w:rFonts w:hint="eastAsia" w:hAnsi="宋体" w:cs="宋体"/>
          <w:color w:val="auto"/>
          <w:szCs w:val="21"/>
          <w:lang w:val="en-US" w:eastAsia="zh-CN"/>
        </w:rPr>
        <w:t>大数据和行政审批局</w:t>
      </w:r>
    </w:p>
    <w:p w14:paraId="76995B61">
      <w:pPr>
        <w:keepNext w:val="0"/>
        <w:keepLines w:val="0"/>
        <w:pageBreakBefore w:val="0"/>
        <w:kinsoku/>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采购代理机构：</w:t>
      </w:r>
      <w:r>
        <w:rPr>
          <w:rFonts w:hint="eastAsia" w:ascii="宋体" w:hAnsi="宋体" w:eastAsia="宋体" w:cs="宋体"/>
          <w:color w:val="auto"/>
          <w:kern w:val="0"/>
          <w:sz w:val="21"/>
          <w:szCs w:val="21"/>
          <w:highlight w:val="none"/>
          <w:lang w:val="en-US" w:eastAsia="zh-CN"/>
        </w:rPr>
        <w:t>防城港市政府采购中心</w:t>
      </w:r>
    </w:p>
    <w:p w14:paraId="089D7BBD">
      <w:pPr>
        <w:keepNext w:val="0"/>
        <w:keepLines w:val="0"/>
        <w:pageBreakBefore w:val="0"/>
        <w:kinsoku/>
        <w:wordWrap w:val="0"/>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lang w:val="en-US" w:eastAsia="zh-CN"/>
        </w:rPr>
        <w:t xml:space="preserve">        </w:t>
      </w:r>
    </w:p>
    <w:p w14:paraId="000283C3">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207BBFA4">
      <w:pPr>
        <w:pStyle w:val="3"/>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4"/>
          <w:szCs w:val="44"/>
          <w:highlight w:val="none"/>
        </w:rPr>
      </w:pPr>
      <w:bookmarkStart w:id="24" w:name="_Toc10553"/>
      <w:bookmarkStart w:id="25" w:name="_Toc8668"/>
      <w:bookmarkStart w:id="26" w:name="_Toc1034"/>
      <w:r>
        <w:rPr>
          <w:rFonts w:hint="eastAsia" w:ascii="宋体" w:hAnsi="宋体" w:eastAsia="宋体" w:cs="宋体"/>
          <w:b/>
          <w:bCs/>
          <w:color w:val="auto"/>
          <w:kern w:val="44"/>
          <w:sz w:val="44"/>
          <w:szCs w:val="44"/>
          <w:lang w:val="en-US" w:eastAsia="zh-CN" w:bidi="ar-SA"/>
        </w:rPr>
        <w:t xml:space="preserve">第二章 </w:t>
      </w:r>
      <w:r>
        <w:rPr>
          <w:rFonts w:hint="eastAsia" w:ascii="宋体" w:hAnsi="宋体" w:eastAsia="宋体" w:cs="宋体"/>
          <w:color w:val="auto"/>
          <w:sz w:val="44"/>
          <w:szCs w:val="44"/>
          <w:highlight w:val="none"/>
        </w:rPr>
        <w:t>采购需求</w:t>
      </w:r>
      <w:bookmarkEnd w:id="24"/>
      <w:bookmarkEnd w:id="25"/>
      <w:bookmarkEnd w:id="26"/>
    </w:p>
    <w:p w14:paraId="70C37FD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0299E26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1.为落实政府采购政策需满足的要求</w:t>
      </w:r>
    </w:p>
    <w:p w14:paraId="03A568C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（1）本</w:t>
      </w:r>
      <w:r>
        <w:rPr>
          <w:rFonts w:hint="eastAsia" w:ascii="宋体" w:hAnsi="宋体" w:cs="宋体"/>
          <w:color w:val="000000"/>
          <w:sz w:val="21"/>
          <w:szCs w:val="21"/>
          <w:lang w:val="en-US" w:eastAsia="zh-CN"/>
        </w:rPr>
        <w:t>公开招标</w:t>
      </w:r>
      <w:r>
        <w:rPr>
          <w:rFonts w:hint="eastAsia" w:ascii="宋体" w:hAnsi="宋体" w:eastAsia="宋体" w:cs="宋体"/>
          <w:color w:val="000000"/>
          <w:sz w:val="21"/>
          <w:szCs w:val="21"/>
          <w:lang w:val="en-US" w:eastAsia="zh-CN"/>
        </w:rPr>
        <w:t>采购文件所称中小企业必须符合《政府采购促进中小企业发展管理办法》（财库〔2020〕46号）的规定。</w:t>
      </w:r>
    </w:p>
    <w:p w14:paraId="03C52A3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2）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w:t>
      </w:r>
    </w:p>
    <w:p w14:paraId="70B69974">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2.“实质性要求”是指采购需求中带“▲”的条款或者不能负偏离的条款或者已经指明不满足按响应文件作无效处理的条款。</w:t>
      </w:r>
    </w:p>
    <w:p w14:paraId="64782A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3.如供应商竞标产品存在侵犯他人的知识产权或者专利成果行为的，应承担相应法律责任。</w:t>
      </w:r>
    </w:p>
    <w:p w14:paraId="0065CD1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bCs/>
          <w:color w:val="000000"/>
          <w:sz w:val="21"/>
          <w:szCs w:val="21"/>
          <w:u w:val="single"/>
          <w:lang w:val="en-US" w:eastAsia="zh-CN"/>
        </w:rPr>
      </w:pPr>
      <w:r>
        <w:rPr>
          <w:rFonts w:hint="eastAsia" w:ascii="宋体" w:hAnsi="宋体" w:eastAsia="宋体" w:cs="宋体"/>
          <w:color w:val="000000"/>
          <w:sz w:val="21"/>
          <w:szCs w:val="21"/>
          <w:lang w:val="en-US" w:eastAsia="zh-CN"/>
        </w:rPr>
        <w:t>4.所属行业依照《国民经济行业分类》（GB/T4754-2017）的有关规定执行。采购内容所属行业：</w:t>
      </w:r>
      <w:r>
        <w:rPr>
          <w:rFonts w:hint="eastAsia" w:ascii="宋体" w:hAnsi="宋体" w:eastAsia="宋体" w:cs="宋体"/>
          <w:b/>
          <w:bCs/>
          <w:color w:val="000000"/>
          <w:sz w:val="21"/>
          <w:szCs w:val="21"/>
          <w:u w:val="single"/>
          <w:lang w:val="en-US" w:eastAsia="zh-CN"/>
        </w:rPr>
        <w:t>信息传输业。</w:t>
      </w:r>
    </w:p>
    <w:p w14:paraId="66C7C5B8">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default" w:ascii="宋体" w:hAnsi="宋体" w:eastAsia="宋体" w:cs="宋体"/>
          <w:b/>
          <w:bCs/>
          <w:color w:val="000000"/>
          <w:sz w:val="21"/>
          <w:szCs w:val="21"/>
          <w:u w:val="single"/>
          <w:lang w:val="en-US" w:eastAsia="zh-CN"/>
        </w:rPr>
      </w:pPr>
      <w:r>
        <w:rPr>
          <w:rFonts w:hint="eastAsia" w:ascii="宋体" w:hAnsi="宋体" w:eastAsia="宋体" w:cs="宋体"/>
          <w:b/>
          <w:bCs/>
          <w:color w:val="000000"/>
          <w:sz w:val="21"/>
          <w:szCs w:val="21"/>
          <w:u w:val="single"/>
          <w:lang w:val="en-US" w:eastAsia="zh-CN"/>
        </w:rPr>
        <w:t>5.本项目不接受联合体投标。</w:t>
      </w:r>
    </w:p>
    <w:p w14:paraId="0F31505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6.最高限额：</w:t>
      </w:r>
      <w:r>
        <w:rPr>
          <w:rFonts w:hint="default" w:ascii="宋体" w:hAnsi="宋体" w:eastAsia="宋体" w:cs="宋体"/>
          <w:color w:val="000000"/>
          <w:sz w:val="21"/>
          <w:szCs w:val="21"/>
          <w:lang w:val="en-US" w:eastAsia="zh-CN"/>
        </w:rPr>
        <w:t>3，366，249.60</w:t>
      </w:r>
      <w:r>
        <w:rPr>
          <w:rFonts w:hint="eastAsia" w:ascii="宋体" w:hAnsi="宋体" w:eastAsia="宋体" w:cs="宋体"/>
          <w:color w:val="000000"/>
          <w:sz w:val="21"/>
          <w:szCs w:val="21"/>
          <w:lang w:val="en-US" w:eastAsia="zh-CN"/>
        </w:rPr>
        <w:t>元。</w:t>
      </w:r>
    </w:p>
    <w:tbl>
      <w:tblPr>
        <w:tblStyle w:val="16"/>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9"/>
        <w:gridCol w:w="336"/>
        <w:gridCol w:w="902"/>
        <w:gridCol w:w="585"/>
        <w:gridCol w:w="552"/>
        <w:gridCol w:w="5691"/>
        <w:gridCol w:w="1139"/>
      </w:tblGrid>
      <w:tr w14:paraId="4D878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9854" w:type="dxa"/>
            <w:gridSpan w:val="7"/>
            <w:tcBorders>
              <w:top w:val="single" w:color="auto" w:sz="4" w:space="0"/>
              <w:left w:val="single" w:color="auto" w:sz="4" w:space="0"/>
              <w:bottom w:val="nil"/>
              <w:right w:val="single" w:color="auto" w:sz="4" w:space="0"/>
            </w:tcBorders>
            <w:noWrap w:val="0"/>
            <w:vAlign w:val="center"/>
          </w:tcPr>
          <w:p w14:paraId="6D7D13F4">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b/>
                <w:bCs/>
                <w:color w:val="000000"/>
                <w:sz w:val="21"/>
                <w:szCs w:val="21"/>
              </w:rPr>
            </w:pPr>
            <w:r>
              <w:rPr>
                <w:rFonts w:hint="eastAsia" w:ascii="宋体" w:hAnsi="宋体" w:eastAsia="宋体" w:cs="宋体"/>
                <w:b/>
                <w:color w:val="000000"/>
                <w:sz w:val="21"/>
                <w:szCs w:val="21"/>
              </w:rPr>
              <w:t>服务需求一览表</w:t>
            </w:r>
          </w:p>
        </w:tc>
      </w:tr>
      <w:tr w14:paraId="6E951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854" w:type="dxa"/>
            <w:gridSpan w:val="7"/>
            <w:tcBorders>
              <w:top w:val="single" w:color="auto" w:sz="4" w:space="0"/>
              <w:left w:val="single" w:color="auto" w:sz="4" w:space="0"/>
              <w:bottom w:val="nil"/>
              <w:right w:val="single" w:color="auto" w:sz="4" w:space="0"/>
            </w:tcBorders>
            <w:noWrap w:val="0"/>
            <w:vAlign w:val="center"/>
          </w:tcPr>
          <w:p w14:paraId="65B09A99">
            <w:pPr>
              <w:keepNext w:val="0"/>
              <w:keepLines w:val="0"/>
              <w:pageBreakBefore w:val="0"/>
              <w:widowControl w:val="0"/>
              <w:kinsoku/>
              <w:wordWrap/>
              <w:overflowPunct/>
              <w:topLinePunct w:val="0"/>
              <w:autoSpaceDE/>
              <w:autoSpaceDN/>
              <w:bidi w:val="0"/>
              <w:adjustRightInd/>
              <w:snapToGrid/>
              <w:spacing w:line="360" w:lineRule="exact"/>
              <w:ind w:right="-109" w:rightChars="-52"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防城港市电子政务外网组</w:t>
            </w:r>
            <w:r>
              <w:rPr>
                <w:rFonts w:hint="eastAsia" w:ascii="宋体" w:hAnsi="宋体" w:eastAsia="宋体" w:cs="宋体"/>
                <w:sz w:val="21"/>
                <w:szCs w:val="21"/>
              </w:rPr>
              <w:t>网原则要求：</w:t>
            </w:r>
          </w:p>
          <w:p w14:paraId="778C2651">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1、组网技术的先进性；</w:t>
            </w:r>
          </w:p>
          <w:p w14:paraId="1FCBE0D2">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组网应采用先进网络技术，要充分考虑采购人电路使用数量大，地点广泛，高带宽，高安全的特点，应用先进的光传输组网技术保障传输服务质量及安全。</w:t>
            </w:r>
          </w:p>
          <w:p w14:paraId="532E8D9C">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2、服务质量的可靠性；</w:t>
            </w:r>
          </w:p>
          <w:p w14:paraId="1B9502FA">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组网方式采用光传输通信系统方式，可靠实现业务不中断倒换切换，保障网络传输服务质量。</w:t>
            </w:r>
          </w:p>
          <w:p w14:paraId="7686386E">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3、数据传输的安全性；</w:t>
            </w:r>
          </w:p>
          <w:p w14:paraId="54E8BA7C">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数字电路都要求实现点对点的数据传输，中间不允许经过其他路由或交换设备转接，以保障数据传输的安全性，同时避免多层级联设备转接造成设备节点过多，从而减少因网络节点过多造成的网络中断故障。</w:t>
            </w:r>
          </w:p>
          <w:p w14:paraId="147C956C">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4、传输服务的专用性。</w:t>
            </w:r>
          </w:p>
          <w:p w14:paraId="0B4094A0">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rPr>
              <w:t>数字电路要求全网端到端必须采用光传输通信系统进行组网，提供端对端透明传输电路，为了确保采购方的网络安全、易维护性，要求保证采购人的数字电路为专用线路，并与其他网络物理隔离</w:t>
            </w:r>
            <w:r>
              <w:rPr>
                <w:rFonts w:hint="eastAsia" w:ascii="宋体" w:hAnsi="宋体" w:eastAsia="宋体" w:cs="宋体"/>
                <w:sz w:val="21"/>
                <w:szCs w:val="21"/>
                <w:lang w:eastAsia="zh-CN"/>
              </w:rPr>
              <w:t>。</w:t>
            </w:r>
          </w:p>
          <w:p w14:paraId="1B978869">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电子政务外网电路</w:t>
            </w:r>
            <w:r>
              <w:rPr>
                <w:rFonts w:hint="eastAsia" w:ascii="宋体" w:hAnsi="宋体" w:eastAsia="宋体" w:cs="宋体"/>
                <w:sz w:val="21"/>
                <w:szCs w:val="21"/>
                <w:lang w:eastAsia="zh-CN"/>
              </w:rPr>
              <w:t>专线</w:t>
            </w:r>
          </w:p>
          <w:p w14:paraId="3ABC3315">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color w:val="000000"/>
                <w:sz w:val="21"/>
                <w:szCs w:val="21"/>
                <w:shd w:val="clear" w:color="auto" w:fill="auto"/>
              </w:rPr>
            </w:pPr>
            <w:r>
              <w:rPr>
                <w:rFonts w:hint="eastAsia" w:ascii="宋体" w:hAnsi="宋体" w:eastAsia="宋体" w:cs="宋体"/>
                <w:color w:val="000000"/>
                <w:sz w:val="21"/>
                <w:szCs w:val="21"/>
                <w:shd w:val="clear" w:color="auto" w:fill="auto"/>
              </w:rPr>
              <w:t>为保证线路稳定通畅，且符合《广西电子政务外网网络技术规范》（2022年修订版）技术规范，要求采用主流点对点传输电路，并根据《广西电子政务外网IPv6发展白皮书（2022）》“加强IPv6在政务外网安全领域的创新与应用”，结合</w:t>
            </w:r>
            <w:r>
              <w:rPr>
                <w:rFonts w:hint="eastAsia" w:ascii="宋体" w:hAnsi="宋体" w:eastAsia="宋体" w:cs="宋体"/>
                <w:color w:val="000000"/>
                <w:sz w:val="21"/>
                <w:szCs w:val="21"/>
                <w:shd w:val="clear" w:color="auto" w:fill="auto"/>
                <w:lang w:eastAsia="zh-CN"/>
              </w:rPr>
              <w:t>防城港市</w:t>
            </w:r>
            <w:r>
              <w:rPr>
                <w:rFonts w:hint="eastAsia" w:ascii="宋体" w:hAnsi="宋体" w:eastAsia="宋体" w:cs="宋体"/>
                <w:color w:val="000000"/>
                <w:sz w:val="21"/>
                <w:szCs w:val="21"/>
                <w:shd w:val="clear" w:color="auto" w:fill="auto"/>
              </w:rPr>
              <w:t>电子政务外网自身规划建设要求，开展本次专线建设。</w:t>
            </w:r>
          </w:p>
          <w:p w14:paraId="38ECB6B3">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000000"/>
                <w:sz w:val="21"/>
                <w:szCs w:val="21"/>
                <w:shd w:val="clear" w:color="auto" w:fill="auto"/>
              </w:rPr>
            </w:pPr>
            <w:r>
              <w:rPr>
                <w:rFonts w:hint="eastAsia" w:ascii="宋体" w:hAnsi="宋体" w:eastAsia="宋体" w:cs="宋体"/>
                <w:color w:val="000000"/>
                <w:sz w:val="21"/>
                <w:szCs w:val="21"/>
                <w:shd w:val="clear" w:color="auto" w:fill="auto"/>
                <w:lang w:eastAsia="zh-CN"/>
              </w:rPr>
              <w:t>供应商</w:t>
            </w:r>
            <w:r>
              <w:rPr>
                <w:rFonts w:hint="eastAsia" w:ascii="宋体" w:hAnsi="宋体" w:eastAsia="宋体" w:cs="宋体"/>
                <w:color w:val="000000"/>
                <w:sz w:val="21"/>
                <w:szCs w:val="21"/>
                <w:shd w:val="clear" w:color="auto" w:fill="auto"/>
              </w:rPr>
              <w:t>应提供详细的线路接入技术方案、实施方案、售后服务方案、保密承诺、廉洁承诺等。</w:t>
            </w:r>
          </w:p>
          <w:p w14:paraId="7C8B38ED">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211" w:firstLineChars="100"/>
              <w:textAlignment w:val="auto"/>
              <w:rPr>
                <w:rFonts w:hint="eastAsia" w:ascii="宋体" w:hAnsi="宋体" w:eastAsia="宋体" w:cs="宋体"/>
                <w:color w:val="000000"/>
                <w:sz w:val="21"/>
                <w:szCs w:val="21"/>
                <w:shd w:val="clear" w:color="auto" w:fill="auto"/>
                <w:lang w:val="en-US" w:eastAsia="zh-CN"/>
              </w:rPr>
            </w:pPr>
            <w:r>
              <w:rPr>
                <w:rFonts w:hint="eastAsia" w:ascii="宋体" w:hAnsi="宋体" w:eastAsia="宋体" w:cs="宋体"/>
                <w:b/>
                <w:bCs/>
                <w:color w:val="000000"/>
                <w:sz w:val="21"/>
                <w:szCs w:val="21"/>
                <w:lang w:val="en-US" w:eastAsia="zh-CN"/>
              </w:rPr>
              <w:t>▲</w:t>
            </w:r>
            <w:r>
              <w:rPr>
                <w:rFonts w:hint="eastAsia" w:ascii="宋体" w:hAnsi="宋体" w:eastAsia="宋体" w:cs="宋体"/>
                <w:kern w:val="2"/>
                <w:sz w:val="21"/>
                <w:szCs w:val="21"/>
                <w:lang w:val="en-US" w:eastAsia="zh-CN" w:bidi="ar-SA"/>
              </w:rPr>
              <w:t>7、</w:t>
            </w:r>
            <w:r>
              <w:rPr>
                <w:rFonts w:hint="eastAsia" w:ascii="宋体" w:hAnsi="宋体" w:eastAsia="宋体" w:cs="宋体"/>
                <w:color w:val="000000"/>
                <w:sz w:val="21"/>
                <w:szCs w:val="21"/>
                <w:shd w:val="clear" w:color="auto" w:fill="auto"/>
                <w:lang w:val="en-US" w:eastAsia="zh-CN"/>
              </w:rPr>
              <w:t>要求必须与防城港市原有政务外网运维系统兼容，与自治区电子政务外网运维管理监控平台无缝对接，实现主机、网络设备、应用、无线、虚拟化、存储、基础服务等资源的数据对接。</w:t>
            </w:r>
          </w:p>
        </w:tc>
      </w:tr>
      <w:tr w14:paraId="0D20E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49" w:type="dxa"/>
            <w:vMerge w:val="restart"/>
            <w:tcBorders>
              <w:top w:val="single" w:color="auto" w:sz="4" w:space="0"/>
              <w:left w:val="single" w:color="auto" w:sz="4" w:space="0"/>
              <w:right w:val="single" w:color="auto" w:sz="4" w:space="0"/>
            </w:tcBorders>
            <w:noWrap w:val="0"/>
            <w:vAlign w:val="center"/>
          </w:tcPr>
          <w:p w14:paraId="7DFD03B4">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采购清单及服务参数</w:t>
            </w:r>
          </w:p>
        </w:tc>
        <w:tc>
          <w:tcPr>
            <w:tcW w:w="33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C721928">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5BEA6695">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采购服务名称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095A3612">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144E6C6">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675C5412">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服务内容及要求</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544EB62">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分项预算合计（元）</w:t>
            </w:r>
          </w:p>
        </w:tc>
      </w:tr>
      <w:tr w14:paraId="00453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right w:val="single" w:color="auto" w:sz="4" w:space="0"/>
            </w:tcBorders>
            <w:noWrap w:val="0"/>
            <w:vAlign w:val="center"/>
          </w:tcPr>
          <w:p w14:paraId="06A5F11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38949807">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0752E32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200M电路专线租用服务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21D73E4F">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条</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CBB67F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79</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161F73E7">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1.数据电路专线，带宽200M，速率上下行一致，平均网络时延≦20ms，丢包率≤0.05%，抖动≤0.01秒,可用性应大于99.9% ,</w:t>
            </w:r>
            <w:r>
              <w:rPr>
                <w:rFonts w:hint="eastAsia" w:ascii="宋体" w:hAnsi="宋体" w:eastAsia="宋体" w:cs="宋体"/>
                <w:color w:val="000000"/>
                <w:sz w:val="21"/>
                <w:szCs w:val="21"/>
                <w:shd w:val="clear" w:color="auto" w:fill="auto"/>
              </w:rPr>
              <w:t>端对端电路误码率≤10E-7（1×10-7）</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i w:val="0"/>
                <w:iCs w:val="0"/>
                <w:color w:val="000000"/>
                <w:kern w:val="0"/>
                <w:sz w:val="21"/>
                <w:szCs w:val="21"/>
                <w:u w:val="none"/>
                <w:lang w:val="en-US" w:eastAsia="zh-CN" w:bidi="ar"/>
              </w:rPr>
              <w:t>支持面向分组的弹性网络，网络带宽可平滑升级。支持点对点、汇聚两种模式组网。</w:t>
            </w:r>
            <w:r>
              <w:rPr>
                <w:rFonts w:hint="eastAsia" w:ascii="宋体" w:hAnsi="宋体" w:eastAsia="宋体" w:cs="宋体"/>
                <w:color w:val="000000"/>
                <w:sz w:val="21"/>
                <w:szCs w:val="21"/>
                <w:highlight w:val="none"/>
                <w:shd w:val="clear" w:color="auto" w:fill="auto"/>
              </w:rPr>
              <w:t>要求免费提供接入设备；电路要求采用符合《广西电子政务外网网络技术规范》（2022年修订版）文件要求的传输技术，传输设备具有可网管能力，提供端对端透明</w:t>
            </w:r>
            <w:r>
              <w:rPr>
                <w:rFonts w:hint="eastAsia" w:ascii="宋体" w:hAnsi="宋体" w:eastAsia="宋体" w:cs="宋体"/>
                <w:color w:val="000000"/>
                <w:sz w:val="21"/>
                <w:szCs w:val="21"/>
                <w:shd w:val="clear" w:color="auto" w:fill="auto"/>
              </w:rPr>
              <w:t>传输电路，要求保证采购人的数字电路</w:t>
            </w:r>
            <w:r>
              <w:rPr>
                <w:rFonts w:hint="eastAsia" w:ascii="宋体" w:hAnsi="宋体" w:eastAsia="宋体" w:cs="宋体"/>
                <w:color w:val="000000"/>
                <w:sz w:val="21"/>
                <w:szCs w:val="21"/>
                <w:shd w:val="clear" w:color="auto" w:fill="auto"/>
                <w:lang w:eastAsia="zh-CN"/>
              </w:rPr>
              <w:t>专线</w:t>
            </w:r>
            <w:r>
              <w:rPr>
                <w:rFonts w:hint="eastAsia" w:ascii="宋体" w:hAnsi="宋体" w:eastAsia="宋体" w:cs="宋体"/>
                <w:color w:val="000000"/>
                <w:sz w:val="21"/>
                <w:szCs w:val="21"/>
                <w:shd w:val="clear" w:color="auto" w:fill="auto"/>
              </w:rPr>
              <w:t>与互联网物理隔离。</w:t>
            </w:r>
          </w:p>
          <w:p w14:paraId="3BC95254">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 w:val="21"/>
                <w:szCs w:val="21"/>
                <w:shd w:val="clear" w:color="auto" w:fill="auto"/>
              </w:rPr>
              <w:t>接入的光端设备要求提供各种主流物理光、电接口，如RJ45/LC/FC等供采购人使用。</w:t>
            </w:r>
          </w:p>
          <w:p w14:paraId="343AD8CD">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color w:val="000000"/>
                <w:sz w:val="21"/>
                <w:szCs w:val="21"/>
                <w:shd w:val="clear" w:color="auto" w:fill="auto"/>
              </w:rPr>
              <w:t>汇聚层、核心层均为自愈环保护，具有故障自动倒换功能，能保证各电路不会因光缆的意外阻断和部分设备的故障而中断。自愈保护是指在网络发生故障（例如光纤断）时，无需人为干预，网络自动地在极短的时间内，使业务自动从故障中恢</w:t>
            </w:r>
            <w:r>
              <w:rPr>
                <w:rFonts w:hint="eastAsia" w:ascii="宋体" w:hAnsi="宋体" w:eastAsia="宋体" w:cs="宋体"/>
                <w:color w:val="000000"/>
                <w:sz w:val="21"/>
                <w:szCs w:val="21"/>
                <w:highlight w:val="none"/>
                <w:shd w:val="clear" w:color="auto" w:fill="auto"/>
              </w:rPr>
              <w:t>复。</w:t>
            </w:r>
          </w:p>
          <w:p w14:paraId="4B7C44D5">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 w:val="21"/>
                <w:szCs w:val="21"/>
                <w:highlight w:val="none"/>
                <w:shd w:val="clear" w:color="auto" w:fill="auto"/>
              </w:rPr>
              <w:t>接入地点：采购人指定地点，铺设路程由中标方自行勘探。</w:t>
            </w:r>
          </w:p>
          <w:p w14:paraId="3ADAFA26">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color w:val="000000"/>
                <w:sz w:val="21"/>
                <w:szCs w:val="21"/>
                <w:highlight w:val="none"/>
                <w:shd w:val="clear" w:color="auto" w:fill="auto"/>
                <w:lang w:val="en-US" w:eastAsia="zh-CN"/>
              </w:rPr>
              <w:t>5.</w:t>
            </w:r>
            <w:r>
              <w:rPr>
                <w:rFonts w:hint="eastAsia" w:ascii="宋体" w:hAnsi="宋体" w:eastAsia="宋体" w:cs="宋体"/>
                <w:color w:val="000000"/>
                <w:sz w:val="21"/>
                <w:szCs w:val="21"/>
                <w:highlight w:val="none"/>
                <w:shd w:val="clear" w:color="auto" w:fill="auto"/>
              </w:rPr>
              <w:t>网络施工、调测以及割接升级期间，需与现有网络衔接，不能对现有业务系统产生影响。</w:t>
            </w:r>
          </w:p>
          <w:p w14:paraId="6413E30A">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6.租用服务期：3年。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560C52B">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1137600.00</w:t>
            </w:r>
          </w:p>
        </w:tc>
      </w:tr>
      <w:tr w14:paraId="7CF06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right w:val="single" w:color="auto" w:sz="4" w:space="0"/>
            </w:tcBorders>
            <w:noWrap w:val="0"/>
            <w:vAlign w:val="center"/>
          </w:tcPr>
          <w:p w14:paraId="4EA71BD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02CD58CE">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4B68C3CF">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300M电路专线租用服务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37C5C79F">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条</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24DB2AE">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69186826">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1.数据电路专线，带宽300M，速率上下行一致，平均网络时延≦20ms，丢包率≤0.05%，抖动≤0.01秒,可用性应大于99.9% ，</w:t>
            </w:r>
            <w:r>
              <w:rPr>
                <w:rFonts w:hint="eastAsia" w:ascii="宋体" w:hAnsi="宋体" w:eastAsia="宋体" w:cs="宋体"/>
                <w:color w:val="000000"/>
                <w:sz w:val="21"/>
                <w:szCs w:val="21"/>
                <w:shd w:val="clear" w:color="auto" w:fill="auto"/>
              </w:rPr>
              <w:t>端对端电路误码率≤10E-7（1×10-7）</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i w:val="0"/>
                <w:iCs w:val="0"/>
                <w:color w:val="000000"/>
                <w:kern w:val="0"/>
                <w:sz w:val="21"/>
                <w:szCs w:val="21"/>
                <w:u w:val="none"/>
                <w:lang w:val="en-US" w:eastAsia="zh-CN" w:bidi="ar"/>
              </w:rPr>
              <w:t>支持面向分组的弹性网络，网络带宽可平滑升级。支持点对点、汇聚两种模式组网。</w:t>
            </w:r>
            <w:r>
              <w:rPr>
                <w:rFonts w:hint="eastAsia" w:ascii="宋体" w:hAnsi="宋体" w:eastAsia="宋体" w:cs="宋体"/>
                <w:color w:val="000000"/>
                <w:sz w:val="21"/>
                <w:szCs w:val="21"/>
                <w:highlight w:val="none"/>
                <w:shd w:val="clear" w:color="auto" w:fill="auto"/>
              </w:rPr>
              <w:t>要求免费提供接入设备；电路要求采用符合《广西电子政务外网网络技术规范》（2022年修订版）文件要求的传输技术，传输设备具有可网管能力，提供端对端透明</w:t>
            </w:r>
            <w:r>
              <w:rPr>
                <w:rFonts w:hint="eastAsia" w:ascii="宋体" w:hAnsi="宋体" w:eastAsia="宋体" w:cs="宋体"/>
                <w:color w:val="000000"/>
                <w:sz w:val="21"/>
                <w:szCs w:val="21"/>
                <w:shd w:val="clear" w:color="auto" w:fill="auto"/>
              </w:rPr>
              <w:t>传输电路，要求保证采购人的数字电路</w:t>
            </w:r>
            <w:r>
              <w:rPr>
                <w:rFonts w:hint="eastAsia" w:ascii="宋体" w:hAnsi="宋体" w:eastAsia="宋体" w:cs="宋体"/>
                <w:color w:val="000000"/>
                <w:sz w:val="21"/>
                <w:szCs w:val="21"/>
                <w:shd w:val="clear" w:color="auto" w:fill="auto"/>
                <w:lang w:eastAsia="zh-CN"/>
              </w:rPr>
              <w:t>专线</w:t>
            </w:r>
            <w:r>
              <w:rPr>
                <w:rFonts w:hint="eastAsia" w:ascii="宋体" w:hAnsi="宋体" w:eastAsia="宋体" w:cs="宋体"/>
                <w:color w:val="000000"/>
                <w:sz w:val="21"/>
                <w:szCs w:val="21"/>
                <w:shd w:val="clear" w:color="auto" w:fill="auto"/>
              </w:rPr>
              <w:t>与互联网物理隔离。</w:t>
            </w:r>
          </w:p>
          <w:p w14:paraId="352B748B">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 w:val="21"/>
                <w:szCs w:val="21"/>
                <w:shd w:val="clear" w:color="auto" w:fill="auto"/>
              </w:rPr>
              <w:t>接入的光端设备要求提供各种主流物理光、电接口，如RJ45/LC/FC等供采购人使用。</w:t>
            </w:r>
          </w:p>
          <w:p w14:paraId="415D50FC">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color w:val="000000"/>
                <w:sz w:val="21"/>
                <w:szCs w:val="21"/>
                <w:shd w:val="clear" w:color="auto" w:fill="auto"/>
              </w:rPr>
              <w:t>汇聚层、核心层均为自愈环保护，具有故障自动倒换功能，能保证各电路不会因光缆的意外阻断和部分设备的故障而中断。自愈保护是指在网络发生故障（例如光纤断）时，无需人为干预，网络自动地在极短的时间内，使业务自动从故障中恢</w:t>
            </w:r>
            <w:r>
              <w:rPr>
                <w:rFonts w:hint="eastAsia" w:ascii="宋体" w:hAnsi="宋体" w:eastAsia="宋体" w:cs="宋体"/>
                <w:color w:val="000000"/>
                <w:sz w:val="21"/>
                <w:szCs w:val="21"/>
                <w:highlight w:val="none"/>
                <w:shd w:val="clear" w:color="auto" w:fill="auto"/>
              </w:rPr>
              <w:t>复。</w:t>
            </w:r>
          </w:p>
          <w:p w14:paraId="3E699B7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 w:val="21"/>
                <w:szCs w:val="21"/>
                <w:highlight w:val="none"/>
                <w:shd w:val="clear" w:color="auto" w:fill="auto"/>
              </w:rPr>
              <w:t>接入地点：采购人指定地点，铺设路程由中标方自行勘探。</w:t>
            </w:r>
          </w:p>
          <w:p w14:paraId="41B742B1">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color w:val="000000"/>
                <w:sz w:val="21"/>
                <w:szCs w:val="21"/>
                <w:highlight w:val="none"/>
                <w:shd w:val="clear" w:color="auto" w:fill="auto"/>
                <w:lang w:val="en-US" w:eastAsia="zh-CN"/>
              </w:rPr>
              <w:t>5.</w:t>
            </w:r>
            <w:r>
              <w:rPr>
                <w:rFonts w:hint="eastAsia" w:ascii="宋体" w:hAnsi="宋体" w:eastAsia="宋体" w:cs="宋体"/>
                <w:color w:val="000000"/>
                <w:sz w:val="21"/>
                <w:szCs w:val="21"/>
                <w:highlight w:val="none"/>
                <w:shd w:val="clear" w:color="auto" w:fill="auto"/>
              </w:rPr>
              <w:t>网络施工、调测以及割接升级期间，需与现有网络衔接，不能对现有业务系统产生影响。</w:t>
            </w:r>
          </w:p>
          <w:p w14:paraId="0F9A0381">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shd w:val="clear" w:color="auto" w:fill="auto"/>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6.租用服务期：3年。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EF7EF52">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21600.00</w:t>
            </w:r>
          </w:p>
        </w:tc>
      </w:tr>
      <w:tr w14:paraId="3D61E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right w:val="single" w:color="auto" w:sz="4" w:space="0"/>
            </w:tcBorders>
            <w:noWrap w:val="0"/>
            <w:vAlign w:val="center"/>
          </w:tcPr>
          <w:p w14:paraId="7DE4325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0B23F8D9">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7DD5117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i w:val="0"/>
                <w:iCs w:val="0"/>
                <w:color w:val="000000"/>
                <w:kern w:val="0"/>
                <w:sz w:val="21"/>
                <w:szCs w:val="21"/>
                <w:highlight w:val="none"/>
                <w:u w:val="none"/>
                <w:lang w:val="en-US" w:eastAsia="zh-CN" w:bidi="ar"/>
              </w:rPr>
              <w:t>1000M电路专线租用服务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7289B807">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条</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A1B2A1C">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046D7339">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1.数据电路专线，带宽1000M，速率上下行一致，平均网络时延≦20ms，丢包率≤0.05%，抖动≤0.01秒,可用性应大于99.9% ，</w:t>
            </w:r>
            <w:r>
              <w:rPr>
                <w:rFonts w:hint="eastAsia" w:ascii="宋体" w:hAnsi="宋体" w:eastAsia="宋体" w:cs="宋体"/>
                <w:color w:val="000000"/>
                <w:sz w:val="21"/>
                <w:szCs w:val="21"/>
                <w:shd w:val="clear" w:color="auto" w:fill="auto"/>
              </w:rPr>
              <w:t>端对端电路误码率≤10E-7（1×10-7）</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i w:val="0"/>
                <w:iCs w:val="0"/>
                <w:color w:val="000000"/>
                <w:kern w:val="0"/>
                <w:sz w:val="21"/>
                <w:szCs w:val="21"/>
                <w:u w:val="none"/>
                <w:lang w:val="en-US" w:eastAsia="zh-CN" w:bidi="ar"/>
              </w:rPr>
              <w:t>支持面向分组的弹性网络，网络带宽可平滑升级。支持点对点、汇聚两种模式组网。</w:t>
            </w:r>
            <w:r>
              <w:rPr>
                <w:rFonts w:hint="eastAsia" w:ascii="宋体" w:hAnsi="宋体" w:eastAsia="宋体" w:cs="宋体"/>
                <w:color w:val="000000"/>
                <w:sz w:val="21"/>
                <w:szCs w:val="21"/>
                <w:highlight w:val="none"/>
                <w:shd w:val="clear" w:color="auto" w:fill="auto"/>
              </w:rPr>
              <w:t>要求免费提供接入设备；电路要求采用符合《广西电子政务外网网络技术规范》（2022年修订版）文件要求的传输技术，传输设备具有可网管能力，提供端对端透明</w:t>
            </w:r>
            <w:r>
              <w:rPr>
                <w:rFonts w:hint="eastAsia" w:ascii="宋体" w:hAnsi="宋体" w:eastAsia="宋体" w:cs="宋体"/>
                <w:color w:val="000000"/>
                <w:sz w:val="21"/>
                <w:szCs w:val="21"/>
                <w:shd w:val="clear" w:color="auto" w:fill="auto"/>
              </w:rPr>
              <w:t>传输电路，要求保证采购人的数字电路</w:t>
            </w:r>
            <w:r>
              <w:rPr>
                <w:rFonts w:hint="eastAsia" w:ascii="宋体" w:hAnsi="宋体" w:eastAsia="宋体" w:cs="宋体"/>
                <w:color w:val="000000"/>
                <w:sz w:val="21"/>
                <w:szCs w:val="21"/>
                <w:shd w:val="clear" w:color="auto" w:fill="auto"/>
                <w:lang w:eastAsia="zh-CN"/>
              </w:rPr>
              <w:t>专线</w:t>
            </w:r>
            <w:r>
              <w:rPr>
                <w:rFonts w:hint="eastAsia" w:ascii="宋体" w:hAnsi="宋体" w:eastAsia="宋体" w:cs="宋体"/>
                <w:color w:val="000000"/>
                <w:sz w:val="21"/>
                <w:szCs w:val="21"/>
                <w:shd w:val="clear" w:color="auto" w:fill="auto"/>
              </w:rPr>
              <w:t>与互联网物理隔离。</w:t>
            </w:r>
          </w:p>
          <w:p w14:paraId="7008D8DD">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 w:val="21"/>
                <w:szCs w:val="21"/>
                <w:shd w:val="clear" w:color="auto" w:fill="auto"/>
              </w:rPr>
              <w:t>接入的光端设备要求提供各种主流物理光、电接口，如RJ45/LC/FC等供采购人使用。</w:t>
            </w:r>
          </w:p>
          <w:p w14:paraId="709BE40D">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color w:val="000000"/>
                <w:sz w:val="21"/>
                <w:szCs w:val="21"/>
                <w:shd w:val="clear" w:color="auto" w:fill="auto"/>
              </w:rPr>
              <w:t>汇聚层、核心层均为自愈环保护，具有故障自动倒换功能，能保证各电路不会因光缆的意外阻断和部分设备的故障而中断。自愈保护是指在网络发生故障（例如光纤断）时，无需人为干预，网络自动地在极短的时间内，使业务自动从故障中恢</w:t>
            </w:r>
            <w:r>
              <w:rPr>
                <w:rFonts w:hint="eastAsia" w:ascii="宋体" w:hAnsi="宋体" w:eastAsia="宋体" w:cs="宋体"/>
                <w:color w:val="000000"/>
                <w:sz w:val="21"/>
                <w:szCs w:val="21"/>
                <w:highlight w:val="none"/>
                <w:shd w:val="clear" w:color="auto" w:fill="auto"/>
              </w:rPr>
              <w:t>复。</w:t>
            </w:r>
          </w:p>
          <w:p w14:paraId="141D42E2">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 w:val="21"/>
                <w:szCs w:val="21"/>
                <w:highlight w:val="none"/>
                <w:shd w:val="clear" w:color="auto" w:fill="auto"/>
              </w:rPr>
              <w:t>接入地点：采购人指定地点，铺设路程由中标方自行勘探。</w:t>
            </w:r>
          </w:p>
          <w:p w14:paraId="66A24E0B">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color w:val="000000"/>
                <w:sz w:val="21"/>
                <w:szCs w:val="21"/>
                <w:highlight w:val="none"/>
                <w:shd w:val="clear" w:color="auto" w:fill="auto"/>
                <w:lang w:val="en-US" w:eastAsia="zh-CN"/>
              </w:rPr>
              <w:t>5.</w:t>
            </w:r>
            <w:r>
              <w:rPr>
                <w:rFonts w:hint="eastAsia" w:ascii="宋体" w:hAnsi="宋体" w:eastAsia="宋体" w:cs="宋体"/>
                <w:color w:val="000000"/>
                <w:sz w:val="21"/>
                <w:szCs w:val="21"/>
                <w:highlight w:val="none"/>
                <w:shd w:val="clear" w:color="auto" w:fill="auto"/>
              </w:rPr>
              <w:t>网络施工、调测以及割接升级期间，需与现有网络衔接，不能对现有业务系统产生影响。</w:t>
            </w:r>
          </w:p>
          <w:p w14:paraId="191739BF">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shd w:val="clear" w:color="auto" w:fill="auto"/>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6.租用服务期：3年。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10FB275">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144000.00</w:t>
            </w:r>
          </w:p>
        </w:tc>
      </w:tr>
      <w:tr w14:paraId="1D879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right w:val="single" w:color="auto" w:sz="4" w:space="0"/>
            </w:tcBorders>
            <w:noWrap w:val="0"/>
            <w:vAlign w:val="center"/>
          </w:tcPr>
          <w:p w14:paraId="7857DDE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417A8F3F">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7469BB8E">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1G互联网专线租用服务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472FC2C7">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条</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62C7C0B">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0EAC7E12">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1.互联网专线，带宽1.5G，速率上下行一致，平均网络时延≦20ms，丢包率≤0.05%，抖动≤0.01秒,可用性应大于99.9% ，</w:t>
            </w:r>
            <w:r>
              <w:rPr>
                <w:rFonts w:hint="eastAsia" w:ascii="宋体" w:hAnsi="宋体" w:eastAsia="宋体" w:cs="宋体"/>
                <w:color w:val="000000"/>
                <w:sz w:val="21"/>
                <w:szCs w:val="21"/>
                <w:shd w:val="clear" w:color="auto" w:fill="auto"/>
              </w:rPr>
              <w:t>端对端电路误码率≤10E-7（1×10-7）</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i w:val="0"/>
                <w:iCs w:val="0"/>
                <w:color w:val="000000"/>
                <w:kern w:val="0"/>
                <w:sz w:val="21"/>
                <w:szCs w:val="21"/>
                <w:u w:val="none"/>
                <w:lang w:val="en-US" w:eastAsia="zh-CN" w:bidi="ar"/>
              </w:rPr>
              <w:t>提供不少于32个互联网固定IPV6地址。</w:t>
            </w:r>
            <w:r>
              <w:rPr>
                <w:rFonts w:hint="eastAsia" w:ascii="宋体" w:hAnsi="宋体" w:eastAsia="宋体" w:cs="宋体"/>
                <w:color w:val="000000"/>
                <w:sz w:val="21"/>
                <w:szCs w:val="21"/>
                <w:highlight w:val="none"/>
                <w:shd w:val="clear" w:color="auto" w:fill="auto"/>
              </w:rPr>
              <w:t>要求免费提供接入设备；电路要求采用符合《广西电子政务外网网络技术规范》（2022年修订版）文件要求的传输技术，传输设备具有可网管能力，提供端对端透明</w:t>
            </w:r>
            <w:r>
              <w:rPr>
                <w:rFonts w:hint="eastAsia" w:ascii="宋体" w:hAnsi="宋体" w:eastAsia="宋体" w:cs="宋体"/>
                <w:color w:val="000000"/>
                <w:sz w:val="21"/>
                <w:szCs w:val="21"/>
                <w:shd w:val="clear" w:color="auto" w:fill="auto"/>
              </w:rPr>
              <w:t>传输电路，要求保证采购人的数字电路</w:t>
            </w:r>
            <w:r>
              <w:rPr>
                <w:rFonts w:hint="eastAsia" w:ascii="宋体" w:hAnsi="宋体" w:eastAsia="宋体" w:cs="宋体"/>
                <w:color w:val="000000"/>
                <w:sz w:val="21"/>
                <w:szCs w:val="21"/>
                <w:shd w:val="clear" w:color="auto" w:fill="auto"/>
                <w:lang w:eastAsia="zh-CN"/>
              </w:rPr>
              <w:t>专线</w:t>
            </w:r>
            <w:r>
              <w:rPr>
                <w:rFonts w:hint="eastAsia" w:ascii="宋体" w:hAnsi="宋体" w:eastAsia="宋体" w:cs="宋体"/>
                <w:color w:val="000000"/>
                <w:sz w:val="21"/>
                <w:szCs w:val="21"/>
                <w:shd w:val="clear" w:color="auto" w:fill="auto"/>
              </w:rPr>
              <w:t>与互联网物理隔离。</w:t>
            </w:r>
          </w:p>
          <w:p w14:paraId="08F1D1D5">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 w:val="21"/>
                <w:szCs w:val="21"/>
                <w:shd w:val="clear" w:color="auto" w:fill="auto"/>
              </w:rPr>
              <w:t>接入的光端设备要求提供各种主流物理光、电接口，如RJ45/LC/FC等供采购人使用。</w:t>
            </w:r>
          </w:p>
          <w:p w14:paraId="1BBEDEF6">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color w:val="000000"/>
                <w:sz w:val="21"/>
                <w:szCs w:val="21"/>
                <w:shd w:val="clear" w:color="auto" w:fill="auto"/>
              </w:rPr>
              <w:t>汇聚层、核心层均为自愈环保护，具有故障自动倒换功能，能保证各电路不会因光缆的意外阻断和部分设备的故障而中断。自愈保护是指在网络发生故障（例如光纤断）时，无需人为干预，网络自动地在极短的时间内，使业务自动从故障中恢</w:t>
            </w:r>
            <w:r>
              <w:rPr>
                <w:rFonts w:hint="eastAsia" w:ascii="宋体" w:hAnsi="宋体" w:eastAsia="宋体" w:cs="宋体"/>
                <w:color w:val="000000"/>
                <w:sz w:val="21"/>
                <w:szCs w:val="21"/>
                <w:highlight w:val="none"/>
                <w:shd w:val="clear" w:color="auto" w:fill="auto"/>
              </w:rPr>
              <w:t>复。</w:t>
            </w:r>
          </w:p>
          <w:p w14:paraId="449E5C1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 w:val="21"/>
                <w:szCs w:val="21"/>
                <w:highlight w:val="none"/>
                <w:shd w:val="clear" w:color="auto" w:fill="auto"/>
              </w:rPr>
              <w:t>接入地点：采购人指定地点，铺设路程由中标方自行勘探。</w:t>
            </w:r>
          </w:p>
          <w:p w14:paraId="7DFFA409">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color w:val="000000"/>
                <w:sz w:val="21"/>
                <w:szCs w:val="21"/>
                <w:highlight w:val="none"/>
                <w:shd w:val="clear" w:color="auto" w:fill="auto"/>
                <w:lang w:val="en-US" w:eastAsia="zh-CN"/>
              </w:rPr>
              <w:t>5.</w:t>
            </w:r>
            <w:r>
              <w:rPr>
                <w:rFonts w:hint="eastAsia" w:ascii="宋体" w:hAnsi="宋体" w:eastAsia="宋体" w:cs="宋体"/>
                <w:color w:val="000000"/>
                <w:sz w:val="21"/>
                <w:szCs w:val="21"/>
                <w:highlight w:val="none"/>
                <w:shd w:val="clear" w:color="auto" w:fill="auto"/>
              </w:rPr>
              <w:t>网络施工、调测以及割接升级期间，需与现有网络衔接，不能对现有业务系统产生影响。</w:t>
            </w:r>
          </w:p>
          <w:p w14:paraId="47D86664">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color w:val="000000"/>
                <w:sz w:val="21"/>
                <w:szCs w:val="21"/>
                <w:shd w:val="clear" w:color="auto" w:fill="auto"/>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6.租用服务期：3年。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FE1BAB8">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115200.00</w:t>
            </w:r>
          </w:p>
        </w:tc>
      </w:tr>
      <w:tr w14:paraId="201C1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right w:val="single" w:color="auto" w:sz="4" w:space="0"/>
            </w:tcBorders>
            <w:noWrap w:val="0"/>
            <w:vAlign w:val="center"/>
          </w:tcPr>
          <w:p w14:paraId="00AEA01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2C79B0F4">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4516E5F3">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3G互联网专线租用服务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650E45EE">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条</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7AA0B73">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7F6CEC82">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1.互联网专线，带宽3G，速率上下行一致，平均网络时延≦20ms，丢包率≤0.05%，抖动≤0.01秒,可用性应大于99.9% ，</w:t>
            </w:r>
            <w:r>
              <w:rPr>
                <w:rFonts w:hint="eastAsia" w:ascii="宋体" w:hAnsi="宋体" w:eastAsia="宋体" w:cs="宋体"/>
                <w:color w:val="000000"/>
                <w:sz w:val="21"/>
                <w:szCs w:val="21"/>
                <w:shd w:val="clear" w:color="auto" w:fill="auto"/>
              </w:rPr>
              <w:t>端对端电路误码率≤10E-7（1×10-7）</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i w:val="0"/>
                <w:iCs w:val="0"/>
                <w:color w:val="000000"/>
                <w:kern w:val="0"/>
                <w:sz w:val="21"/>
                <w:szCs w:val="21"/>
                <w:u w:val="none"/>
                <w:lang w:val="en-US" w:eastAsia="zh-CN" w:bidi="ar"/>
              </w:rPr>
              <w:t>提供不少于30个公网固定IP地址。</w:t>
            </w:r>
            <w:r>
              <w:rPr>
                <w:rFonts w:hint="eastAsia" w:ascii="宋体" w:hAnsi="宋体" w:eastAsia="宋体" w:cs="宋体"/>
                <w:color w:val="000000"/>
                <w:sz w:val="21"/>
                <w:szCs w:val="21"/>
                <w:highlight w:val="none"/>
                <w:shd w:val="clear" w:color="auto" w:fill="auto"/>
              </w:rPr>
              <w:t>要求免费提供接入设备；电路要求采用符合《广西电子政务外网网络技术规范》（2022年修订版）文件要求的传输技术，传输设备具有可网管能力，提供端对端透明</w:t>
            </w:r>
            <w:r>
              <w:rPr>
                <w:rFonts w:hint="eastAsia" w:ascii="宋体" w:hAnsi="宋体" w:eastAsia="宋体" w:cs="宋体"/>
                <w:color w:val="000000"/>
                <w:sz w:val="21"/>
                <w:szCs w:val="21"/>
                <w:shd w:val="clear" w:color="auto" w:fill="auto"/>
              </w:rPr>
              <w:t>传输电路，要求保证采购人的数字电路</w:t>
            </w:r>
            <w:r>
              <w:rPr>
                <w:rFonts w:hint="eastAsia" w:ascii="宋体" w:hAnsi="宋体" w:eastAsia="宋体" w:cs="宋体"/>
                <w:color w:val="000000"/>
                <w:sz w:val="21"/>
                <w:szCs w:val="21"/>
                <w:shd w:val="clear" w:color="auto" w:fill="auto"/>
                <w:lang w:eastAsia="zh-CN"/>
              </w:rPr>
              <w:t>专线</w:t>
            </w:r>
            <w:r>
              <w:rPr>
                <w:rFonts w:hint="eastAsia" w:ascii="宋体" w:hAnsi="宋体" w:eastAsia="宋体" w:cs="宋体"/>
                <w:color w:val="000000"/>
                <w:sz w:val="21"/>
                <w:szCs w:val="21"/>
                <w:shd w:val="clear" w:color="auto" w:fill="auto"/>
              </w:rPr>
              <w:t>与互联网物理隔离。</w:t>
            </w:r>
          </w:p>
          <w:p w14:paraId="3546C099">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 w:val="21"/>
                <w:szCs w:val="21"/>
                <w:shd w:val="clear" w:color="auto" w:fill="auto"/>
              </w:rPr>
              <w:t>接入的光端设备要求提供各种主流物理光、电接口，如RJ45/LC/FC等供采购人使用。</w:t>
            </w:r>
          </w:p>
          <w:p w14:paraId="35B8445C">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color w:val="000000"/>
                <w:sz w:val="21"/>
                <w:szCs w:val="21"/>
                <w:shd w:val="clear" w:color="auto" w:fill="auto"/>
              </w:rPr>
              <w:t>汇聚层、核心层均为自愈环保护，具有故障自动倒换功能，能保证各电路不会因光缆的意外阻断和部分设备的故障而中断。自愈保护是指在网络发生故障（例如光纤断）时，无需人为干预，网络自动地在极短的时间内，使业务自动从故障中恢</w:t>
            </w:r>
            <w:r>
              <w:rPr>
                <w:rFonts w:hint="eastAsia" w:ascii="宋体" w:hAnsi="宋体" w:eastAsia="宋体" w:cs="宋体"/>
                <w:color w:val="000000"/>
                <w:sz w:val="21"/>
                <w:szCs w:val="21"/>
                <w:highlight w:val="none"/>
                <w:shd w:val="clear" w:color="auto" w:fill="auto"/>
              </w:rPr>
              <w:t>复。</w:t>
            </w:r>
          </w:p>
          <w:p w14:paraId="2717005C">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 w:val="21"/>
                <w:szCs w:val="21"/>
                <w:highlight w:val="none"/>
                <w:shd w:val="clear" w:color="auto" w:fill="auto"/>
              </w:rPr>
              <w:t>接入地点：采购人指定地点，铺设路程由中标方自行勘探。</w:t>
            </w:r>
          </w:p>
          <w:p w14:paraId="43B2A3E1">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color w:val="000000"/>
                <w:sz w:val="21"/>
                <w:szCs w:val="21"/>
                <w:highlight w:val="none"/>
                <w:shd w:val="clear" w:color="auto" w:fill="auto"/>
                <w:lang w:val="en-US" w:eastAsia="zh-CN"/>
              </w:rPr>
              <w:t>5.</w:t>
            </w:r>
            <w:r>
              <w:rPr>
                <w:rFonts w:hint="eastAsia" w:ascii="宋体" w:hAnsi="宋体" w:eastAsia="宋体" w:cs="宋体"/>
                <w:color w:val="000000"/>
                <w:sz w:val="21"/>
                <w:szCs w:val="21"/>
                <w:highlight w:val="none"/>
                <w:shd w:val="clear" w:color="auto" w:fill="auto"/>
              </w:rPr>
              <w:t>网络施工、调测以及割接升级期间，需与现有网络衔接，不能对现有业务系统产生影响。</w:t>
            </w:r>
          </w:p>
          <w:p w14:paraId="5C8B2C9E">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shd w:val="clear" w:color="auto" w:fill="auto"/>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6.租用服务期：3年。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0259E5C">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504000.00</w:t>
            </w:r>
          </w:p>
        </w:tc>
      </w:tr>
      <w:tr w14:paraId="7D7E4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right w:val="single" w:color="auto" w:sz="4" w:space="0"/>
            </w:tcBorders>
            <w:noWrap w:val="0"/>
            <w:vAlign w:val="center"/>
          </w:tcPr>
          <w:p w14:paraId="1E89648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365A02A3">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6ED89F3B">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i w:val="0"/>
                <w:iCs w:val="0"/>
                <w:color w:val="000000"/>
                <w:kern w:val="0"/>
                <w:sz w:val="21"/>
                <w:szCs w:val="21"/>
                <w:highlight w:val="none"/>
                <w:u w:val="none"/>
                <w:lang w:val="en-US" w:eastAsia="zh-CN" w:bidi="ar"/>
              </w:rPr>
              <w:t>10G电路专线租用服务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2AD4E52F">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条</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7456ACD2">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14B38B89">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1.数据电路专线，带宽10G，速率上下行一致，平均网络时延≦20ms，丢包率≤0.05%，抖动≤0.01秒,可用性应大于99.9% ，</w:t>
            </w:r>
            <w:r>
              <w:rPr>
                <w:rFonts w:hint="eastAsia" w:ascii="宋体" w:hAnsi="宋体" w:eastAsia="宋体" w:cs="宋体"/>
                <w:color w:val="000000"/>
                <w:sz w:val="21"/>
                <w:szCs w:val="21"/>
                <w:shd w:val="clear" w:color="auto" w:fill="auto"/>
              </w:rPr>
              <w:t>端对端电路误码率≤10E-7（1×10-7）</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i w:val="0"/>
                <w:iCs w:val="0"/>
                <w:color w:val="000000"/>
                <w:kern w:val="0"/>
                <w:sz w:val="21"/>
                <w:szCs w:val="21"/>
                <w:u w:val="none"/>
                <w:lang w:val="en-US" w:eastAsia="zh-CN" w:bidi="ar"/>
              </w:rPr>
              <w:t>支持面向分组的弹性网络，网络带宽可平滑升级。支持点对点、汇聚两种模式组网。</w:t>
            </w:r>
            <w:r>
              <w:rPr>
                <w:rFonts w:hint="eastAsia" w:ascii="宋体" w:hAnsi="宋体" w:eastAsia="宋体" w:cs="宋体"/>
                <w:color w:val="000000"/>
                <w:sz w:val="21"/>
                <w:szCs w:val="21"/>
                <w:highlight w:val="none"/>
                <w:shd w:val="clear" w:color="auto" w:fill="auto"/>
              </w:rPr>
              <w:t>要求免费提供接入设备；电路要求采用符合《广西电子政务外网网络技术规范》（2022年修订版）文件要求的传输技术，传输设备具有可网管能力，提供端对端透明</w:t>
            </w:r>
            <w:r>
              <w:rPr>
                <w:rFonts w:hint="eastAsia" w:ascii="宋体" w:hAnsi="宋体" w:eastAsia="宋体" w:cs="宋体"/>
                <w:color w:val="000000"/>
                <w:sz w:val="21"/>
                <w:szCs w:val="21"/>
                <w:shd w:val="clear" w:color="auto" w:fill="auto"/>
              </w:rPr>
              <w:t>传输电路，要求保证采购人的数字电路</w:t>
            </w:r>
            <w:r>
              <w:rPr>
                <w:rFonts w:hint="eastAsia" w:ascii="宋体" w:hAnsi="宋体" w:eastAsia="宋体" w:cs="宋体"/>
                <w:color w:val="000000"/>
                <w:sz w:val="21"/>
                <w:szCs w:val="21"/>
                <w:shd w:val="clear" w:color="auto" w:fill="auto"/>
                <w:lang w:eastAsia="zh-CN"/>
              </w:rPr>
              <w:t>专线</w:t>
            </w:r>
            <w:r>
              <w:rPr>
                <w:rFonts w:hint="eastAsia" w:ascii="宋体" w:hAnsi="宋体" w:eastAsia="宋体" w:cs="宋体"/>
                <w:color w:val="000000"/>
                <w:sz w:val="21"/>
                <w:szCs w:val="21"/>
                <w:shd w:val="clear" w:color="auto" w:fill="auto"/>
              </w:rPr>
              <w:t>与互联网物理隔离。</w:t>
            </w:r>
          </w:p>
          <w:p w14:paraId="647EB9D2">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 w:val="21"/>
                <w:szCs w:val="21"/>
                <w:shd w:val="clear" w:color="auto" w:fill="auto"/>
              </w:rPr>
              <w:t>接入的光端设备要求提供各种主流物理光、电接口，如RJ45/LC/FC等供采购人使用。</w:t>
            </w:r>
          </w:p>
          <w:p w14:paraId="20EF1D18">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color w:val="000000"/>
                <w:sz w:val="21"/>
                <w:szCs w:val="21"/>
                <w:shd w:val="clear" w:color="auto" w:fill="auto"/>
              </w:rPr>
              <w:t>汇聚层、核心层均为自愈环保护，具有故障自动倒换功能，能保证各电路不会因光缆的意外阻断和部分设备的故障而中断。自愈保护是指在网络发生故障（例如光纤断）时，无需人为干预，网络自动地在极短的时间内，使业务自动从故障中恢</w:t>
            </w:r>
            <w:r>
              <w:rPr>
                <w:rFonts w:hint="eastAsia" w:ascii="宋体" w:hAnsi="宋体" w:eastAsia="宋体" w:cs="宋体"/>
                <w:color w:val="000000"/>
                <w:sz w:val="21"/>
                <w:szCs w:val="21"/>
                <w:highlight w:val="none"/>
                <w:shd w:val="clear" w:color="auto" w:fill="auto"/>
              </w:rPr>
              <w:t>复。</w:t>
            </w:r>
          </w:p>
          <w:p w14:paraId="25C6BC1E">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 w:val="21"/>
                <w:szCs w:val="21"/>
                <w:highlight w:val="none"/>
                <w:shd w:val="clear" w:color="auto" w:fill="auto"/>
              </w:rPr>
              <w:t>接入地点：采购人指定地点，铺设路程由中标方自行勘探。</w:t>
            </w:r>
          </w:p>
          <w:p w14:paraId="4F540DC3">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color w:val="000000"/>
                <w:sz w:val="21"/>
                <w:szCs w:val="21"/>
                <w:highlight w:val="none"/>
                <w:shd w:val="clear" w:color="auto" w:fill="auto"/>
                <w:lang w:val="en-US" w:eastAsia="zh-CN"/>
              </w:rPr>
              <w:t>5.</w:t>
            </w:r>
            <w:r>
              <w:rPr>
                <w:rFonts w:hint="eastAsia" w:ascii="宋体" w:hAnsi="宋体" w:eastAsia="宋体" w:cs="宋体"/>
                <w:color w:val="000000"/>
                <w:sz w:val="21"/>
                <w:szCs w:val="21"/>
                <w:highlight w:val="none"/>
                <w:shd w:val="clear" w:color="auto" w:fill="auto"/>
              </w:rPr>
              <w:t>网络施工、调测以及割接升级期间，需与现有网络衔接，不能对现有业务系统产生影响。</w:t>
            </w:r>
          </w:p>
          <w:p w14:paraId="22466DD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shd w:val="clear" w:color="auto" w:fill="auto"/>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6.租用服务期：3年。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B2C9E24">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288000.00</w:t>
            </w:r>
          </w:p>
        </w:tc>
      </w:tr>
      <w:tr w14:paraId="65B68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right w:val="single" w:color="auto" w:sz="4" w:space="0"/>
            </w:tcBorders>
            <w:noWrap w:val="0"/>
            <w:vAlign w:val="center"/>
          </w:tcPr>
          <w:p w14:paraId="09F8A23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411D9C5C">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55959FFD">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防城港市电子政务外网市本级城域网设备维保服务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1CD914FA">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年</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9F7FE0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1F25D36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1.故障响应服务</w:t>
            </w:r>
          </w:p>
          <w:p w14:paraId="73C9CFE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联合售后运维团队提供7×24小时热线及运维保障值守服务，为维保设备提供及时的响应服务。包含但不限于故障的排查、分析、恢复；确认排除、恢复的结果；设备硬件报修及跟踪处理；故障硬件或模块更换等。</w:t>
            </w:r>
          </w:p>
          <w:p w14:paraId="3F2EBA9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（2）维保设备出现故障时，</w:t>
            </w:r>
            <w:r>
              <w:rPr>
                <w:rFonts w:hint="eastAsia" w:ascii="宋体" w:hAnsi="宋体" w:eastAsia="宋体" w:cs="宋体"/>
                <w:color w:val="000000"/>
                <w:sz w:val="21"/>
                <w:szCs w:val="21"/>
              </w:rPr>
              <w:t>重大故障≤30分钟响应、≤4小时恢复</w:t>
            </w:r>
            <w:r>
              <w:rPr>
                <w:rFonts w:hint="eastAsia" w:ascii="宋体" w:hAnsi="宋体" w:eastAsia="宋体" w:cs="宋体"/>
                <w:i w:val="0"/>
                <w:iCs w:val="0"/>
                <w:color w:val="000000"/>
                <w:kern w:val="0"/>
                <w:sz w:val="21"/>
                <w:szCs w:val="21"/>
                <w:u w:val="none"/>
                <w:lang w:val="en-US" w:eastAsia="zh-CN" w:bidi="ar"/>
              </w:rPr>
              <w:t>；因设备硬件故障无法按时处理的，应报修给厂商，由原厂商协助解决，除不可抗力因素外，设备硬件故障均由设备维保服务费用支出。</w:t>
            </w:r>
          </w:p>
          <w:p w14:paraId="0432CDC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2.日常管理和技术支持</w:t>
            </w:r>
          </w:p>
          <w:p w14:paraId="47E4C56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对维保设备进行日常管理。包含但不限于：</w:t>
            </w:r>
          </w:p>
          <w:p w14:paraId="6C3AA18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（1）设备硬件（上、下架）安装、设备硬件配置和加电调试；</w:t>
            </w:r>
          </w:p>
          <w:p w14:paraId="43362BF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提供设备维保服务：公共服务区边界防火墙2台(华为USG6615E）、公共服务区汇聚交换机2台（华为CE6881-48S6CQ）、企业接入区边界防火墙2台（华为USG6585E）、企业接入区汇聚交换机2台（华为S5732-H24S6Q）、数据库审计1台（华为DAS 数据库审计系统）、日志审计系统1套（华为eLog 日志审计系统）、运维管理系统1套（华为eSight）、互联网接入区负载均衡2台（启明星辰ADC6000-N6220）、互联网接入区防火墙2台（华为USG6655E）、互联网接入区入侵防御检测2套（华为NIP6680）、互联网接入区应用控制网关2台（华为ASG5550）、互联网接入区交换机1台（华为S5720-36C-EI-AC）、核心防火墙2台（华为USG6655E）、城域网核心路由器2台（华为NE40E-X16A）、政府大院汇聚交换机1台（华为S12708）、红树林大厦汇聚交换机1台（华为S12708）、一类接入网关26台（华为USG6525E）、二类接入网关20台（华为USG6555E）、三类接入网关5台（华为USG6625E）、二层机构接入交换机35台（华为S5736-S24T4XC）、楼层接入交换机29台（华为S5720-28X-SI-AC）等安全设备3年服务期内的特征库、病毒库相关应用升级更新以及以上设备损坏更换（除原厂商停产停服的设备之外）；</w:t>
            </w:r>
          </w:p>
          <w:p w14:paraId="5D41A94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（3）设备配置管理服务；</w:t>
            </w:r>
          </w:p>
          <w:p w14:paraId="01FAF51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（4）设备事件管理服务；</w:t>
            </w:r>
          </w:p>
          <w:p w14:paraId="48E4E17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（5）提供双因子认证服务。</w:t>
            </w:r>
          </w:p>
          <w:p w14:paraId="1BA8A5D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（6）IP地址与电脑MAC地址绑定整改及新增开通。</w:t>
            </w:r>
          </w:p>
          <w:p w14:paraId="0459AD6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（7）IP地址台账建立，包括但不限于IP地址使用单位、绑定电脑MAC、使用人等。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提供必要的技术支持，提高系统管理人员在系统维护操作方面的工作能力和技术素养，以及常见故障的处理方法和经验。主要包括掌握服务产品的日常使用、维护管理和配置方法；系统故障期的应急处理程序，进行一线诊断和应采取的适当措施；对每次的故障进行总结交流，提高故障的处理能力；对其它典型案例进行剖析，增加解决问题的经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3.资产的收集和统计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对维保设备资产进行统计并建立相关制度，对维保设备资产进行全面和有效的管理。包含但不限于设备型号、数量、版本和补丁等信息的统计，提供网络布线标识等。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4.设备运行状况监测服务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对维保设备进行日常运行状态监控，定期记录设备是否可以正常使用、检测设备的性能参数等。对日志进行检查，</w:t>
            </w:r>
            <w:r>
              <w:rPr>
                <w:rFonts w:hint="eastAsia" w:ascii="宋体" w:hAnsi="宋体" w:eastAsia="宋体" w:cs="宋体"/>
                <w:color w:val="000000"/>
                <w:sz w:val="21"/>
                <w:szCs w:val="21"/>
              </w:rPr>
              <w:t>日志留存≥6个月，支持审计追溯</w:t>
            </w:r>
            <w:r>
              <w:rPr>
                <w:rFonts w:hint="eastAsia" w:ascii="宋体" w:hAnsi="宋体" w:eastAsia="宋体" w:cs="宋体"/>
                <w:color w:val="000000"/>
                <w:sz w:val="21"/>
                <w:szCs w:val="21"/>
                <w:lang w:eastAsia="zh-CN"/>
              </w:rPr>
              <w:t>，</w:t>
            </w:r>
            <w:r>
              <w:rPr>
                <w:rFonts w:hint="eastAsia" w:ascii="宋体" w:hAnsi="宋体" w:eastAsia="宋体" w:cs="宋体"/>
                <w:i w:val="0"/>
                <w:iCs w:val="0"/>
                <w:color w:val="000000"/>
                <w:kern w:val="0"/>
                <w:sz w:val="21"/>
                <w:szCs w:val="21"/>
                <w:u w:val="none"/>
                <w:lang w:val="en-US" w:eastAsia="zh-CN" w:bidi="ar"/>
              </w:rPr>
              <w:t>对重点事件进行记录，对安全事件的产生原因进行判断和解决，并提交事件记录报告。对设备的运行数据进行记录，形成报表进行统计分析，便于进行系统的分析和故障的提前预知。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▲5.设备巡检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定期对维保设备进行巡检。要求每月不少于一次到设备所在地进行巡检服务。在重大项目和活动、系统改造等重要操作日期前，增加对系统现场巡检支持服务，并提供巡检服务报告。检查内容应包含但不限于以下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（1）检查设备运行状态，设备物理及环境状态，更换有故障的部件；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（2）检查设备日志文件、设备错误记录以及设备资源使用率等，分析系统存在的隐患；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（3）根据设备检查及分析结果，提出建议和解决措施；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（4）对设备进行清洁除尘等例行工作；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6.应急演练服务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制定设备应急处置方案、演练计划，按计划实施演练，编写应急演练总结报告，对演练中出现的问题进行处理，就演练发现的问题进行分析，提出整改建议，不定期更新、修订相关文档、方案。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7.文档报告服务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期提供服务报告，服务期结束前应提供服务年报，并对每一次重大故障和问题的原因、解决方法、完成情况等形成专门报告，及时报送用户部门和服务管理部门。在运维服务过程中将产生不限于以下的记录和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（1）巡检日志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（2）维护记录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（3）优化记录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（4）故障分析处理记录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（5）整改方案和建议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（6）重大故障记录报告</w:t>
            </w:r>
          </w:p>
          <w:p w14:paraId="3595AC8E">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8.包括但不仅限于因进水、雷击等不可抗力或非正常工况导致的设备损坏，若设备原厂厂家明确排除在维保范围之外的，则不属于本项目维保范围。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71F0A2E">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904149.60</w:t>
            </w:r>
          </w:p>
        </w:tc>
      </w:tr>
      <w:tr w14:paraId="6000A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bottom w:val="single" w:color="auto" w:sz="4" w:space="0"/>
              <w:right w:val="single" w:color="auto" w:sz="4" w:space="0"/>
            </w:tcBorders>
            <w:noWrap w:val="0"/>
            <w:vAlign w:val="center"/>
          </w:tcPr>
          <w:p w14:paraId="6A1FAF3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4C8CF4F5">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7C875366">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网络运维工程师定制驻点服务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79D1371F">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年</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C5B3B6E">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296F655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b w:val="0"/>
                <w:bCs w:val="0"/>
                <w:color w:val="000000"/>
                <w:sz w:val="21"/>
                <w:szCs w:val="21"/>
                <w:lang w:val="en-US" w:eastAsia="zh-CN"/>
              </w:rPr>
              <w:t>1.</w:t>
            </w:r>
            <w:r>
              <w:rPr>
                <w:rFonts w:hint="eastAsia" w:ascii="宋体" w:hAnsi="宋体" w:eastAsia="宋体" w:cs="宋体"/>
                <w:i w:val="0"/>
                <w:iCs w:val="0"/>
                <w:color w:val="000000"/>
                <w:kern w:val="0"/>
                <w:sz w:val="21"/>
                <w:szCs w:val="21"/>
                <w:u w:val="none"/>
                <w:lang w:val="en-US" w:eastAsia="zh-CN" w:bidi="ar"/>
              </w:rPr>
              <w:t>提供1名网络运维驻场人员服务，</w:t>
            </w:r>
            <w:r>
              <w:rPr>
                <w:rFonts w:hint="eastAsia" w:ascii="宋体" w:hAnsi="宋体" w:eastAsia="宋体" w:cs="宋体"/>
                <w:color w:val="000000"/>
                <w:sz w:val="21"/>
                <w:szCs w:val="21"/>
              </w:rPr>
              <w:t>包含设备监控、网络攻防演练、文档报告等服务</w:t>
            </w:r>
            <w:r>
              <w:rPr>
                <w:rFonts w:hint="eastAsia" w:ascii="宋体" w:hAnsi="宋体" w:eastAsia="宋体" w:cs="宋体"/>
                <w:color w:val="000000"/>
                <w:sz w:val="21"/>
                <w:szCs w:val="21"/>
                <w:lang w:eastAsia="zh-CN"/>
              </w:rPr>
              <w:t>，</w:t>
            </w:r>
            <w:r>
              <w:rPr>
                <w:rFonts w:hint="eastAsia" w:ascii="宋体" w:hAnsi="宋体" w:eastAsia="宋体" w:cs="宋体"/>
                <w:i w:val="0"/>
                <w:iCs w:val="0"/>
                <w:color w:val="000000"/>
                <w:kern w:val="0"/>
                <w:sz w:val="21"/>
                <w:szCs w:val="21"/>
                <w:u w:val="none"/>
                <w:lang w:val="en-US" w:eastAsia="zh-CN" w:bidi="ar"/>
              </w:rPr>
              <w:t>按工作计划和要求对防城港市电子政务外网系统进行运行维护服务。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2.运用运维管理系统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①通过运维管理系统对外网资产运行状态和流量进行监控，包括：设备的CPU利用率，内存利用率，设备板卡状态，线路通断，带宽利用率，路由协议运行状态、路由表等内容。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②每班次结束编写值班报告，将设备运行状况，网络设备性能情况导入值班报告，同时导出互联网接口流量情况、与自治区政务外网广域网接入流量情况以及链路通断情况。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③知识库的建立和完善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3.应用系统运维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④机房视频监控及门禁系统运维：保障视频监控及门禁系统正常运行。定期检查门禁记录，重点检查非正常刷卡记录。定期更改机房门禁密码。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⑤备份系统运维：保障备份系统正常运行；检查备份计划执行情况；新增备份计划、删除备份内容、还原备份数据。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4.机房运维管理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①熟悉机房环境监控系统的使用操作，通过环境监控系统实时监控机房环境，保证机房设备在良好的环境下运转。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②机房清洁，每月安排一次专人对机房进行清洁工作，包括地板下桥架清洁、地板清洁、机柜清洁、设备清洁等。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③对外来人员进出机房进行登记并归档。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④建立机房设备管理制度执行，每台设备挂上标签标明用途，所属单位，设备责任人。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⑤对门禁、视频监控系统的正常运行进行管理，对故障设备进行维修或更换处理。对系统发现的异常情况进行及时处理。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b w:val="0"/>
                <w:bCs w:val="0"/>
                <w:color w:val="000000"/>
                <w:sz w:val="21"/>
                <w:szCs w:val="21"/>
                <w:lang w:val="en-US" w:eastAsia="zh-CN"/>
              </w:rPr>
              <w:t>5</w:t>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用户单位网络接入服务：防城港市电子政务外网市本级横向与委办接入单位城域网接入服务，具体包括：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①协助运营商提供接入技术支持服务，包括配置管理和联调对接。</w:t>
            </w:r>
          </w:p>
          <w:p w14:paraId="102D3A47">
            <w:pPr>
              <w:keepNext w:val="0"/>
              <w:keepLines w:val="0"/>
              <w:pageBreakBefore w:val="0"/>
              <w:kinsoku/>
              <w:wordWrap/>
              <w:overflowPunct/>
              <w:topLinePunct w:val="0"/>
              <w:autoSpaceDE/>
              <w:autoSpaceDN/>
              <w:bidi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②完成IP地址与电脑MAC地址绑定整改及新增开通。</w:t>
            </w:r>
          </w:p>
          <w:p w14:paraId="54B120A2">
            <w:pPr>
              <w:keepNext w:val="0"/>
              <w:keepLines w:val="0"/>
              <w:pageBreakBefore w:val="0"/>
              <w:kinsoku/>
              <w:wordWrap/>
              <w:overflowPunct/>
              <w:topLinePunct w:val="0"/>
              <w:autoSpaceDE/>
              <w:autoSpaceDN/>
              <w:bidi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6.联合售后运维团队提供7×24小时技术咨询及运维保障值守服务。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b w:val="0"/>
                <w:bCs w:val="0"/>
                <w:color w:val="000000"/>
                <w:sz w:val="21"/>
                <w:szCs w:val="21"/>
                <w:lang w:val="en-US" w:eastAsia="zh-CN"/>
              </w:rPr>
              <w:t>7</w:t>
            </w:r>
            <w:r>
              <w:rPr>
                <w:rFonts w:hint="eastAsia" w:ascii="宋体" w:hAnsi="宋体" w:eastAsia="宋体" w:cs="宋体"/>
                <w:i w:val="0"/>
                <w:iCs w:val="0"/>
                <w:color w:val="000000"/>
                <w:kern w:val="0"/>
                <w:sz w:val="21"/>
                <w:szCs w:val="21"/>
                <w:u w:val="none"/>
                <w:lang w:val="en-US" w:eastAsia="zh-CN" w:bidi="ar"/>
              </w:rPr>
              <w:t>.自治区外网对接服务，提供接入技术支持服务，包括配置管理和联调对接。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8.故障排查，</w:t>
            </w:r>
            <w:r>
              <w:rPr>
                <w:rFonts w:hint="eastAsia" w:ascii="宋体" w:hAnsi="宋体" w:eastAsia="宋体" w:cs="宋体"/>
                <w:color w:val="000000"/>
                <w:sz w:val="21"/>
                <w:szCs w:val="21"/>
              </w:rPr>
              <w:t>故障分级响应，重大故障≤30分钟响应、≤4小时恢复</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①外网接入单位用户无法访问系统故障定位故障原因及处理。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②外网接入单位用户VPN纵向业务故障定位故障原因及处理。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③机房设备发生故障协助定位故障原因及处理。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④统一互联网出口故障协助运营商定位故障原因及处理。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⑤提供接入技术支持服务，包括配置管理和联调对接。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9.巡检服务：利用专业工具，全程自动化，无需人工分析，提升工作效率，为客户网络提供专业、深入、智能的管家式服务。系统性管理客户、管理客户设备，自动收集信息，通过后台嵌入的风险库和问题库，自动化完成风险评估，自动化输出报告，提供专业优化建议。具体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①防城港市行政中心大楼6楼防城港市电子政务外网广域网节点机房每天进行一次现场巡检，输出巡检报告。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②外网接入单位节点设备每月进行一次远程自动化巡检服务，输出巡检报告。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③重要节点（市政府、市委、红树林大厦）每年度进行一次现场巡检，其他节点抽取10%比例采样每年度进行一次现场巡检服务。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10.资料收集管理：建立完善的运维服务资料库，保证防城港市电子政务外网运维服务资料文件的完整和安全，便于查找利用，做好文件资料的记录、收集、管理，并装订成册，每年提交至采购人。具体包括：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①单位接入资料。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②IP地址台账建立，包括但不限于IP地址使用单位、绑定电脑MAC、使用人等。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③设备资产登记。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④故障处理记录。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⑤日常网络数据记录。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⑥产品使用手册。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⑦运维服务内部人员通信录、全市接入点位节点单位及合作厂商、供应商通信录管理。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11.资产管理：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①收集、整理并建立网络设备固定资产资料和配置库并提交给用户。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②整理维护IP地址表，包括互联网地址，私网地址、映射地址表，保证充分利用IP地址。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③建立、维护并提交全网的网络拓扑图和相关技术说明。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12.技术培训：定期对用户提供网络、虚拟化、存储、安全等专业技术培训，次数不限。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13.驻场运维人员要求：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①大学专科及以上学历，要求专业为计算机类相关专业。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②1年以上网络工程、网络运维、网络安全等相关业务的工作经验。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③具有CCNA或同等技术能力的网络工程师技术认证资质，熟悉网络设备主流品牌产品体系的配置和维护。</w:t>
            </w:r>
          </w:p>
          <w:p w14:paraId="3168120E">
            <w:pPr>
              <w:keepNext w:val="0"/>
              <w:keepLines w:val="0"/>
              <w:pageBreakBefore w:val="0"/>
              <w:kinsoku/>
              <w:wordWrap/>
              <w:overflowPunct/>
              <w:topLinePunct w:val="0"/>
              <w:autoSpaceDE/>
              <w:autoSpaceDN/>
              <w:bidi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注：</w:t>
            </w:r>
            <w:r>
              <w:rPr>
                <w:rFonts w:hint="default" w:ascii="Times New Roman" w:hAnsi="Times New Roman" w:eastAsia="宋体" w:cs="Times New Roman"/>
                <w:i w:val="0"/>
                <w:iCs w:val="0"/>
                <w:color w:val="auto"/>
                <w:kern w:val="0"/>
                <w:sz w:val="21"/>
                <w:szCs w:val="21"/>
                <w:highlight w:val="none"/>
                <w:u w:val="none"/>
                <w:lang w:val="en-US" w:eastAsia="zh-CN" w:bidi="ar"/>
              </w:rPr>
              <w:t>必须提供</w:t>
            </w:r>
            <w:r>
              <w:rPr>
                <w:rFonts w:hint="eastAsia" w:ascii="Times New Roman" w:hAnsi="Times New Roman" w:eastAsia="宋体" w:cs="Times New Roman"/>
                <w:i w:val="0"/>
                <w:iCs w:val="0"/>
                <w:color w:val="auto"/>
                <w:kern w:val="0"/>
                <w:sz w:val="21"/>
                <w:szCs w:val="21"/>
                <w:highlight w:val="none"/>
                <w:u w:val="none"/>
                <w:lang w:val="en-US" w:eastAsia="zh-CN" w:bidi="ar"/>
              </w:rPr>
              <w:t>人员</w:t>
            </w:r>
            <w:r>
              <w:rPr>
                <w:rFonts w:hint="default" w:ascii="Times New Roman" w:hAnsi="Times New Roman" w:eastAsia="宋体" w:cs="Times New Roman"/>
                <w:i w:val="0"/>
                <w:iCs w:val="0"/>
                <w:color w:val="auto"/>
                <w:kern w:val="0"/>
                <w:sz w:val="21"/>
                <w:szCs w:val="21"/>
                <w:highlight w:val="none"/>
                <w:u w:val="none"/>
                <w:lang w:val="en-US" w:eastAsia="zh-CN" w:bidi="ar"/>
              </w:rPr>
              <w:t>学历</w:t>
            </w:r>
            <w:r>
              <w:rPr>
                <w:rFonts w:hint="eastAsia" w:ascii="Times New Roman" w:hAnsi="Times New Roman" w:eastAsia="宋体" w:cs="Times New Roman"/>
                <w:i w:val="0"/>
                <w:iCs w:val="0"/>
                <w:color w:val="auto"/>
                <w:kern w:val="0"/>
                <w:sz w:val="21"/>
                <w:szCs w:val="21"/>
                <w:highlight w:val="none"/>
                <w:u w:val="none"/>
                <w:lang w:val="en-US" w:eastAsia="zh-CN" w:bidi="ar"/>
              </w:rPr>
              <w:t>、专业、工作经验证明材料</w:t>
            </w:r>
            <w:r>
              <w:rPr>
                <w:rFonts w:hint="default" w:ascii="Times New Roman" w:hAnsi="Times New Roman" w:eastAsia="宋体" w:cs="Times New Roman"/>
                <w:i w:val="0"/>
                <w:iCs w:val="0"/>
                <w:color w:val="auto"/>
                <w:kern w:val="0"/>
                <w:sz w:val="21"/>
                <w:szCs w:val="21"/>
                <w:highlight w:val="none"/>
                <w:u w:val="none"/>
                <w:lang w:val="en-US" w:eastAsia="zh-CN" w:bidi="ar"/>
              </w:rPr>
              <w:t>及相关证书复印件并加盖供应商电子公章，否则按无效投标处理。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w:t>
            </w:r>
            <w:r>
              <w:rPr>
                <w:rFonts w:hint="eastAsia" w:ascii="宋体" w:hAnsi="宋体" w:eastAsia="宋体" w:cs="宋体"/>
                <w:color w:val="000000"/>
                <w:sz w:val="21"/>
                <w:szCs w:val="21"/>
              </w:rPr>
              <w:t>定期安全评估与渗透测试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建立安全事件处置流程，定期</w:t>
            </w:r>
            <w:r>
              <w:rPr>
                <w:rFonts w:hint="eastAsia" w:ascii="宋体" w:hAnsi="宋体" w:eastAsia="宋体" w:cs="宋体"/>
                <w:color w:val="000000"/>
                <w:sz w:val="21"/>
                <w:szCs w:val="21"/>
                <w:lang w:eastAsia="zh-CN"/>
              </w:rPr>
              <w:t>配合开展网络安全攻防</w:t>
            </w:r>
            <w:r>
              <w:rPr>
                <w:rFonts w:hint="eastAsia" w:ascii="宋体" w:hAnsi="宋体" w:eastAsia="宋体" w:cs="宋体"/>
                <w:color w:val="000000"/>
                <w:sz w:val="21"/>
                <w:szCs w:val="21"/>
              </w:rPr>
              <w:t>演练。</w:t>
            </w:r>
          </w:p>
          <w:p w14:paraId="0CF370A4">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color w:val="00000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15.项目运维考核评价：运维考核评价采取日常维保服务质量评分、季度维保服务质量评分相结合的办法，考核评分结果作为维护服务工作质量评价、费用核拨及其它奖惩的重要依据。</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ED58B57">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251700.00</w:t>
            </w:r>
          </w:p>
        </w:tc>
      </w:tr>
      <w:tr w14:paraId="2E358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restart"/>
            <w:tcBorders>
              <w:top w:val="single" w:color="auto" w:sz="4" w:space="0"/>
              <w:left w:val="single" w:color="auto" w:sz="4" w:space="0"/>
              <w:right w:val="single" w:color="auto" w:sz="4" w:space="0"/>
            </w:tcBorders>
            <w:noWrap w:val="0"/>
            <w:vAlign w:val="center"/>
          </w:tcPr>
          <w:p w14:paraId="61FAA615">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商务条款</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168799E1">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b w:val="0"/>
                <w:bCs w:val="0"/>
                <w:color w:val="000000"/>
                <w:sz w:val="21"/>
                <w:szCs w:val="21"/>
              </w:rPr>
              <w:t>合同签订期</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790E9CB5">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color w:val="000000"/>
                <w:sz w:val="21"/>
                <w:szCs w:val="21"/>
                <w:shd w:val="clear" w:color="auto" w:fill="auto"/>
              </w:rPr>
            </w:pPr>
            <w:r>
              <w:rPr>
                <w:rFonts w:hint="eastAsia" w:ascii="宋体" w:hAnsi="宋体" w:eastAsia="宋体" w:cs="宋体"/>
                <w:color w:val="000000"/>
                <w:sz w:val="21"/>
                <w:szCs w:val="21"/>
              </w:rPr>
              <w:t>自</w:t>
            </w:r>
            <w:r>
              <w:rPr>
                <w:rFonts w:hint="eastAsia" w:ascii="宋体" w:hAnsi="宋体" w:eastAsia="宋体" w:cs="宋体"/>
                <w:color w:val="000000"/>
                <w:sz w:val="21"/>
                <w:szCs w:val="21"/>
                <w:lang w:eastAsia="zh-CN"/>
              </w:rPr>
              <w:t>中标</w:t>
            </w:r>
            <w:r>
              <w:rPr>
                <w:rFonts w:hint="eastAsia" w:ascii="宋体" w:hAnsi="宋体" w:eastAsia="宋体" w:cs="宋体"/>
                <w:color w:val="000000"/>
                <w:sz w:val="21"/>
                <w:szCs w:val="21"/>
              </w:rPr>
              <w:t>通知书发出之日起</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日内。</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1E1DA3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r w14:paraId="73CF3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continue"/>
            <w:tcBorders>
              <w:left w:val="single" w:color="auto" w:sz="4" w:space="0"/>
              <w:right w:val="single" w:color="auto" w:sz="4" w:space="0"/>
            </w:tcBorders>
            <w:noWrap w:val="0"/>
            <w:vAlign w:val="center"/>
          </w:tcPr>
          <w:p w14:paraId="54744DF7">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6DC864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合同履约期限</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18FE6D7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自合同签订之日起，服务期</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D494E0B">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r w14:paraId="4F779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continue"/>
            <w:tcBorders>
              <w:left w:val="single" w:color="auto" w:sz="4" w:space="0"/>
              <w:right w:val="single" w:color="auto" w:sz="4" w:space="0"/>
            </w:tcBorders>
            <w:noWrap w:val="0"/>
            <w:vAlign w:val="center"/>
          </w:tcPr>
          <w:p w14:paraId="02D0348E">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3E00DB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eastAsia="zh-CN"/>
              </w:rPr>
              <w:t>提交服务成果时间</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1F49AA9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自签</w:t>
            </w:r>
            <w:r>
              <w:rPr>
                <w:rFonts w:hint="eastAsia" w:ascii="宋体" w:hAnsi="宋体" w:eastAsia="宋体" w:cs="宋体"/>
                <w:color w:val="000000"/>
                <w:sz w:val="21"/>
                <w:szCs w:val="21"/>
                <w:highlight w:val="none"/>
                <w:lang w:val="en-US" w:eastAsia="zh-CN"/>
              </w:rPr>
              <w:t>订合同之日起15个工作日内所有服务内容必须提交使用，</w:t>
            </w:r>
            <w:r>
              <w:rPr>
                <w:rFonts w:hint="eastAsia" w:ascii="宋体" w:hAnsi="宋体" w:eastAsia="宋体" w:cs="宋体"/>
                <w:color w:val="000000"/>
                <w:sz w:val="21"/>
                <w:szCs w:val="21"/>
                <w:highlight w:val="none"/>
              </w:rPr>
              <w:t>服务期</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eastAsia="zh-CN"/>
              </w:rPr>
              <w:t>供应方</w:t>
            </w:r>
            <w:r>
              <w:rPr>
                <w:rFonts w:hint="eastAsia" w:ascii="宋体" w:hAnsi="宋体" w:eastAsia="宋体" w:cs="宋体"/>
                <w:color w:val="000000"/>
                <w:sz w:val="21"/>
                <w:szCs w:val="21"/>
                <w:highlight w:val="none"/>
              </w:rPr>
              <w:t>所提供的</w:t>
            </w:r>
            <w:r>
              <w:rPr>
                <w:rFonts w:hint="eastAsia" w:ascii="宋体" w:hAnsi="宋体" w:eastAsia="宋体" w:cs="宋体"/>
                <w:color w:val="000000"/>
                <w:sz w:val="21"/>
                <w:szCs w:val="21"/>
                <w:highlight w:val="none"/>
                <w:lang w:val="en-US" w:eastAsia="zh-CN"/>
              </w:rPr>
              <w:t>网络线路</w:t>
            </w:r>
            <w:r>
              <w:rPr>
                <w:rFonts w:hint="eastAsia" w:ascii="宋体" w:hAnsi="宋体" w:eastAsia="宋体" w:cs="宋体"/>
                <w:color w:val="000000"/>
                <w:sz w:val="21"/>
                <w:szCs w:val="21"/>
                <w:highlight w:val="none"/>
              </w:rPr>
              <w:t>必须无缝对接现有的</w:t>
            </w:r>
            <w:r>
              <w:rPr>
                <w:rFonts w:hint="eastAsia" w:ascii="宋体" w:hAnsi="宋体" w:eastAsia="宋体" w:cs="宋体"/>
                <w:color w:val="000000"/>
                <w:sz w:val="21"/>
                <w:szCs w:val="21"/>
                <w:highlight w:val="none"/>
                <w:lang w:val="en-US" w:eastAsia="zh-CN"/>
              </w:rPr>
              <w:t>防城港市电子政务外网市级横向城域网</w:t>
            </w:r>
            <w:r>
              <w:rPr>
                <w:rFonts w:hint="eastAsia" w:ascii="宋体" w:hAnsi="宋体" w:eastAsia="宋体" w:cs="宋体"/>
                <w:color w:val="000000"/>
                <w:sz w:val="21"/>
                <w:szCs w:val="21"/>
                <w:highlight w:val="none"/>
              </w:rPr>
              <w:t>，保证防城港市电子政务外网市级横向城域网互联出口7*24小时稳定运行，</w:t>
            </w:r>
            <w:r>
              <w:rPr>
                <w:rFonts w:hint="eastAsia" w:ascii="宋体" w:hAnsi="宋体" w:eastAsia="宋体" w:cs="宋体"/>
                <w:color w:val="000000"/>
                <w:sz w:val="21"/>
                <w:szCs w:val="21"/>
                <w:highlight w:val="none"/>
                <w:lang w:eastAsia="zh-CN"/>
              </w:rPr>
              <w:t>市本级各</w:t>
            </w:r>
            <w:r>
              <w:rPr>
                <w:rFonts w:hint="eastAsia" w:ascii="宋体" w:hAnsi="宋体" w:eastAsia="宋体" w:cs="宋体"/>
                <w:color w:val="000000"/>
                <w:sz w:val="21"/>
                <w:szCs w:val="21"/>
                <w:highlight w:val="none"/>
              </w:rPr>
              <w:t>接入单位正常访问互联网，如</w:t>
            </w:r>
            <w:r>
              <w:rPr>
                <w:rFonts w:hint="eastAsia" w:ascii="宋体" w:hAnsi="宋体" w:eastAsia="宋体" w:cs="宋体"/>
                <w:color w:val="000000"/>
                <w:sz w:val="21"/>
                <w:szCs w:val="21"/>
                <w:highlight w:val="none"/>
                <w:lang w:eastAsia="zh-CN"/>
              </w:rPr>
              <w:t>中</w:t>
            </w:r>
            <w:r>
              <w:rPr>
                <w:rFonts w:hint="eastAsia" w:ascii="宋体" w:hAnsi="宋体" w:eastAsia="宋体" w:cs="宋体"/>
                <w:color w:val="000000"/>
                <w:sz w:val="21"/>
                <w:szCs w:val="21"/>
                <w:highlight w:val="none"/>
              </w:rPr>
              <w:t>标人在</w:t>
            </w:r>
            <w:r>
              <w:rPr>
                <w:rFonts w:hint="eastAsia" w:ascii="宋体" w:hAnsi="宋体" w:eastAsia="宋体" w:cs="宋体"/>
                <w:color w:val="000000"/>
                <w:sz w:val="21"/>
                <w:szCs w:val="21"/>
                <w:highlight w:val="none"/>
                <w:lang w:eastAsia="zh-CN"/>
              </w:rPr>
              <w:t>自签订合同之日起15个工作日内所有服务内容</w:t>
            </w:r>
            <w:r>
              <w:rPr>
                <w:rFonts w:hint="eastAsia" w:ascii="宋体" w:hAnsi="宋体" w:eastAsia="宋体" w:cs="宋体"/>
                <w:color w:val="000000"/>
                <w:sz w:val="21"/>
                <w:szCs w:val="21"/>
                <w:highlight w:val="none"/>
                <w:lang w:val="en-US" w:eastAsia="zh-CN"/>
              </w:rPr>
              <w:t>无法</w:t>
            </w:r>
            <w:r>
              <w:rPr>
                <w:rFonts w:hint="eastAsia" w:ascii="宋体" w:hAnsi="宋体" w:eastAsia="宋体" w:cs="宋体"/>
                <w:color w:val="000000"/>
                <w:sz w:val="21"/>
                <w:szCs w:val="21"/>
                <w:highlight w:val="none"/>
                <w:lang w:eastAsia="zh-CN"/>
              </w:rPr>
              <w:t>提交使用</w:t>
            </w:r>
            <w:r>
              <w:rPr>
                <w:rFonts w:hint="eastAsia" w:ascii="宋体" w:hAnsi="宋体" w:eastAsia="宋体" w:cs="宋体"/>
                <w:color w:val="000000"/>
                <w:sz w:val="21"/>
                <w:szCs w:val="21"/>
                <w:highlight w:val="none"/>
              </w:rPr>
              <w:t>，采购人可</w:t>
            </w:r>
            <w:r>
              <w:rPr>
                <w:rFonts w:hint="eastAsia" w:ascii="宋体" w:hAnsi="宋体" w:eastAsia="宋体" w:cs="宋体"/>
                <w:color w:val="000000"/>
                <w:sz w:val="21"/>
                <w:szCs w:val="21"/>
                <w:highlight w:val="none"/>
                <w:lang w:val="en-US" w:eastAsia="zh-CN"/>
              </w:rPr>
              <w:t>认定采购合同无效</w:t>
            </w:r>
            <w:r>
              <w:rPr>
                <w:rFonts w:hint="eastAsia" w:ascii="宋体" w:hAnsi="宋体" w:eastAsia="宋体" w:cs="宋体"/>
                <w:color w:val="000000"/>
                <w:sz w:val="21"/>
                <w:szCs w:val="21"/>
                <w:highlight w:val="none"/>
              </w:rPr>
              <w:t>，并认为中标人虚假应标，同时保留追究其法律责任的权利</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竞标人须提供承诺函并加盖公章</w:t>
            </w:r>
            <w:r>
              <w:rPr>
                <w:rFonts w:hint="eastAsia" w:ascii="宋体" w:hAnsi="宋体" w:eastAsia="宋体" w:cs="宋体"/>
                <w:color w:val="000000"/>
                <w:sz w:val="21"/>
                <w:szCs w:val="21"/>
                <w:highlight w:val="none"/>
              </w:rPr>
              <w:t>。</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E2BEED5">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r w14:paraId="172C1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continue"/>
            <w:tcBorders>
              <w:left w:val="single" w:color="auto" w:sz="4" w:space="0"/>
              <w:right w:val="single" w:color="auto" w:sz="4" w:space="0"/>
            </w:tcBorders>
            <w:noWrap w:val="0"/>
            <w:vAlign w:val="center"/>
          </w:tcPr>
          <w:p w14:paraId="77DAA2FB">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55DEA8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提交服务成果地点</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2029584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采购人指定地点。</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104A6B9">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r w14:paraId="7F867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continue"/>
            <w:tcBorders>
              <w:left w:val="single" w:color="auto" w:sz="4" w:space="0"/>
              <w:right w:val="single" w:color="auto" w:sz="4" w:space="0"/>
            </w:tcBorders>
            <w:noWrap w:val="0"/>
            <w:vAlign w:val="center"/>
          </w:tcPr>
          <w:p w14:paraId="42C52357">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28024F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000000"/>
                <w:sz w:val="21"/>
                <w:szCs w:val="21"/>
                <w:highlight w:val="none"/>
                <w:lang w:val="en-US" w:eastAsia="zh-CN"/>
              </w:rPr>
              <w:t>验收标准</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42F3CC4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napToGrid w:val="0"/>
                <w:color w:val="000000"/>
                <w:kern w:val="11"/>
                <w:sz w:val="21"/>
                <w:szCs w:val="21"/>
                <w:highlight w:val="none"/>
                <w:lang w:val="en-US" w:eastAsia="zh-CN"/>
              </w:rPr>
            </w:pPr>
            <w:r>
              <w:rPr>
                <w:rFonts w:hint="eastAsia" w:ascii="宋体" w:hAnsi="宋体" w:eastAsia="宋体" w:cs="宋体"/>
                <w:snapToGrid w:val="0"/>
                <w:color w:val="000000"/>
                <w:kern w:val="11"/>
                <w:sz w:val="21"/>
                <w:szCs w:val="21"/>
                <w:highlight w:val="none"/>
                <w:lang w:val="en-US" w:eastAsia="zh-CN"/>
              </w:rPr>
              <w:t>1.按国家相关标准、规范和采购需求进行验收。</w:t>
            </w:r>
          </w:p>
          <w:p w14:paraId="188F1AD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snapToGrid w:val="0"/>
                <w:color w:val="000000"/>
                <w:kern w:val="11"/>
                <w:sz w:val="21"/>
                <w:szCs w:val="21"/>
                <w:highlight w:val="none"/>
                <w:lang w:val="en-US" w:eastAsia="zh-CN"/>
              </w:rPr>
              <w:t>2.项目实施完毕由采购人组织相关人员验收，并出具验收文书。有必要时可委托第三方（具备省级或以上检测机构）开展相关技术指标验收工作。如抽取的技术指标检测结果不合格的，则视为服务不合格，须按采购人要求及时整改，如整改不合格，采购人有权取消合同，按虚假中标上报财政监管部门。此过程耽误造成损失的，中标人承担由此所造成全部损失。</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B1AFE99">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r w14:paraId="23CEF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continue"/>
            <w:tcBorders>
              <w:left w:val="single" w:color="auto" w:sz="4" w:space="0"/>
              <w:right w:val="single" w:color="auto" w:sz="4" w:space="0"/>
            </w:tcBorders>
            <w:noWrap w:val="0"/>
            <w:vAlign w:val="center"/>
          </w:tcPr>
          <w:p w14:paraId="3232FCFB">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48D484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lang w:eastAsia="zh-CN"/>
              </w:rPr>
              <w:t>付款方式</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5D28B5C2">
            <w:pPr>
              <w:keepNext w:val="0"/>
              <w:keepLines w:val="0"/>
              <w:pageBreakBefore w:val="0"/>
              <w:numPr>
                <w:ilvl w:val="0"/>
                <w:numId w:val="0"/>
              </w:numPr>
              <w:kinsoku/>
              <w:wordWrap/>
              <w:overflowPunct/>
              <w:topLinePunct w:val="0"/>
              <w:autoSpaceDE/>
              <w:autoSpaceDN/>
              <w:bidi w:val="0"/>
              <w:spacing w:line="360" w:lineRule="exac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1.线路租赁服务付款方式：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合同签订后，乙方开通所有线路及项目验收通过后，甲方每年按合同签订的线路租赁服务向乙方支付当年的线路租赁服务费，乙方出具有效发票后15个工作日内支付。分三年付清。</w:t>
            </w:r>
          </w:p>
          <w:p w14:paraId="73A6550B">
            <w:pPr>
              <w:keepNext w:val="0"/>
              <w:keepLines w:val="0"/>
              <w:pageBreakBefore w:val="0"/>
              <w:numPr>
                <w:ilvl w:val="0"/>
                <w:numId w:val="0"/>
              </w:numPr>
              <w:kinsoku/>
              <w:wordWrap/>
              <w:overflowPunct/>
              <w:topLinePunct w:val="0"/>
              <w:autoSpaceDE/>
              <w:autoSpaceDN/>
              <w:bidi w:val="0"/>
              <w:spacing w:line="360" w:lineRule="exac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2.设备维保服务付款方式: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合同签订后，乙方将所有设备维保运转正常，经项目验收通过后，甲方每年按合同签订的设备维保服务向乙方支付当年的设备维保服务费，乙方出具有效发票后15个工作日内支付。分三年付清。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3.网络运维工程师定制驻点服务付款方式：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每年人员驻点运维服务费，经考核结束后，按照考核结果，乙方出具有效发票后15个工作日内支付。分三年付清。</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DB40FA6">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r w14:paraId="6CD0F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continue"/>
            <w:tcBorders>
              <w:left w:val="single" w:color="auto" w:sz="4" w:space="0"/>
              <w:right w:val="single" w:color="auto" w:sz="4" w:space="0"/>
            </w:tcBorders>
            <w:noWrap w:val="0"/>
            <w:vAlign w:val="center"/>
          </w:tcPr>
          <w:p w14:paraId="5BFC2CCC">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40E8496C">
            <w:pPr>
              <w:keepNext w:val="0"/>
              <w:keepLines w:val="0"/>
              <w:pageBreakBefore w:val="0"/>
              <w:widowControl/>
              <w:kinsoku/>
              <w:wordWrap/>
              <w:overflowPunct/>
              <w:topLinePunct w:val="0"/>
              <w:autoSpaceDE/>
              <w:autoSpaceDN/>
              <w:bidi w:val="0"/>
              <w:adjustRightInd/>
              <w:snapToGrid/>
              <w:spacing w:line="360" w:lineRule="exact"/>
              <w:ind w:firstLine="210" w:firstLineChars="100"/>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规范标准</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23F4C49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采购标的需按照技术参数要求执行国家标准、行业标准、地方标准或者其他标准、规范。</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0C68A38">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r w14:paraId="7593C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continue"/>
            <w:tcBorders>
              <w:left w:val="single" w:color="auto" w:sz="4" w:space="0"/>
              <w:bottom w:val="single" w:color="auto" w:sz="4" w:space="0"/>
              <w:right w:val="single" w:color="auto" w:sz="4" w:space="0"/>
            </w:tcBorders>
            <w:noWrap w:val="0"/>
            <w:vAlign w:val="center"/>
          </w:tcPr>
          <w:p w14:paraId="3185FE10">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159D70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▲售后技术服务要求</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0237B4F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1.由于</w:t>
            </w:r>
            <w:r>
              <w:rPr>
                <w:rFonts w:hint="eastAsia" w:ascii="宋体" w:hAnsi="宋体" w:eastAsia="宋体" w:cs="宋体"/>
                <w:color w:val="000000"/>
                <w:sz w:val="21"/>
                <w:szCs w:val="21"/>
                <w:highlight w:val="none"/>
                <w:lang w:val="en-US" w:eastAsia="zh-CN"/>
              </w:rPr>
              <w:t>网络线路开</w:t>
            </w:r>
            <w:r>
              <w:rPr>
                <w:rFonts w:hint="eastAsia" w:ascii="宋体" w:hAnsi="宋体" w:eastAsia="宋体" w:cs="宋体"/>
                <w:color w:val="000000"/>
                <w:sz w:val="21"/>
                <w:szCs w:val="21"/>
                <w:lang w:val="en-US" w:eastAsia="zh-CN"/>
              </w:rPr>
              <w:t>通后才能进行网络的调试，因此要求中标人按照竞标方案承诺期限内完成所有电路的开通工作，以保证全网的及时开通，并保证提供的线路能无缝对接</w:t>
            </w:r>
            <w:r>
              <w:rPr>
                <w:rFonts w:hint="eastAsia" w:ascii="宋体" w:hAnsi="宋体" w:eastAsia="宋体" w:cs="宋体"/>
                <w:b w:val="0"/>
                <w:bCs w:val="0"/>
                <w:color w:val="000000"/>
                <w:sz w:val="21"/>
                <w:szCs w:val="21"/>
                <w:lang w:val="en-US" w:eastAsia="zh-CN"/>
              </w:rPr>
              <w:t>现有的防城港市电子政务外网市级横向城域网网络平台，</w:t>
            </w:r>
            <w:r>
              <w:rPr>
                <w:rFonts w:hint="eastAsia" w:ascii="宋体" w:hAnsi="宋体" w:eastAsia="宋体" w:cs="宋体"/>
                <w:color w:val="000000"/>
                <w:sz w:val="21"/>
                <w:szCs w:val="21"/>
                <w:lang w:val="en-US" w:eastAsia="zh-CN"/>
              </w:rPr>
              <w:t>如接入单位无法按照竞标方案正常访问电子政务外网、互联网，采购人可认为中标人虚假应标，保留追究其法律责任的权利。</w:t>
            </w:r>
          </w:p>
          <w:p w14:paraId="4945E42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2.如果中标人因自身业务扩容或维修线路需对其城域物理光缆进行割接，应该评估这个行为是否可能会导致采购人所租用的任一端到端</w:t>
            </w:r>
            <w:r>
              <w:rPr>
                <w:rFonts w:hint="eastAsia" w:ascii="宋体" w:hAnsi="宋体" w:eastAsia="宋体" w:cs="宋体"/>
                <w:color w:val="000000"/>
                <w:sz w:val="21"/>
                <w:szCs w:val="21"/>
                <w:highlight w:val="none"/>
                <w:lang w:val="en-US" w:eastAsia="zh-CN"/>
              </w:rPr>
              <w:t>网络线路</w:t>
            </w:r>
            <w:r>
              <w:rPr>
                <w:rFonts w:hint="eastAsia" w:ascii="宋体" w:hAnsi="宋体" w:eastAsia="宋体" w:cs="宋体"/>
                <w:color w:val="000000"/>
                <w:sz w:val="21"/>
                <w:szCs w:val="21"/>
                <w:lang w:val="en-US" w:eastAsia="zh-CN"/>
              </w:rPr>
              <w:t>发生中断，无论中断时间长短，中标人应该将该行为所产生的风险降至最低，并至少提前一天以传真或书面的方式通知采购人和受到影响的单位将要发生的行为。</w:t>
            </w:r>
          </w:p>
          <w:p w14:paraId="32237A1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highlight w:val="none"/>
              </w:rPr>
              <w:t>半个小时内做出响应，不需赶赴现场处理的1个小时内解决，需赶赴现场的</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个小时内解决故障恢复网络线路正常，</w:t>
            </w:r>
            <w:r>
              <w:rPr>
                <w:rFonts w:hint="eastAsia" w:ascii="宋体" w:hAnsi="宋体" w:eastAsia="宋体" w:cs="宋体"/>
                <w:color w:val="000000"/>
                <w:sz w:val="21"/>
                <w:szCs w:val="21"/>
                <w:highlight w:val="none"/>
                <w:lang w:eastAsia="zh-CN"/>
              </w:rPr>
              <w:t>做到故障排查分级响应，重大故障</w:t>
            </w:r>
            <w:r>
              <w:rPr>
                <w:rFonts w:hint="eastAsia" w:ascii="宋体" w:hAnsi="宋体" w:eastAsia="宋体" w:cs="宋体"/>
                <w:i w:val="0"/>
                <w:iCs w:val="0"/>
                <w:color w:val="000000"/>
                <w:kern w:val="0"/>
                <w:sz w:val="21"/>
                <w:szCs w:val="21"/>
                <w:u w:val="none"/>
                <w:lang w:val="en-US" w:eastAsia="zh-CN" w:bidi="ar"/>
              </w:rPr>
              <w:t>≤30分钟响应、≤4小时恢复，</w:t>
            </w:r>
            <w:r>
              <w:rPr>
                <w:rFonts w:hint="eastAsia" w:ascii="宋体" w:hAnsi="宋体" w:eastAsia="宋体" w:cs="宋体"/>
                <w:color w:val="000000"/>
                <w:sz w:val="21"/>
                <w:szCs w:val="21"/>
                <w:highlight w:val="none"/>
              </w:rPr>
              <w:t>并告知采购人和用户单位故障原因。超过</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个小时无法恢复的故障，</w:t>
            </w:r>
            <w:r>
              <w:rPr>
                <w:rFonts w:hint="eastAsia" w:ascii="宋体" w:hAnsi="宋体" w:eastAsia="宋体" w:cs="宋体"/>
                <w:color w:val="000000"/>
                <w:sz w:val="21"/>
                <w:szCs w:val="21"/>
                <w:highlight w:val="none"/>
                <w:lang w:eastAsia="zh-CN"/>
              </w:rPr>
              <w:t>于</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个日历日内向采购人提交书面故障报告，报告包括故障现象描述、故障原因分析、故障解决办法、故障发生时间、故障恢复时间、如何避免同类问题发生的措施等。</w:t>
            </w:r>
          </w:p>
          <w:p w14:paraId="38E91A3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4.在合同期限内中标人应严格遵守《中华人民共和国电信条例》，维护双方权益，应按信息产业部颁布的《电信服务标准》的电路质量要求，保证采购人租用线路畅通及安全使用。</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245396C">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bl>
    <w:p w14:paraId="6095F52B">
      <w:pPr>
        <w:rPr>
          <w:rFonts w:asciiTheme="minorHAnsi" w:hAnsiTheme="minorHAnsi" w:eastAsiaTheme="minorEastAsia" w:cstheme="minorBidi"/>
          <w:kern w:val="2"/>
          <w:sz w:val="21"/>
          <w:szCs w:val="24"/>
          <w:lang w:val="en-US" w:eastAsia="zh-CN" w:bidi="ar-SA"/>
        </w:rPr>
      </w:pPr>
      <w:r>
        <w:rPr>
          <w:rFonts w:asciiTheme="minorHAnsi" w:hAnsiTheme="minorHAnsi" w:eastAsiaTheme="minorEastAsia" w:cstheme="minorBidi"/>
          <w:kern w:val="2"/>
          <w:sz w:val="21"/>
          <w:szCs w:val="24"/>
          <w:lang w:val="en-US" w:eastAsia="zh-CN" w:bidi="ar-SA"/>
        </w:rPr>
        <w:br w:type="page"/>
      </w:r>
    </w:p>
    <w:p w14:paraId="0A41D669">
      <w:pPr>
        <w:pStyle w:val="3"/>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4"/>
          <w:szCs w:val="44"/>
          <w:highlight w:val="none"/>
        </w:rPr>
      </w:pPr>
      <w:bookmarkStart w:id="27" w:name="_Toc32381"/>
      <w:bookmarkStart w:id="28" w:name="_Toc11765"/>
      <w:r>
        <w:rPr>
          <w:rFonts w:hint="eastAsia" w:ascii="宋体" w:hAnsi="宋体" w:eastAsia="宋体" w:cs="宋体"/>
          <w:b/>
          <w:bCs/>
          <w:color w:val="auto"/>
          <w:kern w:val="44"/>
          <w:sz w:val="44"/>
          <w:szCs w:val="44"/>
          <w:lang w:val="en-US" w:eastAsia="zh-CN" w:bidi="ar-SA"/>
        </w:rPr>
        <w:t>第三章</w:t>
      </w:r>
      <w:r>
        <w:rPr>
          <w:rFonts w:hint="eastAsia" w:ascii="宋体" w:hAnsi="宋体" w:eastAsia="宋体" w:cs="宋体"/>
          <w:color w:val="auto"/>
          <w:sz w:val="44"/>
          <w:szCs w:val="44"/>
          <w:highlight w:val="none"/>
          <w:lang w:val="en-US" w:eastAsia="zh-CN"/>
        </w:rPr>
        <w:t xml:space="preserve"> </w:t>
      </w:r>
      <w:bookmarkStart w:id="29" w:name="_Toc29035"/>
      <w:r>
        <w:rPr>
          <w:rFonts w:hint="eastAsia" w:ascii="宋体" w:hAnsi="宋体" w:eastAsia="宋体" w:cs="宋体"/>
          <w:color w:val="auto"/>
          <w:sz w:val="44"/>
          <w:szCs w:val="44"/>
          <w:highlight w:val="none"/>
        </w:rPr>
        <w:t>投标人须知</w:t>
      </w:r>
      <w:bookmarkEnd w:id="27"/>
      <w:bookmarkEnd w:id="28"/>
      <w:bookmarkEnd w:id="29"/>
    </w:p>
    <w:p w14:paraId="4158BB86">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30" w:name="_Toc254970526"/>
      <w:bookmarkStart w:id="31" w:name="_Toc254970667"/>
      <w:r>
        <w:rPr>
          <w:rFonts w:hint="eastAsia" w:ascii="宋体" w:hAnsi="宋体" w:eastAsia="宋体" w:cs="宋体"/>
          <w:b/>
          <w:bCs/>
          <w:color w:val="auto"/>
          <w:sz w:val="24"/>
          <w:szCs w:val="24"/>
          <w:highlight w:val="none"/>
        </w:rPr>
        <w:t>投标人须知前附表</w:t>
      </w:r>
      <w:bookmarkEnd w:id="30"/>
      <w:bookmarkEnd w:id="31"/>
    </w:p>
    <w:tbl>
      <w:tblPr>
        <w:tblStyle w:val="16"/>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1"/>
        <w:gridCol w:w="9377"/>
      </w:tblGrid>
      <w:tr w14:paraId="1591A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2A641616">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0" w:type="auto"/>
            <w:tcBorders>
              <w:top w:val="single" w:color="auto" w:sz="4" w:space="0"/>
              <w:left w:val="single" w:color="auto" w:sz="4" w:space="0"/>
              <w:bottom w:val="single" w:color="auto" w:sz="4" w:space="0"/>
              <w:right w:val="single" w:color="auto" w:sz="4" w:space="0"/>
            </w:tcBorders>
            <w:vAlign w:val="center"/>
          </w:tcPr>
          <w:p w14:paraId="7BBCCE88">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40893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4F89466">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0" w:type="auto"/>
            <w:tcBorders>
              <w:top w:val="single" w:color="auto" w:sz="4" w:space="0"/>
              <w:left w:val="single" w:color="auto" w:sz="4" w:space="0"/>
              <w:bottom w:val="single" w:color="auto" w:sz="4" w:space="0"/>
              <w:right w:val="single" w:color="auto" w:sz="4" w:space="0"/>
            </w:tcBorders>
            <w:vAlign w:val="center"/>
          </w:tcPr>
          <w:p w14:paraId="2F980862">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1.投标人的资格要求详见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2948567A">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2.投标人出现下列情形之一的，不得参加政府采购活动：</w:t>
            </w:r>
          </w:p>
          <w:p w14:paraId="61C08150">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BEBBB8B">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51499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913168C">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32" w:name="_8.1"/>
            <w:bookmarkEnd w:id="32"/>
            <w:bookmarkStart w:id="33" w:name="_5"/>
            <w:bookmarkEnd w:id="33"/>
            <w:bookmarkStart w:id="34" w:name="_9.2"/>
            <w:bookmarkEnd w:id="34"/>
            <w:r>
              <w:rPr>
                <w:rFonts w:hint="eastAsia" w:ascii="宋体" w:hAnsi="宋体" w:eastAsia="宋体" w:cs="宋体"/>
                <w:color w:val="auto"/>
                <w:sz w:val="21"/>
                <w:szCs w:val="21"/>
                <w:highlight w:val="none"/>
              </w:rPr>
              <w:t>6.1</w:t>
            </w:r>
          </w:p>
        </w:tc>
        <w:tc>
          <w:tcPr>
            <w:tcW w:w="0" w:type="auto"/>
            <w:tcBorders>
              <w:top w:val="single" w:color="auto" w:sz="4" w:space="0"/>
              <w:left w:val="single" w:color="auto" w:sz="4" w:space="0"/>
              <w:bottom w:val="single" w:color="auto" w:sz="4" w:space="0"/>
              <w:right w:val="single" w:color="auto" w:sz="4" w:space="0"/>
            </w:tcBorders>
            <w:vAlign w:val="center"/>
          </w:tcPr>
          <w:p w14:paraId="04284BA7">
            <w:pPr>
              <w:pStyle w:val="9"/>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本项目是否接受联合体投标：详见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14:paraId="7BDD9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0669E46C">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0" w:type="auto"/>
            <w:tcBorders>
              <w:top w:val="single" w:color="auto" w:sz="4" w:space="0"/>
              <w:left w:val="single" w:color="auto" w:sz="4" w:space="0"/>
              <w:bottom w:val="single" w:color="auto" w:sz="4" w:space="0"/>
              <w:right w:val="single" w:color="auto" w:sz="4" w:space="0"/>
            </w:tcBorders>
            <w:vAlign w:val="center"/>
          </w:tcPr>
          <w:p w14:paraId="1D1370BE">
            <w:pPr>
              <w:pStyle w:val="9"/>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不允许分包</w:t>
            </w:r>
            <w:r>
              <w:rPr>
                <w:rFonts w:hint="eastAsia" w:ascii="宋体" w:hAnsi="宋体" w:eastAsia="宋体" w:cs="宋体"/>
                <w:color w:val="auto"/>
                <w:sz w:val="21"/>
                <w:szCs w:val="21"/>
                <w:highlight w:val="none"/>
                <w:lang w:eastAsia="zh-CN"/>
              </w:rPr>
              <w:t>。</w:t>
            </w:r>
          </w:p>
        </w:tc>
      </w:tr>
      <w:tr w14:paraId="322F1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4BD19AD">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0" w:type="auto"/>
            <w:tcBorders>
              <w:top w:val="single" w:color="auto" w:sz="4" w:space="0"/>
              <w:left w:val="single" w:color="auto" w:sz="4" w:space="0"/>
              <w:bottom w:val="single" w:color="auto" w:sz="4" w:space="0"/>
              <w:right w:val="single" w:color="auto" w:sz="4" w:space="0"/>
            </w:tcBorders>
            <w:vAlign w:val="center"/>
          </w:tcPr>
          <w:p w14:paraId="054F835C">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采用综合评分法的采购项目，提供相同品牌产品（非单一产品采购项目的，指核心产品）的不同投标人评审得分相同时，按照下列方式确定一个投标人获得中标人推荐资格：</w:t>
            </w:r>
          </w:p>
          <w:p w14:paraId="6282CB97">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依次按投标报价低的优先、政策分得分高的优先、技术评分高的优先、商务评分高的优先、保修期长优先、交货期短优先、故障响应时间短优先的顺序推荐。</w:t>
            </w:r>
          </w:p>
        </w:tc>
      </w:tr>
      <w:tr w14:paraId="19487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0" w:type="auto"/>
            <w:vMerge w:val="restart"/>
            <w:tcBorders>
              <w:top w:val="single" w:color="auto" w:sz="4" w:space="0"/>
              <w:left w:val="single" w:color="auto" w:sz="4" w:space="0"/>
              <w:right w:val="single" w:color="auto" w:sz="4" w:space="0"/>
            </w:tcBorders>
            <w:vAlign w:val="center"/>
          </w:tcPr>
          <w:p w14:paraId="7E606D28">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0" w:type="auto"/>
            <w:tcBorders>
              <w:top w:val="single" w:color="auto" w:sz="4" w:space="0"/>
              <w:left w:val="single" w:color="auto" w:sz="4" w:space="0"/>
              <w:bottom w:val="single" w:color="auto" w:sz="4" w:space="0"/>
              <w:right w:val="single" w:color="auto" w:sz="4" w:space="0"/>
            </w:tcBorders>
            <w:vAlign w:val="center"/>
          </w:tcPr>
          <w:p w14:paraId="7B217027">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不组织现场考察。</w:t>
            </w:r>
          </w:p>
        </w:tc>
      </w:tr>
      <w:tr w14:paraId="06B17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vMerge w:val="continue"/>
            <w:tcBorders>
              <w:left w:val="single" w:color="auto" w:sz="4" w:space="0"/>
              <w:bottom w:val="single" w:color="auto" w:sz="4" w:space="0"/>
              <w:right w:val="single" w:color="auto" w:sz="4" w:space="0"/>
            </w:tcBorders>
            <w:vAlign w:val="center"/>
          </w:tcPr>
          <w:p w14:paraId="7DDE9CD1">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F78ECD6">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不组织召开开标前答疑会。</w:t>
            </w:r>
          </w:p>
        </w:tc>
      </w:tr>
      <w:tr w14:paraId="556A4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single" w:color="auto" w:sz="4" w:space="0"/>
              <w:left w:val="single" w:color="auto" w:sz="4" w:space="0"/>
              <w:right w:val="single" w:color="auto" w:sz="4" w:space="0"/>
            </w:tcBorders>
            <w:vAlign w:val="center"/>
          </w:tcPr>
          <w:p w14:paraId="2EF7F465">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35" w:name="_13.1"/>
            <w:bookmarkEnd w:id="35"/>
            <w:r>
              <w:rPr>
                <w:rFonts w:hint="eastAsia" w:ascii="宋体" w:hAnsi="宋体" w:eastAsia="宋体" w:cs="宋体"/>
                <w:color w:val="auto"/>
                <w:sz w:val="21"/>
                <w:szCs w:val="21"/>
                <w:highlight w:val="none"/>
              </w:rPr>
              <w:t>13</w:t>
            </w:r>
          </w:p>
        </w:tc>
        <w:tc>
          <w:tcPr>
            <w:tcW w:w="0" w:type="auto"/>
            <w:tcBorders>
              <w:top w:val="single" w:color="auto" w:sz="4" w:space="0"/>
              <w:left w:val="single" w:color="auto" w:sz="4" w:space="0"/>
              <w:bottom w:val="single" w:color="auto" w:sz="4" w:space="0"/>
              <w:right w:val="single" w:color="auto" w:sz="4" w:space="0"/>
            </w:tcBorders>
            <w:vAlign w:val="center"/>
          </w:tcPr>
          <w:p w14:paraId="5624C267">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报价文件：</w:t>
            </w:r>
          </w:p>
          <w:p w14:paraId="5B6D9EBF">
            <w:pPr>
              <w:keepNext w:val="0"/>
              <w:keepLines w:val="0"/>
              <w:pageBreakBefore w:val="0"/>
              <w:widowControl w:val="0"/>
              <w:tabs>
                <w:tab w:val="left" w:pos="459"/>
              </w:tabs>
              <w:kinsoku/>
              <w:wordWrap/>
              <w:overflowPunct/>
              <w:topLinePunct w:val="0"/>
              <w:bidi w:val="0"/>
              <w:adjustRightInd/>
              <w:snapToGrid w:val="0"/>
              <w:spacing w:line="360" w:lineRule="exact"/>
              <w:ind w:left="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color w:val="auto"/>
                <w:sz w:val="21"/>
                <w:szCs w:val="21"/>
                <w:highlight w:val="none"/>
              </w:rPr>
              <w:t>（必须提供，否则按无效投标处理）</w:t>
            </w:r>
          </w:p>
          <w:p w14:paraId="38D13D0D">
            <w:pPr>
              <w:keepNext w:val="0"/>
              <w:keepLines w:val="0"/>
              <w:pageBreakBefore w:val="0"/>
              <w:widowControl w:val="0"/>
              <w:tabs>
                <w:tab w:val="left" w:pos="459"/>
              </w:tabs>
              <w:kinsoku/>
              <w:wordWrap/>
              <w:overflowPunct/>
              <w:topLinePunct w:val="0"/>
              <w:bidi w:val="0"/>
              <w:adjustRightInd/>
              <w:snapToGrid w:val="0"/>
              <w:spacing w:line="360" w:lineRule="exact"/>
              <w:ind w:left="420"/>
              <w:jc w:val="left"/>
              <w:rPr>
                <w:rFonts w:hint="eastAsia" w:ascii="宋体" w:hAnsi="宋体" w:eastAsia="宋体" w:cs="宋体"/>
                <w:b/>
                <w:color w:val="auto"/>
                <w:sz w:val="21"/>
                <w:szCs w:val="21"/>
                <w:highlight w:val="none"/>
              </w:rPr>
            </w:pPr>
            <w:bookmarkStart w:id="36" w:name="_Hlk71299233"/>
            <w:r>
              <w:rPr>
                <w:rFonts w:hint="eastAsia" w:ascii="宋体" w:hAnsi="宋体" w:eastAsia="宋体" w:cs="宋体"/>
                <w:color w:val="auto"/>
                <w:sz w:val="21"/>
                <w:szCs w:val="21"/>
                <w:highlight w:val="none"/>
              </w:rPr>
              <w:t>2.</w:t>
            </w:r>
            <w:bookmarkEnd w:id="36"/>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（必须提供，否则按无效投标处理）</w:t>
            </w:r>
          </w:p>
          <w:p w14:paraId="75043B05">
            <w:pPr>
              <w:keepNext w:val="0"/>
              <w:keepLines w:val="0"/>
              <w:pageBreakBefore w:val="0"/>
              <w:widowControl w:val="0"/>
              <w:tabs>
                <w:tab w:val="left" w:pos="459"/>
              </w:tabs>
              <w:kinsoku/>
              <w:wordWrap/>
              <w:overflowPunct/>
              <w:topLinePunct w:val="0"/>
              <w:autoSpaceDE/>
              <w:autoSpaceDN/>
              <w:bidi w:val="0"/>
              <w:adjustRightInd/>
              <w:snapToGrid w:val="0"/>
              <w:spacing w:line="360" w:lineRule="exact"/>
              <w:ind w:left="0"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3.中小企业声明函或残疾人福利性单位声明函或竞标人属于监狱企业的证明材料；</w:t>
            </w:r>
            <w:r>
              <w:rPr>
                <w:rFonts w:hint="eastAsia" w:ascii="宋体" w:hAnsi="宋体" w:eastAsia="宋体" w:cs="宋体"/>
                <w:b/>
                <w:color w:val="auto"/>
                <w:sz w:val="21"/>
                <w:szCs w:val="21"/>
                <w:highlight w:val="none"/>
              </w:rPr>
              <w:t>（如有请提供</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如未提供则不对供应商的报价进行政策性扣减）</w:t>
            </w:r>
          </w:p>
          <w:p w14:paraId="11823C53">
            <w:pPr>
              <w:keepNext w:val="0"/>
              <w:keepLines w:val="0"/>
              <w:pageBreakBefore w:val="0"/>
              <w:widowControl w:val="0"/>
              <w:tabs>
                <w:tab w:val="left" w:pos="459"/>
              </w:tabs>
              <w:kinsoku/>
              <w:wordWrap/>
              <w:overflowPunct/>
              <w:topLinePunct w:val="0"/>
              <w:bidi w:val="0"/>
              <w:adjustRightInd/>
              <w:snapToGrid w:val="0"/>
              <w:spacing w:line="360" w:lineRule="exact"/>
              <w:ind w:left="42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.投标人针对报价需要说明的其他文件和说明（格式自拟）。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b/>
                <w:bCs/>
                <w:color w:val="auto"/>
                <w:sz w:val="21"/>
                <w:szCs w:val="21"/>
                <w:highlight w:val="none"/>
                <w:lang w:eastAsia="zh-CN"/>
              </w:rPr>
              <w:t>）</w:t>
            </w:r>
          </w:p>
          <w:p w14:paraId="35EFC081">
            <w:pPr>
              <w:keepNext w:val="0"/>
              <w:keepLines w:val="0"/>
              <w:pageBreakBefore w:val="0"/>
              <w:widowControl w:val="0"/>
              <w:tabs>
                <w:tab w:val="left" w:pos="459"/>
              </w:tabs>
              <w:kinsoku/>
              <w:wordWrap/>
              <w:overflowPunct/>
              <w:topLinePunct w:val="0"/>
              <w:bidi w:val="0"/>
              <w:adjustRightInd/>
              <w:snapToGrid w:val="0"/>
              <w:spacing w:line="360" w:lineRule="exact"/>
              <w:jc w:val="left"/>
              <w:rPr>
                <w:rFonts w:hint="eastAsia"/>
              </w:rPr>
            </w:pPr>
            <w:r>
              <w:rPr>
                <w:rFonts w:hint="eastAsia" w:ascii="宋体" w:hAnsi="宋体" w:eastAsia="宋体" w:cs="宋体"/>
                <w:b/>
                <w:bCs/>
                <w:color w:val="auto"/>
                <w:sz w:val="21"/>
                <w:szCs w:val="21"/>
                <w:highlight w:val="none"/>
              </w:rPr>
              <w:t>注：以上标明“必须提供”的材料属于复印件的，必须加盖投标人公章，否则按无效投标处理。</w:t>
            </w:r>
          </w:p>
        </w:tc>
      </w:tr>
      <w:tr w14:paraId="5413D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14179377">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bookmarkStart w:id="37" w:name="_13.2"/>
            <w:bookmarkEnd w:id="37"/>
          </w:p>
        </w:tc>
        <w:tc>
          <w:tcPr>
            <w:tcW w:w="0" w:type="auto"/>
            <w:tcBorders>
              <w:top w:val="single" w:color="auto" w:sz="4" w:space="0"/>
              <w:left w:val="single" w:color="auto" w:sz="4" w:space="0"/>
              <w:bottom w:val="single" w:color="auto" w:sz="4" w:space="0"/>
              <w:right w:val="single" w:color="auto" w:sz="4" w:space="0"/>
            </w:tcBorders>
            <w:vAlign w:val="center"/>
          </w:tcPr>
          <w:p w14:paraId="0CF13DF4">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资格证明文件</w:t>
            </w:r>
            <w:r>
              <w:rPr>
                <w:rFonts w:hint="eastAsia" w:ascii="宋体" w:hAnsi="宋体" w:eastAsia="宋体" w:cs="宋体"/>
                <w:b/>
                <w:color w:val="auto"/>
                <w:sz w:val="21"/>
                <w:szCs w:val="21"/>
                <w:highlight w:val="none"/>
                <w:lang w:eastAsia="zh-CN"/>
              </w:rPr>
              <w:t>：</w:t>
            </w:r>
          </w:p>
          <w:p w14:paraId="5B04CC10">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相关注册或登记等证明材料，其中：投标人是企业（包括合伙企业）的，应提供其在工商部门注册的有效“企业法人营业执照”或“营业执照”的复印件；投标人是事业单位的，应提供其有效的“事业单位法人证书”复印件；投标人是非企业专业服务机构的，应提供其有效的执业许可证复印件；投标人是个体工商户的，应提供其有效的“个体工商户营业执照”复印件</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（必须提供，否则按无效投标处理）</w:t>
            </w:r>
          </w:p>
          <w:p w14:paraId="27D0F82D">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.防城港市政府采购供应商信用承诺函（格式后附）；</w:t>
            </w:r>
            <w:r>
              <w:rPr>
                <w:rFonts w:hint="eastAsia" w:ascii="宋体" w:hAnsi="宋体" w:eastAsia="宋体" w:cs="宋体"/>
                <w:b/>
                <w:bCs/>
                <w:color w:val="auto"/>
                <w:sz w:val="21"/>
                <w:szCs w:val="21"/>
                <w:highlight w:val="none"/>
              </w:rPr>
              <w:t>（必须提供，否则按无效投标处理）</w:t>
            </w:r>
          </w:p>
          <w:p w14:paraId="46279FED">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.投标人直接控股、管理关系信息表（格式后附）；</w:t>
            </w:r>
            <w:r>
              <w:rPr>
                <w:rFonts w:hint="eastAsia" w:ascii="宋体" w:hAnsi="宋体" w:eastAsia="宋体" w:cs="宋体"/>
                <w:b/>
                <w:bCs/>
                <w:color w:val="auto"/>
                <w:sz w:val="21"/>
                <w:szCs w:val="21"/>
                <w:highlight w:val="none"/>
              </w:rPr>
              <w:t>（必须提供，否则按无效投标处理）</w:t>
            </w:r>
          </w:p>
          <w:p w14:paraId="1B89349A">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.投标声明（格式后附）；</w:t>
            </w:r>
            <w:r>
              <w:rPr>
                <w:rFonts w:hint="eastAsia" w:ascii="宋体" w:hAnsi="宋体" w:eastAsia="宋体" w:cs="宋体"/>
                <w:b/>
                <w:bCs/>
                <w:color w:val="auto"/>
                <w:sz w:val="21"/>
                <w:szCs w:val="21"/>
                <w:highlight w:val="none"/>
              </w:rPr>
              <w:t>（必须提供，否则按无效投标处理）</w:t>
            </w:r>
          </w:p>
          <w:p w14:paraId="6811B36F">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b w:val="0"/>
                <w:bCs/>
                <w:color w:val="auto"/>
                <w:highlight w:val="none"/>
              </w:rPr>
              <w:t>具备履行合同所必需的设备</w:t>
            </w:r>
            <w:r>
              <w:rPr>
                <w:rFonts w:hint="eastAsia" w:ascii="宋体" w:hAnsi="宋体"/>
                <w:b w:val="0"/>
                <w:bCs/>
                <w:color w:val="auto"/>
                <w:highlight w:val="none"/>
                <w:lang w:eastAsia="zh-CN"/>
              </w:rPr>
              <w:t>或</w:t>
            </w:r>
            <w:r>
              <w:rPr>
                <w:rFonts w:hint="eastAsia" w:ascii="宋体" w:hAnsi="宋体"/>
                <w:b w:val="0"/>
                <w:bCs/>
                <w:color w:val="auto"/>
                <w:highlight w:val="none"/>
              </w:rPr>
              <w:t>专业技术能力的证明材料</w:t>
            </w: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格式自拟</w:t>
            </w:r>
            <w:r>
              <w:rPr>
                <w:rFonts w:hint="eastAsia" w:ascii="宋体" w:hAnsi="宋体"/>
                <w:b w:val="0"/>
                <w:bCs/>
                <w:color w:val="auto"/>
                <w:highlight w:val="none"/>
                <w:lang w:eastAsia="zh-CN"/>
              </w:rPr>
              <w:t>）</w:t>
            </w:r>
            <w:r>
              <w:rPr>
                <w:rFonts w:hint="eastAsia" w:ascii="宋体" w:hAnsi="宋体"/>
                <w:b w:val="0"/>
                <w:bCs/>
                <w:color w:val="auto"/>
                <w:highlight w:val="none"/>
              </w:rPr>
              <w:t>；</w:t>
            </w:r>
            <w:r>
              <w:rPr>
                <w:rFonts w:hint="eastAsia" w:ascii="宋体" w:hAnsi="宋体"/>
                <w:b/>
                <w:bCs w:val="0"/>
                <w:color w:val="auto"/>
                <w:highlight w:val="none"/>
              </w:rPr>
              <w:t>（必须提供，否则响应文件作无效处理）</w:t>
            </w:r>
          </w:p>
          <w:p w14:paraId="0614FF19">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.投标人认为需要提供的其他证明材料（格式自拟）。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如有请提供</w:t>
            </w:r>
            <w:r>
              <w:rPr>
                <w:rFonts w:hint="eastAsia" w:ascii="宋体" w:hAnsi="宋体" w:eastAsia="宋体" w:cs="宋体"/>
                <w:b/>
                <w:bCs/>
                <w:color w:val="auto"/>
                <w:sz w:val="21"/>
                <w:szCs w:val="21"/>
                <w:highlight w:val="none"/>
                <w:lang w:eastAsia="zh-CN"/>
              </w:rPr>
              <w:t>）</w:t>
            </w:r>
          </w:p>
          <w:p w14:paraId="770AA55D">
            <w:pPr>
              <w:keepNext w:val="0"/>
              <w:keepLines w:val="0"/>
              <w:pageBreakBefore w:val="0"/>
              <w:widowControl w:val="0"/>
              <w:kinsoku/>
              <w:wordWrap/>
              <w:overflowPunct/>
              <w:topLinePunct w:val="0"/>
              <w:bidi w:val="0"/>
              <w:adjustRightInd/>
              <w:snapToGrid w:val="0"/>
              <w:spacing w:line="360" w:lineRule="exact"/>
              <w:ind w:left="422" w:hanging="422" w:hanging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2.分公司参加投标的，应当取得总公司授权，否则按无效投标</w:t>
            </w:r>
            <w:r>
              <w:rPr>
                <w:rFonts w:hint="eastAsia" w:ascii="宋体" w:hAnsi="宋体" w:eastAsia="宋体" w:cs="宋体"/>
                <w:b/>
                <w:color w:val="auto"/>
                <w:sz w:val="21"/>
                <w:szCs w:val="21"/>
                <w:highlight w:val="none"/>
              </w:rPr>
              <w:t>处理。</w:t>
            </w:r>
          </w:p>
        </w:tc>
      </w:tr>
      <w:tr w14:paraId="15F93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2" w:hRule="atLeast"/>
        </w:trPr>
        <w:tc>
          <w:tcPr>
            <w:tcW w:w="0" w:type="auto"/>
            <w:vMerge w:val="continue"/>
            <w:tcBorders>
              <w:left w:val="single" w:color="auto" w:sz="4" w:space="0"/>
              <w:right w:val="single" w:color="auto" w:sz="4" w:space="0"/>
            </w:tcBorders>
            <w:vAlign w:val="center"/>
          </w:tcPr>
          <w:p w14:paraId="785D3648">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bookmarkStart w:id="38" w:name="_13.3"/>
            <w:bookmarkEnd w:id="38"/>
          </w:p>
        </w:tc>
        <w:tc>
          <w:tcPr>
            <w:tcW w:w="0" w:type="auto"/>
            <w:tcBorders>
              <w:top w:val="single" w:color="auto" w:sz="4" w:space="0"/>
              <w:left w:val="single" w:color="auto" w:sz="4" w:space="0"/>
              <w:bottom w:val="single" w:color="auto" w:sz="4" w:space="0"/>
              <w:right w:val="single" w:color="auto" w:sz="4" w:space="0"/>
            </w:tcBorders>
            <w:vAlign w:val="center"/>
          </w:tcPr>
          <w:p w14:paraId="794CB054">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商务文件：</w:t>
            </w:r>
          </w:p>
          <w:p w14:paraId="35C01D68">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w:t>
            </w:r>
            <w:r>
              <w:rPr>
                <w:rFonts w:hint="eastAsia" w:ascii="宋体" w:hAnsi="宋体" w:eastAsia="宋体" w:cs="宋体"/>
                <w:color w:val="auto"/>
                <w:sz w:val="21"/>
                <w:szCs w:val="21"/>
                <w:highlight w:val="none"/>
                <w:lang w:val="en-US" w:eastAsia="zh-CN"/>
              </w:rPr>
              <w:t>围标</w:t>
            </w:r>
            <w:r>
              <w:rPr>
                <w:rFonts w:hint="eastAsia" w:ascii="宋体" w:hAnsi="宋体" w:eastAsia="宋体" w:cs="宋体"/>
                <w:color w:val="auto"/>
                <w:sz w:val="21"/>
                <w:szCs w:val="21"/>
                <w:highlight w:val="none"/>
              </w:rPr>
              <w:t>串</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行为的承诺函（格式后附）；</w:t>
            </w:r>
            <w:r>
              <w:rPr>
                <w:rFonts w:hint="eastAsia" w:ascii="宋体" w:hAnsi="宋体" w:eastAsia="宋体" w:cs="宋体"/>
                <w:b/>
                <w:bCs/>
                <w:color w:val="auto"/>
                <w:sz w:val="21"/>
                <w:szCs w:val="21"/>
                <w:highlight w:val="none"/>
              </w:rPr>
              <w:t>（必须提供，否则按无效投标处理）</w:t>
            </w:r>
          </w:p>
          <w:p w14:paraId="4931D343">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bCs/>
                <w:color w:val="auto"/>
                <w:sz w:val="21"/>
                <w:szCs w:val="21"/>
                <w:highlight w:val="none"/>
              </w:rPr>
              <w:t>（除自然人投标外必须提供，否则按无效投标处理）</w:t>
            </w:r>
          </w:p>
          <w:p w14:paraId="6166301B">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3.授权委托书及委托代理人有效身份证正反面复印件（格式后附）；</w:t>
            </w:r>
            <w:r>
              <w:rPr>
                <w:rFonts w:hint="eastAsia" w:ascii="宋体" w:hAnsi="宋体" w:eastAsia="宋体" w:cs="宋体"/>
                <w:b/>
                <w:bCs/>
                <w:color w:val="auto"/>
                <w:sz w:val="21"/>
                <w:szCs w:val="21"/>
                <w:highlight w:val="none"/>
              </w:rPr>
              <w:t>（委托时必须提供，否则按无效投标处理）</w:t>
            </w:r>
          </w:p>
          <w:p w14:paraId="410FD0CB">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4.商务要求偏离表（格式后附）；</w:t>
            </w:r>
            <w:r>
              <w:rPr>
                <w:rFonts w:hint="eastAsia" w:ascii="宋体" w:hAnsi="宋体" w:eastAsia="宋体" w:cs="宋体"/>
                <w:b/>
                <w:bCs/>
                <w:color w:val="auto"/>
                <w:sz w:val="21"/>
                <w:szCs w:val="21"/>
                <w:highlight w:val="none"/>
              </w:rPr>
              <w:t>（必须提供，否则按无效投标处理）</w:t>
            </w:r>
          </w:p>
          <w:p w14:paraId="25E05929">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Cs/>
                <w:color w:val="auto"/>
                <w:sz w:val="21"/>
                <w:szCs w:val="21"/>
                <w:highlight w:val="none"/>
              </w:rPr>
              <w:t>服务</w:t>
            </w:r>
            <w:r>
              <w:rPr>
                <w:rFonts w:hint="eastAsia" w:ascii="宋体" w:hAnsi="宋体" w:eastAsia="宋体" w:cs="宋体"/>
                <w:color w:val="auto"/>
                <w:sz w:val="21"/>
                <w:szCs w:val="21"/>
                <w:highlight w:val="none"/>
              </w:rPr>
              <w:t>承诺（格式自拟）；</w:t>
            </w:r>
            <w:r>
              <w:rPr>
                <w:rFonts w:hint="eastAsia" w:ascii="宋体" w:hAnsi="宋体" w:eastAsia="宋体" w:cs="宋体"/>
                <w:b/>
                <w:bCs/>
                <w:color w:val="auto"/>
                <w:sz w:val="21"/>
                <w:szCs w:val="21"/>
                <w:highlight w:val="none"/>
              </w:rPr>
              <w:t>（必须提供，否则按无效投标处理）</w:t>
            </w:r>
          </w:p>
          <w:p w14:paraId="76D4A833">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6.投标人情况介绍（格式自拟）；</w:t>
            </w:r>
            <w:r>
              <w:rPr>
                <w:rFonts w:hint="eastAsia" w:ascii="宋体" w:hAnsi="宋体" w:eastAsia="宋体" w:cs="宋体"/>
                <w:b/>
                <w:bCs/>
                <w:color w:val="auto"/>
                <w:sz w:val="21"/>
                <w:szCs w:val="21"/>
                <w:highlight w:val="none"/>
                <w:lang w:eastAsia="zh-CN"/>
              </w:rPr>
              <w:t>（</w:t>
            </w:r>
            <w:r>
              <w:rPr>
                <w:rFonts w:hint="eastAsia" w:ascii="宋体" w:hAnsi="宋体" w:cs="宋体"/>
                <w:b/>
                <w:bCs/>
                <w:szCs w:val="21"/>
              </w:rPr>
              <w:t>如有请提供</w:t>
            </w:r>
            <w:r>
              <w:rPr>
                <w:rFonts w:hint="eastAsia" w:ascii="宋体" w:hAnsi="宋体" w:eastAsia="宋体" w:cs="宋体"/>
                <w:b/>
                <w:bCs/>
                <w:color w:val="auto"/>
                <w:sz w:val="21"/>
                <w:szCs w:val="21"/>
                <w:highlight w:val="none"/>
                <w:lang w:eastAsia="zh-CN"/>
              </w:rPr>
              <w:t>）</w:t>
            </w:r>
          </w:p>
          <w:p w14:paraId="6EE6A9B6">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7.投标人认为需要提供的其他证明材料（格式自拟）（</w:t>
            </w:r>
            <w:r>
              <w:rPr>
                <w:rFonts w:hint="eastAsia" w:ascii="宋体" w:hAnsi="宋体" w:eastAsia="宋体" w:cs="宋体"/>
                <w:color w:val="auto"/>
                <w:sz w:val="21"/>
                <w:szCs w:val="21"/>
                <w:highlight w:val="none"/>
                <w:lang w:val="en-US" w:eastAsia="zh-CN"/>
              </w:rPr>
              <w:t>如有请提供，</w:t>
            </w:r>
            <w:r>
              <w:rPr>
                <w:rFonts w:hint="eastAsia" w:ascii="宋体" w:hAnsi="宋体" w:eastAsia="宋体" w:cs="宋体"/>
                <w:color w:val="auto"/>
                <w:sz w:val="21"/>
                <w:szCs w:val="21"/>
                <w:highlight w:val="none"/>
              </w:rPr>
              <w:t>投标人根据“第二章 采购需求”及“第四章 评标方法及评标标准”提供有关证明材料）。</w:t>
            </w:r>
          </w:p>
          <w:p w14:paraId="0EDC065C">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19FA4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left w:val="single" w:color="auto" w:sz="4" w:space="0"/>
              <w:bottom w:val="single" w:color="auto" w:sz="4" w:space="0"/>
              <w:right w:val="single" w:color="auto" w:sz="4" w:space="0"/>
            </w:tcBorders>
            <w:vAlign w:val="center"/>
          </w:tcPr>
          <w:p w14:paraId="4CE3F44C">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bookmarkStart w:id="39" w:name="_13.4"/>
            <w:bookmarkEnd w:id="39"/>
          </w:p>
        </w:tc>
        <w:tc>
          <w:tcPr>
            <w:tcW w:w="0" w:type="auto"/>
            <w:tcBorders>
              <w:top w:val="single" w:color="auto" w:sz="4" w:space="0"/>
              <w:left w:val="single" w:color="auto" w:sz="4" w:space="0"/>
              <w:bottom w:val="single" w:color="auto" w:sz="4" w:space="0"/>
              <w:right w:val="single" w:color="auto" w:sz="4" w:space="0"/>
            </w:tcBorders>
            <w:vAlign w:val="center"/>
          </w:tcPr>
          <w:p w14:paraId="08F49741">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技术文件：</w:t>
            </w:r>
          </w:p>
          <w:p w14:paraId="734533CF">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1.技术要求偏离表（格式后附）；</w:t>
            </w:r>
            <w:r>
              <w:rPr>
                <w:rFonts w:hint="eastAsia" w:ascii="宋体" w:hAnsi="宋体" w:eastAsia="宋体" w:cs="宋体"/>
                <w:b/>
                <w:color w:val="auto"/>
                <w:sz w:val="21"/>
                <w:szCs w:val="21"/>
                <w:highlight w:val="none"/>
              </w:rPr>
              <w:t>（必须提供，否则按无效投标处理）</w:t>
            </w:r>
          </w:p>
          <w:p w14:paraId="20CE7C8A">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2.服务方案</w:t>
            </w:r>
            <w:r>
              <w:rPr>
                <w:rFonts w:hint="eastAsia" w:ascii="宋体" w:hAnsi="宋体" w:eastAsia="宋体" w:cs="宋体"/>
                <w:b w:val="0"/>
                <w:bCs w:val="0"/>
                <w:color w:val="auto"/>
                <w:sz w:val="21"/>
                <w:szCs w:val="21"/>
                <w:highlight w:val="none"/>
              </w:rPr>
              <w:t>（格式自拟）</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（必须提供，否则按无效投标处理）</w:t>
            </w:r>
          </w:p>
          <w:p w14:paraId="089166A8">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3.项目实施人员一览表</w:t>
            </w:r>
            <w:r>
              <w:rPr>
                <w:rFonts w:hint="eastAsia" w:ascii="宋体" w:hAnsi="宋体" w:eastAsia="宋体" w:cs="宋体"/>
                <w:b w:val="0"/>
                <w:bCs w:val="0"/>
                <w:color w:val="auto"/>
                <w:sz w:val="21"/>
                <w:szCs w:val="21"/>
                <w:highlight w:val="none"/>
              </w:rPr>
              <w:t>（格式后附）</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（必须提供，否则按无效投标处理）</w:t>
            </w:r>
          </w:p>
          <w:p w14:paraId="1AA65D41">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文件规定必须提供以外，投标人需要说明的其他文件和说明（格式自拟）。</w:t>
            </w:r>
            <w:r>
              <w:rPr>
                <w:rFonts w:hint="eastAsia" w:ascii="宋体" w:hAnsi="宋体" w:eastAsia="宋体" w:cs="宋体"/>
                <w:b/>
                <w:bCs/>
                <w:color w:val="auto"/>
                <w:sz w:val="21"/>
                <w:szCs w:val="21"/>
                <w:highlight w:val="none"/>
                <w:lang w:eastAsia="zh-CN"/>
              </w:rPr>
              <w:t>（</w:t>
            </w:r>
            <w:r>
              <w:rPr>
                <w:rFonts w:hint="eastAsia" w:ascii="宋体" w:hAnsi="宋体" w:cs="宋体"/>
                <w:b/>
                <w:bCs/>
                <w:szCs w:val="21"/>
              </w:rPr>
              <w:t>如有请提供</w:t>
            </w:r>
            <w:r>
              <w:rPr>
                <w:rFonts w:hint="eastAsia" w:ascii="宋体" w:hAnsi="宋体" w:eastAsia="宋体" w:cs="宋体"/>
                <w:b/>
                <w:bCs/>
                <w:color w:val="auto"/>
                <w:sz w:val="21"/>
                <w:szCs w:val="21"/>
                <w:highlight w:val="none"/>
                <w:lang w:eastAsia="zh-CN"/>
              </w:rPr>
              <w:t>）</w:t>
            </w:r>
          </w:p>
          <w:p w14:paraId="0F1DC6F4">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58C3B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5F36C42">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40" w:name="_16.2"/>
            <w:bookmarkEnd w:id="40"/>
            <w:bookmarkStart w:id="41" w:name="_13.5"/>
            <w:bookmarkEnd w:id="41"/>
            <w:r>
              <w:rPr>
                <w:rFonts w:hint="eastAsia" w:ascii="宋体" w:hAnsi="宋体" w:eastAsia="宋体" w:cs="宋体"/>
                <w:color w:val="auto"/>
                <w:sz w:val="21"/>
                <w:szCs w:val="21"/>
                <w:highlight w:val="none"/>
              </w:rPr>
              <w:t>16</w:t>
            </w:r>
            <w:bookmarkStart w:id="42" w:name="_Hlt19194067"/>
            <w:bookmarkStart w:id="43" w:name="_Hlt19194066"/>
            <w:bookmarkStart w:id="44" w:name="_Hlt19693758"/>
            <w:bookmarkStart w:id="45" w:name="_Hlt19693759"/>
            <w:r>
              <w:rPr>
                <w:rFonts w:hint="eastAsia" w:ascii="宋体" w:hAnsi="宋体" w:eastAsia="宋体" w:cs="宋体"/>
                <w:color w:val="auto"/>
                <w:sz w:val="21"/>
                <w:szCs w:val="21"/>
                <w:highlight w:val="none"/>
              </w:rPr>
              <w:t>.</w:t>
            </w:r>
            <w:bookmarkEnd w:id="42"/>
            <w:bookmarkEnd w:id="43"/>
            <w:bookmarkEnd w:id="44"/>
            <w:bookmarkEnd w:id="45"/>
            <w:r>
              <w:rPr>
                <w:rFonts w:hint="eastAsia" w:ascii="宋体" w:hAnsi="宋体" w:eastAsia="宋体" w:cs="宋体"/>
                <w:color w:val="auto"/>
                <w:sz w:val="21"/>
                <w:szCs w:val="21"/>
                <w:highlight w:val="none"/>
              </w:rPr>
              <w:t>2</w:t>
            </w:r>
          </w:p>
        </w:tc>
        <w:tc>
          <w:tcPr>
            <w:tcW w:w="0" w:type="auto"/>
            <w:tcBorders>
              <w:top w:val="single" w:color="auto" w:sz="4" w:space="0"/>
              <w:left w:val="single" w:color="auto" w:sz="4" w:space="0"/>
              <w:bottom w:val="single" w:color="auto" w:sz="4" w:space="0"/>
              <w:right w:val="single" w:color="auto" w:sz="4" w:space="0"/>
            </w:tcBorders>
            <w:vAlign w:val="center"/>
          </w:tcPr>
          <w:p w14:paraId="449D9541">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报价是含税的报价；</w:t>
            </w:r>
            <w:r>
              <w:rPr>
                <w:rFonts w:hint="eastAsia" w:ascii="宋体" w:hAnsi="宋体" w:cs="宋体"/>
                <w:color w:val="000000" w:themeColor="text1"/>
                <w14:textFill>
                  <w14:solidFill>
                    <w14:schemeClr w14:val="tx1"/>
                  </w14:solidFill>
                </w14:textFill>
              </w:rPr>
              <w:t>投标人报价以本项目采购预算为最高限价，本项目报价为一口价。</w:t>
            </w:r>
          </w:p>
          <w:p w14:paraId="5ECFC3C5">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结合本招标文件在采购需求下的说明，请投标人谨慎注意：</w:t>
            </w:r>
          </w:p>
          <w:p w14:paraId="1D8A34A6">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招标文件载明的另有由招标人承担、由第三方服务商承担的事项（费用）外，凡在合同范围内已明确为中标人义务的内容以及由中标人实施的行为（事项），其对价和成本均应包含在投标人的报价之内（包括但不限于：投标人为提供服务所需的人力、车辆、器材、器械、设备、劳动器具、装备、服装、消耗品、耗材、管理、办公、工具、税费、或有风险等全部应有、或有的事项成本，投标人应负担其服务人员的工资、加班工资、补贴、补助、待遇、奖金、交通、住宿、伙食、用工保障、劳动保护、体检、社会保险、医疗保险、商业保险等全部应有、或有的用人用工费用以及事项成本；其他的经由本项目政府采购确定后的、合同明确的由中标人履行的行为、义务之对价和成本；招标文件明示或暗示的中标人的所有责任、义务和风险等中标人完成本项目所需一切费用）。</w:t>
            </w:r>
          </w:p>
          <w:p w14:paraId="44E44E6E">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标后，以合同主文为依据结算的合同价款将会是完全涵盖中标人依合同实施的全部行为、履行合同中全部的中标人义务、实施合同明确约定应由中标人实施的事项所应获得的所有对价及所应支出的所有成本，不论是否能实际涵盖上述所有对价及所应支出的所有成本，以合同主文为依据结算的合同价款即中标人为实施本项目、为签订和履行合同所应获得的价款总额，若有未能实际涵盖的部分由中标人自行承担</w:t>
            </w:r>
            <w:r>
              <w:rPr>
                <w:rFonts w:hint="eastAsia" w:ascii="宋体" w:hAnsi="宋体"/>
                <w:color w:val="000000" w:themeColor="text1"/>
                <w:szCs w:val="21"/>
                <w:lang w:val="zh-CN"/>
                <w14:textFill>
                  <w14:solidFill>
                    <w14:schemeClr w14:val="tx1"/>
                  </w14:solidFill>
                </w14:textFill>
              </w:rPr>
              <w:t>。</w:t>
            </w:r>
          </w:p>
          <w:p w14:paraId="37F1F332">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hAnsi="宋体"/>
                <w:color w:val="000000" w:themeColor="text1"/>
                <w:szCs w:val="21"/>
                <w14:textFill>
                  <w14:solidFill>
                    <w14:schemeClr w14:val="tx1"/>
                  </w14:solidFill>
                </w14:textFill>
              </w:rPr>
              <w:t>因此，</w:t>
            </w:r>
            <w:r>
              <w:rPr>
                <w:rFonts w:hAnsi="宋体"/>
                <w:color w:val="000000" w:themeColor="text1"/>
                <w:szCs w:val="21"/>
                <w14:textFill>
                  <w14:solidFill>
                    <w14:schemeClr w14:val="tx1"/>
                  </w14:solidFill>
                </w14:textFill>
              </w:rPr>
              <w:t>投标人</w:t>
            </w:r>
            <w:r>
              <w:rPr>
                <w:rFonts w:hint="eastAsia" w:hAnsi="宋体"/>
                <w:color w:val="000000" w:themeColor="text1"/>
                <w:szCs w:val="21"/>
                <w14:textFill>
                  <w14:solidFill>
                    <w14:schemeClr w14:val="tx1"/>
                  </w14:solidFill>
                </w14:textFill>
              </w:rPr>
              <w:t>的</w:t>
            </w:r>
            <w:r>
              <w:rPr>
                <w:rFonts w:hAnsi="宋体"/>
                <w:color w:val="000000" w:themeColor="text1"/>
                <w:szCs w:val="21"/>
                <w14:textFill>
                  <w14:solidFill>
                    <w14:schemeClr w14:val="tx1"/>
                  </w14:solidFill>
                </w14:textFill>
              </w:rPr>
              <w:t>报价必须充分考虑，中标后，</w:t>
            </w:r>
            <w:r>
              <w:rPr>
                <w:rFonts w:hint="eastAsia" w:hAnsi="宋体"/>
                <w:color w:val="000000" w:themeColor="text1"/>
                <w:szCs w:val="21"/>
                <w14:textFill>
                  <w14:solidFill>
                    <w14:schemeClr w14:val="tx1"/>
                  </w14:solidFill>
                </w14:textFill>
              </w:rPr>
              <w:t>中标</w:t>
            </w:r>
            <w:r>
              <w:rPr>
                <w:rFonts w:hAnsi="宋体"/>
                <w:color w:val="000000" w:themeColor="text1"/>
                <w:szCs w:val="21"/>
                <w14:textFill>
                  <w14:solidFill>
                    <w14:schemeClr w14:val="tx1"/>
                  </w14:solidFill>
                </w14:textFill>
              </w:rPr>
              <w:t>人不得以</w:t>
            </w:r>
            <w:r>
              <w:rPr>
                <w:rFonts w:hint="eastAsia" w:hAnsi="宋体"/>
                <w:color w:val="000000" w:themeColor="text1"/>
                <w:szCs w:val="21"/>
                <w14:textFill>
                  <w14:solidFill>
                    <w14:schemeClr w14:val="tx1"/>
                  </w14:solidFill>
                </w14:textFill>
              </w:rPr>
              <w:t>其</w:t>
            </w:r>
            <w:r>
              <w:rPr>
                <w:rFonts w:hAnsi="宋体"/>
                <w:color w:val="000000" w:themeColor="text1"/>
                <w:szCs w:val="21"/>
                <w14:textFill>
                  <w14:solidFill>
                    <w14:schemeClr w14:val="tx1"/>
                  </w14:solidFill>
                </w14:textFill>
              </w:rPr>
              <w:t>报价未能涵盖</w:t>
            </w:r>
            <w:r>
              <w:rPr>
                <w:rFonts w:hint="eastAsia" w:hAnsi="宋体"/>
                <w:color w:val="000000" w:themeColor="text1"/>
                <w:szCs w:val="21"/>
                <w14:textFill>
                  <w14:solidFill>
                    <w14:schemeClr w14:val="tx1"/>
                  </w14:solidFill>
                </w14:textFill>
              </w:rPr>
              <w:t>合同范围内</w:t>
            </w:r>
            <w:r>
              <w:rPr>
                <w:rFonts w:hAnsi="宋体"/>
                <w:color w:val="000000" w:themeColor="text1"/>
                <w:szCs w:val="21"/>
                <w14:textFill>
                  <w14:solidFill>
                    <w14:schemeClr w14:val="tx1"/>
                  </w14:solidFill>
                </w14:textFill>
              </w:rPr>
              <w:t>为</w:t>
            </w:r>
            <w:r>
              <w:rPr>
                <w:rFonts w:hint="eastAsia" w:hAnsi="宋体"/>
                <w:color w:val="000000" w:themeColor="text1"/>
                <w:szCs w:val="21"/>
                <w14:textFill>
                  <w14:solidFill>
                    <w14:schemeClr w14:val="tx1"/>
                  </w14:solidFill>
                </w14:textFill>
              </w:rPr>
              <w:t>提供</w:t>
            </w:r>
            <w:r>
              <w:rPr>
                <w:rFonts w:hAnsi="宋体"/>
                <w:color w:val="000000" w:themeColor="text1"/>
                <w:szCs w:val="21"/>
                <w14:textFill>
                  <w14:solidFill>
                    <w14:schemeClr w14:val="tx1"/>
                  </w14:solidFill>
                </w14:textFill>
              </w:rPr>
              <w:t>本项目服务、为签订和履行合同所应获得的所有对价及所应支出的所有成本费用等任何理由，而要求</w:t>
            </w:r>
            <w:r>
              <w:rPr>
                <w:rFonts w:hint="eastAsia" w:hAnsi="宋体"/>
                <w:color w:val="000000" w:themeColor="text1"/>
                <w:szCs w:val="21"/>
                <w14:textFill>
                  <w14:solidFill>
                    <w14:schemeClr w14:val="tx1"/>
                  </w14:solidFill>
                </w14:textFill>
              </w:rPr>
              <w:t>在其</w:t>
            </w:r>
            <w:r>
              <w:rPr>
                <w:rFonts w:hAnsi="宋体"/>
                <w:color w:val="000000" w:themeColor="text1"/>
                <w:szCs w:val="21"/>
                <w14:textFill>
                  <w14:solidFill>
                    <w14:schemeClr w14:val="tx1"/>
                  </w14:solidFill>
                </w14:textFill>
              </w:rPr>
              <w:t>报价以外</w:t>
            </w:r>
            <w:r>
              <w:rPr>
                <w:rFonts w:hint="eastAsia" w:hAnsi="宋体"/>
                <w:color w:val="000000" w:themeColor="text1"/>
                <w:szCs w:val="21"/>
                <w14:textFill>
                  <w14:solidFill>
                    <w14:schemeClr w14:val="tx1"/>
                  </w14:solidFill>
                </w14:textFill>
              </w:rPr>
              <w:t>实施本项目的</w:t>
            </w:r>
            <w:r>
              <w:rPr>
                <w:rFonts w:hAnsi="宋体"/>
                <w:color w:val="000000" w:themeColor="text1"/>
                <w:szCs w:val="21"/>
                <w14:textFill>
                  <w14:solidFill>
                    <w14:schemeClr w14:val="tx1"/>
                  </w14:solidFill>
                </w14:textFill>
              </w:rPr>
              <w:t>其他费用，对这些费用，不再另外支付</w:t>
            </w:r>
            <w:r>
              <w:rPr>
                <w:rFonts w:hint="eastAsia" w:hAnsi="宋体" w:cs="宋体"/>
                <w:color w:val="000000" w:themeColor="text1"/>
                <w14:textFill>
                  <w14:solidFill>
                    <w14:schemeClr w14:val="tx1"/>
                  </w14:solidFill>
                </w14:textFill>
              </w:rPr>
              <w:t>。</w:t>
            </w:r>
          </w:p>
        </w:tc>
      </w:tr>
      <w:tr w14:paraId="090F9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048C97F">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46" w:name="_17.1"/>
            <w:bookmarkEnd w:id="46"/>
            <w:r>
              <w:rPr>
                <w:rFonts w:hint="eastAsia" w:ascii="宋体" w:hAnsi="宋体" w:eastAsia="宋体" w:cs="宋体"/>
                <w:color w:val="auto"/>
                <w:sz w:val="21"/>
                <w:szCs w:val="21"/>
                <w:highlight w:val="none"/>
              </w:rPr>
              <w:t>17.2</w:t>
            </w:r>
          </w:p>
        </w:tc>
        <w:tc>
          <w:tcPr>
            <w:tcW w:w="0" w:type="auto"/>
            <w:tcBorders>
              <w:top w:val="single" w:color="auto" w:sz="4" w:space="0"/>
              <w:left w:val="single" w:color="auto" w:sz="4" w:space="0"/>
              <w:bottom w:val="single" w:color="auto" w:sz="4" w:space="0"/>
              <w:right w:val="single" w:color="auto" w:sz="4" w:space="0"/>
            </w:tcBorders>
            <w:vAlign w:val="center"/>
          </w:tcPr>
          <w:p w14:paraId="57FBCF92">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投标有效期：自投标截止之日起</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w:t>
            </w:r>
          </w:p>
        </w:tc>
      </w:tr>
      <w:tr w14:paraId="23787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5E5FF6B">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47" w:name="_18"/>
            <w:bookmarkEnd w:id="47"/>
            <w:r>
              <w:rPr>
                <w:rFonts w:hint="eastAsia" w:ascii="宋体" w:hAnsi="宋体" w:eastAsia="宋体" w:cs="宋体"/>
                <w:color w:val="auto"/>
                <w:sz w:val="21"/>
                <w:szCs w:val="21"/>
                <w:highlight w:val="none"/>
              </w:rPr>
              <w:t>18.1</w:t>
            </w:r>
          </w:p>
        </w:tc>
        <w:tc>
          <w:tcPr>
            <w:tcW w:w="0" w:type="auto"/>
            <w:tcBorders>
              <w:top w:val="single" w:color="auto" w:sz="4" w:space="0"/>
              <w:left w:val="single" w:color="auto" w:sz="4" w:space="0"/>
              <w:bottom w:val="single" w:color="auto" w:sz="4" w:space="0"/>
              <w:right w:val="single" w:color="auto" w:sz="4" w:space="0"/>
            </w:tcBorders>
            <w:vAlign w:val="center"/>
          </w:tcPr>
          <w:p w14:paraId="7CE7FFC3">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本项目不收取投标保证金。</w:t>
            </w:r>
          </w:p>
        </w:tc>
      </w:tr>
      <w:tr w14:paraId="50B41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3FF119F">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48" w:name="_19.2"/>
            <w:bookmarkEnd w:id="48"/>
            <w:r>
              <w:rPr>
                <w:rFonts w:hint="eastAsia" w:ascii="宋体" w:hAnsi="宋体" w:eastAsia="宋体" w:cs="宋体"/>
                <w:color w:val="auto"/>
                <w:sz w:val="21"/>
                <w:szCs w:val="21"/>
                <w:highlight w:val="none"/>
              </w:rPr>
              <w:t>20</w:t>
            </w:r>
          </w:p>
        </w:tc>
        <w:tc>
          <w:tcPr>
            <w:tcW w:w="0" w:type="auto"/>
            <w:tcBorders>
              <w:top w:val="single" w:color="auto" w:sz="4" w:space="0"/>
              <w:left w:val="single" w:color="auto" w:sz="4" w:space="0"/>
              <w:bottom w:val="single" w:color="auto" w:sz="4" w:space="0"/>
              <w:right w:val="single" w:color="auto" w:sz="4" w:space="0"/>
            </w:tcBorders>
            <w:vAlign w:val="center"/>
          </w:tcPr>
          <w:p w14:paraId="4C64EEC7">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本项目不接受电子备份投标文件。</w:t>
            </w:r>
          </w:p>
        </w:tc>
      </w:tr>
      <w:tr w14:paraId="7473A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5586017D">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49" w:name="_21.1"/>
            <w:bookmarkEnd w:id="49"/>
            <w:r>
              <w:rPr>
                <w:rFonts w:hint="eastAsia" w:ascii="宋体" w:hAnsi="宋体" w:eastAsia="宋体" w:cs="宋体"/>
                <w:color w:val="auto"/>
                <w:sz w:val="21"/>
                <w:szCs w:val="21"/>
                <w:highlight w:val="none"/>
              </w:rPr>
              <w:t>21.1</w:t>
            </w:r>
          </w:p>
        </w:tc>
        <w:tc>
          <w:tcPr>
            <w:tcW w:w="0" w:type="auto"/>
            <w:tcBorders>
              <w:top w:val="single" w:color="auto" w:sz="4" w:space="0"/>
              <w:left w:val="single" w:color="auto" w:sz="4" w:space="0"/>
              <w:bottom w:val="single" w:color="auto" w:sz="4" w:space="0"/>
              <w:right w:val="single" w:color="auto" w:sz="4" w:space="0"/>
            </w:tcBorders>
            <w:vAlign w:val="center"/>
          </w:tcPr>
          <w:p w14:paraId="4EE8154C">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1.投标文件提交截止时间：详见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166BBE92">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2.投标地点：详见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14:paraId="075AD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4CE4A60B">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0" w:name="_23"/>
            <w:bookmarkEnd w:id="50"/>
            <w:r>
              <w:rPr>
                <w:rFonts w:hint="eastAsia" w:ascii="宋体" w:hAnsi="宋体" w:eastAsia="宋体" w:cs="宋体"/>
                <w:color w:val="auto"/>
                <w:sz w:val="21"/>
                <w:szCs w:val="21"/>
                <w:highlight w:val="none"/>
              </w:rPr>
              <w:t>23</w:t>
            </w:r>
          </w:p>
        </w:tc>
        <w:tc>
          <w:tcPr>
            <w:tcW w:w="0" w:type="auto"/>
            <w:tcBorders>
              <w:top w:val="single" w:color="auto" w:sz="4" w:space="0"/>
              <w:left w:val="single" w:color="auto" w:sz="4" w:space="0"/>
              <w:bottom w:val="single" w:color="auto" w:sz="4" w:space="0"/>
              <w:right w:val="single" w:color="auto" w:sz="4" w:space="0"/>
            </w:tcBorders>
            <w:vAlign w:val="center"/>
          </w:tcPr>
          <w:p w14:paraId="0586E11D">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40834C67">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2.开标地点：详见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14:paraId="12E50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4B67EC29">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24.3（1）</w:t>
            </w:r>
          </w:p>
        </w:tc>
        <w:tc>
          <w:tcPr>
            <w:tcW w:w="0" w:type="auto"/>
            <w:tcBorders>
              <w:top w:val="single" w:color="auto" w:sz="4" w:space="0"/>
              <w:left w:val="single" w:color="auto" w:sz="4" w:space="0"/>
              <w:bottom w:val="single" w:color="auto" w:sz="4" w:space="0"/>
              <w:right w:val="single" w:color="auto" w:sz="4" w:space="0"/>
            </w:tcBorders>
            <w:vAlign w:val="center"/>
          </w:tcPr>
          <w:p w14:paraId="4AB8C13D">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电子投标文件解密时间：30分钟</w:t>
            </w:r>
          </w:p>
        </w:tc>
      </w:tr>
      <w:tr w14:paraId="4B8AF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39E6663F">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24.3（2）</w:t>
            </w:r>
          </w:p>
        </w:tc>
        <w:tc>
          <w:tcPr>
            <w:tcW w:w="0" w:type="auto"/>
            <w:tcBorders>
              <w:top w:val="single" w:color="auto" w:sz="4" w:space="0"/>
              <w:left w:val="single" w:color="auto" w:sz="4" w:space="0"/>
              <w:bottom w:val="single" w:color="auto" w:sz="4" w:space="0"/>
              <w:right w:val="single" w:color="auto" w:sz="4" w:space="0"/>
            </w:tcBorders>
            <w:vAlign w:val="center"/>
          </w:tcPr>
          <w:p w14:paraId="2C73BD6C">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宣布的内容：投标人名称、投标价格。</w:t>
            </w:r>
          </w:p>
        </w:tc>
      </w:tr>
      <w:tr w14:paraId="5224C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7BA07025">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1" w:name="_25.3"/>
            <w:bookmarkEnd w:id="51"/>
            <w:r>
              <w:rPr>
                <w:rFonts w:hint="eastAsia" w:ascii="宋体" w:hAnsi="宋体" w:eastAsia="宋体" w:cs="宋体"/>
                <w:color w:val="auto"/>
                <w:sz w:val="21"/>
                <w:szCs w:val="21"/>
                <w:highlight w:val="none"/>
              </w:rPr>
              <w:t>25.3（2）</w:t>
            </w:r>
          </w:p>
        </w:tc>
        <w:tc>
          <w:tcPr>
            <w:tcW w:w="0" w:type="auto"/>
            <w:tcBorders>
              <w:top w:val="single" w:color="auto" w:sz="4" w:space="0"/>
              <w:left w:val="single" w:color="auto" w:sz="4" w:space="0"/>
              <w:bottom w:val="single" w:color="auto" w:sz="4" w:space="0"/>
              <w:right w:val="single" w:color="auto" w:sz="4" w:space="0"/>
            </w:tcBorders>
            <w:vAlign w:val="center"/>
          </w:tcPr>
          <w:p w14:paraId="227C1786">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6A990E66">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查询渠道：“信用中国”网站（www.creditchina.gov.cn）、中国政府采购网（www.ccgp.gov.cn）。</w:t>
            </w:r>
          </w:p>
        </w:tc>
      </w:tr>
      <w:tr w14:paraId="67195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4BE77811">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2" w:name="_26"/>
            <w:bookmarkEnd w:id="52"/>
            <w:r>
              <w:rPr>
                <w:rFonts w:hint="eastAsia" w:ascii="宋体" w:hAnsi="宋体" w:eastAsia="宋体" w:cs="宋体"/>
                <w:color w:val="auto"/>
                <w:sz w:val="21"/>
                <w:szCs w:val="21"/>
                <w:highlight w:val="none"/>
              </w:rPr>
              <w:t>26.1</w:t>
            </w:r>
          </w:p>
        </w:tc>
        <w:tc>
          <w:tcPr>
            <w:tcW w:w="0" w:type="auto"/>
            <w:tcBorders>
              <w:top w:val="single" w:color="auto" w:sz="4" w:space="0"/>
              <w:left w:val="single" w:color="auto" w:sz="4" w:space="0"/>
              <w:bottom w:val="single" w:color="auto" w:sz="4" w:space="0"/>
              <w:right w:val="single" w:color="auto" w:sz="4" w:space="0"/>
            </w:tcBorders>
            <w:vAlign w:val="center"/>
          </w:tcPr>
          <w:p w14:paraId="4EF350A5">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评标委员会的人数：</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人。</w:t>
            </w:r>
          </w:p>
        </w:tc>
      </w:tr>
      <w:tr w14:paraId="3FC3D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26F5A6BF">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3" w:name="_28.3"/>
            <w:bookmarkEnd w:id="53"/>
            <w:r>
              <w:rPr>
                <w:rFonts w:hint="eastAsia" w:ascii="宋体" w:hAnsi="宋体" w:eastAsia="宋体" w:cs="宋体"/>
                <w:color w:val="auto"/>
                <w:sz w:val="21"/>
                <w:szCs w:val="21"/>
                <w:highlight w:val="none"/>
              </w:rPr>
              <w:t>29.1</w:t>
            </w:r>
          </w:p>
        </w:tc>
        <w:tc>
          <w:tcPr>
            <w:tcW w:w="0" w:type="auto"/>
            <w:tcBorders>
              <w:top w:val="single" w:color="auto" w:sz="4" w:space="0"/>
              <w:left w:val="single" w:color="auto" w:sz="4" w:space="0"/>
              <w:bottom w:val="single" w:color="auto" w:sz="4" w:space="0"/>
              <w:right w:val="single" w:color="auto" w:sz="4" w:space="0"/>
            </w:tcBorders>
            <w:vAlign w:val="center"/>
          </w:tcPr>
          <w:p w14:paraId="74A8B16D">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评标方法：综合评分法。</w:t>
            </w:r>
          </w:p>
        </w:tc>
      </w:tr>
      <w:tr w14:paraId="15063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5EE6C3A6">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4" w:name="_29.2.2（2）"/>
            <w:bookmarkEnd w:id="54"/>
            <w:r>
              <w:rPr>
                <w:rFonts w:hint="eastAsia" w:ascii="宋体" w:hAnsi="宋体" w:eastAsia="宋体" w:cs="宋体"/>
                <w:color w:val="auto"/>
                <w:sz w:val="21"/>
                <w:szCs w:val="21"/>
                <w:highlight w:val="none"/>
              </w:rPr>
              <w:t>29.2</w:t>
            </w:r>
          </w:p>
        </w:tc>
        <w:tc>
          <w:tcPr>
            <w:tcW w:w="0" w:type="auto"/>
            <w:tcBorders>
              <w:top w:val="single" w:color="auto" w:sz="4" w:space="0"/>
              <w:left w:val="single" w:color="auto" w:sz="4" w:space="0"/>
              <w:right w:val="single" w:color="auto" w:sz="4" w:space="0"/>
            </w:tcBorders>
            <w:vAlign w:val="center"/>
          </w:tcPr>
          <w:p w14:paraId="082E443C">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rPr>
              <w:t>商务要求评审中允许负偏离的条款数为</w:t>
            </w:r>
            <w:r>
              <w:rPr>
                <w:rFonts w:hint="eastAsia" w:ascii="宋体" w:hAnsi="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项。</w:t>
            </w:r>
          </w:p>
          <w:p w14:paraId="447C0969">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技术要求评审中允许负偏离的条款数为</w:t>
            </w:r>
            <w:r>
              <w:rPr>
                <w:rFonts w:hint="eastAsia" w:ascii="宋体" w:hAnsi="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eastAsia="宋体" w:cs="宋体"/>
                <w:color w:val="auto"/>
                <w:sz w:val="21"/>
                <w:szCs w:val="21"/>
                <w:highlight w:val="none"/>
              </w:rPr>
              <w:t>项。</w:t>
            </w:r>
          </w:p>
        </w:tc>
      </w:tr>
      <w:tr w14:paraId="3D34A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3B563F39">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w:t>
            </w:r>
          </w:p>
        </w:tc>
        <w:tc>
          <w:tcPr>
            <w:tcW w:w="0" w:type="auto"/>
            <w:tcBorders>
              <w:top w:val="single" w:color="auto" w:sz="4" w:space="0"/>
              <w:left w:val="single" w:color="auto" w:sz="4" w:space="0"/>
              <w:right w:val="single" w:color="auto" w:sz="4" w:space="0"/>
            </w:tcBorders>
            <w:vAlign w:val="center"/>
          </w:tcPr>
          <w:p w14:paraId="3A884351">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中标候选人推荐数量：</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名。</w:t>
            </w:r>
          </w:p>
        </w:tc>
      </w:tr>
      <w:tr w14:paraId="27034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3E2F0F9B">
            <w:pPr>
              <w:keepNext w:val="0"/>
              <w:keepLines w:val="0"/>
              <w:pageBreakBefore w:val="0"/>
              <w:widowControl w:val="0"/>
              <w:kinsoku/>
              <w:wordWrap/>
              <w:overflowPunct/>
              <w:topLinePunct w:val="0"/>
              <w:bidi w:val="0"/>
              <w:adjustRightInd/>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29.5</w:t>
            </w:r>
          </w:p>
        </w:tc>
        <w:tc>
          <w:tcPr>
            <w:tcW w:w="0" w:type="auto"/>
            <w:tcBorders>
              <w:top w:val="single" w:color="auto" w:sz="4" w:space="0"/>
              <w:left w:val="single" w:color="auto" w:sz="4" w:space="0"/>
              <w:right w:val="single" w:color="auto" w:sz="4" w:space="0"/>
            </w:tcBorders>
            <w:vAlign w:val="center"/>
          </w:tcPr>
          <w:p w14:paraId="0C31AA70">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异常低价审查：根据《关于推动解决政府采购异常低价问题的通知》财库〔2026〕2号规定，政府采购评审中出现下列情形之一的，评审委员会应当启动异常低价投标（响应）审查程序：</w:t>
            </w:r>
          </w:p>
          <w:p w14:paraId="181E5F99">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1.投标（响应）报价低于全部通过符合性审查供应商投标（响应）报价平均值50%的，即投标（响应）报价&lt;全部通过符合性审查供应商投标（响应）报价平均值×50%；</w:t>
            </w:r>
          </w:p>
          <w:p w14:paraId="123BA215">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2.投标（响应）报价低于通过符合性审查的次低报价供应商投标（响应）报价50%的，即投标（响应）报价&lt;通过符合性审查的次低报价供应商投标（响应）报价×50%；</w:t>
            </w:r>
          </w:p>
          <w:p w14:paraId="4C3773C3">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3.投标（响应）报价低于采购项目最高限价45%的，即投标（响应）报价&lt;采购项目最高限价×45%；</w:t>
            </w:r>
          </w:p>
          <w:p w14:paraId="412FDEA5">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4.评审委员会基于专业判断，认为供应商报价过低，有可能影响产品质量或者不能诚信履约的其他情形。</w:t>
            </w:r>
          </w:p>
          <w:p w14:paraId="770A1E33">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相关法律法规对供应商报价有规定的，从其规定。</w:t>
            </w:r>
          </w:p>
        </w:tc>
      </w:tr>
      <w:tr w14:paraId="2F9B6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5B53431">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0" w:type="auto"/>
            <w:tcBorders>
              <w:top w:val="single" w:color="auto" w:sz="4" w:space="0"/>
              <w:left w:val="single" w:color="auto" w:sz="4" w:space="0"/>
              <w:bottom w:val="single" w:color="auto" w:sz="4" w:space="0"/>
              <w:right w:val="single" w:color="auto" w:sz="4" w:space="0"/>
            </w:tcBorders>
            <w:vAlign w:val="center"/>
          </w:tcPr>
          <w:p w14:paraId="5353A751">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采用综合评分法的采购项目，采购人确定中标人时，出现中标候选人并列的情形，采购人按以下的方式确定中标人：按综合评分中服务水平、售后服务、履约能力得分高低依次确定。</w:t>
            </w:r>
          </w:p>
          <w:p w14:paraId="2E1BFC57">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最低评标价法的采购项目，采购人确定中标人时，出现中标候选人并列的情形，采购人按以下的方式确定中标人：按服务水平技术指标高优先、服务方案好优先、拟投入人员多优先、服务响应时间短优先的顺序依次确定。</w:t>
            </w:r>
          </w:p>
        </w:tc>
      </w:tr>
      <w:tr w14:paraId="0C6BB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14:paraId="77A3E900">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5" w:name="_39.1"/>
            <w:bookmarkEnd w:id="55"/>
            <w:r>
              <w:rPr>
                <w:rFonts w:hint="eastAsia" w:ascii="宋体" w:hAnsi="宋体" w:eastAsia="宋体" w:cs="宋体"/>
                <w:color w:val="auto"/>
                <w:sz w:val="21"/>
                <w:szCs w:val="21"/>
                <w:highlight w:val="none"/>
              </w:rPr>
              <w:t>35.1</w:t>
            </w:r>
          </w:p>
        </w:tc>
        <w:tc>
          <w:tcPr>
            <w:tcW w:w="0" w:type="auto"/>
            <w:tcBorders>
              <w:top w:val="single" w:color="auto" w:sz="4" w:space="0"/>
              <w:left w:val="single" w:color="auto" w:sz="4" w:space="0"/>
              <w:bottom w:val="single" w:color="auto" w:sz="4" w:space="0"/>
              <w:right w:val="single" w:color="auto" w:sz="4" w:space="0"/>
            </w:tcBorders>
            <w:vAlign w:val="center"/>
          </w:tcPr>
          <w:p w14:paraId="7E9F42C2">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不收取</w:t>
            </w:r>
            <w:r>
              <w:rPr>
                <w:rFonts w:hint="eastAsia" w:ascii="宋体" w:hAnsi="宋体" w:eastAsia="宋体" w:cs="宋体"/>
                <w:color w:val="auto"/>
                <w:sz w:val="21"/>
                <w:szCs w:val="21"/>
                <w:highlight w:val="none"/>
              </w:rPr>
              <w:t>履约保证金。</w:t>
            </w:r>
          </w:p>
        </w:tc>
      </w:tr>
      <w:tr w14:paraId="189EC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D7352A0">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6" w:name="_40.1"/>
            <w:bookmarkEnd w:id="56"/>
            <w:r>
              <w:rPr>
                <w:rFonts w:hint="eastAsia" w:ascii="宋体" w:hAnsi="宋体" w:eastAsia="宋体" w:cs="宋体"/>
                <w:color w:val="auto"/>
                <w:sz w:val="21"/>
                <w:szCs w:val="21"/>
                <w:highlight w:val="none"/>
              </w:rPr>
              <w:t>36.1</w:t>
            </w:r>
          </w:p>
        </w:tc>
        <w:tc>
          <w:tcPr>
            <w:tcW w:w="0" w:type="auto"/>
            <w:tcBorders>
              <w:top w:val="single" w:color="auto" w:sz="4" w:space="0"/>
              <w:left w:val="single" w:color="auto" w:sz="4" w:space="0"/>
              <w:bottom w:val="single" w:color="auto" w:sz="4" w:space="0"/>
              <w:right w:val="single" w:color="auto" w:sz="4" w:space="0"/>
            </w:tcBorders>
            <w:vAlign w:val="center"/>
          </w:tcPr>
          <w:p w14:paraId="016AA4DC">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签订合同携带的证明材料：</w:t>
            </w:r>
          </w:p>
          <w:p w14:paraId="11DF2052">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69875D02">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177D8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7FBF49A9">
            <w:pPr>
              <w:spacing w:line="360" w:lineRule="auto"/>
              <w:jc w:val="center"/>
              <w:rPr>
                <w:rFonts w:hint="default" w:ascii="宋体" w:hAnsi="宋体" w:eastAsia="宋体" w:cs="宋体"/>
                <w:color w:val="auto"/>
                <w:sz w:val="21"/>
                <w:szCs w:val="21"/>
                <w:highlight w:val="none"/>
                <w:lang w:val="en-US"/>
              </w:rPr>
            </w:pPr>
            <w:r>
              <w:rPr>
                <w:rFonts w:hint="eastAsia" w:ascii="宋体" w:hAnsi="宋体" w:cs="宋体"/>
                <w:szCs w:val="21"/>
                <w:lang w:val="en-US" w:eastAsia="zh-CN"/>
              </w:rPr>
              <w:t>37</w:t>
            </w:r>
          </w:p>
        </w:tc>
        <w:tc>
          <w:tcPr>
            <w:tcW w:w="9305" w:type="dxa"/>
            <w:tcBorders>
              <w:top w:val="single" w:color="auto" w:sz="4" w:space="0"/>
              <w:left w:val="single" w:color="auto" w:sz="4" w:space="0"/>
              <w:bottom w:val="single" w:color="auto" w:sz="4" w:space="0"/>
              <w:right w:val="single" w:color="auto" w:sz="4" w:space="0"/>
            </w:tcBorders>
            <w:vAlign w:val="center"/>
          </w:tcPr>
          <w:p w14:paraId="7F155209">
            <w:pPr>
              <w:pStyle w:val="12"/>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政府采购合同公告。</w:t>
            </w:r>
          </w:p>
          <w:p w14:paraId="11AA2BFF">
            <w:pPr>
              <w:pStyle w:val="12"/>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hAnsi="宋体" w:cs="宋体"/>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采购人须在合同签订之日起2个工作日内把合同副本以及扫描件送达我中心。</w:t>
            </w:r>
          </w:p>
        </w:tc>
      </w:tr>
      <w:tr w14:paraId="13B23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2FBA15E">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0" w:type="auto"/>
            <w:tcBorders>
              <w:top w:val="single" w:color="auto" w:sz="4" w:space="0"/>
              <w:left w:val="single" w:color="auto" w:sz="4" w:space="0"/>
              <w:bottom w:val="single" w:color="auto" w:sz="4" w:space="0"/>
              <w:right w:val="single" w:color="auto" w:sz="4" w:space="0"/>
            </w:tcBorders>
            <w:vAlign w:val="center"/>
          </w:tcPr>
          <w:p w14:paraId="1E58065A">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接收质疑函方式：以书面形式</w:t>
            </w:r>
            <w:r>
              <w:rPr>
                <w:rFonts w:hint="eastAsia" w:ascii="宋体" w:hAnsi="宋体" w:eastAsia="宋体" w:cs="宋体"/>
                <w:color w:val="auto"/>
                <w:sz w:val="21"/>
                <w:szCs w:val="21"/>
                <w:highlight w:val="none"/>
                <w:lang w:eastAsia="zh-CN"/>
              </w:rPr>
              <w:t>。</w:t>
            </w:r>
          </w:p>
          <w:p w14:paraId="23427AF9">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u w:val="single"/>
                <w:lang w:val="en-US" w:eastAsia="zh-CN"/>
              </w:rPr>
              <w:t>防城港市大数据和行政审批局</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通讯地址：</w:t>
            </w:r>
            <w:r>
              <w:rPr>
                <w:rFonts w:hint="eastAsia" w:ascii="宋体" w:hAnsi="宋体" w:cs="宋体"/>
                <w:color w:val="auto"/>
                <w:sz w:val="21"/>
                <w:szCs w:val="21"/>
                <w:highlight w:val="none"/>
                <w:u w:val="single"/>
                <w:lang w:val="en-US" w:eastAsia="zh-CN"/>
              </w:rPr>
              <w:t>防城港市中心区红树林大厦东塔2楼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联系方式：</w:t>
            </w:r>
            <w:r>
              <w:rPr>
                <w:rFonts w:hint="eastAsia" w:ascii="宋体" w:hAnsi="宋体" w:eastAsia="宋体" w:cs="宋体"/>
                <w:color w:val="auto"/>
                <w:sz w:val="21"/>
                <w:szCs w:val="21"/>
                <w:highlight w:val="none"/>
                <w:u w:val="single"/>
                <w:lang w:val="en-US" w:eastAsia="zh-CN"/>
              </w:rPr>
              <w:t>0770-2881275</w:t>
            </w:r>
            <w:r>
              <w:rPr>
                <w:rFonts w:hint="eastAsia" w:ascii="宋体" w:hAnsi="宋体" w:eastAsia="宋体" w:cs="宋体"/>
                <w:color w:val="auto"/>
                <w:sz w:val="21"/>
                <w:szCs w:val="21"/>
                <w:highlight w:val="none"/>
              </w:rPr>
              <w:t>。</w:t>
            </w:r>
          </w:p>
          <w:p w14:paraId="6A8BB502">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业务时间：每天上午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时00分到12时00分，下午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0分到</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0分，双休日和法定节假日不办理业务。</w:t>
            </w:r>
          </w:p>
          <w:p w14:paraId="6014CB55">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采购代理机构：</w:t>
            </w:r>
            <w:r>
              <w:rPr>
                <w:rFonts w:hint="eastAsia" w:ascii="宋体" w:hAnsi="宋体" w:eastAsia="宋体" w:cs="宋体"/>
                <w:color w:val="auto"/>
                <w:sz w:val="21"/>
                <w:szCs w:val="21"/>
                <w:highlight w:val="none"/>
                <w:u w:val="single"/>
                <w:lang w:val="en-US" w:eastAsia="zh-CN"/>
              </w:rPr>
              <w:t>防城港市政府采购中心</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通讯地址：</w:t>
            </w:r>
            <w:r>
              <w:rPr>
                <w:rFonts w:hint="eastAsia" w:ascii="宋体" w:hAnsi="宋体" w:cs="宋体"/>
                <w:color w:val="auto"/>
                <w:sz w:val="21"/>
                <w:szCs w:val="21"/>
                <w:highlight w:val="none"/>
                <w:u w:val="single"/>
                <w:lang w:val="en-US" w:eastAsia="zh-CN"/>
              </w:rPr>
              <w:t>防城港市中心区红树林大厦东塔6楼</w:t>
            </w:r>
            <w:r>
              <w:rPr>
                <w:rFonts w:hint="eastAsia" w:ascii="宋体" w:hAnsi="宋体" w:cs="宋体"/>
                <w:color w:val="auto"/>
                <w:sz w:val="21"/>
                <w:szCs w:val="21"/>
                <w:highlight w:val="none"/>
                <w:lang w:val="en-US" w:eastAsia="zh-CN"/>
              </w:rPr>
              <w:t>，联系方式：</w:t>
            </w:r>
            <w:r>
              <w:rPr>
                <w:rFonts w:hint="eastAsia" w:ascii="宋体" w:hAnsi="宋体" w:cs="宋体"/>
                <w:color w:val="auto"/>
                <w:sz w:val="21"/>
                <w:szCs w:val="21"/>
                <w:highlight w:val="none"/>
                <w:u w:val="single"/>
                <w:lang w:val="en-US" w:eastAsia="zh-CN"/>
              </w:rPr>
              <w:t>0770-6126192</w:t>
            </w:r>
            <w:r>
              <w:rPr>
                <w:rFonts w:hint="eastAsia" w:ascii="宋体" w:hAnsi="宋体" w:cs="宋体"/>
                <w:color w:val="auto"/>
                <w:sz w:val="21"/>
                <w:szCs w:val="21"/>
                <w:highlight w:val="none"/>
                <w:u w:val="none"/>
                <w:lang w:val="en-US" w:eastAsia="zh-CN"/>
              </w:rPr>
              <w:t>。</w:t>
            </w:r>
          </w:p>
          <w:p w14:paraId="71A46202">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业务时间：每天上午9时00分到12时00分，下午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0分到</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0分，双休日和法定节假日不办理业务。</w:t>
            </w:r>
          </w:p>
        </w:tc>
      </w:tr>
      <w:tr w14:paraId="3AADB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D3B2952">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7" w:name="_41"/>
            <w:bookmarkEnd w:id="57"/>
            <w:bookmarkStart w:id="58" w:name="_42"/>
            <w:bookmarkEnd w:id="58"/>
            <w:bookmarkStart w:id="59" w:name="_Hlt17709148"/>
            <w:r>
              <w:rPr>
                <w:rFonts w:hint="eastAsia" w:ascii="宋体" w:hAnsi="宋体" w:eastAsia="宋体" w:cs="宋体"/>
                <w:color w:val="auto"/>
                <w:sz w:val="21"/>
                <w:szCs w:val="21"/>
                <w:highlight w:val="none"/>
              </w:rPr>
              <w:t>3</w:t>
            </w:r>
            <w:bookmarkEnd w:id="59"/>
            <w:r>
              <w:rPr>
                <w:rFonts w:hint="eastAsia" w:ascii="宋体" w:hAnsi="宋体" w:eastAsia="宋体" w:cs="宋体"/>
                <w:color w:val="auto"/>
                <w:sz w:val="21"/>
                <w:szCs w:val="21"/>
                <w:highlight w:val="none"/>
              </w:rPr>
              <w:t>9.1</w:t>
            </w:r>
          </w:p>
        </w:tc>
        <w:tc>
          <w:tcPr>
            <w:tcW w:w="0" w:type="auto"/>
            <w:tcBorders>
              <w:top w:val="single" w:color="auto" w:sz="4" w:space="0"/>
              <w:left w:val="single" w:color="auto" w:sz="4" w:space="0"/>
              <w:bottom w:val="single" w:color="auto" w:sz="4" w:space="0"/>
              <w:right w:val="single" w:color="auto" w:sz="4" w:space="0"/>
            </w:tcBorders>
            <w:vAlign w:val="center"/>
          </w:tcPr>
          <w:p w14:paraId="58E66EBB">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cs="宋体"/>
                <w:color w:val="000000" w:themeColor="text1"/>
                <w:sz w:val="21"/>
                <w:szCs w:val="21"/>
                <w:highlight w:val="none"/>
                <w:lang w:val="en-US" w:eastAsia="zh-CN"/>
                <w14:textFill>
                  <w14:solidFill>
                    <w14:schemeClr w14:val="tx1"/>
                  </w14:solidFill>
                </w14:textFill>
              </w:rPr>
              <w:t>不收取</w:t>
            </w:r>
            <w:r>
              <w:rPr>
                <w:rFonts w:hint="eastAsia" w:ascii="宋体" w:hAnsi="宋体" w:eastAsia="宋体" w:cs="宋体"/>
                <w:bCs/>
                <w:color w:val="000000" w:themeColor="text1"/>
                <w:sz w:val="21"/>
                <w:szCs w:val="21"/>
                <w:highlight w:val="none"/>
                <w14:textFill>
                  <w14:solidFill>
                    <w14:schemeClr w14:val="tx1"/>
                  </w14:solidFill>
                </w14:textFill>
              </w:rPr>
              <w:t>代理服务费</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tc>
      </w:tr>
      <w:tr w14:paraId="61D06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202DCB89">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w:t>
            </w:r>
          </w:p>
        </w:tc>
        <w:tc>
          <w:tcPr>
            <w:tcW w:w="0" w:type="auto"/>
            <w:tcBorders>
              <w:top w:val="single" w:color="auto" w:sz="4" w:space="0"/>
              <w:left w:val="single" w:color="auto" w:sz="4" w:space="0"/>
              <w:bottom w:val="single" w:color="auto" w:sz="4" w:space="0"/>
              <w:right w:val="single" w:color="auto" w:sz="4" w:space="0"/>
            </w:tcBorders>
            <w:vAlign w:val="center"/>
          </w:tcPr>
          <w:p w14:paraId="574079F2">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文件的各个组成文件应互为解释，互为说明；除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文件中有特别规定外，仅适用于</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投标阶段的规定，按更正公告（澄清公告）、</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文件不一致时以更正公告（澄清公告）为准。按本款前述规定仍不能形成结论的，由采购人或者采购代理机构负责解释。</w:t>
            </w:r>
          </w:p>
        </w:tc>
      </w:tr>
      <w:tr w14:paraId="430E3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tcBorders>
              <w:top w:val="single" w:color="auto" w:sz="4" w:space="0"/>
              <w:left w:val="single" w:color="auto" w:sz="4" w:space="0"/>
              <w:bottom w:val="single" w:color="auto" w:sz="4" w:space="0"/>
              <w:right w:val="single" w:color="auto" w:sz="4" w:space="0"/>
            </w:tcBorders>
            <w:vAlign w:val="center"/>
          </w:tcPr>
          <w:p w14:paraId="5B402A06">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w:t>
            </w:r>
          </w:p>
        </w:tc>
        <w:tc>
          <w:tcPr>
            <w:tcW w:w="0" w:type="auto"/>
            <w:tcBorders>
              <w:top w:val="single" w:color="auto" w:sz="4" w:space="0"/>
              <w:left w:val="single" w:color="auto" w:sz="4" w:space="0"/>
              <w:bottom w:val="single" w:color="auto" w:sz="4" w:space="0"/>
              <w:right w:val="single" w:color="auto" w:sz="4" w:space="0"/>
            </w:tcBorders>
            <w:vAlign w:val="center"/>
          </w:tcPr>
          <w:p w14:paraId="3E01D245">
            <w:pPr>
              <w:pStyle w:val="12"/>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文件中描述投标人的“公章”是指根据我国对公章的管理规定，用投标人法定主体行为名称制作的印章，除本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文件有特殊规定外，投标人的财务章、部门章、分公司章、工会章、合同章、投标专用章、业务专用章及银行的转账章、现金收讫章、现金付讫章等其他形式印章均不能代替公章。</w:t>
            </w:r>
          </w:p>
          <w:p w14:paraId="6EABDE6E">
            <w:pPr>
              <w:pStyle w:val="12"/>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文件所称的“</w:t>
            </w:r>
            <w:r>
              <w:rPr>
                <w:rFonts w:hint="eastAsia" w:ascii="宋体" w:hAnsi="宋体" w:eastAsia="宋体" w:cs="宋体"/>
                <w:color w:val="auto"/>
                <w:sz w:val="21"/>
                <w:szCs w:val="21"/>
                <w:highlight w:val="none"/>
              </w:rPr>
              <w:t>电子签章</w:t>
            </w:r>
            <w:r>
              <w:rPr>
                <w:rFonts w:hint="eastAsia" w:ascii="宋体" w:hAnsi="宋体" w:eastAsia="宋体" w:cs="宋体"/>
                <w:bCs/>
                <w:color w:val="auto"/>
                <w:sz w:val="21"/>
                <w:szCs w:val="21"/>
                <w:highlight w:val="none"/>
              </w:rPr>
              <w:t>”、“电子签名”</w:t>
            </w:r>
            <w:r>
              <w:rPr>
                <w:rFonts w:hint="eastAsia" w:ascii="宋体" w:hAnsi="宋体" w:eastAsia="宋体" w:cs="宋体"/>
                <w:color w:val="auto"/>
                <w:sz w:val="21"/>
                <w:szCs w:val="21"/>
                <w:highlight w:val="none"/>
              </w:rPr>
              <w:t>，是指经</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认可的CA认证的电子签名数据为表现形式的印章，可用于签署电子投标文件，电子印章与实物印章具有同等法律效力，不因其采用电子化表现形式而否定其法律效力。</w:t>
            </w:r>
          </w:p>
          <w:p w14:paraId="264B2DB7">
            <w:pPr>
              <w:pStyle w:val="12"/>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3.投标人为其他组织或者自然人时，本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文件规定的法定代表人指负责人或者自然人。本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文件所称负责人是指参加投标的其他组织营业执照或者执业许可证等证照上的负责人，本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文件所称自然人指参与投标的自然人本人，且应具备独立承担民事责任能力，自然人应当为年满18岁以上成年人（十六周岁以上的未成年人，以自己的劳动收入为主要生活来源的，视为完全民事行为能力人）。</w:t>
            </w:r>
          </w:p>
          <w:p w14:paraId="526CFB50">
            <w:pPr>
              <w:pStyle w:val="12"/>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文件中描述投标人的“签字”是指投标人的法定代表人或者委托代理人亲自在文件规定签字处亲笔写上个人的名字的行为，私章、签字章、印鉴、影印等其他形式均不能代替亲笔签字。</w:t>
            </w:r>
          </w:p>
          <w:p w14:paraId="577C0D93">
            <w:pPr>
              <w:pStyle w:val="12"/>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文件所称的“以上”“以下”“以内”“届满”，包括本数；所称的“不满”“超过”“以外”，不包括本数。</w:t>
            </w:r>
          </w:p>
        </w:tc>
      </w:tr>
    </w:tbl>
    <w:p w14:paraId="4B2538B7">
      <w:pPr>
        <w:rPr>
          <w:rFonts w:asciiTheme="minorHAnsi" w:hAnsiTheme="minorHAnsi" w:eastAsiaTheme="minorEastAsia" w:cstheme="minorBidi"/>
          <w:kern w:val="2"/>
          <w:sz w:val="21"/>
          <w:szCs w:val="24"/>
          <w:lang w:val="en-US" w:eastAsia="zh-CN" w:bidi="ar-SA"/>
        </w:rPr>
      </w:pPr>
      <w:r>
        <w:rPr>
          <w:rFonts w:asciiTheme="minorHAnsi" w:hAnsiTheme="minorHAnsi" w:eastAsiaTheme="minorEastAsia" w:cstheme="minorBidi"/>
          <w:kern w:val="2"/>
          <w:sz w:val="21"/>
          <w:szCs w:val="24"/>
          <w:lang w:val="en-US" w:eastAsia="zh-CN" w:bidi="ar-SA"/>
        </w:rPr>
        <w:br w:type="page"/>
      </w:r>
    </w:p>
    <w:p w14:paraId="59582C8F">
      <w:pPr>
        <w:pageBreakBefore w:val="0"/>
        <w:kinsoku/>
        <w:overflowPunct/>
        <w:topLinePunct w:val="0"/>
        <w:bidi w:val="0"/>
        <w:spacing w:line="24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投标人须知正文</w:t>
      </w:r>
    </w:p>
    <w:p w14:paraId="60D5E2EB">
      <w:pPr>
        <w:pStyle w:val="4"/>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则</w:t>
      </w:r>
    </w:p>
    <w:p w14:paraId="4164D0B5">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60" w:name="_Toc254970668"/>
      <w:bookmarkStart w:id="61" w:name="_Toc254970527"/>
      <w:r>
        <w:rPr>
          <w:rFonts w:hint="eastAsia" w:ascii="宋体" w:hAnsi="宋体" w:eastAsia="宋体" w:cs="宋体"/>
          <w:color w:val="auto"/>
          <w:sz w:val="21"/>
          <w:szCs w:val="21"/>
          <w:highlight w:val="none"/>
        </w:rPr>
        <w:t>1.适用范围</w:t>
      </w:r>
      <w:bookmarkEnd w:id="60"/>
      <w:bookmarkEnd w:id="61"/>
    </w:p>
    <w:p w14:paraId="61B7528A">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8807857">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1.2本</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w:t>
      </w:r>
      <w:r>
        <w:rPr>
          <w:rFonts w:hint="eastAsia" w:ascii="宋体" w:hAnsi="宋体" w:eastAsia="宋体" w:cs="宋体"/>
          <w:color w:val="auto"/>
          <w:spacing w:val="-6"/>
          <w:sz w:val="21"/>
          <w:szCs w:val="21"/>
          <w:highlight w:val="none"/>
        </w:rPr>
        <w:t>适用于本项目的所有采购程序和环节（法律、法规另有规定的，从其规定）。</w:t>
      </w:r>
    </w:p>
    <w:p w14:paraId="3B397529">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62" w:name="_Toc254970528"/>
      <w:bookmarkStart w:id="63" w:name="_Toc254970669"/>
      <w:r>
        <w:rPr>
          <w:rFonts w:hint="eastAsia" w:ascii="宋体" w:hAnsi="宋体" w:eastAsia="宋体" w:cs="宋体"/>
          <w:color w:val="auto"/>
          <w:sz w:val="21"/>
          <w:szCs w:val="21"/>
          <w:highlight w:val="none"/>
        </w:rPr>
        <w:t>2.定义</w:t>
      </w:r>
      <w:bookmarkEnd w:id="62"/>
      <w:bookmarkEnd w:id="63"/>
    </w:p>
    <w:p w14:paraId="001970A7">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2.1“采购人”是指依法进行政府采购的国家机关、事业单位、团体组织。</w:t>
      </w:r>
    </w:p>
    <w:p w14:paraId="61AE5A61">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2.2“采购代理机构”是指政府采购集中采购机构和集中采购机构以外的采购代理机构。</w:t>
      </w:r>
    </w:p>
    <w:p w14:paraId="31101B9A">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2.3“供应商”是指向采购人提供货物、工程或者服务的法人、其他组织或者自然人。</w:t>
      </w:r>
    </w:p>
    <w:p w14:paraId="2D40D3CC">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2.4“投标人”是指响应</w:t>
      </w:r>
      <w:r>
        <w:rPr>
          <w:rFonts w:hint="eastAsia" w:ascii="宋体"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auto"/>
          <w:sz w:val="21"/>
          <w:szCs w:val="21"/>
          <w:highlight w:val="none"/>
        </w:rPr>
        <w:t>、参加投标竞争的法人、其他组织或者自然人。</w:t>
      </w:r>
    </w:p>
    <w:p w14:paraId="6540692A">
      <w:pPr>
        <w:pStyle w:val="6"/>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2.5“服务”是指除货物和工程以外的其他政府采购对象。</w:t>
      </w:r>
    </w:p>
    <w:p w14:paraId="02400086">
      <w:pPr>
        <w:pStyle w:val="6"/>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2.6“售后服务”是指商品出售以后所提供的各种服务，包含但不限于投标人须承担的备品备件、包装、运输、装卸、保险、货到就位以及安装、调试、培训、保修以及其他各种服务。</w:t>
      </w:r>
    </w:p>
    <w:p w14:paraId="10FA97BD">
      <w:pPr>
        <w:pStyle w:val="6"/>
        <w:pageBreakBefore w:val="0"/>
        <w:widowControl w:val="0"/>
        <w:kinsoku/>
        <w:wordWrap/>
        <w:overflowPunct/>
        <w:topLinePunct w:val="0"/>
        <w:autoSpaceDE/>
        <w:autoSpaceDN/>
        <w:bidi w:val="0"/>
        <w:spacing w:before="0" w:after="0" w:line="360" w:lineRule="exac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2A09B8AF">
      <w:pPr>
        <w:pStyle w:val="6"/>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2.8“实质性要求”是指</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文件中已经指明不满足则投标无效的条款，或者不能负偏离的条款，或者采购需求中带“▲”的条款。</w:t>
      </w:r>
    </w:p>
    <w:p w14:paraId="704D97F7">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2.9“正偏离”，是指投标文件对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文件“采购需求”中有关条款作出的响应优于条款要求并有利于采购人的情形。</w:t>
      </w:r>
    </w:p>
    <w:p w14:paraId="246A91FC">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2.10“负偏离”，是指投标文件对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文件“采购需求”中有关条款作出的响应不满足条款要求，导致采购人要求不能得到满足的情形。</w:t>
      </w:r>
    </w:p>
    <w:p w14:paraId="40748906">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2.11“允许负偏离的条款”是指采购需求中的不属于“实质性要求”的条款。</w:t>
      </w:r>
      <w:bookmarkStart w:id="64" w:name="_Toc254970529"/>
      <w:bookmarkStart w:id="65" w:name="_Toc254970670"/>
    </w:p>
    <w:p w14:paraId="5D4438FD">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End w:id="64"/>
      <w:bookmarkEnd w:id="65"/>
      <w:r>
        <w:rPr>
          <w:rFonts w:hint="eastAsia" w:ascii="宋体" w:hAnsi="宋体" w:eastAsia="宋体" w:cs="宋体"/>
          <w:color w:val="auto"/>
          <w:sz w:val="21"/>
          <w:szCs w:val="21"/>
          <w:highlight w:val="none"/>
        </w:rPr>
        <w:t>投标人的资格要求</w:t>
      </w:r>
    </w:p>
    <w:p w14:paraId="375C711B">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投标人的资格要求详见“投标人须知前附表”。</w:t>
      </w:r>
    </w:p>
    <w:p w14:paraId="4B6FF538">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66" w:name="_Toc254970671"/>
      <w:bookmarkStart w:id="67" w:name="_Toc254970530"/>
      <w:r>
        <w:rPr>
          <w:rFonts w:hint="eastAsia" w:ascii="宋体" w:hAnsi="宋体" w:eastAsia="宋体" w:cs="宋体"/>
          <w:color w:val="auto"/>
          <w:sz w:val="21"/>
          <w:szCs w:val="21"/>
          <w:highlight w:val="none"/>
        </w:rPr>
        <w:t>4.投标委托</w:t>
      </w:r>
      <w:bookmarkEnd w:id="66"/>
      <w:bookmarkEnd w:id="67"/>
    </w:p>
    <w:p w14:paraId="0C3842F5">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投标人代表参加投标活动过程中必须携带个人有效身份证件。如投标人代表不是法定代表人，须持有授权委托书（按第六章要求格式填写）。</w:t>
      </w:r>
    </w:p>
    <w:p w14:paraId="69D16568">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68" w:name="_5.投标费用"/>
      <w:bookmarkEnd w:id="68"/>
      <w:bookmarkStart w:id="69" w:name="_Toc254970672"/>
      <w:bookmarkStart w:id="70" w:name="_Toc254970531"/>
      <w:r>
        <w:rPr>
          <w:rFonts w:hint="eastAsia" w:ascii="宋体" w:hAnsi="宋体" w:eastAsia="宋体" w:cs="宋体"/>
          <w:color w:val="auto"/>
          <w:sz w:val="21"/>
          <w:szCs w:val="21"/>
          <w:highlight w:val="none"/>
        </w:rPr>
        <w:t>5.投标费用</w:t>
      </w:r>
      <w:bookmarkEnd w:id="69"/>
      <w:bookmarkEnd w:id="70"/>
    </w:p>
    <w:p w14:paraId="4D87AB13">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投标费用：投标人应承担参与本次采购活动有关的所有费用，包括但不限于获取</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文件、勘查现场、编制和提交投标文件、参加澄清说明、签订合同等，不论投标结果如何，均应自行承担。</w:t>
      </w:r>
    </w:p>
    <w:p w14:paraId="2CD1DB46">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w:t>
      </w:r>
    </w:p>
    <w:p w14:paraId="7FEB39B8">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6.1本项目不接受联合体投标。</w:t>
      </w:r>
    </w:p>
    <w:p w14:paraId="64E25231">
      <w:pPr>
        <w:pageBreakBefore w:val="0"/>
        <w:widowControl w:val="0"/>
        <w:kinsoku/>
        <w:wordWrap/>
        <w:overflowPunct/>
        <w:topLinePunct w:val="0"/>
        <w:autoSpaceDE/>
        <w:autoSpaceDN/>
        <w:bidi w:val="0"/>
        <w:snapToGrid w:val="0"/>
        <w:spacing w:line="36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转包与分包</w:t>
      </w:r>
    </w:p>
    <w:p w14:paraId="1317367F">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7.1本项目不允许转包。</w:t>
      </w:r>
    </w:p>
    <w:p w14:paraId="7EF095C4">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7.2本项目不允许分包。</w:t>
      </w:r>
    </w:p>
    <w:p w14:paraId="76ED2952">
      <w:pPr>
        <w:pStyle w:val="21"/>
        <w:pageBreakBefore w:val="0"/>
        <w:widowControl w:val="0"/>
        <w:kinsoku/>
        <w:wordWrap/>
        <w:overflowPunct/>
        <w:topLinePunct w:val="0"/>
        <w:autoSpaceDE/>
        <w:autoSpaceDN/>
        <w:bidi w:val="0"/>
        <w:spacing w:line="360" w:lineRule="exac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8.特别说明</w:t>
      </w:r>
    </w:p>
    <w:p w14:paraId="62621520">
      <w:pPr>
        <w:pStyle w:val="21"/>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b/>
          <w:bCs/>
          <w:color w:val="auto"/>
          <w:kern w:val="2"/>
          <w:sz w:val="21"/>
          <w:szCs w:val="21"/>
          <w:highlight w:val="none"/>
          <w:lang w:val="en-US" w:eastAsia="zh-CN" w:bidi="ar-SA"/>
        </w:rPr>
        <w:t>其他投标无效。</w:t>
      </w:r>
    </w:p>
    <w:p w14:paraId="5A52712A">
      <w:pPr>
        <w:pStyle w:val="21"/>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04D2BC1C">
      <w:pPr>
        <w:pStyle w:val="21"/>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非单一产品采购项目，多家投标人提供的核心产品品牌相同的，按前两款规定处理。</w:t>
      </w:r>
    </w:p>
    <w:p w14:paraId="5CC45F21">
      <w:pPr>
        <w:pStyle w:val="21"/>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8.2如果本采购文件要求提供投标人或制造商的资格、信誉、荣誉、业绩与企业认证等材料的，资格、信誉、荣誉、业绩与企业认证等必须为投标人或者制造商所拥有或自身获得。</w:t>
      </w:r>
    </w:p>
    <w:p w14:paraId="3275910A">
      <w:pPr>
        <w:pStyle w:val="21"/>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8.3投标人应仔细阅读采购文件的所有内容，按照采购文件的要求提交投标文件，并对所提供的全部资料的真实性承担法律责任。</w:t>
      </w:r>
    </w:p>
    <w:p w14:paraId="21F8DC43">
      <w:pPr>
        <w:pStyle w:val="21"/>
        <w:pageBreakBefore w:val="0"/>
        <w:widowControl w:val="0"/>
        <w:kinsoku/>
        <w:wordWrap/>
        <w:overflowPunct/>
        <w:topLinePunct w:val="0"/>
        <w:autoSpaceDE/>
        <w:autoSpaceDN/>
        <w:bidi w:val="0"/>
        <w:spacing w:line="360" w:lineRule="exact"/>
        <w:textAlignment w:val="auto"/>
        <w:rPr>
          <w:rFonts w:hint="eastAsia"/>
        </w:rPr>
      </w:pPr>
      <w:r>
        <w:rPr>
          <w:rFonts w:hint="eastAsia" w:ascii="宋体" w:hAnsi="宋体" w:eastAsia="宋体" w:cs="宋体"/>
          <w:b w:val="0"/>
          <w:color w:val="auto"/>
          <w:kern w:val="2"/>
          <w:sz w:val="21"/>
          <w:szCs w:val="21"/>
          <w:highlight w:val="none"/>
          <w:lang w:val="en-US" w:eastAsia="zh-CN" w:bidi="ar-SA"/>
        </w:rPr>
        <w:t xml:space="preserve"> 8.4投标人在投标活动中提供任何虚假材料，将报监管部门查处；中标后发现的，中标人须依照《中华人民共和国消费者</w:t>
      </w:r>
      <w:r>
        <w:rPr>
          <w:rFonts w:hint="eastAsia"/>
        </w:rPr>
        <w:t>权益保护法》规定赔偿采购人，且民事赔偿并不免除违法投标人的行政与刑事责任。</w:t>
      </w:r>
    </w:p>
    <w:p w14:paraId="37985122">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9.回避与串通投标</w:t>
      </w:r>
    </w:p>
    <w:p w14:paraId="2F08D103">
      <w:pPr>
        <w:pStyle w:val="6"/>
        <w:pageBreakBefore w:val="0"/>
        <w:widowControl w:val="0"/>
        <w:kinsoku/>
        <w:wordWrap/>
        <w:overflowPunct/>
        <w:topLinePunct w:val="0"/>
        <w:autoSpaceDE/>
        <w:autoSpaceDN/>
        <w:bidi w:val="0"/>
        <w:spacing w:before="0" w:after="0" w:line="360" w:lineRule="exact"/>
        <w:ind w:firstLine="367" w:firstLineChars="175"/>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9.1在政府采购活动中，采购人员及相关人员与供应商有下列利害关系之一的，应当回避：</w:t>
      </w:r>
    </w:p>
    <w:p w14:paraId="063467B6">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（1）参加采购活动前3年内与供应商存在劳动关系；</w:t>
      </w:r>
    </w:p>
    <w:p w14:paraId="3157DBB6">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（2）参加采购活动前3年内担任供应商的董事、监事；</w:t>
      </w:r>
    </w:p>
    <w:p w14:paraId="0E5F6130">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（3）参加采购活动前3年内是供应商的控股股东或者实际控制人；</w:t>
      </w:r>
    </w:p>
    <w:p w14:paraId="2426B082">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（4）与供应商的法定代表人或者负责人有夫妻、直系血亲、三代以内旁系血亲或者近姻亲关系；</w:t>
      </w:r>
    </w:p>
    <w:p w14:paraId="267BFA78">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（5）与供应商有其他可能影响政府采购活动公平、公正进行的关系。</w:t>
      </w:r>
    </w:p>
    <w:p w14:paraId="175AAEC0">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3446B70">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9.2有下列情形之一的视为投标人相互串通投标，投标文件将被视为无效：</w:t>
      </w:r>
    </w:p>
    <w:p w14:paraId="30AB8E8E">
      <w:pPr>
        <w:pStyle w:val="12"/>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（1）不同投标人的投标文件由同一单位或者个人编制；</w:t>
      </w:r>
    </w:p>
    <w:p w14:paraId="40B7A5CC">
      <w:pPr>
        <w:pStyle w:val="12"/>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（2）不同投标人委托同一单位或者个人办理投标事宜；</w:t>
      </w:r>
    </w:p>
    <w:p w14:paraId="65AB0B75">
      <w:pPr>
        <w:pStyle w:val="12"/>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（3）不同的投标人的投标文件载明的项目管理员为同一个人；</w:t>
      </w:r>
    </w:p>
    <w:p w14:paraId="2557AEEE">
      <w:pPr>
        <w:pStyle w:val="12"/>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（4）不同投标人的投标文件异常一致或者投标报价呈规律性差异；</w:t>
      </w:r>
    </w:p>
    <w:p w14:paraId="7573D5F0">
      <w:pPr>
        <w:pStyle w:val="12"/>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（5）不同投标人的投标文件相互混装。</w:t>
      </w:r>
    </w:p>
    <w:p w14:paraId="16956203">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9.3供应商有下列情形之一的，属于恶意串通行为，将报同级监督管理部门：</w:t>
      </w:r>
    </w:p>
    <w:p w14:paraId="13D976AF">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（1）供应商直接或者间接从采购人或者采购代理机构处获得其他供应商的相关信息并修改其投标文件或者投标文件；</w:t>
      </w:r>
    </w:p>
    <w:p w14:paraId="7D388816">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（2）供应商按照采购人或者采购代理机构的授意撤换、修改投标文件或者投标文件；</w:t>
      </w:r>
    </w:p>
    <w:p w14:paraId="565DCBDA">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（3）供应商之间协商报价、技术方案等投标文件或者投标文件的实质性内容；</w:t>
      </w:r>
    </w:p>
    <w:p w14:paraId="5970696D">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（4）属于同一集团、协会、商会等组织成员的供应商按照该组织要求协同参加政府采购活动；</w:t>
      </w:r>
    </w:p>
    <w:p w14:paraId="0EFB8F3D">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（5）供应商之间事先约定一致抬高或者压低投标报价，或者在</w:t>
      </w:r>
      <w:r>
        <w:rPr>
          <w:rFonts w:hint="eastAsia" w:hAnsi="宋体" w:cs="宋体"/>
          <w:color w:val="auto"/>
          <w:kern w:val="2"/>
          <w:sz w:val="21"/>
          <w:szCs w:val="21"/>
          <w:highlight w:val="none"/>
          <w:lang w:eastAsia="zh-CN"/>
        </w:rPr>
        <w:t>采购</w:t>
      </w:r>
      <w:r>
        <w:rPr>
          <w:rFonts w:hint="eastAsia" w:ascii="宋体" w:hAnsi="宋体" w:eastAsia="宋体" w:cs="宋体"/>
          <w:color w:val="auto"/>
          <w:kern w:val="2"/>
          <w:sz w:val="21"/>
          <w:szCs w:val="21"/>
          <w:highlight w:val="none"/>
        </w:rPr>
        <w:t>项目中事先约定轮流以高价位或者低价位中标，或者事先约定由某一特定供应商中标，然后再参加投标；</w:t>
      </w:r>
    </w:p>
    <w:p w14:paraId="482311CA">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（6）供应商之间商定部分供应商放弃参加政府采购活动或者放弃中标；</w:t>
      </w:r>
    </w:p>
    <w:p w14:paraId="6892D677">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（7）供应商与采购人或者采购代理机构之间、供应商相互之间，为谋求特定供应商中标或者排斥其他供应商的其他串通行为。</w:t>
      </w:r>
    </w:p>
    <w:p w14:paraId="7ACD694B">
      <w:pPr>
        <w:pStyle w:val="4"/>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bookmarkStart w:id="71" w:name="_Toc254970675"/>
      <w:bookmarkStart w:id="72" w:name="_Toc254970534"/>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w:t>
      </w:r>
      <w:bookmarkEnd w:id="71"/>
      <w:bookmarkEnd w:id="72"/>
    </w:p>
    <w:p w14:paraId="1996F41A">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文件的组成</w:t>
      </w:r>
    </w:p>
    <w:p w14:paraId="05CFB4CD">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5868F463">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（2）采购需求；</w:t>
      </w:r>
    </w:p>
    <w:p w14:paraId="4CD550D5">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（3）投标人须知；</w:t>
      </w:r>
    </w:p>
    <w:p w14:paraId="396C0C24">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（4）评标方法及评标标准；</w:t>
      </w:r>
    </w:p>
    <w:p w14:paraId="5E5D5399">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（5）拟签订的合同文本；</w:t>
      </w:r>
    </w:p>
    <w:p w14:paraId="3E04F910">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0C56693B">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文件的澄清、修改、现场考察和答疑会</w:t>
      </w:r>
    </w:p>
    <w:p w14:paraId="6D4DA911">
      <w:pPr>
        <w:pStyle w:val="6"/>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11.1采购人或者采购代理机构可以对已发出的</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文件进行必要的澄清或者修改，但不得改变采购标的和资格条件。澄清或者修改应当在原公告发布媒体上发布澄清公告。澄清或者修改的内容为</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文件的组成部分。</w:t>
      </w:r>
    </w:p>
    <w:p w14:paraId="3A5CC5BF">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澄清或者修改的内容可能影响投标文件编制的，采购人或者采购代理机构应当在投标截止时间至少15日前，以书面形式通知所有获取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文件的潜在投标人；不足15日的，采购人或者采购代理机构应当顺延提交投标文件的截止时间。</w:t>
      </w:r>
    </w:p>
    <w:p w14:paraId="76CF24B7">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bookmarkStart w:id="73" w:name="_Hlk53134511"/>
      <w:r>
        <w:rPr>
          <w:rFonts w:hint="eastAsia" w:ascii="宋体" w:hAnsi="宋体" w:eastAsia="宋体" w:cs="宋体"/>
          <w:color w:val="auto"/>
          <w:sz w:val="21"/>
          <w:szCs w:val="21"/>
          <w:highlight w:val="none"/>
        </w:rPr>
        <w:t>采购人或者采购代理机构可以在</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文件提供期限截止后，组织已获取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文件的潜在投标人现场考察或者召开开标前答疑会，具体详见“投标人须知前附表”。</w:t>
      </w:r>
    </w:p>
    <w:bookmarkEnd w:id="73"/>
    <w:p w14:paraId="0F293807">
      <w:pPr>
        <w:pStyle w:val="4"/>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bookmarkStart w:id="74" w:name="_Toc254970676"/>
      <w:bookmarkStart w:id="75" w:name="_Toc254970535"/>
      <w:r>
        <w:rPr>
          <w:rFonts w:hint="eastAsia" w:ascii="宋体" w:hAnsi="宋体" w:eastAsia="宋体" w:cs="宋体"/>
          <w:color w:val="auto"/>
          <w:sz w:val="21"/>
          <w:szCs w:val="21"/>
          <w:highlight w:val="none"/>
        </w:rPr>
        <w:t>三、投标文件的编制</w:t>
      </w:r>
      <w:bookmarkEnd w:id="74"/>
      <w:bookmarkEnd w:id="75"/>
    </w:p>
    <w:p w14:paraId="1E3F1C46">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76" w:name="_Toc254970536"/>
      <w:bookmarkStart w:id="77" w:name="_Toc254970677"/>
      <w:r>
        <w:rPr>
          <w:rFonts w:hint="eastAsia" w:ascii="宋体" w:hAnsi="宋体" w:eastAsia="宋体" w:cs="宋体"/>
          <w:color w:val="auto"/>
          <w:sz w:val="21"/>
          <w:szCs w:val="21"/>
          <w:highlight w:val="none"/>
        </w:rPr>
        <w:t>12.投标文件的编制原则</w:t>
      </w:r>
    </w:p>
    <w:p w14:paraId="24186D84">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文件的要求编制投标文件。投标文件必须对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文件提出的要求和条件作出明确响应。</w:t>
      </w:r>
    </w:p>
    <w:p w14:paraId="2B1B4C68">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13.投标文件的组成</w:t>
      </w:r>
      <w:bookmarkEnd w:id="76"/>
      <w:bookmarkEnd w:id="77"/>
    </w:p>
    <w:p w14:paraId="11CEB2B5">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投标文件由报价文件、资格证明文件、商务文件、技术文件四部分组成。</w:t>
      </w:r>
      <w:bookmarkStart w:id="78" w:name="_13.1报价文件:_具体材料见“投标人须知前附表”。"/>
      <w:bookmarkEnd w:id="78"/>
    </w:p>
    <w:p w14:paraId="15E13759">
      <w:pPr>
        <w:pageBreakBefore w:val="0"/>
        <w:widowControl w:val="0"/>
        <w:numPr>
          <w:ilvl w:val="0"/>
          <w:numId w:val="3"/>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报价文件：具体材料见“投标人须知前附表”。</w:t>
      </w:r>
      <w:bookmarkStart w:id="79" w:name="_13.2资格证明文件：具体材料见“投标人须知前附表”。"/>
      <w:bookmarkEnd w:id="79"/>
    </w:p>
    <w:p w14:paraId="65881481">
      <w:pPr>
        <w:pageBreakBefore w:val="0"/>
        <w:widowControl w:val="0"/>
        <w:numPr>
          <w:ilvl w:val="0"/>
          <w:numId w:val="3"/>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资格证明文件：具体材料见“投标人须知前附表”。</w:t>
      </w:r>
      <w:bookmarkStart w:id="80" w:name="_13.3商务文件:_具体材料见“投标人须知前附表”。"/>
      <w:bookmarkEnd w:id="80"/>
    </w:p>
    <w:p w14:paraId="5FB17798">
      <w:pPr>
        <w:pageBreakBefore w:val="0"/>
        <w:widowControl w:val="0"/>
        <w:numPr>
          <w:ilvl w:val="0"/>
          <w:numId w:val="3"/>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商务文件：具体材料见“投标人须知前附表”。</w:t>
      </w:r>
      <w:bookmarkStart w:id="81" w:name="_13.4技术文件：具体材料见“投标人须知前附表”。"/>
      <w:bookmarkEnd w:id="81"/>
    </w:p>
    <w:p w14:paraId="37864E36">
      <w:pPr>
        <w:pageBreakBefore w:val="0"/>
        <w:widowControl w:val="0"/>
        <w:numPr>
          <w:ilvl w:val="0"/>
          <w:numId w:val="3"/>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技术文件：具体材料见“投标人须知前附表”。</w:t>
      </w:r>
      <w:bookmarkStart w:id="82" w:name="_13.5投标文件电子版：具体材料见“投标人须知前附表”。"/>
      <w:bookmarkEnd w:id="82"/>
      <w:bookmarkStart w:id="83" w:name="_Toc254970537"/>
      <w:bookmarkStart w:id="84" w:name="_Toc254970678"/>
    </w:p>
    <w:p w14:paraId="0B8DF530">
      <w:pPr>
        <w:pageBreakBefore w:val="0"/>
        <w:widowControl w:val="0"/>
        <w:numPr>
          <w:ilvl w:val="0"/>
          <w:numId w:val="4"/>
        </w:numPr>
        <w:kinsoku/>
        <w:wordWrap/>
        <w:overflowPunct/>
        <w:topLinePunct w:val="0"/>
        <w:autoSpaceDE/>
        <w:autoSpaceDN/>
        <w:bidi w:val="0"/>
        <w:snapToGrid w:val="0"/>
        <w:spacing w:line="360" w:lineRule="exact"/>
        <w:ind w:left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投标文件的语言及计量</w:t>
      </w:r>
      <w:bookmarkEnd w:id="83"/>
      <w:bookmarkEnd w:id="84"/>
    </w:p>
    <w:p w14:paraId="1CC2CDB7">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14.1语言文字</w:t>
      </w:r>
    </w:p>
    <w:p w14:paraId="1AC5BF57">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投标文件以及投标人与采购人就有关投标事宜的所有来往函电，均应以中文书写（除专用术语外，与</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99FC3A3">
      <w:pPr>
        <w:pStyle w:val="6"/>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14.2投标计量单位</w:t>
      </w:r>
    </w:p>
    <w:p w14:paraId="58B961AF">
      <w:pPr>
        <w:pStyle w:val="6"/>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文件已有明确规定的，使用</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文件规定的计量单位；</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文件没有规定的，应采用中华人民共和国法定计量单位，货币种类为人民币，</w:t>
      </w:r>
      <w:r>
        <w:rPr>
          <w:rFonts w:hint="eastAsia" w:ascii="宋体" w:hAnsi="宋体" w:eastAsia="宋体" w:cs="宋体"/>
          <w:color w:val="auto"/>
          <w:sz w:val="21"/>
          <w:szCs w:val="21"/>
          <w:highlight w:val="none"/>
        </w:rPr>
        <w:t>否则视同未响应。</w:t>
      </w:r>
    </w:p>
    <w:p w14:paraId="610F201A">
      <w:pPr>
        <w:pStyle w:val="6"/>
        <w:pageBreakBefore w:val="0"/>
        <w:widowControl w:val="0"/>
        <w:kinsoku/>
        <w:wordWrap/>
        <w:overflowPunct/>
        <w:topLinePunct w:val="0"/>
        <w:autoSpaceDE/>
        <w:autoSpaceDN/>
        <w:bidi w:val="0"/>
        <w:spacing w:before="0" w:after="0"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15.投标的风险</w:t>
      </w:r>
    </w:p>
    <w:p w14:paraId="3024669F">
      <w:pPr>
        <w:pStyle w:val="12"/>
        <w:pageBreakBefore w:val="0"/>
        <w:widowControl w:val="0"/>
        <w:kinsoku/>
        <w:wordWrap/>
        <w:overflowPunct/>
        <w:topLinePunct w:val="0"/>
        <w:autoSpaceDE/>
        <w:autoSpaceDN/>
        <w:bidi w:val="0"/>
        <w:snapToGrid w:val="0"/>
        <w:spacing w:line="360" w:lineRule="exact"/>
        <w:ind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文件要求提供全部资料，或者投标人没有对</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文件作出实质性响应是投标人的风险，并可能导致其投标被拒绝。</w:t>
      </w:r>
      <w:bookmarkStart w:id="85" w:name="_Toc254970679"/>
      <w:bookmarkStart w:id="86" w:name="_Toc254970538"/>
    </w:p>
    <w:p w14:paraId="19B4F44D">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16.</w:t>
      </w:r>
      <w:r>
        <w:rPr>
          <w:rFonts w:hint="eastAsia" w:ascii="宋体" w:hAnsi="宋体" w:eastAsia="宋体" w:cs="宋体"/>
          <w:color w:val="auto"/>
          <w:sz w:val="21"/>
          <w:szCs w:val="21"/>
          <w:highlight w:val="none"/>
        </w:rPr>
        <w:t>投标报价</w:t>
      </w:r>
      <w:bookmarkEnd w:id="85"/>
      <w:bookmarkEnd w:id="86"/>
    </w:p>
    <w:p w14:paraId="1412D77B">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16.1投标报价应按“第六章　投标文件格式”中“开标一览表”格式填写。</w:t>
      </w:r>
      <w:bookmarkStart w:id="87" w:name="_16.2投标报价具体定义见投标人须知前附表。"/>
      <w:bookmarkEnd w:id="87"/>
    </w:p>
    <w:p w14:paraId="53F12E9B">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16.2投标报价具体包括内容详见“投标人须知前附表”。</w:t>
      </w:r>
    </w:p>
    <w:p w14:paraId="0A1F68A6">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3C5264FF">
      <w:pPr>
        <w:pStyle w:val="12"/>
        <w:pageBreakBefore w:val="0"/>
        <w:widowControl w:val="0"/>
        <w:numPr>
          <w:ilvl w:val="0"/>
          <w:numId w:val="0"/>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17.</w:t>
      </w:r>
      <w:r>
        <w:rPr>
          <w:rFonts w:hint="eastAsia" w:ascii="宋体" w:hAnsi="宋体" w:eastAsia="宋体" w:cs="宋体"/>
          <w:color w:val="auto"/>
          <w:sz w:val="21"/>
          <w:szCs w:val="21"/>
          <w:highlight w:val="none"/>
        </w:rPr>
        <w:t>投标有效期</w:t>
      </w:r>
      <w:bookmarkStart w:id="88" w:name="_17.1投标有效期应按“投标人须知中的前附表”规定的期限。"/>
      <w:bookmarkEnd w:id="88"/>
    </w:p>
    <w:p w14:paraId="441F09B7">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451A829">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17.2</w:t>
      </w:r>
      <w:bookmarkStart w:id="89" w:name="_Toc254970540"/>
      <w:bookmarkStart w:id="90" w:name="_Toc254970681"/>
      <w:r>
        <w:rPr>
          <w:rFonts w:hint="eastAsia" w:ascii="宋体" w:hAnsi="宋体" w:eastAsia="宋体" w:cs="宋体"/>
          <w:b w:val="0"/>
          <w:color w:val="auto"/>
          <w:sz w:val="21"/>
          <w:szCs w:val="21"/>
          <w:highlight w:val="none"/>
        </w:rPr>
        <w:t>投标有效期应按规定的期限作出承诺，具体详见“投标人须知前附表”。</w:t>
      </w:r>
    </w:p>
    <w:p w14:paraId="2909FEE8">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17.3投标人的投标文件在投标有效期内均保持有效。</w:t>
      </w:r>
      <w:bookmarkEnd w:id="89"/>
      <w:bookmarkEnd w:id="90"/>
      <w:bookmarkStart w:id="91" w:name="_18.投标保证金"/>
      <w:bookmarkEnd w:id="91"/>
      <w:bookmarkStart w:id="92" w:name="_Toc254970682"/>
      <w:bookmarkStart w:id="93" w:name="_Toc254970541"/>
    </w:p>
    <w:p w14:paraId="0763E1D8">
      <w:pPr>
        <w:pStyle w:val="12"/>
        <w:pageBreakBefore w:val="0"/>
        <w:widowControl w:val="0"/>
        <w:numPr>
          <w:ilvl w:val="0"/>
          <w:numId w:val="0"/>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lang w:val="en-US" w:eastAsia="zh-CN" w:bidi="ar-SA"/>
        </w:rPr>
        <w:t>18.</w:t>
      </w:r>
      <w:r>
        <w:rPr>
          <w:rFonts w:hint="eastAsia" w:ascii="宋体" w:hAnsi="宋体" w:eastAsia="宋体" w:cs="宋体"/>
          <w:color w:val="auto"/>
          <w:sz w:val="21"/>
          <w:szCs w:val="21"/>
          <w:highlight w:val="none"/>
        </w:rPr>
        <w:t>投标保证金</w:t>
      </w:r>
      <w:bookmarkEnd w:id="92"/>
      <w:bookmarkEnd w:id="93"/>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本项目不收取投标保证金。</w:t>
      </w:r>
      <w:bookmarkStart w:id="94" w:name="_Toc254970683"/>
      <w:bookmarkStart w:id="95" w:name="_Toc254970542"/>
    </w:p>
    <w:p w14:paraId="73EFAB62">
      <w:pPr>
        <w:pStyle w:val="12"/>
        <w:pageBreakBefore w:val="0"/>
        <w:widowControl w:val="0"/>
        <w:numPr>
          <w:ilvl w:val="0"/>
          <w:numId w:val="0"/>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19.</w:t>
      </w:r>
      <w:r>
        <w:rPr>
          <w:rFonts w:hint="eastAsia" w:ascii="宋体" w:hAnsi="宋体" w:eastAsia="宋体" w:cs="宋体"/>
          <w:color w:val="auto"/>
          <w:sz w:val="21"/>
          <w:szCs w:val="21"/>
          <w:highlight w:val="none"/>
        </w:rPr>
        <w:t>投标文件的</w:t>
      </w:r>
      <w:bookmarkEnd w:id="94"/>
      <w:bookmarkEnd w:id="95"/>
      <w:r>
        <w:rPr>
          <w:rFonts w:hint="eastAsia" w:ascii="宋体" w:hAnsi="宋体" w:eastAsia="宋体" w:cs="宋体"/>
          <w:color w:val="auto"/>
          <w:sz w:val="21"/>
          <w:szCs w:val="21"/>
          <w:highlight w:val="none"/>
        </w:rPr>
        <w:t>编制</w:t>
      </w:r>
    </w:p>
    <w:p w14:paraId="0C015DD7">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19.1投标人应先安装“政采云电子投标客户端”（请自行前往</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进行下载），并按照本项目</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文件规定的格式和顺序和</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的要求编制并加密。投标文件内容不完整、编排混乱导致投标文件被误读、漏读或者查找不到相关内容的，由此引发的后果由投标人承担。</w:t>
      </w:r>
      <w:bookmarkStart w:id="96" w:name="_19.2投标文件应按报价文件、资格证明文件、商务文件、技术文件分别编制"/>
      <w:bookmarkEnd w:id="96"/>
    </w:p>
    <w:p w14:paraId="1A92A9C2">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19.2为确保网上操作合法、有效和安全，投标人应当在投标截止时间前完成在</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的身份认证，确保在电子投标过程中能够对相关数据电文进行加密和使用电子签章。</w:t>
      </w:r>
    </w:p>
    <w:p w14:paraId="70D72511">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eastAsia="宋体" w:cs="宋体"/>
          <w:bCs/>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38C5CF48">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19.4投标文件中标注的投标人名称应与主体资格证明（如营业执照或者事业单位法人证书或者执业许可证或者登记证书等）及公章一致，并与“政采云”中获取</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文件的投标人名称一致，投标人为自然人的，标注的投标人名称应与身份证姓名及签名一致，</w:t>
      </w:r>
      <w:r>
        <w:rPr>
          <w:rFonts w:hint="eastAsia" w:ascii="宋体" w:hAnsi="宋体" w:eastAsia="宋体" w:cs="宋体"/>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207C424B">
      <w:pPr>
        <w:pStyle w:val="6"/>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B685314">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20.电子备份投标文件</w:t>
      </w:r>
    </w:p>
    <w:p w14:paraId="6B01BFB3">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电子备份投标文件是指通过“政采云电子投标客户端”在线编制生成且后缀名为“bfbs”的文件，是否接受电子备份投标文件</w:t>
      </w:r>
      <w:r>
        <w:rPr>
          <w:rFonts w:hint="eastAsia" w:ascii="宋体" w:hAnsi="宋体" w:eastAsia="宋体" w:cs="宋体"/>
          <w:bCs/>
          <w:color w:val="auto"/>
          <w:sz w:val="21"/>
          <w:szCs w:val="21"/>
          <w:highlight w:val="none"/>
        </w:rPr>
        <w:t>详见在“投标人须知前附表”。</w:t>
      </w:r>
    </w:p>
    <w:p w14:paraId="55F46E2A">
      <w:pPr>
        <w:pageBreakBefore w:val="0"/>
        <w:widowControl w:val="0"/>
        <w:numPr>
          <w:ilvl w:val="0"/>
          <w:numId w:val="5"/>
        </w:numPr>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投标文件的提交</w:t>
      </w:r>
      <w:bookmarkStart w:id="97" w:name="_21.1投标人必须在“投标人须知中的前附表”规定的投标文件接收时间和投"/>
      <w:bookmarkEnd w:id="97"/>
    </w:p>
    <w:p w14:paraId="4896B6BB">
      <w:pPr>
        <w:pageBreakBefore w:val="0"/>
        <w:widowControl w:val="0"/>
        <w:numPr>
          <w:ilvl w:val="0"/>
          <w:numId w:val="0"/>
        </w:numPr>
        <w:kinsoku/>
        <w:wordWrap/>
        <w:overflowPunct/>
        <w:topLinePunct w:val="0"/>
        <w:autoSpaceDE/>
        <w:autoSpaceDN/>
        <w:bidi w:val="0"/>
        <w:spacing w:line="36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21.1投标人必须在“投标人须知前附表”规定的</w:t>
      </w:r>
      <w:r>
        <w:rPr>
          <w:rFonts w:hint="eastAsia" w:ascii="宋体" w:hAnsi="宋体" w:eastAsia="宋体" w:cs="宋体"/>
          <w:color w:val="auto"/>
          <w:sz w:val="21"/>
          <w:szCs w:val="21"/>
          <w:highlight w:val="none"/>
        </w:rPr>
        <w:t>投标文件提交截止时间前将</w:t>
      </w:r>
      <w:r>
        <w:rPr>
          <w:rFonts w:hint="eastAsia" w:ascii="宋体" w:hAnsi="宋体" w:eastAsia="宋体" w:cs="宋体"/>
          <w:bCs/>
          <w:color w:val="auto"/>
          <w:sz w:val="21"/>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bCs/>
          <w:color w:val="auto"/>
          <w:sz w:val="21"/>
          <w:szCs w:val="21"/>
          <w:highlight w:val="none"/>
        </w:rPr>
        <w:t>。</w:t>
      </w:r>
    </w:p>
    <w:p w14:paraId="1943CDDE">
      <w:pPr>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21.2未在规定时间内提交或者未按照</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文件要求加密的电子投标文件，</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将拒收。</w:t>
      </w:r>
    </w:p>
    <w:p w14:paraId="180B7833">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22.投标文件的补充、修改、撤回与退回</w:t>
      </w:r>
    </w:p>
    <w:p w14:paraId="114F9715">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bookmarkStart w:id="98" w:name="_Toc254970543"/>
      <w:bookmarkStart w:id="99" w:name="_Toc254970684"/>
      <w:r>
        <w:rPr>
          <w:rFonts w:hint="eastAsia" w:ascii="宋体" w:hAnsi="宋体" w:eastAsia="宋体" w:cs="宋体"/>
          <w:color w:val="auto"/>
          <w:sz w:val="21"/>
          <w:szCs w:val="21"/>
          <w:highlight w:val="none"/>
        </w:rPr>
        <w:t>22.1</w:t>
      </w:r>
      <w:r>
        <w:rPr>
          <w:rFonts w:hint="eastAsia" w:ascii="宋体" w:hAnsi="宋体" w:eastAsia="宋体" w:cs="宋体"/>
          <w:bCs/>
          <w:color w:val="auto"/>
          <w:sz w:val="2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将予以拒收。</w:t>
      </w:r>
      <w:r>
        <w:rPr>
          <w:rFonts w:hint="eastAsia" w:ascii="宋体" w:hAnsi="宋体" w:eastAsia="宋体" w:cs="宋体"/>
          <w:color w:val="auto"/>
          <w:sz w:val="21"/>
          <w:szCs w:val="21"/>
          <w:highlight w:val="none"/>
        </w:rPr>
        <w:t>（补充、修改或者撤回方式可登陆</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进入“服务中心”中查看“电子投标文件制作与投送教程”）</w:t>
      </w:r>
    </w:p>
    <w:bookmarkEnd w:id="98"/>
    <w:bookmarkEnd w:id="99"/>
    <w:p w14:paraId="43257EC0">
      <w:pPr>
        <w:pStyle w:val="22"/>
        <w:pageBreakBefore w:val="0"/>
        <w:widowControl w:val="0"/>
        <w:kinsoku/>
        <w:wordWrap/>
        <w:overflowPunct/>
        <w:topLinePunct w:val="0"/>
        <w:autoSpaceDE/>
        <w:autoSpaceDN/>
        <w:bidi w:val="0"/>
        <w:spacing w:before="0"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收到投标文件后向供应商发出确认回执通知。在投标截止时间前，除供应商补充、修改或者撤回投标文件外，任何单位和个人不得解密或提取投标文件。</w:t>
      </w:r>
    </w:p>
    <w:p w14:paraId="47A1626B">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22.3在投标截止时间后，采购人和采购代理机构对已提交的投标文件概不退回。</w:t>
      </w:r>
    </w:p>
    <w:p w14:paraId="0DDB954A">
      <w:pPr>
        <w:pStyle w:val="4"/>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bookmarkStart w:id="100" w:name="_Toc254970544"/>
      <w:bookmarkStart w:id="101" w:name="_Toc254970685"/>
      <w:r>
        <w:rPr>
          <w:rFonts w:hint="eastAsia" w:ascii="宋体" w:hAnsi="宋体" w:eastAsia="宋体" w:cs="宋体"/>
          <w:color w:val="auto"/>
          <w:sz w:val="21"/>
          <w:szCs w:val="21"/>
          <w:highlight w:val="none"/>
        </w:rPr>
        <w:t>四、开    标</w:t>
      </w:r>
      <w:bookmarkEnd w:id="100"/>
      <w:bookmarkEnd w:id="101"/>
    </w:p>
    <w:p w14:paraId="18B9354D">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102" w:name="_23.开标时间和地点"/>
      <w:bookmarkEnd w:id="102"/>
      <w:r>
        <w:rPr>
          <w:rFonts w:hint="eastAsia" w:ascii="宋体" w:hAnsi="宋体" w:eastAsia="宋体" w:cs="宋体"/>
          <w:color w:val="auto"/>
          <w:sz w:val="21"/>
          <w:szCs w:val="21"/>
          <w:highlight w:val="none"/>
        </w:rPr>
        <w:t>23.开标时间和地点</w:t>
      </w:r>
    </w:p>
    <w:p w14:paraId="43F8F309">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开标时间及地点详见“投标人须知前附表”</w:t>
      </w:r>
    </w:p>
    <w:p w14:paraId="2ACCE72F">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24.开标程序</w:t>
      </w:r>
    </w:p>
    <w:p w14:paraId="59EC53D9">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24.1提交投标文件截止时间止，投标人不足3家的，不得开标。</w:t>
      </w:r>
    </w:p>
    <w:p w14:paraId="7A03DA22">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24.2采购代理机构将按照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文件规定的时间通过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组织线上开标活动，所有供应商均应当准时在线参加，投标人因未在线参加开标而导致投标文件无法按时解密等一切后果由投标人自己承担。</w:t>
      </w:r>
    </w:p>
    <w:p w14:paraId="47833958">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24.3开标程序</w:t>
      </w:r>
    </w:p>
    <w:p w14:paraId="6DF60EA9">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（1）解密电子投标文件。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按开标时间自动提取所有投标文件。采购代理机构依托</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向各投标人发出电子加密投标文件【开始解密】通知，由投标人按</w:t>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规定的时间内自行进行投标文件解密。投标人的法定代表人或其委托代理人须凭加密时所用的CA锁准时登录到</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电子开标大厅签到并对电子投标文件解密。</w:t>
      </w:r>
      <w:r>
        <w:rPr>
          <w:rFonts w:hint="eastAsia" w:ascii="宋体" w:hAnsi="宋体" w:eastAsia="宋体" w:cs="宋体"/>
          <w:b/>
          <w:color w:val="auto"/>
          <w:sz w:val="21"/>
          <w:szCs w:val="21"/>
          <w:highlight w:val="none"/>
        </w:rPr>
        <w:t>投标人未在规定的时间内解密投标文件或者解密失败的，投标人的投标文件作无效处理。</w:t>
      </w:r>
    </w:p>
    <w:p w14:paraId="639B91D8">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（2）电子唱标。投标文件解密结束，宣布的内容均在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远程开标大厅展示，具体详见</w:t>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w:t>
      </w:r>
    </w:p>
    <w:p w14:paraId="1162567D">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（3）开标过程由采购代理机构如实记录，并电子留痕，由参加电子开标的各投标人代表对电子开标记录在开标记录公布后15分钟内进行校核及勘误，并线上确认是否有异议，未确认的视同认可开标结果。</w:t>
      </w:r>
    </w:p>
    <w:p w14:paraId="23557DF2">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870A299">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（5）开标结束。</w:t>
      </w:r>
    </w:p>
    <w:p w14:paraId="10FC9A8F">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特别说明：如遇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电子化开标或评审程序调整的，按调整后执行。</w:t>
      </w:r>
    </w:p>
    <w:p w14:paraId="06AE3A41">
      <w:pPr>
        <w:pStyle w:val="4"/>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五、资格审查</w:t>
      </w:r>
    </w:p>
    <w:p w14:paraId="31758CF0">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25.资格审查</w:t>
      </w:r>
    </w:p>
    <w:p w14:paraId="4244F912">
      <w:pPr>
        <w:pStyle w:val="6"/>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25.1开标结束后，采购人或者采购代理机构通过电子开评标系统依据</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文件对电子投标文件进行线上资格审查。</w:t>
      </w:r>
    </w:p>
    <w:p w14:paraId="53A0D3D8">
      <w:pPr>
        <w:pStyle w:val="6"/>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25.2资格审查标准为本</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文件中载明对投标人资格要求的条件。本项目资格审查采用合格制，凡符合</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文件规定的投标人资格要求的投标人均通过资格审查。</w:t>
      </w:r>
    </w:p>
    <w:p w14:paraId="62D87DD2">
      <w:pPr>
        <w:pStyle w:val="6"/>
        <w:pageBreakBefore w:val="0"/>
        <w:widowControl w:val="0"/>
        <w:numPr>
          <w:ilvl w:val="4"/>
          <w:numId w:val="0"/>
        </w:numPr>
        <w:kinsoku/>
        <w:wordWrap/>
        <w:overflowPunct/>
        <w:topLinePunct w:val="0"/>
        <w:autoSpaceDE/>
        <w:autoSpaceDN/>
        <w:bidi w:val="0"/>
        <w:spacing w:before="0" w:after="0" w:line="360" w:lineRule="exact"/>
        <w:ind w:firstLine="422" w:firstLineChars="200"/>
        <w:textAlignment w:val="auto"/>
        <w:rPr>
          <w:rFonts w:hint="eastAsia" w:ascii="宋体" w:hAnsi="宋体" w:eastAsia="宋体" w:cs="宋体"/>
          <w:color w:val="auto"/>
          <w:sz w:val="21"/>
          <w:szCs w:val="21"/>
          <w:highlight w:val="none"/>
        </w:rPr>
      </w:pPr>
      <w:bookmarkStart w:id="103" w:name="_25.3_投标人有下列情形之一的，资格审查不通过而导致其投标无效："/>
      <w:bookmarkEnd w:id="103"/>
      <w:r>
        <w:rPr>
          <w:rFonts w:hint="eastAsia" w:ascii="宋体" w:hAnsi="宋体" w:eastAsia="宋体" w:cs="宋体"/>
          <w:color w:val="auto"/>
          <w:sz w:val="21"/>
          <w:szCs w:val="21"/>
          <w:highlight w:val="none"/>
        </w:rPr>
        <w:t>25.3投标人有下列情形之一的，资格审查不通过，作无效投标处理：</w:t>
      </w:r>
    </w:p>
    <w:p w14:paraId="788273C8">
      <w:pPr>
        <w:pStyle w:val="12"/>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（1）不具备</w:t>
      </w:r>
      <w:r>
        <w:rPr>
          <w:rFonts w:hint="eastAsia"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文件中规定的资格要求的；</w:t>
      </w:r>
    </w:p>
    <w:p w14:paraId="449E22E7">
      <w:pPr>
        <w:pStyle w:val="12"/>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在“信用中国”网站（www.creditchina.gov.cn）、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已与“信用中国”网站、中国政府采购网实现数据对接，可直接在线查询）</w:t>
      </w:r>
    </w:p>
    <w:p w14:paraId="70E029CF">
      <w:pPr>
        <w:pStyle w:val="12"/>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74AF16AB">
      <w:pPr>
        <w:pStyle w:val="12"/>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（4）投标文件中的资格证明文件缺少任一项“投标人须知前附表”资格证明文件规定“必须提供”的文件资料的；</w:t>
      </w:r>
    </w:p>
    <w:p w14:paraId="0F72613E">
      <w:pPr>
        <w:pStyle w:val="12"/>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（5）投标文件中的资格证明文件出现任一项不符合“投标人须知前附表”资格证明文件规定“必须提供”的文件资料要求或者无效的。</w:t>
      </w:r>
    </w:p>
    <w:p w14:paraId="2E4B457D">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25.4合格投标人不足3家的，不得评标。</w:t>
      </w:r>
    </w:p>
    <w:p w14:paraId="50E2132B">
      <w:pPr>
        <w:pStyle w:val="4"/>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六、评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标</w:t>
      </w:r>
    </w:p>
    <w:p w14:paraId="75DDD48D">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104" w:name="_26.组建评标委员会"/>
      <w:bookmarkEnd w:id="104"/>
      <w:r>
        <w:rPr>
          <w:rFonts w:hint="eastAsia" w:ascii="宋体" w:hAnsi="宋体" w:eastAsia="宋体" w:cs="宋体"/>
          <w:color w:val="auto"/>
          <w:sz w:val="21"/>
          <w:szCs w:val="21"/>
          <w:highlight w:val="none"/>
        </w:rPr>
        <w:t>26.组建评标委员会</w:t>
      </w:r>
    </w:p>
    <w:p w14:paraId="5F301DD7">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26.1评标委员会由采购人代表和评审专家组成，具体人数详见“投标人须知前附表”，其中评审专家不得少于成员总数的三分之二。</w:t>
      </w:r>
    </w:p>
    <w:p w14:paraId="1584AE8F">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26.2参加过采购项目前期咨询论证的专家，不得参加该采购项目的评审活动。</w:t>
      </w:r>
    </w:p>
    <w:p w14:paraId="5E99F7C5">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w:t>
      </w:r>
      <w:r>
        <w:rPr>
          <w:rFonts w:hint="eastAsia" w:ascii="宋体" w:hAnsi="宋体" w:eastAsia="宋体" w:cs="宋体"/>
          <w:bCs/>
          <w:color w:val="auto"/>
          <w:sz w:val="21"/>
          <w:szCs w:val="21"/>
          <w:highlight w:val="none"/>
        </w:rPr>
        <w:t>采购代理机构应当基于</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抽（选）取评审专家。</w:t>
      </w:r>
    </w:p>
    <w:p w14:paraId="3ED123CF">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27.评标的依据</w:t>
      </w:r>
    </w:p>
    <w:p w14:paraId="0CA2A0AC">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评标委员会以“第四章 评标方法和评标标准”为依据对投标文件进行评审，没有规定的方法、评审因素和标准，不作为评标依据。</w:t>
      </w:r>
    </w:p>
    <w:p w14:paraId="16527F3A">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28.评标原则</w:t>
      </w:r>
    </w:p>
    <w:p w14:paraId="21F6F0CC">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20C17B5">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w:t>
      </w:r>
      <w:bookmarkStart w:id="105" w:name="_28.3评标方法。本项目将按须知前附表规定的评标办法进行评标，具体评标"/>
      <w:bookmarkEnd w:id="105"/>
      <w:r>
        <w:rPr>
          <w:rFonts w:hint="eastAsia" w:ascii="宋体" w:hAnsi="宋体" w:eastAsia="宋体" w:cs="宋体"/>
          <w:color w:val="auto"/>
          <w:sz w:val="21"/>
          <w:szCs w:val="21"/>
          <w:highlight w:val="none"/>
        </w:rPr>
        <w:t>评委表决。评标委员会成员对需要共同认定的事项存在争议的，应当按照少数服从多数的原则作出结论。</w:t>
      </w:r>
    </w:p>
    <w:p w14:paraId="3EE74C22">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0BFD969">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28.4评标过程的监控。本项目电子评标过程实行网上留痕、全程录音、录像监控，</w:t>
      </w:r>
      <w:r>
        <w:rPr>
          <w:rFonts w:hint="eastAsia" w:ascii="宋体" w:hAnsi="宋体" w:eastAsia="宋体" w:cs="宋体"/>
          <w:b/>
          <w:color w:val="auto"/>
          <w:sz w:val="21"/>
          <w:szCs w:val="21"/>
          <w:highlight w:val="none"/>
        </w:rPr>
        <w:t>投标人在评标过程中所进行的试图影响评标结果的不公正活动，可能导致其投标按无效处理。</w:t>
      </w:r>
    </w:p>
    <w:p w14:paraId="546F3ECF">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29.评标方法及中标候选人推荐</w:t>
      </w:r>
    </w:p>
    <w:p w14:paraId="40D8F59E">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29.1本项目的评标方法详见“投标人须知前附表”。</w:t>
      </w:r>
    </w:p>
    <w:p w14:paraId="07F63D96">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29.2商务/技术要求允许负偏离的条款数详见“投标人须知前附表”。</w:t>
      </w:r>
    </w:p>
    <w:p w14:paraId="74C7556E">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29.3中标候选人推荐数量详见“投标人须知前附表”。</w:t>
      </w:r>
    </w:p>
    <w:p w14:paraId="26DDF66C">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29.4电子交易活动的中止。采购过程中出现以下情形，导致电子交易平台无法正常运行，或者无法保证电子交易的公平、公正和安全时，采购代理机构可以中止电子交易活动：</w:t>
      </w:r>
    </w:p>
    <w:p w14:paraId="4E2BC39A">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（1）电子交易平台发生故障而无法登录访问的；</w:t>
      </w:r>
    </w:p>
    <w:p w14:paraId="46886880">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4C343F08">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0739F847">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（4）病毒发作导致不能进行正常操作的；</w:t>
      </w:r>
    </w:p>
    <w:p w14:paraId="1DE2A32E">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（5）其他无法保证电子交易的公平、公正和安全的情况。</w:t>
      </w:r>
    </w:p>
    <w:p w14:paraId="04B4F23E">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F746D5E">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异常低价审查</w:t>
      </w:r>
    </w:p>
    <w:p w14:paraId="6C52D4C6">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本项目异常低价审查情形见“投标人须知前附表”规定。</w:t>
      </w:r>
    </w:p>
    <w:p w14:paraId="4E9C86A4">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EA24A39">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3CFD407">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67DB0B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bookmarkStart w:id="106" w:name="_Toc254970687"/>
      <w:bookmarkStart w:id="107" w:name="_Toc254970546"/>
    </w:p>
    <w:p w14:paraId="303FE8C1">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bookmarkEnd w:id="106"/>
      <w:bookmarkEnd w:id="107"/>
      <w:r>
        <w:rPr>
          <w:rFonts w:hint="eastAsia" w:ascii="宋体" w:hAnsi="宋体" w:eastAsia="宋体" w:cs="宋体"/>
          <w:color w:val="auto"/>
          <w:sz w:val="21"/>
          <w:szCs w:val="21"/>
          <w:highlight w:val="none"/>
        </w:rPr>
        <w:t>中标和合同</w:t>
      </w:r>
    </w:p>
    <w:p w14:paraId="467297A4">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确定中标人</w:t>
      </w:r>
    </w:p>
    <w:p w14:paraId="3CC0155A">
      <w:pPr>
        <w:pStyle w:val="6"/>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7F46246">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4CEB549B">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30.3出现下列情形之一的，应予废标：</w:t>
      </w:r>
    </w:p>
    <w:p w14:paraId="0E311247">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（1）符合专业条件的供应商或者对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文件作实质响应的供应商不足三家的；</w:t>
      </w:r>
    </w:p>
    <w:p w14:paraId="48AEE8DE">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1EDA1300">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（3）投标人的报价均超过了采购预算，采购人不能支付的；</w:t>
      </w:r>
    </w:p>
    <w:p w14:paraId="1AE81AF2">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14:paraId="0936C339">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废标后，采购人应当将废标理由通知所有投标人。</w:t>
      </w:r>
    </w:p>
    <w:p w14:paraId="58047E86">
      <w:pPr>
        <w:pageBreakBefore w:val="0"/>
        <w:widowControl w:val="0"/>
        <w:numPr>
          <w:ilvl w:val="0"/>
          <w:numId w:val="6"/>
        </w:numPr>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结果公告</w:t>
      </w:r>
    </w:p>
    <w:p w14:paraId="78643E88">
      <w:pPr>
        <w:pageBreakBefore w:val="0"/>
        <w:widowControl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 w:val="0"/>
          <w:color w:val="FF0000"/>
          <w:sz w:val="21"/>
          <w:szCs w:val="21"/>
          <w:highlight w:val="none"/>
        </w:rPr>
      </w:pPr>
      <w:r>
        <w:rPr>
          <w:rFonts w:hint="eastAsia" w:ascii="宋体" w:hAnsi="宋体" w:eastAsia="宋体" w:cs="宋体"/>
          <w:b w:val="0"/>
          <w:color w:val="auto"/>
          <w:sz w:val="21"/>
          <w:szCs w:val="21"/>
          <w:highlight w:val="none"/>
        </w:rPr>
        <w:t>31.1</w:t>
      </w:r>
      <w:r>
        <w:rPr>
          <w:rFonts w:hint="eastAsia" w:ascii="宋体" w:hAnsi="宋体" w:eastAsia="宋体" w:cs="宋体"/>
          <w:b w:val="0"/>
          <w:color w:val="000000" w:themeColor="text1"/>
          <w:sz w:val="21"/>
          <w:szCs w:val="21"/>
          <w:highlight w:val="none"/>
          <w14:textFill>
            <w14:solidFill>
              <w14:schemeClr w14:val="tx1"/>
            </w14:solidFill>
          </w14:textFill>
        </w:rPr>
        <w:t>采购人或者采购代理机构应当自中标人确定之日起2个工作日内，在省级以上财政部门指定的媒体上公告中标结果，</w:t>
      </w:r>
      <w:r>
        <w:rPr>
          <w:rFonts w:hint="eastAsia" w:ascii="宋体" w:hAnsi="宋体" w:cs="宋体"/>
          <w:b w:val="0"/>
          <w:color w:val="000000" w:themeColor="text1"/>
          <w:sz w:val="21"/>
          <w:szCs w:val="21"/>
          <w:highlight w:val="none"/>
          <w:lang w:eastAsia="zh-CN"/>
          <w14:textFill>
            <w14:solidFill>
              <w14:schemeClr w14:val="tx1"/>
            </w14:solidFill>
          </w14:textFill>
        </w:rPr>
        <w:t>采购</w:t>
      </w:r>
      <w:r>
        <w:rPr>
          <w:rFonts w:hint="eastAsia" w:ascii="宋体" w:hAnsi="宋体" w:eastAsia="宋体" w:cs="宋体"/>
          <w:b w:val="0"/>
          <w:color w:val="000000" w:themeColor="text1"/>
          <w:sz w:val="21"/>
          <w:szCs w:val="21"/>
          <w:highlight w:val="none"/>
          <w14:textFill>
            <w14:solidFill>
              <w14:schemeClr w14:val="tx1"/>
            </w14:solidFill>
          </w14:textFill>
        </w:rPr>
        <w:t>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8962FCF">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以上信息查询记录及相关证据与采购文件一并保存。</w:t>
      </w:r>
    </w:p>
    <w:p w14:paraId="2BB879F5">
      <w:pPr>
        <w:pStyle w:val="6"/>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6D495341">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32.发出中标通知书</w:t>
      </w:r>
    </w:p>
    <w:p w14:paraId="0A821F7E">
      <w:pPr>
        <w:pStyle w:val="6"/>
        <w:pageBreakBefore w:val="0"/>
        <w:widowControl w:val="0"/>
        <w:kinsoku/>
        <w:wordWrap/>
        <w:overflowPunct/>
        <w:topLinePunct w:val="0"/>
        <w:autoSpaceDE/>
        <w:autoSpaceDN/>
        <w:bidi w:val="0"/>
        <w:spacing w:before="0" w:after="0" w:line="360" w:lineRule="exac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在发布中标公告的同时，采购代理机构向中标人通过</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发出电子中标通知书。对未通过资格审查的投标人，应当告知其未通过的原因；采用综合评分办法评审的，还应当告知未中标人本人的评审得分与排序。</w:t>
      </w:r>
    </w:p>
    <w:p w14:paraId="1778962A">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33.无义务解释未中标原因</w:t>
      </w:r>
    </w:p>
    <w:p w14:paraId="42481939">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采购代理机构无义务向未中标的投标人解释未中标原因。</w:t>
      </w:r>
    </w:p>
    <w:p w14:paraId="236A30F8">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34.合同授予标准</w:t>
      </w:r>
    </w:p>
    <w:p w14:paraId="62F7FDB7">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合同将授予被确定实质上响应</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文件要求，具备履行合同能力的中标人。</w:t>
      </w:r>
    </w:p>
    <w:p w14:paraId="45AFA303">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35.履约保证金</w:t>
      </w:r>
    </w:p>
    <w:p w14:paraId="1789E9D8">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bookmarkStart w:id="108" w:name="_39.1中标人须于签订合同前按本须知前附表规定的金额转账或电汇到指定账"/>
      <w:bookmarkEnd w:id="108"/>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不收取</w:t>
      </w:r>
      <w:r>
        <w:rPr>
          <w:rFonts w:hint="eastAsia" w:ascii="宋体" w:hAnsi="宋体" w:eastAsia="宋体" w:cs="宋体"/>
          <w:color w:val="auto"/>
          <w:sz w:val="21"/>
          <w:szCs w:val="21"/>
          <w:highlight w:val="none"/>
        </w:rPr>
        <w:t>履约保证金。</w:t>
      </w:r>
    </w:p>
    <w:p w14:paraId="24F138F4">
      <w:pPr>
        <w:pageBreakBefore w:val="0"/>
        <w:widowControl w:val="0"/>
        <w:numPr>
          <w:ilvl w:val="0"/>
          <w:numId w:val="7"/>
        </w:numPr>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签订合同</w:t>
      </w:r>
      <w:bookmarkStart w:id="109" w:name="_40.1投标人接到中标通知书后，按须知前附表规定向采购人出示相关资格证"/>
      <w:bookmarkEnd w:id="109"/>
    </w:p>
    <w:p w14:paraId="6B49DE8E">
      <w:pPr>
        <w:pageBreakBefore w:val="0"/>
        <w:widowControl w:val="0"/>
        <w:numPr>
          <w:ilvl w:val="0"/>
          <w:numId w:val="0"/>
        </w:numPr>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sz w:val="21"/>
          <w:szCs w:val="21"/>
          <w:highlight w:val="none"/>
        </w:rPr>
        <w:t>36.1签订电子采购合同：中标人领取电子中标通知书后，</w:t>
      </w:r>
      <w:r>
        <w:rPr>
          <w:rFonts w:hint="eastAsia" w:ascii="宋体" w:hAnsi="宋体" w:eastAsia="宋体" w:cs="宋体"/>
          <w:b/>
          <w:bCs/>
          <w:color w:val="auto"/>
          <w:kern w:val="0"/>
          <w:sz w:val="21"/>
          <w:szCs w:val="21"/>
          <w:highlight w:val="none"/>
        </w:rPr>
        <w:t>在</w:t>
      </w:r>
      <w:r>
        <w:rPr>
          <w:rFonts w:hint="eastAsia" w:ascii="宋体" w:hAnsi="宋体" w:eastAsia="宋体" w:cs="宋体"/>
          <w:b/>
          <w:bCs/>
          <w:color w:val="auto"/>
          <w:kern w:val="0"/>
          <w:sz w:val="21"/>
          <w:szCs w:val="21"/>
          <w:highlight w:val="none"/>
          <w:lang w:val="zh-CN"/>
        </w:rPr>
        <w:t>规定的日期、时间、地点，由法定代表人或其授权代表与采购人代表签订电子采购合同。</w:t>
      </w:r>
    </w:p>
    <w:p w14:paraId="1E3C2CAC">
      <w:pPr>
        <w:pageBreakBefore w:val="0"/>
        <w:widowControl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线下签订纸质合同：投标人领取中标通知书后，按“投标人须知前附表”规定向采购人出示相关证明材料，经采购人核验合格后方可签订合同。</w:t>
      </w:r>
    </w:p>
    <w:p w14:paraId="5A25EECA">
      <w:pPr>
        <w:pStyle w:val="6"/>
        <w:pageBreakBefore w:val="0"/>
        <w:widowControl w:val="0"/>
        <w:numPr>
          <w:ilvl w:val="4"/>
          <w:numId w:val="0"/>
        </w:numPr>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36.2签订合同时间：按中标通知书规定的时间与采购人签订合同。</w:t>
      </w:r>
    </w:p>
    <w:p w14:paraId="1F0AEA59">
      <w:pPr>
        <w:pStyle w:val="6"/>
        <w:pageBreakBefore w:val="0"/>
        <w:widowControl w:val="0"/>
        <w:kinsoku/>
        <w:wordWrap/>
        <w:overflowPunct/>
        <w:topLinePunct w:val="0"/>
        <w:autoSpaceDE/>
        <w:autoSpaceDN/>
        <w:bidi w:val="0"/>
        <w:spacing w:before="0" w:after="0" w:line="360" w:lineRule="exac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98A433A">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3B4F269">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36.5采购人或中标供应商不得单方面向合同另一方提出任何</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文件没有约定的条件或不合理的要求，作为签订合同的条件；也不得协商另行订立背离</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文件和合同实质性内容的协议。</w:t>
      </w:r>
    </w:p>
    <w:p w14:paraId="2158F232">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36.6如签订合同并生效后，供应商无故拒绝或延期，除按照合同条款处理外，将承担相应的法律责任。</w:t>
      </w:r>
    </w:p>
    <w:p w14:paraId="1A60E9BB">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12B5D740">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110" w:name="_41.政府采购合同公告"/>
      <w:bookmarkEnd w:id="110"/>
      <w:r>
        <w:rPr>
          <w:rFonts w:hint="eastAsia" w:ascii="宋体" w:hAnsi="宋体" w:eastAsia="宋体" w:cs="宋体"/>
          <w:color w:val="auto"/>
          <w:sz w:val="21"/>
          <w:szCs w:val="21"/>
          <w:highlight w:val="none"/>
        </w:rPr>
        <w:t>37.政府采购合同公告</w:t>
      </w:r>
    </w:p>
    <w:p w14:paraId="69D42CAA">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AABCCF6">
      <w:pPr>
        <w:pStyle w:val="12"/>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38.询问、质疑和投诉</w:t>
      </w:r>
    </w:p>
    <w:p w14:paraId="3751B3D9">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7571C68F">
      <w:pPr>
        <w:pStyle w:val="6"/>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38.2供应商认为</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3A94C78C">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文件提出质疑的，为收到</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文件之日或者</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文件公告期限届满之日；</w:t>
      </w:r>
    </w:p>
    <w:p w14:paraId="22E977BF">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2246ECEA">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（3）对中标结果提出质疑的，为中标结果公告期限届满之日。</w:t>
      </w:r>
    </w:p>
    <w:p w14:paraId="2B473952">
      <w:pPr>
        <w:pStyle w:val="6"/>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38.3</w:t>
      </w:r>
      <w:r>
        <w:rPr>
          <w:rFonts w:hint="eastAsia" w:ascii="宋体" w:hAnsi="宋体" w:eastAsia="宋体" w:cs="宋体"/>
          <w:b w:val="0"/>
          <w:bCs/>
          <w:color w:val="auto"/>
          <w:sz w:val="21"/>
          <w:szCs w:val="21"/>
          <w:highlight w:val="none"/>
        </w:rPr>
        <w:t>供应商提出质疑应当提交质疑函和必要的证明材料，针对同一采购程序环节的质疑必须在法定质疑期内一次性提出。质疑函应当包括下列内容（质疑函格式后附）：</w:t>
      </w:r>
    </w:p>
    <w:p w14:paraId="3AE745C5">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（1）供应商的姓名或者名称、地址、邮编、联系人及联系电话；</w:t>
      </w:r>
    </w:p>
    <w:p w14:paraId="45F83354">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（2）质疑项目的名称、编号；</w:t>
      </w:r>
    </w:p>
    <w:p w14:paraId="0D0F3ACB">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（3）具体、明确的质疑事项和与质疑事项相关的请求；</w:t>
      </w:r>
    </w:p>
    <w:p w14:paraId="04E780CB">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（4）事实依据；</w:t>
      </w:r>
    </w:p>
    <w:p w14:paraId="260B2C95">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（5）必要的法律依据；</w:t>
      </w:r>
    </w:p>
    <w:p w14:paraId="0ECC1346">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（6）提出质疑的日期。</w:t>
      </w:r>
    </w:p>
    <w:p w14:paraId="52D4AC5B">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供应商为自然人的，应当由本人签字；供应商为法人或者其他组织的，应当由法定代表人、主要负责人，或者其委托代理人签字或者盖章，并加盖公章。</w:t>
      </w:r>
    </w:p>
    <w:p w14:paraId="1E8B1E18">
      <w:pPr>
        <w:pStyle w:val="6"/>
        <w:pageBreakBefore w:val="0"/>
        <w:widowControl w:val="0"/>
        <w:kinsoku/>
        <w:wordWrap/>
        <w:overflowPunct/>
        <w:topLinePunct w:val="0"/>
        <w:autoSpaceDE/>
        <w:autoSpaceDN/>
        <w:bidi w:val="0"/>
        <w:snapToGrid w:val="0"/>
        <w:spacing w:before="0" w:after="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3</w:t>
      </w:r>
      <w:r>
        <w:rPr>
          <w:rFonts w:hint="eastAsia" w:ascii="宋体" w:hAnsi="宋体" w:eastAsia="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6D286A2D">
      <w:pPr>
        <w:pStyle w:val="12"/>
        <w:pageBreakBefore w:val="0"/>
        <w:widowControl w:val="0"/>
        <w:kinsoku/>
        <w:wordWrap/>
        <w:overflowPunct/>
        <w:topLinePunct w:val="0"/>
        <w:autoSpaceDE/>
        <w:autoSpaceDN/>
        <w:bidi w:val="0"/>
        <w:snapToGrid w:val="0"/>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（一）对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文件提出的质疑，依法通过澄清或者修改可以继续开展采购活动的，澄清或者修改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文件后继续开展采购活动；否则应当修改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文件后重新开展采购活动。</w:t>
      </w:r>
    </w:p>
    <w:p w14:paraId="783F42BF">
      <w:pPr>
        <w:pStyle w:val="12"/>
        <w:pageBreakBefore w:val="0"/>
        <w:widowControl w:val="0"/>
        <w:kinsoku/>
        <w:wordWrap/>
        <w:overflowPunct/>
        <w:topLinePunct w:val="0"/>
        <w:autoSpaceDE/>
        <w:autoSpaceDN/>
        <w:bidi w:val="0"/>
        <w:snapToGrid w:val="0"/>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（二）对采购过程、中标结果提出的质疑，合格供应商符合法定数量时，可以从合格的中标候选人中另行确定中标供应商的，应当依法另行确定中标供应商；否则应当重新开展采购活动。</w:t>
      </w:r>
    </w:p>
    <w:p w14:paraId="22509706">
      <w:pPr>
        <w:pStyle w:val="12"/>
        <w:pageBreakBefore w:val="0"/>
        <w:widowControl w:val="0"/>
        <w:kinsoku/>
        <w:wordWrap/>
        <w:overflowPunct/>
        <w:topLinePunct w:val="0"/>
        <w:autoSpaceDE/>
        <w:autoSpaceDN/>
        <w:bidi w:val="0"/>
        <w:snapToGrid w:val="0"/>
        <w:spacing w:line="360" w:lineRule="exact"/>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质疑答复导致中标结果改变的，采购人或者采购代理机构应当将有关情况书面报告本级财政部门。</w:t>
      </w:r>
    </w:p>
    <w:p w14:paraId="76DD7130">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26EC05A">
      <w:pPr>
        <w:pStyle w:val="4"/>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八、其他事项</w:t>
      </w:r>
    </w:p>
    <w:p w14:paraId="0DADCE33">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11" w:name="_42.代理服务费"/>
      <w:bookmarkEnd w:id="111"/>
      <w:r>
        <w:rPr>
          <w:rFonts w:hint="eastAsia" w:ascii="宋体" w:hAnsi="宋体" w:eastAsia="宋体" w:cs="宋体"/>
          <w:color w:val="000000" w:themeColor="text1"/>
          <w:sz w:val="21"/>
          <w:szCs w:val="21"/>
          <w:highlight w:val="none"/>
          <w14:textFill>
            <w14:solidFill>
              <w14:schemeClr w14:val="tx1"/>
            </w14:solidFill>
          </w14:textFill>
        </w:rPr>
        <w:t>39.代理服务费</w:t>
      </w:r>
    </w:p>
    <w:p w14:paraId="1078A47F">
      <w:pPr>
        <w:pStyle w:val="7"/>
        <w:pageBreakBefore w:val="0"/>
        <w:widowControl w:val="0"/>
        <w:kinsoku/>
        <w:wordWrap/>
        <w:overflowPunct/>
        <w:topLinePunct w:val="0"/>
        <w:autoSpaceDE/>
        <w:autoSpaceDN/>
        <w:bidi w:val="0"/>
        <w:spacing w:line="360" w:lineRule="exact"/>
        <w:textAlignment w:val="auto"/>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本项目不收取代理服务费</w:t>
      </w:r>
    </w:p>
    <w:p w14:paraId="4141CA3E">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40.需要补充的其他内容</w:t>
      </w:r>
    </w:p>
    <w:p w14:paraId="1E5782C9">
      <w:pPr>
        <w:pStyle w:val="12"/>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40.1本</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文件解释规则详见“投标人须知前附表”。</w:t>
      </w:r>
    </w:p>
    <w:p w14:paraId="2A7EE77D">
      <w:pPr>
        <w:pStyle w:val="12"/>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40.2其他事项详见“投标人须知前附表”。</w:t>
      </w:r>
    </w:p>
    <w:p w14:paraId="26BA8F9D">
      <w:pPr>
        <w:pStyle w:val="12"/>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40.3</w:t>
      </w:r>
      <w:bookmarkStart w:id="112" w:name="_Hlk65857140"/>
      <w:r>
        <w:rPr>
          <w:rFonts w:hint="eastAsia" w:ascii="宋体" w:hAnsi="宋体" w:eastAsia="宋体" w:cs="宋体"/>
          <w:color w:val="000000" w:themeColor="text1"/>
          <w:sz w:val="21"/>
          <w:szCs w:val="21"/>
          <w:highlight w:val="none"/>
          <w14:textFill>
            <w14:solidFill>
              <w14:schemeClr w14:val="tx1"/>
            </w14:solidFill>
          </w14:textFill>
        </w:rPr>
        <w:t>本</w:t>
      </w:r>
      <w:r>
        <w:rPr>
          <w:rFonts w:hint="eastAsia"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文件所称</w:t>
      </w:r>
      <w:r>
        <w:rPr>
          <w:rFonts w:hint="eastAsia" w:hAnsi="宋体" w:cs="宋体"/>
          <w:color w:val="000000" w:themeColor="text1"/>
          <w:sz w:val="21"/>
          <w:szCs w:val="21"/>
          <w:highlight w:val="none"/>
          <w:lang w:val="en-US" w:eastAsia="zh-CN"/>
          <w14:textFill>
            <w14:solidFill>
              <w14:schemeClr w14:val="tx1"/>
            </w14:solidFill>
          </w14:textFill>
        </w:rPr>
        <w:t>中小</w:t>
      </w:r>
      <w:r>
        <w:rPr>
          <w:rFonts w:hint="eastAsia" w:ascii="宋体" w:hAnsi="宋体" w:eastAsia="宋体" w:cs="宋体"/>
          <w:color w:val="000000" w:themeColor="text1"/>
          <w:sz w:val="21"/>
          <w:szCs w:val="21"/>
          <w:highlight w:val="none"/>
          <w14:textFill>
            <w14:solidFill>
              <w14:schemeClr w14:val="tx1"/>
            </w14:solidFill>
          </w14:textFill>
        </w:rPr>
        <w:t>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文件规定的中小企业扶持政策：</w:t>
      </w:r>
    </w:p>
    <w:p w14:paraId="3CAF25E5">
      <w:pPr>
        <w:pStyle w:val="12"/>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262A3210">
      <w:pPr>
        <w:pStyle w:val="12"/>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77496F80">
      <w:pPr>
        <w:pStyle w:val="12"/>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0410D9F7">
      <w:pPr>
        <w:pStyle w:val="12"/>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在货物采购项目中，供应商提供的货物既有中小企业制造货物，也有大型企业制造货物的，不享受本</w:t>
      </w: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文件规定的中小企业扶持政策。</w:t>
      </w:r>
    </w:p>
    <w:p w14:paraId="7AA5B63E">
      <w:pPr>
        <w:pStyle w:val="12"/>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依据本</w:t>
      </w: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文件规定享受扶持政策获得政府采购合同的，小微企业不得将合同分包给大中型企业，中型企业不得将合同分包给大型企业。</w:t>
      </w:r>
      <w:bookmarkEnd w:id="112"/>
    </w:p>
    <w:p w14:paraId="4C4D0240">
      <w:pPr>
        <w:rPr>
          <w:rFonts w:asciiTheme="minorHAnsi" w:hAnsiTheme="minorHAnsi" w:eastAsiaTheme="minorEastAsia" w:cstheme="minorBidi"/>
          <w:kern w:val="2"/>
          <w:sz w:val="21"/>
          <w:szCs w:val="24"/>
          <w:lang w:val="en-US" w:eastAsia="zh-CN" w:bidi="ar-SA"/>
        </w:rPr>
      </w:pPr>
      <w:r>
        <w:rPr>
          <w:rFonts w:asciiTheme="minorHAnsi" w:hAnsiTheme="minorHAnsi" w:eastAsiaTheme="minorEastAsia" w:cstheme="minorBidi"/>
          <w:kern w:val="2"/>
          <w:sz w:val="21"/>
          <w:szCs w:val="24"/>
          <w:lang w:val="en-US" w:eastAsia="zh-CN" w:bidi="ar-SA"/>
        </w:rPr>
        <w:br w:type="page"/>
      </w:r>
    </w:p>
    <w:p w14:paraId="57583E36">
      <w:pPr>
        <w:pageBreakBefore w:val="0"/>
        <w:kinsoku/>
        <w:overflowPunct/>
        <w:topLinePunct w:val="0"/>
        <w:bidi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附件1：</w:t>
      </w:r>
    </w:p>
    <w:p w14:paraId="653D9DE4">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广西壮族自治区政府采购项目合同验收书（格式）</w:t>
      </w:r>
    </w:p>
    <w:p w14:paraId="6CF6A20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p>
    <w:p w14:paraId="7657E0FC">
      <w:pPr>
        <w:pageBreakBefore w:val="0"/>
        <w:widowControl/>
        <w:kinsoku/>
        <w:overflowPunct/>
        <w:topLinePunct w:val="0"/>
        <w:bidi w:val="0"/>
        <w:snapToGrid w:val="0"/>
        <w:spacing w:line="24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根据政府采购项目（</w:t>
      </w:r>
      <w:r>
        <w:rPr>
          <w:rFonts w:hint="eastAsia" w:ascii="宋体" w:hAnsi="宋体" w:eastAsia="宋体" w:cs="宋体"/>
          <w:color w:val="auto"/>
          <w:kern w:val="0"/>
          <w:sz w:val="21"/>
          <w:szCs w:val="21"/>
          <w:highlight w:val="none"/>
          <w:u w:val="single"/>
        </w:rPr>
        <w:t xml:space="preserve">采购合同编号： </w:t>
      </w:r>
      <w:r>
        <w:rPr>
          <w:rFonts w:hint="eastAsia" w:ascii="宋体" w:hAnsi="宋体" w:eastAsia="宋体" w:cs="宋体"/>
          <w:color w:val="auto"/>
          <w:kern w:val="0"/>
          <w:sz w:val="21"/>
          <w:szCs w:val="21"/>
          <w:highlight w:val="none"/>
        </w:rPr>
        <w:t>）的约定，我单位对（</w:t>
      </w:r>
      <w:r>
        <w:rPr>
          <w:rFonts w:hint="eastAsia" w:ascii="宋体" w:hAnsi="宋体" w:eastAsia="宋体" w:cs="宋体"/>
          <w:color w:val="auto"/>
          <w:kern w:val="0"/>
          <w:sz w:val="21"/>
          <w:szCs w:val="21"/>
          <w:highlight w:val="none"/>
          <w:u w:val="single"/>
        </w:rPr>
        <w:t xml:space="preserve"> 项目名称 </w:t>
      </w:r>
      <w:r>
        <w:rPr>
          <w:rFonts w:hint="eastAsia" w:ascii="宋体" w:hAnsi="宋体" w:eastAsia="宋体" w:cs="宋体"/>
          <w:color w:val="auto"/>
          <w:kern w:val="0"/>
          <w:sz w:val="21"/>
          <w:szCs w:val="21"/>
          <w:highlight w:val="none"/>
        </w:rPr>
        <w:t>） 政府采购项目中标人（</w:t>
      </w:r>
      <w:r>
        <w:rPr>
          <w:rFonts w:hint="eastAsia" w:ascii="宋体" w:hAnsi="宋体" w:eastAsia="宋体" w:cs="宋体"/>
          <w:color w:val="auto"/>
          <w:kern w:val="0"/>
          <w:sz w:val="21"/>
          <w:szCs w:val="21"/>
          <w:highlight w:val="none"/>
          <w:u w:val="single"/>
        </w:rPr>
        <w:t xml:space="preserve"> 公司名称 </w:t>
      </w:r>
      <w:r>
        <w:rPr>
          <w:rFonts w:hint="eastAsia" w:ascii="宋体" w:hAnsi="宋体" w:eastAsia="宋体" w:cs="宋体"/>
          <w:color w:val="auto"/>
          <w:kern w:val="0"/>
          <w:sz w:val="21"/>
          <w:szCs w:val="21"/>
          <w:highlight w:val="none"/>
        </w:rPr>
        <w:t>） 提供的货物（或者工程、服务）进行了验收，验收情况如下：</w:t>
      </w:r>
    </w:p>
    <w:tbl>
      <w:tblPr>
        <w:tblStyle w:val="16"/>
        <w:tblW w:w="8951"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554C6706">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6EFB81D">
            <w:pPr>
              <w:pageBreakBefore w:val="0"/>
              <w:widowControl/>
              <w:kinsoku/>
              <w:overflowPunct/>
              <w:topLinePunct w:val="0"/>
              <w:bidi w:val="0"/>
              <w:snapToGrid w:val="0"/>
              <w:spacing w:before="100" w:beforeAutospacing="1" w:after="100" w:afterAutospacing="1" w:line="240" w:lineRule="auto"/>
              <w:ind w:firstLine="5"/>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验收方式：</w:t>
            </w:r>
          </w:p>
        </w:tc>
        <w:tc>
          <w:tcPr>
            <w:tcW w:w="5699" w:type="dxa"/>
            <w:gridSpan w:val="6"/>
            <w:tcBorders>
              <w:top w:val="single" w:color="auto" w:sz="8" w:space="0"/>
              <w:left w:val="nil"/>
              <w:bottom w:val="single" w:color="auto" w:sz="8" w:space="0"/>
              <w:right w:val="single" w:color="auto" w:sz="8" w:space="0"/>
            </w:tcBorders>
            <w:vAlign w:val="center"/>
          </w:tcPr>
          <w:p w14:paraId="40CF0D77">
            <w:pPr>
              <w:pageBreakBefore w:val="0"/>
              <w:widowControl/>
              <w:kinsoku/>
              <w:overflowPunct/>
              <w:topLinePunct w:val="0"/>
              <w:bidi w:val="0"/>
              <w:snapToGrid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□自行验收 □委托验收</w:t>
            </w:r>
          </w:p>
        </w:tc>
      </w:tr>
      <w:tr w14:paraId="383BBCCF">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6FB67BC3">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448" w:type="dxa"/>
            <w:gridSpan w:val="2"/>
            <w:tcBorders>
              <w:top w:val="nil"/>
              <w:left w:val="nil"/>
              <w:bottom w:val="single" w:color="auto" w:sz="8" w:space="0"/>
              <w:right w:val="single" w:color="auto" w:sz="8" w:space="0"/>
            </w:tcBorders>
            <w:vAlign w:val="center"/>
          </w:tcPr>
          <w:p w14:paraId="651B23F1">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2902" w:type="dxa"/>
            <w:gridSpan w:val="3"/>
            <w:tcBorders>
              <w:top w:val="nil"/>
              <w:left w:val="nil"/>
              <w:bottom w:val="single" w:color="auto" w:sz="8" w:space="0"/>
              <w:right w:val="single" w:color="auto" w:sz="8" w:space="0"/>
            </w:tcBorders>
            <w:vAlign w:val="center"/>
          </w:tcPr>
          <w:p w14:paraId="65D55818">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14:paraId="2BEE076B">
            <w:pPr>
              <w:pageBreakBefore w:val="0"/>
              <w:widowControl/>
              <w:kinsoku/>
              <w:overflowPunct/>
              <w:topLinePunct w:val="0"/>
              <w:bidi w:val="0"/>
              <w:snapToGrid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428" w:type="dxa"/>
            <w:tcBorders>
              <w:top w:val="nil"/>
              <w:left w:val="nil"/>
              <w:bottom w:val="single" w:color="auto" w:sz="8" w:space="0"/>
              <w:right w:val="single" w:color="auto" w:sz="8" w:space="0"/>
            </w:tcBorders>
            <w:vAlign w:val="center"/>
          </w:tcPr>
          <w:p w14:paraId="7722AF28">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金额</w:t>
            </w:r>
          </w:p>
        </w:tc>
      </w:tr>
      <w:tr w14:paraId="5B15F3A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E15636F">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30F7238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4C4D168E">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14:paraId="0AD1DF90">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161E0D3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4FF5425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CEC924A">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22BDE0BD">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55C90023">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14:paraId="7CADB69E">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64471C44">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4EA3756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07D29C01">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372AF504">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73E2BD6B">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14:paraId="51E3F715">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083B6E1C">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2D555454">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31EBADB0">
            <w:pPr>
              <w:pageBreakBefore w:val="0"/>
              <w:widowControl/>
              <w:kinsoku/>
              <w:overflowPunct/>
              <w:topLinePunct w:val="0"/>
              <w:bidi w:val="0"/>
              <w:snapToGrid w:val="0"/>
              <w:spacing w:before="100" w:beforeAutospacing="1" w:after="100" w:afterAutospacing="1" w:line="240" w:lineRule="auto"/>
              <w:ind w:firstLine="5"/>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 计</w:t>
            </w:r>
          </w:p>
        </w:tc>
        <w:tc>
          <w:tcPr>
            <w:tcW w:w="1369" w:type="dxa"/>
            <w:gridSpan w:val="2"/>
            <w:tcBorders>
              <w:top w:val="nil"/>
              <w:left w:val="nil"/>
              <w:bottom w:val="single" w:color="auto" w:sz="8" w:space="0"/>
              <w:right w:val="single" w:color="auto" w:sz="8" w:space="0"/>
            </w:tcBorders>
            <w:vAlign w:val="center"/>
          </w:tcPr>
          <w:p w14:paraId="1675B9E3">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552C75F1">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0691B8B7">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14:paraId="49D8137A">
            <w:pPr>
              <w:pageBreakBefore w:val="0"/>
              <w:widowControl/>
              <w:kinsoku/>
              <w:overflowPunct/>
              <w:topLinePunct w:val="0"/>
              <w:bidi w:val="0"/>
              <w:snapToGrid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合计大写金额：  仟  佰  拾  万  仟  佰  拾  元</w:t>
            </w:r>
          </w:p>
        </w:tc>
      </w:tr>
      <w:tr w14:paraId="0B71AA8A">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4DE67843">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341D346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282" w:type="dxa"/>
            <w:gridSpan w:val="3"/>
            <w:tcBorders>
              <w:top w:val="nil"/>
              <w:left w:val="nil"/>
              <w:bottom w:val="single" w:color="auto" w:sz="8" w:space="0"/>
              <w:right w:val="single" w:color="auto" w:sz="8" w:space="0"/>
            </w:tcBorders>
            <w:vAlign w:val="center"/>
          </w:tcPr>
          <w:p w14:paraId="53B72CDC">
            <w:pPr>
              <w:pageBreakBefore w:val="0"/>
              <w:widowControl/>
              <w:kinsoku/>
              <w:overflowPunct/>
              <w:topLinePunct w:val="0"/>
              <w:bidi w:val="0"/>
              <w:snapToGrid w:val="0"/>
              <w:spacing w:before="100" w:beforeAutospacing="1" w:after="100" w:afterAutospacing="1" w:line="240" w:lineRule="auto"/>
              <w:ind w:firstLine="4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合同交货验收日期</w:t>
            </w:r>
          </w:p>
        </w:tc>
        <w:tc>
          <w:tcPr>
            <w:tcW w:w="2619" w:type="dxa"/>
            <w:gridSpan w:val="2"/>
            <w:tcBorders>
              <w:top w:val="nil"/>
              <w:left w:val="nil"/>
              <w:bottom w:val="single" w:color="auto" w:sz="8" w:space="0"/>
              <w:right w:val="single" w:color="auto" w:sz="8" w:space="0"/>
            </w:tcBorders>
            <w:vAlign w:val="center"/>
          </w:tcPr>
          <w:p w14:paraId="55E513CD">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78C7EDC5">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096FF0BB">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21" w:type="dxa"/>
            <w:gridSpan w:val="2"/>
            <w:tcBorders>
              <w:top w:val="nil"/>
              <w:left w:val="nil"/>
              <w:bottom w:val="single" w:color="auto" w:sz="8" w:space="0"/>
              <w:right w:val="single" w:color="auto" w:sz="8" w:space="0"/>
            </w:tcBorders>
            <w:vAlign w:val="center"/>
          </w:tcPr>
          <w:p w14:paraId="4208A0A0">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282" w:type="dxa"/>
            <w:gridSpan w:val="3"/>
            <w:tcBorders>
              <w:top w:val="nil"/>
              <w:left w:val="nil"/>
              <w:bottom w:val="single" w:color="auto" w:sz="8" w:space="0"/>
              <w:right w:val="single" w:color="auto" w:sz="8" w:space="0"/>
            </w:tcBorders>
            <w:vAlign w:val="center"/>
          </w:tcPr>
          <w:p w14:paraId="7CC196B6">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619" w:type="dxa"/>
            <w:gridSpan w:val="2"/>
            <w:tcBorders>
              <w:top w:val="nil"/>
              <w:left w:val="nil"/>
              <w:bottom w:val="single" w:color="auto" w:sz="8" w:space="0"/>
              <w:right w:val="single" w:color="auto" w:sz="8" w:space="0"/>
            </w:tcBorders>
            <w:vAlign w:val="center"/>
          </w:tcPr>
          <w:p w14:paraId="12019CAE">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1CE636A8">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D6D81D">
            <w:pPr>
              <w:pageBreakBefore w:val="0"/>
              <w:widowControl/>
              <w:kinsoku/>
              <w:overflowPunct/>
              <w:topLinePunct w:val="0"/>
              <w:bidi w:val="0"/>
              <w:snapToGrid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98B6C82">
            <w:pPr>
              <w:pageBreakBefore w:val="0"/>
              <w:widowControl/>
              <w:kinsoku/>
              <w:overflowPunct/>
              <w:topLinePunct w:val="0"/>
              <w:bidi w:val="0"/>
              <w:snapToGrid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（应按采购合同、</w:t>
            </w:r>
            <w:r>
              <w:rPr>
                <w:rFonts w:hint="eastAsia" w:ascii="宋体" w:hAnsi="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文件、投标文件及验收方案等进行验收；并核对中标人在安装调试等方面是否违反合同约定或者服务规范要求、提供的质量保证证明材料是否齐全、应有的配件及附件是否达到合同约定等。可附件)</w:t>
            </w:r>
          </w:p>
        </w:tc>
      </w:tr>
      <w:tr w14:paraId="3E3A2626">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C60269">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验收小组意见</w:t>
            </w:r>
          </w:p>
        </w:tc>
        <w:tc>
          <w:tcPr>
            <w:tcW w:w="7322" w:type="dxa"/>
            <w:gridSpan w:val="7"/>
            <w:tcBorders>
              <w:top w:val="nil"/>
              <w:left w:val="nil"/>
              <w:bottom w:val="single" w:color="auto" w:sz="8" w:space="0"/>
              <w:right w:val="single" w:color="auto" w:sz="8" w:space="0"/>
            </w:tcBorders>
            <w:vAlign w:val="center"/>
          </w:tcPr>
          <w:p w14:paraId="343D4D16">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验收结论性意见：</w:t>
            </w:r>
          </w:p>
        </w:tc>
      </w:tr>
      <w:tr w14:paraId="39677A1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090DA67F">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7322" w:type="dxa"/>
            <w:gridSpan w:val="7"/>
            <w:tcBorders>
              <w:top w:val="nil"/>
              <w:left w:val="nil"/>
              <w:bottom w:val="single" w:color="auto" w:sz="8" w:space="0"/>
              <w:right w:val="single" w:color="auto" w:sz="8" w:space="0"/>
            </w:tcBorders>
            <w:vAlign w:val="center"/>
          </w:tcPr>
          <w:p w14:paraId="3C832794">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有异议的意见和说明理由：</w:t>
            </w:r>
          </w:p>
          <w:p w14:paraId="5C043DD5">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w:t>
            </w:r>
          </w:p>
        </w:tc>
      </w:tr>
      <w:tr w14:paraId="40EED0F5">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6E5C8D">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验收小组成员签字：</w:t>
            </w:r>
          </w:p>
        </w:tc>
      </w:tr>
      <w:tr w14:paraId="33DFB4C9">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4F938E">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监督人员或者其他相关人员签字：</w:t>
            </w:r>
          </w:p>
          <w:p w14:paraId="09688523">
            <w:pPr>
              <w:pageBreakBefore w:val="0"/>
              <w:widowControl/>
              <w:kinsoku/>
              <w:overflowPunct/>
              <w:topLinePunct w:val="0"/>
              <w:bidi w:val="0"/>
              <w:spacing w:before="100" w:beforeAutospacing="1" w:after="100" w:afterAutospacing="1" w:line="240" w:lineRule="auto"/>
              <w:ind w:firstLine="7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或者受邀机构的意见（盖章）：</w:t>
            </w:r>
          </w:p>
        </w:tc>
      </w:tr>
      <w:tr w14:paraId="56340963">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2C2F8599">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中标人负责人签字或者盖章：</w:t>
            </w:r>
          </w:p>
          <w:p w14:paraId="4FB59873">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p>
          <w:p w14:paraId="485AA49A">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c>
          <w:tcPr>
            <w:tcW w:w="4799" w:type="dxa"/>
            <w:gridSpan w:val="4"/>
            <w:tcBorders>
              <w:top w:val="nil"/>
              <w:left w:val="nil"/>
              <w:bottom w:val="single" w:color="auto" w:sz="8" w:space="0"/>
              <w:right w:val="single" w:color="auto" w:sz="8" w:space="0"/>
            </w:tcBorders>
            <w:vAlign w:val="center"/>
          </w:tcPr>
          <w:p w14:paraId="52C848CD">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采购人或者受托机构的意见（盖章）：</w:t>
            </w:r>
          </w:p>
          <w:p w14:paraId="1AE704A4">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p>
          <w:p w14:paraId="46ABAC07">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r>
    </w:tbl>
    <w:p w14:paraId="52945E86">
      <w:pPr>
        <w:rPr>
          <w:rFonts w:hint="eastAsia"/>
        </w:rPr>
      </w:pPr>
      <w:r>
        <w:rPr>
          <w:rFonts w:hint="eastAsia"/>
        </w:rPr>
        <w:br w:type="page"/>
      </w:r>
    </w:p>
    <w:p w14:paraId="703C2E60">
      <w:pPr>
        <w:pageBreakBefore w:val="0"/>
        <w:kinsoku/>
        <w:overflowPunct/>
        <w:topLinePunct w:val="0"/>
        <w:bidi w:val="0"/>
        <w:snapToGrid w:val="0"/>
        <w:spacing w:line="240" w:lineRule="auto"/>
        <w:rPr>
          <w:rFonts w:hint="eastAsia"/>
        </w:rPr>
      </w:pPr>
      <w:r>
        <w:rPr>
          <w:rFonts w:hint="eastAsia" w:ascii="宋体" w:hAnsi="宋体" w:eastAsia="宋体" w:cs="宋体"/>
          <w:bCs/>
          <w:color w:val="auto"/>
          <w:kern w:val="0"/>
          <w:sz w:val="21"/>
          <w:szCs w:val="21"/>
          <w:highlight w:val="none"/>
        </w:rPr>
        <w:t>附件</w:t>
      </w: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w:t>
      </w:r>
    </w:p>
    <w:p w14:paraId="4025266C">
      <w:pPr>
        <w:pageBreakBefore w:val="0"/>
        <w:widowControl/>
        <w:kinsoku/>
        <w:overflowPunct/>
        <w:topLinePunct w:val="0"/>
        <w:bidi w:val="0"/>
        <w:spacing w:before="120" w:beforeLines="50" w:after="120" w:afterLines="50" w:line="240" w:lineRule="auto"/>
        <w:jc w:val="center"/>
        <w:rPr>
          <w:rFonts w:hint="eastAsia" w:ascii="宋体" w:hAnsi="宋体" w:eastAsia="宋体" w:cs="宋体"/>
          <w:b/>
          <w:bCs/>
          <w:color w:val="auto"/>
          <w:kern w:val="0"/>
          <w:sz w:val="21"/>
          <w:szCs w:val="21"/>
          <w:highlight w:val="none"/>
        </w:rPr>
      </w:pPr>
      <w:bookmarkStart w:id="113" w:name="_Toc28361_WPSOffice_Level2"/>
      <w:r>
        <w:rPr>
          <w:rFonts w:hint="eastAsia" w:ascii="宋体" w:hAnsi="宋体" w:eastAsia="宋体" w:cs="宋体"/>
          <w:b/>
          <w:bCs/>
          <w:color w:val="auto"/>
          <w:kern w:val="0"/>
          <w:sz w:val="21"/>
          <w:szCs w:val="21"/>
          <w:highlight w:val="none"/>
        </w:rPr>
        <w:t>大中小微型企业划分标准</w:t>
      </w:r>
      <w:bookmarkEnd w:id="113"/>
    </w:p>
    <w:tbl>
      <w:tblPr>
        <w:tblStyle w:val="1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41"/>
        <w:gridCol w:w="720"/>
        <w:gridCol w:w="1170"/>
        <w:gridCol w:w="1735"/>
        <w:gridCol w:w="1426"/>
        <w:gridCol w:w="992"/>
      </w:tblGrid>
      <w:tr w14:paraId="3031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951" w:type="dxa"/>
            <w:shd w:val="clear" w:color="auto" w:fill="8DB3E2"/>
            <w:vAlign w:val="center"/>
          </w:tcPr>
          <w:p w14:paraId="761DCA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441" w:type="dxa"/>
            <w:shd w:val="clear" w:color="auto" w:fill="8DB3E2"/>
            <w:vAlign w:val="center"/>
          </w:tcPr>
          <w:p w14:paraId="2BDC38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720" w:type="dxa"/>
            <w:shd w:val="clear" w:color="auto" w:fill="8DB3E2"/>
            <w:vAlign w:val="center"/>
          </w:tcPr>
          <w:p w14:paraId="31B259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14:paraId="03BA22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170" w:type="dxa"/>
            <w:shd w:val="clear" w:color="auto" w:fill="8DB3E2"/>
            <w:vAlign w:val="center"/>
          </w:tcPr>
          <w:p w14:paraId="5A04DB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35" w:type="dxa"/>
            <w:shd w:val="clear" w:color="auto" w:fill="8DB3E2"/>
            <w:vAlign w:val="center"/>
          </w:tcPr>
          <w:p w14:paraId="696459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426" w:type="dxa"/>
            <w:shd w:val="clear" w:color="auto" w:fill="8DB3E2"/>
            <w:vAlign w:val="center"/>
          </w:tcPr>
          <w:p w14:paraId="6CA4B4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992" w:type="dxa"/>
            <w:shd w:val="clear" w:color="auto" w:fill="8DB3E2"/>
            <w:vAlign w:val="center"/>
          </w:tcPr>
          <w:p w14:paraId="731FB8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0DCB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54D718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441" w:type="dxa"/>
            <w:vAlign w:val="center"/>
          </w:tcPr>
          <w:p w14:paraId="161A7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2B43A3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72BD5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14:paraId="556C6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295B8D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992" w:type="dxa"/>
            <w:vAlign w:val="center"/>
          </w:tcPr>
          <w:p w14:paraId="7B2D0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2E2E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66E611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1441" w:type="dxa"/>
            <w:vAlign w:val="center"/>
          </w:tcPr>
          <w:p w14:paraId="7262FC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1752BD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1E1899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4ED6A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302ABA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7A8CE2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4539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3DA242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95929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5C141E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0E40B5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14:paraId="7A3628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426" w:type="dxa"/>
            <w:vAlign w:val="center"/>
          </w:tcPr>
          <w:p w14:paraId="55676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992" w:type="dxa"/>
            <w:vAlign w:val="center"/>
          </w:tcPr>
          <w:p w14:paraId="2DF65D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531D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3D10D0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441" w:type="dxa"/>
            <w:vAlign w:val="center"/>
          </w:tcPr>
          <w:p w14:paraId="1279F8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6A6956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8473F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35" w:type="dxa"/>
            <w:vAlign w:val="center"/>
          </w:tcPr>
          <w:p w14:paraId="105961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426" w:type="dxa"/>
            <w:vAlign w:val="center"/>
          </w:tcPr>
          <w:p w14:paraId="6176BB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992" w:type="dxa"/>
            <w:vAlign w:val="center"/>
          </w:tcPr>
          <w:p w14:paraId="6CE69D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651E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1F5D51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1EDA3D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300516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4BAEF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35" w:type="dxa"/>
            <w:vAlign w:val="center"/>
          </w:tcPr>
          <w:p w14:paraId="496FAB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426" w:type="dxa"/>
            <w:vAlign w:val="center"/>
          </w:tcPr>
          <w:p w14:paraId="1E82BE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992" w:type="dxa"/>
            <w:vAlign w:val="center"/>
          </w:tcPr>
          <w:p w14:paraId="06B908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54D2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9E079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441" w:type="dxa"/>
            <w:vAlign w:val="center"/>
          </w:tcPr>
          <w:p w14:paraId="4EA2FD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46B953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5E909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14:paraId="6CFA2C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426" w:type="dxa"/>
            <w:vAlign w:val="center"/>
          </w:tcPr>
          <w:p w14:paraId="390E33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992" w:type="dxa"/>
            <w:vAlign w:val="center"/>
          </w:tcPr>
          <w:p w14:paraId="292A92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1196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6F82B3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2B38A1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4E710B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719332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14:paraId="3F05A0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426" w:type="dxa"/>
            <w:vAlign w:val="center"/>
          </w:tcPr>
          <w:p w14:paraId="3961E5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92" w:type="dxa"/>
            <w:vAlign w:val="center"/>
          </w:tcPr>
          <w:p w14:paraId="182A0F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6767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A6F77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441" w:type="dxa"/>
            <w:vAlign w:val="center"/>
          </w:tcPr>
          <w:p w14:paraId="07E9C6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487BE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7DA324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4F27D8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426" w:type="dxa"/>
            <w:vAlign w:val="center"/>
          </w:tcPr>
          <w:p w14:paraId="54498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992" w:type="dxa"/>
            <w:vAlign w:val="center"/>
          </w:tcPr>
          <w:p w14:paraId="766BA6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032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970DB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4C168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754C5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1A932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14:paraId="51D55B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5EB966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992" w:type="dxa"/>
            <w:vAlign w:val="center"/>
          </w:tcPr>
          <w:p w14:paraId="4CEFC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BE1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4548F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1441" w:type="dxa"/>
            <w:vAlign w:val="center"/>
          </w:tcPr>
          <w:p w14:paraId="54C157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0923A8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7FE81B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1B6FE5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5E5223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543521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36E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3755AA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E93A8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F5112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4EBA8B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7DB876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426" w:type="dxa"/>
            <w:vAlign w:val="center"/>
          </w:tcPr>
          <w:p w14:paraId="66EF65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992" w:type="dxa"/>
            <w:vAlign w:val="center"/>
          </w:tcPr>
          <w:p w14:paraId="7EA2E2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498A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6AD28C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441" w:type="dxa"/>
            <w:vAlign w:val="center"/>
          </w:tcPr>
          <w:p w14:paraId="5E5A58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62D7A3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35E7A6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14:paraId="0B6CC0E6">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426" w:type="dxa"/>
            <w:vAlign w:val="center"/>
          </w:tcPr>
          <w:p w14:paraId="46F8D0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992" w:type="dxa"/>
            <w:vAlign w:val="center"/>
          </w:tcPr>
          <w:p w14:paraId="2CF48A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149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6C6966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795A3D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4F178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75CF8D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488CF1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426" w:type="dxa"/>
            <w:vAlign w:val="center"/>
          </w:tcPr>
          <w:p w14:paraId="3757E0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03AEA9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51A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39193B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441" w:type="dxa"/>
            <w:vAlign w:val="center"/>
          </w:tcPr>
          <w:p w14:paraId="38B0B9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753971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BEEEA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67415A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577620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488917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9BA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7A33BF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48B182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27F876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05E1C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77151A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426" w:type="dxa"/>
            <w:vAlign w:val="center"/>
          </w:tcPr>
          <w:p w14:paraId="26A886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1EB361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D87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30806B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441" w:type="dxa"/>
            <w:vAlign w:val="center"/>
          </w:tcPr>
          <w:p w14:paraId="6CF9E3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7DC686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45B7A1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7480E5DB">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540195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36B0B0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8CD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F5203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33B9E1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62F11B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4AF3B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3C172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7FD51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65D127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0E7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32A05D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441" w:type="dxa"/>
            <w:vAlign w:val="center"/>
          </w:tcPr>
          <w:p w14:paraId="317D93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96711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5E8533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122CFE57">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05323B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2332FE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B1D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10BDFD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40987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FE79C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375B4F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2E98A1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651556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3EEF1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A2F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2F6D5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w:t>
            </w:r>
          </w:p>
        </w:tc>
        <w:tc>
          <w:tcPr>
            <w:tcW w:w="1441" w:type="dxa"/>
            <w:vAlign w:val="center"/>
          </w:tcPr>
          <w:p w14:paraId="75DF2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072DA3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34664B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35" w:type="dxa"/>
            <w:vAlign w:val="center"/>
          </w:tcPr>
          <w:p w14:paraId="7AA1FE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426" w:type="dxa"/>
            <w:vAlign w:val="center"/>
          </w:tcPr>
          <w:p w14:paraId="32F44B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067631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DFD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8F864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9D71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6ABE1B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2FA72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35" w:type="dxa"/>
            <w:vAlign w:val="center"/>
          </w:tcPr>
          <w:p w14:paraId="5A3A5F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426" w:type="dxa"/>
            <w:vAlign w:val="center"/>
          </w:tcPr>
          <w:p w14:paraId="35F645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6914D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34C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DBEAB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441" w:type="dxa"/>
            <w:vAlign w:val="center"/>
          </w:tcPr>
          <w:p w14:paraId="50F3C2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17B8F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378053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2A55C752">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68C8C2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0200B6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CED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B6C8C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p>
        </w:tc>
        <w:tc>
          <w:tcPr>
            <w:tcW w:w="1441" w:type="dxa"/>
            <w:vAlign w:val="center"/>
          </w:tcPr>
          <w:p w14:paraId="627F33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4064F7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191E98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4D4517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426" w:type="dxa"/>
            <w:vAlign w:val="center"/>
          </w:tcPr>
          <w:p w14:paraId="5A2DE9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992" w:type="dxa"/>
            <w:vAlign w:val="center"/>
          </w:tcPr>
          <w:p w14:paraId="408AEF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E92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30DF1E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441" w:type="dxa"/>
            <w:vAlign w:val="center"/>
          </w:tcPr>
          <w:p w14:paraId="43A627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C02C6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39DE8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35" w:type="dxa"/>
            <w:vAlign w:val="center"/>
          </w:tcPr>
          <w:p w14:paraId="2EE3BF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426" w:type="dxa"/>
            <w:vAlign w:val="center"/>
          </w:tcPr>
          <w:p w14:paraId="78D665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05A3D2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465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39BE76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4669E3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23551F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0C23E2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35" w:type="dxa"/>
            <w:vAlign w:val="center"/>
          </w:tcPr>
          <w:p w14:paraId="6B0313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426" w:type="dxa"/>
            <w:vAlign w:val="center"/>
          </w:tcPr>
          <w:p w14:paraId="34F2DD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992" w:type="dxa"/>
            <w:vAlign w:val="center"/>
          </w:tcPr>
          <w:p w14:paraId="122C12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2F63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F7620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441" w:type="dxa"/>
            <w:vAlign w:val="center"/>
          </w:tcPr>
          <w:p w14:paraId="36514D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62360C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33E041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2AAB72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5B72E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92" w:type="dxa"/>
            <w:vAlign w:val="center"/>
          </w:tcPr>
          <w:p w14:paraId="3691E2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0B3A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6D549A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33CCE1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5EA464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1158B7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35" w:type="dxa"/>
            <w:vAlign w:val="center"/>
          </w:tcPr>
          <w:p w14:paraId="4C27E91E">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426" w:type="dxa"/>
            <w:vAlign w:val="center"/>
          </w:tcPr>
          <w:p w14:paraId="28B59D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992" w:type="dxa"/>
            <w:vAlign w:val="center"/>
          </w:tcPr>
          <w:p w14:paraId="41790F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7DC2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2B3BE6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441" w:type="dxa"/>
            <w:vAlign w:val="center"/>
          </w:tcPr>
          <w:p w14:paraId="20BCC1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7CEF39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54B77D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014D9634">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7D53AC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09CC0A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505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6A98F3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2BA396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6A043E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0D9E60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35" w:type="dxa"/>
            <w:vAlign w:val="center"/>
          </w:tcPr>
          <w:p w14:paraId="5A2A63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426" w:type="dxa"/>
            <w:vAlign w:val="center"/>
          </w:tcPr>
          <w:p w14:paraId="392950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992" w:type="dxa"/>
            <w:vAlign w:val="center"/>
          </w:tcPr>
          <w:p w14:paraId="0318B9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78E1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572BCF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1441" w:type="dxa"/>
            <w:vAlign w:val="center"/>
          </w:tcPr>
          <w:p w14:paraId="1BBAB4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518B82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190B75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54E46EC4">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014CBC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21A095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1E3BE38D">
      <w:pPr>
        <w:pageBreakBefore w:val="0"/>
        <w:widowControl/>
        <w:kinsoku/>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pacing w:val="8"/>
          <w:kern w:val="0"/>
          <w:sz w:val="21"/>
          <w:szCs w:val="21"/>
          <w:highlight w:val="none"/>
        </w:rPr>
        <w:br w:type="page"/>
      </w:r>
      <w:r>
        <w:rPr>
          <w:rFonts w:hint="eastAsia" w:ascii="宋体" w:hAnsi="宋体" w:eastAsia="宋体" w:cs="宋体"/>
          <w:color w:val="auto"/>
          <w:kern w:val="0"/>
          <w:sz w:val="21"/>
          <w:szCs w:val="21"/>
          <w:highlight w:val="none"/>
        </w:rPr>
        <w:t>说明：</w:t>
      </w:r>
    </w:p>
    <w:p w14:paraId="1A549C44">
      <w:pPr>
        <w:pStyle w:val="12"/>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1.大型、中型和小型企业须同时满足所列指标的下限，否则下划一档；微型企业只须满足所列指标中的一项即可。</w:t>
      </w:r>
    </w:p>
    <w:p w14:paraId="341B5F8F">
      <w:pPr>
        <w:pStyle w:val="12"/>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C848714">
      <w:pPr>
        <w:pStyle w:val="12"/>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0E2CC1A">
      <w:pPr>
        <w:pageBreakBefore w:val="0"/>
        <w:kinsoku/>
        <w:overflowPunct/>
        <w:topLinePunct w:val="0"/>
        <w:bidi w:val="0"/>
        <w:snapToGrid w:val="0"/>
        <w:spacing w:line="240" w:lineRule="auto"/>
        <w:rPr>
          <w:rFonts w:hint="eastAsia" w:ascii="宋体" w:hAnsi="宋体" w:cs="宋体"/>
          <w:b/>
          <w:bCs/>
          <w:sz w:val="28"/>
          <w:szCs w:val="28"/>
        </w:rPr>
      </w:pPr>
      <w:r>
        <w:rPr>
          <w:rFonts w:hint="eastAsia" w:ascii="宋体" w:hAnsi="宋体" w:eastAsia="宋体" w:cs="宋体"/>
          <w:color w:val="auto"/>
          <w:sz w:val="21"/>
          <w:szCs w:val="21"/>
          <w:highlight w:val="none"/>
        </w:rPr>
        <w:br w:type="page"/>
      </w:r>
      <w:r>
        <w:rPr>
          <w:rFonts w:hint="eastAsia" w:ascii="宋体" w:hAnsi="宋体" w:eastAsia="宋体" w:cs="宋体"/>
          <w:bCs/>
          <w:color w:val="auto"/>
          <w:kern w:val="0"/>
          <w:sz w:val="21"/>
          <w:szCs w:val="21"/>
          <w:highlight w:val="none"/>
        </w:rPr>
        <w:t>附件</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w:t>
      </w:r>
    </w:p>
    <w:p w14:paraId="3D63D77E">
      <w:pPr>
        <w:spacing w:line="360" w:lineRule="auto"/>
        <w:contextualSpacing/>
        <w:jc w:val="center"/>
        <w:rPr>
          <w:rFonts w:hint="eastAsia" w:ascii="宋体" w:hAnsi="宋体" w:cs="宋体"/>
          <w:spacing w:val="-2"/>
          <w:sz w:val="40"/>
          <w:szCs w:val="40"/>
        </w:rPr>
      </w:pPr>
      <w:r>
        <w:rPr>
          <w:rFonts w:hint="eastAsia" w:ascii="宋体" w:hAnsi="宋体" w:cs="宋体"/>
          <w:spacing w:val="-2"/>
          <w:sz w:val="40"/>
          <w:szCs w:val="40"/>
        </w:rPr>
        <w:t>节能产品政府采购品目清单</w:t>
      </w:r>
    </w:p>
    <w:tbl>
      <w:tblPr>
        <w:tblStyle w:val="16"/>
        <w:tblW w:w="94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3957"/>
      </w:tblGrid>
      <w:tr w14:paraId="69E4D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578" w:type="dxa"/>
            <w:noWrap w:val="0"/>
            <w:vAlign w:val="top"/>
          </w:tcPr>
          <w:p w14:paraId="716BD582">
            <w:pPr>
              <w:pStyle w:val="26"/>
              <w:keepNext w:val="0"/>
              <w:keepLines w:val="0"/>
              <w:pageBreakBefore w:val="0"/>
              <w:widowControl w:val="0"/>
              <w:kinsoku/>
              <w:wordWrap/>
              <w:overflowPunct/>
              <w:topLinePunct w:val="0"/>
              <w:autoSpaceDE/>
              <w:autoSpaceDN/>
              <w:bidi w:val="0"/>
              <w:adjustRightInd/>
              <w:snapToGrid/>
              <w:spacing w:before="128" w:line="360" w:lineRule="exact"/>
              <w:ind w:left="91"/>
              <w:jc w:val="both"/>
              <w:textAlignment w:val="auto"/>
              <w:rPr>
                <w:rFonts w:hint="eastAsia"/>
                <w:sz w:val="22"/>
                <w:szCs w:val="22"/>
              </w:rPr>
            </w:pPr>
            <w:r>
              <w:rPr>
                <w:rFonts w:hint="eastAsia"/>
                <w:b/>
                <w:bCs/>
                <w:spacing w:val="-9"/>
                <w:sz w:val="22"/>
                <w:szCs w:val="22"/>
              </w:rPr>
              <w:t>品目</w:t>
            </w:r>
          </w:p>
          <w:p w14:paraId="0AC2B314">
            <w:pPr>
              <w:pStyle w:val="26"/>
              <w:keepNext w:val="0"/>
              <w:keepLines w:val="0"/>
              <w:pageBreakBefore w:val="0"/>
              <w:widowControl w:val="0"/>
              <w:kinsoku/>
              <w:wordWrap/>
              <w:overflowPunct/>
              <w:topLinePunct w:val="0"/>
              <w:autoSpaceDE/>
              <w:autoSpaceDN/>
              <w:bidi w:val="0"/>
              <w:adjustRightInd/>
              <w:snapToGrid/>
              <w:spacing w:before="45" w:line="360" w:lineRule="exact"/>
              <w:ind w:left="72"/>
              <w:jc w:val="both"/>
              <w:textAlignment w:val="auto"/>
              <w:rPr>
                <w:rFonts w:hint="eastAsia"/>
                <w:sz w:val="22"/>
                <w:szCs w:val="22"/>
              </w:rPr>
            </w:pPr>
            <w:r>
              <w:rPr>
                <w:rFonts w:hint="eastAsia"/>
                <w:b/>
                <w:bCs/>
                <w:spacing w:val="-4"/>
                <w:sz w:val="22"/>
                <w:szCs w:val="22"/>
              </w:rPr>
              <w:t>序号</w:t>
            </w:r>
          </w:p>
        </w:tc>
        <w:tc>
          <w:tcPr>
            <w:tcW w:w="4879" w:type="dxa"/>
            <w:gridSpan w:val="3"/>
            <w:noWrap w:val="0"/>
            <w:vAlign w:val="top"/>
          </w:tcPr>
          <w:p w14:paraId="5614632C">
            <w:pPr>
              <w:pStyle w:val="26"/>
              <w:keepNext w:val="0"/>
              <w:keepLines w:val="0"/>
              <w:pageBreakBefore w:val="0"/>
              <w:widowControl w:val="0"/>
              <w:kinsoku/>
              <w:wordWrap/>
              <w:overflowPunct/>
              <w:topLinePunct w:val="0"/>
              <w:autoSpaceDE/>
              <w:autoSpaceDN/>
              <w:bidi w:val="0"/>
              <w:adjustRightInd/>
              <w:snapToGrid/>
              <w:spacing w:before="285" w:line="360" w:lineRule="exact"/>
              <w:ind w:left="2226"/>
              <w:jc w:val="both"/>
              <w:textAlignment w:val="auto"/>
              <w:rPr>
                <w:rFonts w:hint="eastAsia"/>
                <w:sz w:val="22"/>
                <w:szCs w:val="22"/>
              </w:rPr>
            </w:pPr>
            <w:r>
              <w:rPr>
                <w:rFonts w:hint="eastAsia"/>
                <w:b/>
                <w:bCs/>
                <w:spacing w:val="-5"/>
                <w:sz w:val="22"/>
                <w:szCs w:val="22"/>
              </w:rPr>
              <w:t>名称</w:t>
            </w:r>
          </w:p>
        </w:tc>
        <w:tc>
          <w:tcPr>
            <w:tcW w:w="3957" w:type="dxa"/>
            <w:noWrap w:val="0"/>
            <w:vAlign w:val="top"/>
          </w:tcPr>
          <w:p w14:paraId="12D09F27">
            <w:pPr>
              <w:pStyle w:val="26"/>
              <w:keepNext w:val="0"/>
              <w:keepLines w:val="0"/>
              <w:pageBreakBefore w:val="0"/>
              <w:widowControl w:val="0"/>
              <w:kinsoku/>
              <w:wordWrap/>
              <w:overflowPunct/>
              <w:topLinePunct w:val="0"/>
              <w:autoSpaceDE/>
              <w:autoSpaceDN/>
              <w:bidi w:val="0"/>
              <w:adjustRightInd/>
              <w:snapToGrid/>
              <w:spacing w:before="285" w:line="360" w:lineRule="exact"/>
              <w:jc w:val="center"/>
              <w:textAlignment w:val="auto"/>
              <w:rPr>
                <w:rFonts w:hint="eastAsia"/>
                <w:sz w:val="22"/>
                <w:szCs w:val="22"/>
              </w:rPr>
            </w:pPr>
            <w:r>
              <w:rPr>
                <w:rFonts w:hint="eastAsia"/>
                <w:b/>
                <w:bCs/>
                <w:spacing w:val="-4"/>
                <w:sz w:val="22"/>
                <w:szCs w:val="22"/>
              </w:rPr>
              <w:t>依据的标准</w:t>
            </w:r>
          </w:p>
        </w:tc>
      </w:tr>
      <w:tr w14:paraId="6ADAC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004C30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B284A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7380D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95AA1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813E1EA">
            <w:pPr>
              <w:pStyle w:val="26"/>
              <w:keepNext w:val="0"/>
              <w:keepLines w:val="0"/>
              <w:pageBreakBefore w:val="0"/>
              <w:widowControl w:val="0"/>
              <w:kinsoku/>
              <w:wordWrap/>
              <w:overflowPunct/>
              <w:topLinePunct w:val="0"/>
              <w:autoSpaceDE/>
              <w:autoSpaceDN/>
              <w:bidi w:val="0"/>
              <w:adjustRightInd/>
              <w:snapToGrid/>
              <w:spacing w:before="62" w:line="360" w:lineRule="exact"/>
              <w:ind w:left="257"/>
              <w:textAlignment w:val="auto"/>
              <w:rPr>
                <w:rFonts w:hint="eastAsia"/>
              </w:rPr>
            </w:pPr>
            <w:r>
              <w:rPr>
                <w:rFonts w:hint="eastAsia"/>
                <w:position w:val="1"/>
              </w:rPr>
              <w:t>1</w:t>
            </w:r>
          </w:p>
        </w:tc>
        <w:tc>
          <w:tcPr>
            <w:tcW w:w="1166" w:type="dxa"/>
            <w:vMerge w:val="restart"/>
            <w:tcBorders>
              <w:bottom w:val="nil"/>
            </w:tcBorders>
            <w:noWrap w:val="0"/>
            <w:vAlign w:val="top"/>
          </w:tcPr>
          <w:p w14:paraId="0BB776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F7E19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1251F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0AE76DC">
            <w:pPr>
              <w:pStyle w:val="26"/>
              <w:keepNext w:val="0"/>
              <w:keepLines w:val="0"/>
              <w:pageBreakBefore w:val="0"/>
              <w:widowControl w:val="0"/>
              <w:kinsoku/>
              <w:wordWrap/>
              <w:overflowPunct/>
              <w:topLinePunct w:val="0"/>
              <w:autoSpaceDE/>
              <w:autoSpaceDN/>
              <w:bidi w:val="0"/>
              <w:adjustRightInd/>
              <w:snapToGrid/>
              <w:spacing w:before="62" w:line="360" w:lineRule="exact"/>
              <w:ind w:left="14" w:right="8" w:hanging="5"/>
              <w:textAlignment w:val="auto"/>
              <w:rPr>
                <w:rFonts w:hint="eastAsia"/>
              </w:rPr>
            </w:pPr>
            <w:r>
              <w:rPr>
                <w:rFonts w:hint="eastAsia"/>
                <w:spacing w:val="5"/>
              </w:rPr>
              <w:t>A020101</w:t>
            </w:r>
            <w:r>
              <w:rPr>
                <w:rFonts w:hint="eastAsia"/>
                <w:spacing w:val="-43"/>
              </w:rPr>
              <w:t xml:space="preserve"> </w:t>
            </w:r>
            <w:r>
              <w:rPr>
                <w:rFonts w:hint="eastAsia"/>
                <w:spacing w:val="5"/>
              </w:rPr>
              <w:t>计算</w:t>
            </w:r>
            <w:r>
              <w:rPr>
                <w:rFonts w:hint="eastAsia"/>
              </w:rPr>
              <w:t xml:space="preserve"> </w:t>
            </w:r>
            <w:r>
              <w:rPr>
                <w:rFonts w:hint="eastAsia"/>
                <w:spacing w:val="6"/>
              </w:rPr>
              <w:t>机设备</w:t>
            </w:r>
          </w:p>
        </w:tc>
        <w:tc>
          <w:tcPr>
            <w:tcW w:w="1799" w:type="dxa"/>
            <w:noWrap w:val="0"/>
            <w:vAlign w:val="top"/>
          </w:tcPr>
          <w:p w14:paraId="6B776940">
            <w:pPr>
              <w:pStyle w:val="26"/>
              <w:keepNext w:val="0"/>
              <w:keepLines w:val="0"/>
              <w:pageBreakBefore w:val="0"/>
              <w:widowControl w:val="0"/>
              <w:kinsoku/>
              <w:wordWrap/>
              <w:overflowPunct/>
              <w:topLinePunct w:val="0"/>
              <w:autoSpaceDE/>
              <w:autoSpaceDN/>
              <w:bidi w:val="0"/>
              <w:adjustRightInd/>
              <w:snapToGrid/>
              <w:spacing w:before="155" w:line="360" w:lineRule="exact"/>
              <w:ind w:left="17" w:right="10" w:firstLine="1"/>
              <w:textAlignment w:val="auto"/>
              <w:rPr>
                <w:rFonts w:hint="eastAsia"/>
              </w:rPr>
            </w:pPr>
            <w:r>
              <w:rPr>
                <w:rFonts w:hint="eastAsia"/>
                <w:spacing w:val="3"/>
              </w:rPr>
              <w:t>★A02010104 台式计</w:t>
            </w:r>
            <w:r>
              <w:rPr>
                <w:rFonts w:hint="eastAsia"/>
                <w:spacing w:val="12"/>
              </w:rPr>
              <w:t xml:space="preserve"> </w:t>
            </w:r>
            <w:r>
              <w:rPr>
                <w:rFonts w:hint="eastAsia"/>
                <w:spacing w:val="4"/>
              </w:rPr>
              <w:t>算机</w:t>
            </w:r>
          </w:p>
        </w:tc>
        <w:tc>
          <w:tcPr>
            <w:tcW w:w="1914" w:type="dxa"/>
            <w:noWrap w:val="0"/>
            <w:vAlign w:val="top"/>
          </w:tcPr>
          <w:p w14:paraId="02CA74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08F137BC">
            <w:pPr>
              <w:pStyle w:val="26"/>
              <w:keepNext w:val="0"/>
              <w:keepLines w:val="0"/>
              <w:pageBreakBefore w:val="0"/>
              <w:widowControl w:val="0"/>
              <w:kinsoku/>
              <w:wordWrap/>
              <w:overflowPunct/>
              <w:topLinePunct w:val="0"/>
              <w:autoSpaceDE/>
              <w:autoSpaceDN/>
              <w:bidi w:val="0"/>
              <w:adjustRightInd/>
              <w:snapToGrid/>
              <w:spacing w:before="156" w:line="360" w:lineRule="exact"/>
              <w:ind w:left="19" w:right="11" w:firstLine="3"/>
              <w:textAlignment w:val="auto"/>
              <w:rPr>
                <w:rFonts w:hint="eastAsia"/>
                <w:lang w:eastAsia="zh-CN"/>
              </w:rPr>
            </w:pPr>
            <w:r>
              <w:rPr>
                <w:rFonts w:hint="eastAsia"/>
                <w:spacing w:val="19"/>
                <w:lang w:eastAsia="zh-CN"/>
              </w:rPr>
              <w:t>《微型计算机能效限定值及能效</w:t>
            </w:r>
            <w:r>
              <w:rPr>
                <w:rFonts w:hint="eastAsia"/>
                <w:spacing w:val="2"/>
                <w:lang w:eastAsia="zh-CN"/>
              </w:rPr>
              <w:t xml:space="preserve"> </w:t>
            </w:r>
            <w:r>
              <w:rPr>
                <w:rFonts w:hint="eastAsia"/>
                <w:spacing w:val="6"/>
                <w:lang w:eastAsia="zh-CN"/>
              </w:rPr>
              <w:t>等级》（</w:t>
            </w:r>
            <w:r>
              <w:rPr>
                <w:rFonts w:hint="eastAsia"/>
                <w:lang w:eastAsia="zh-CN"/>
              </w:rPr>
              <w:t>GB</w:t>
            </w:r>
            <w:r>
              <w:rPr>
                <w:rFonts w:hint="eastAsia"/>
                <w:spacing w:val="6"/>
                <w:lang w:eastAsia="zh-CN"/>
              </w:rPr>
              <w:t xml:space="preserve"> 28380）</w:t>
            </w:r>
          </w:p>
        </w:tc>
      </w:tr>
      <w:tr w14:paraId="3C21F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53EB64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5FC2F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0689867E">
            <w:pPr>
              <w:pStyle w:val="26"/>
              <w:keepNext w:val="0"/>
              <w:keepLines w:val="0"/>
              <w:pageBreakBefore w:val="0"/>
              <w:widowControl w:val="0"/>
              <w:kinsoku/>
              <w:wordWrap/>
              <w:overflowPunct/>
              <w:topLinePunct w:val="0"/>
              <w:autoSpaceDE/>
              <w:autoSpaceDN/>
              <w:bidi w:val="0"/>
              <w:adjustRightInd/>
              <w:snapToGrid/>
              <w:spacing w:before="108" w:line="360" w:lineRule="exact"/>
              <w:ind w:left="15" w:right="10" w:firstLine="3"/>
              <w:textAlignment w:val="auto"/>
              <w:rPr>
                <w:rFonts w:hint="eastAsia"/>
              </w:rPr>
            </w:pPr>
            <w:r>
              <w:rPr>
                <w:rFonts w:hint="eastAsia"/>
                <w:spacing w:val="3"/>
              </w:rPr>
              <w:t>★A02010105 便携式</w:t>
            </w:r>
            <w:r>
              <w:rPr>
                <w:rFonts w:hint="eastAsia"/>
                <w:spacing w:val="12"/>
              </w:rPr>
              <w:t xml:space="preserve"> </w:t>
            </w:r>
            <w:r>
              <w:rPr>
                <w:rFonts w:hint="eastAsia"/>
                <w:spacing w:val="6"/>
              </w:rPr>
              <w:t>计算机</w:t>
            </w:r>
          </w:p>
        </w:tc>
        <w:tc>
          <w:tcPr>
            <w:tcW w:w="1914" w:type="dxa"/>
            <w:noWrap w:val="0"/>
            <w:vAlign w:val="top"/>
          </w:tcPr>
          <w:p w14:paraId="191A13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1F74D85F">
            <w:pPr>
              <w:pStyle w:val="26"/>
              <w:keepNext w:val="0"/>
              <w:keepLines w:val="0"/>
              <w:pageBreakBefore w:val="0"/>
              <w:widowControl w:val="0"/>
              <w:kinsoku/>
              <w:wordWrap/>
              <w:overflowPunct/>
              <w:topLinePunct w:val="0"/>
              <w:autoSpaceDE/>
              <w:autoSpaceDN/>
              <w:bidi w:val="0"/>
              <w:adjustRightInd/>
              <w:snapToGrid/>
              <w:spacing w:before="108" w:line="360" w:lineRule="exact"/>
              <w:ind w:left="19" w:right="11" w:firstLine="3"/>
              <w:textAlignment w:val="auto"/>
              <w:rPr>
                <w:rFonts w:hint="eastAsia"/>
                <w:lang w:eastAsia="zh-CN"/>
              </w:rPr>
            </w:pPr>
            <w:r>
              <w:rPr>
                <w:rFonts w:hint="eastAsia"/>
                <w:spacing w:val="19"/>
                <w:lang w:eastAsia="zh-CN"/>
              </w:rPr>
              <w:t>《微型计算机能效限定值及能效</w:t>
            </w:r>
            <w:r>
              <w:rPr>
                <w:rFonts w:hint="eastAsia"/>
                <w:spacing w:val="2"/>
                <w:lang w:eastAsia="zh-CN"/>
              </w:rPr>
              <w:t xml:space="preserve"> </w:t>
            </w:r>
            <w:r>
              <w:rPr>
                <w:rFonts w:hint="eastAsia"/>
                <w:spacing w:val="6"/>
                <w:lang w:eastAsia="zh-CN"/>
              </w:rPr>
              <w:t>等级》（</w:t>
            </w:r>
            <w:r>
              <w:rPr>
                <w:rFonts w:hint="eastAsia"/>
                <w:lang w:eastAsia="zh-CN"/>
              </w:rPr>
              <w:t>GB</w:t>
            </w:r>
            <w:r>
              <w:rPr>
                <w:rFonts w:hint="eastAsia"/>
                <w:spacing w:val="6"/>
                <w:lang w:eastAsia="zh-CN"/>
              </w:rPr>
              <w:t xml:space="preserve"> 28380）</w:t>
            </w:r>
          </w:p>
        </w:tc>
      </w:tr>
      <w:tr w14:paraId="356C7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5F08BB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0EC47A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605B8529">
            <w:pPr>
              <w:pStyle w:val="26"/>
              <w:keepNext w:val="0"/>
              <w:keepLines w:val="0"/>
              <w:pageBreakBefore w:val="0"/>
              <w:widowControl w:val="0"/>
              <w:kinsoku/>
              <w:wordWrap/>
              <w:overflowPunct/>
              <w:topLinePunct w:val="0"/>
              <w:autoSpaceDE/>
              <w:autoSpaceDN/>
              <w:bidi w:val="0"/>
              <w:adjustRightInd/>
              <w:snapToGrid/>
              <w:spacing w:before="128" w:line="360" w:lineRule="exact"/>
              <w:ind w:left="15" w:right="10" w:firstLine="3"/>
              <w:textAlignment w:val="auto"/>
              <w:rPr>
                <w:rFonts w:hint="eastAsia"/>
                <w:lang w:eastAsia="zh-CN"/>
              </w:rPr>
            </w:pPr>
            <w:r>
              <w:rPr>
                <w:rFonts w:hint="eastAsia"/>
                <w:spacing w:val="3"/>
                <w:lang w:eastAsia="zh-CN"/>
              </w:rPr>
              <w:t>★A02010107 平板式</w:t>
            </w:r>
            <w:r>
              <w:rPr>
                <w:rFonts w:hint="eastAsia"/>
                <w:spacing w:val="12"/>
                <w:lang w:eastAsia="zh-CN"/>
              </w:rPr>
              <w:t xml:space="preserve"> </w:t>
            </w:r>
            <w:r>
              <w:rPr>
                <w:rFonts w:hint="eastAsia"/>
                <w:spacing w:val="8"/>
                <w:lang w:eastAsia="zh-CN"/>
              </w:rPr>
              <w:t>微型计算机</w:t>
            </w:r>
          </w:p>
        </w:tc>
        <w:tc>
          <w:tcPr>
            <w:tcW w:w="1914" w:type="dxa"/>
            <w:noWrap w:val="0"/>
            <w:vAlign w:val="top"/>
          </w:tcPr>
          <w:p w14:paraId="1F7BEF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2EEBC1E4">
            <w:pPr>
              <w:pStyle w:val="26"/>
              <w:keepNext w:val="0"/>
              <w:keepLines w:val="0"/>
              <w:pageBreakBefore w:val="0"/>
              <w:widowControl w:val="0"/>
              <w:kinsoku/>
              <w:wordWrap/>
              <w:overflowPunct/>
              <w:topLinePunct w:val="0"/>
              <w:autoSpaceDE/>
              <w:autoSpaceDN/>
              <w:bidi w:val="0"/>
              <w:adjustRightInd/>
              <w:snapToGrid/>
              <w:spacing w:before="128" w:line="360" w:lineRule="exact"/>
              <w:ind w:left="19" w:right="11" w:firstLine="3"/>
              <w:textAlignment w:val="auto"/>
              <w:rPr>
                <w:rFonts w:hint="eastAsia"/>
                <w:lang w:eastAsia="zh-CN"/>
              </w:rPr>
            </w:pPr>
            <w:r>
              <w:rPr>
                <w:rFonts w:hint="eastAsia"/>
                <w:spacing w:val="19"/>
                <w:lang w:eastAsia="zh-CN"/>
              </w:rPr>
              <w:t>《微型计算机能效限定值及能效</w:t>
            </w:r>
            <w:r>
              <w:rPr>
                <w:rFonts w:hint="eastAsia"/>
                <w:spacing w:val="2"/>
                <w:lang w:eastAsia="zh-CN"/>
              </w:rPr>
              <w:t xml:space="preserve"> </w:t>
            </w:r>
            <w:r>
              <w:rPr>
                <w:rFonts w:hint="eastAsia"/>
                <w:spacing w:val="6"/>
                <w:lang w:eastAsia="zh-CN"/>
              </w:rPr>
              <w:t>等级》（</w:t>
            </w:r>
            <w:r>
              <w:rPr>
                <w:rFonts w:hint="eastAsia"/>
                <w:lang w:eastAsia="zh-CN"/>
              </w:rPr>
              <w:t>GB</w:t>
            </w:r>
            <w:r>
              <w:rPr>
                <w:rFonts w:hint="eastAsia"/>
                <w:spacing w:val="6"/>
                <w:lang w:eastAsia="zh-CN"/>
              </w:rPr>
              <w:t xml:space="preserve"> 28380）</w:t>
            </w:r>
          </w:p>
        </w:tc>
      </w:tr>
      <w:tr w14:paraId="2AF97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20EB07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CC4C9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601AD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3C829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DADE0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DCDD3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B8D52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3EB98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89035C4">
            <w:pPr>
              <w:pStyle w:val="26"/>
              <w:keepNext w:val="0"/>
              <w:keepLines w:val="0"/>
              <w:pageBreakBefore w:val="0"/>
              <w:widowControl w:val="0"/>
              <w:kinsoku/>
              <w:wordWrap/>
              <w:overflowPunct/>
              <w:topLinePunct w:val="0"/>
              <w:autoSpaceDE/>
              <w:autoSpaceDN/>
              <w:bidi w:val="0"/>
              <w:adjustRightInd/>
              <w:snapToGrid/>
              <w:spacing w:before="61" w:line="360" w:lineRule="exact"/>
              <w:ind w:left="245"/>
              <w:textAlignment w:val="auto"/>
              <w:rPr>
                <w:rFonts w:hint="eastAsia"/>
              </w:rPr>
            </w:pPr>
            <w:r>
              <w:rPr>
                <w:rFonts w:hint="eastAsia"/>
                <w:position w:val="1"/>
              </w:rPr>
              <w:t>2</w:t>
            </w:r>
          </w:p>
        </w:tc>
        <w:tc>
          <w:tcPr>
            <w:tcW w:w="1166" w:type="dxa"/>
            <w:vMerge w:val="restart"/>
            <w:tcBorders>
              <w:bottom w:val="nil"/>
            </w:tcBorders>
            <w:noWrap w:val="0"/>
            <w:vAlign w:val="top"/>
          </w:tcPr>
          <w:p w14:paraId="139497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76EB6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3D12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90971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12434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9CAE3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F7F3B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03DC06A">
            <w:pPr>
              <w:pStyle w:val="26"/>
              <w:keepNext w:val="0"/>
              <w:keepLines w:val="0"/>
              <w:pageBreakBefore w:val="0"/>
              <w:widowControl w:val="0"/>
              <w:kinsoku/>
              <w:wordWrap/>
              <w:overflowPunct/>
              <w:topLinePunct w:val="0"/>
              <w:autoSpaceDE/>
              <w:autoSpaceDN/>
              <w:bidi w:val="0"/>
              <w:adjustRightInd/>
              <w:snapToGrid/>
              <w:spacing w:before="62" w:line="360" w:lineRule="exact"/>
              <w:ind w:left="14" w:right="8" w:hanging="5"/>
              <w:textAlignment w:val="auto"/>
              <w:rPr>
                <w:rFonts w:hint="eastAsia"/>
              </w:rPr>
            </w:pPr>
            <w:r>
              <w:rPr>
                <w:rFonts w:hint="eastAsia"/>
                <w:spacing w:val="5"/>
              </w:rPr>
              <w:t>A020106</w:t>
            </w:r>
            <w:r>
              <w:rPr>
                <w:rFonts w:hint="eastAsia"/>
                <w:spacing w:val="-43"/>
              </w:rPr>
              <w:t xml:space="preserve"> </w:t>
            </w:r>
            <w:r>
              <w:rPr>
                <w:rFonts w:hint="eastAsia"/>
                <w:spacing w:val="5"/>
              </w:rPr>
              <w:t>输入</w:t>
            </w:r>
            <w:r>
              <w:rPr>
                <w:rFonts w:hint="eastAsia"/>
              </w:rPr>
              <w:t xml:space="preserve"> </w:t>
            </w:r>
            <w:r>
              <w:rPr>
                <w:rFonts w:hint="eastAsia"/>
                <w:spacing w:val="7"/>
              </w:rPr>
              <w:t>输出设备</w:t>
            </w:r>
          </w:p>
        </w:tc>
        <w:tc>
          <w:tcPr>
            <w:tcW w:w="1799" w:type="dxa"/>
            <w:vMerge w:val="restart"/>
            <w:tcBorders>
              <w:bottom w:val="nil"/>
            </w:tcBorders>
            <w:noWrap w:val="0"/>
            <w:vAlign w:val="top"/>
          </w:tcPr>
          <w:p w14:paraId="0F2D8B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34A28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EE887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D4EA85A">
            <w:pPr>
              <w:pStyle w:val="26"/>
              <w:keepNext w:val="0"/>
              <w:keepLines w:val="0"/>
              <w:pageBreakBefore w:val="0"/>
              <w:widowControl w:val="0"/>
              <w:kinsoku/>
              <w:wordWrap/>
              <w:overflowPunct/>
              <w:topLinePunct w:val="0"/>
              <w:autoSpaceDE/>
              <w:autoSpaceDN/>
              <w:bidi w:val="0"/>
              <w:adjustRightInd/>
              <w:snapToGrid/>
              <w:spacing w:before="62" w:line="360" w:lineRule="exact"/>
              <w:ind w:left="9"/>
              <w:textAlignment w:val="auto"/>
              <w:rPr>
                <w:rFonts w:hint="eastAsia"/>
              </w:rPr>
            </w:pPr>
            <w:r>
              <w:rPr>
                <w:rFonts w:hint="eastAsia"/>
                <w:spacing w:val="5"/>
              </w:rPr>
              <w:t>A02010601</w:t>
            </w:r>
            <w:r>
              <w:rPr>
                <w:rFonts w:hint="eastAsia"/>
                <w:spacing w:val="-28"/>
              </w:rPr>
              <w:t xml:space="preserve"> </w:t>
            </w:r>
            <w:r>
              <w:rPr>
                <w:rFonts w:hint="eastAsia"/>
                <w:spacing w:val="5"/>
              </w:rPr>
              <w:t>打印设备</w:t>
            </w:r>
          </w:p>
        </w:tc>
        <w:tc>
          <w:tcPr>
            <w:tcW w:w="1914" w:type="dxa"/>
            <w:noWrap w:val="0"/>
            <w:vAlign w:val="top"/>
          </w:tcPr>
          <w:p w14:paraId="0DCA1805">
            <w:pPr>
              <w:pStyle w:val="26"/>
              <w:keepNext w:val="0"/>
              <w:keepLines w:val="0"/>
              <w:pageBreakBefore w:val="0"/>
              <w:widowControl w:val="0"/>
              <w:kinsoku/>
              <w:wordWrap/>
              <w:overflowPunct/>
              <w:topLinePunct w:val="0"/>
              <w:autoSpaceDE/>
              <w:autoSpaceDN/>
              <w:bidi w:val="0"/>
              <w:adjustRightInd/>
              <w:snapToGrid/>
              <w:spacing w:before="114" w:line="360" w:lineRule="exact"/>
              <w:ind w:left="31" w:right="8" w:hanging="21"/>
              <w:textAlignment w:val="auto"/>
              <w:rPr>
                <w:rFonts w:hint="eastAsia"/>
              </w:rPr>
            </w:pPr>
            <w:r>
              <w:rPr>
                <w:rFonts w:hint="eastAsia"/>
                <w:spacing w:val="3"/>
              </w:rPr>
              <w:t>A0201060101</w:t>
            </w:r>
            <w:r>
              <w:rPr>
                <w:rFonts w:hint="eastAsia"/>
                <w:spacing w:val="50"/>
              </w:rPr>
              <w:t xml:space="preserve"> </w:t>
            </w:r>
            <w:r>
              <w:rPr>
                <w:rFonts w:hint="eastAsia"/>
                <w:spacing w:val="3"/>
              </w:rPr>
              <w:t>喷</w:t>
            </w:r>
            <w:r>
              <w:rPr>
                <w:rFonts w:hint="eastAsia"/>
                <w:spacing w:val="-51"/>
              </w:rPr>
              <w:t xml:space="preserve"> </w:t>
            </w:r>
            <w:r>
              <w:rPr>
                <w:rFonts w:hint="eastAsia"/>
                <w:spacing w:val="3"/>
              </w:rPr>
              <w:t>墨</w:t>
            </w:r>
            <w:r>
              <w:rPr>
                <w:rFonts w:hint="eastAsia"/>
                <w:spacing w:val="-53"/>
              </w:rPr>
              <w:t xml:space="preserve"> </w:t>
            </w:r>
            <w:r>
              <w:rPr>
                <w:rFonts w:hint="eastAsia"/>
                <w:spacing w:val="3"/>
              </w:rPr>
              <w:t>打</w:t>
            </w:r>
            <w:r>
              <w:rPr>
                <w:rFonts w:hint="eastAsia"/>
              </w:rPr>
              <w:t xml:space="preserve"> </w:t>
            </w:r>
            <w:r>
              <w:rPr>
                <w:rFonts w:hint="eastAsia"/>
                <w:spacing w:val="-2"/>
              </w:rPr>
              <w:t>印机</w:t>
            </w:r>
          </w:p>
        </w:tc>
        <w:tc>
          <w:tcPr>
            <w:tcW w:w="3957" w:type="dxa"/>
            <w:noWrap w:val="0"/>
            <w:vAlign w:val="top"/>
          </w:tcPr>
          <w:p w14:paraId="7B88EBCC">
            <w:pPr>
              <w:pStyle w:val="26"/>
              <w:keepNext w:val="0"/>
              <w:keepLines w:val="0"/>
              <w:pageBreakBefore w:val="0"/>
              <w:widowControl w:val="0"/>
              <w:kinsoku/>
              <w:wordWrap/>
              <w:overflowPunct/>
              <w:topLinePunct w:val="0"/>
              <w:autoSpaceDE/>
              <w:autoSpaceDN/>
              <w:bidi w:val="0"/>
              <w:adjustRightInd/>
              <w:snapToGrid/>
              <w:spacing w:before="114" w:line="36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130AC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2ACFF0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7514F3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bottom w:val="nil"/>
            </w:tcBorders>
            <w:noWrap w:val="0"/>
            <w:vAlign w:val="top"/>
          </w:tcPr>
          <w:p w14:paraId="34FC98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4071799D">
            <w:pPr>
              <w:pStyle w:val="26"/>
              <w:keepNext w:val="0"/>
              <w:keepLines w:val="0"/>
              <w:pageBreakBefore w:val="0"/>
              <w:widowControl w:val="0"/>
              <w:kinsoku/>
              <w:wordWrap/>
              <w:overflowPunct/>
              <w:topLinePunct w:val="0"/>
              <w:autoSpaceDE/>
              <w:autoSpaceDN/>
              <w:bidi w:val="0"/>
              <w:adjustRightInd/>
              <w:snapToGrid/>
              <w:spacing w:before="116" w:line="360" w:lineRule="exact"/>
              <w:ind w:left="19" w:right="8"/>
              <w:textAlignment w:val="auto"/>
              <w:rPr>
                <w:rFonts w:hint="eastAsia"/>
              </w:rPr>
            </w:pPr>
            <w:r>
              <w:rPr>
                <w:rFonts w:hint="eastAsia"/>
                <w:spacing w:val="3"/>
              </w:rPr>
              <w:t>★</w:t>
            </w:r>
            <w:r>
              <w:rPr>
                <w:rFonts w:hint="eastAsia"/>
                <w:spacing w:val="-50"/>
              </w:rPr>
              <w:t xml:space="preserve"> </w:t>
            </w:r>
            <w:r>
              <w:rPr>
                <w:rFonts w:hint="eastAsia"/>
                <w:spacing w:val="3"/>
              </w:rPr>
              <w:t>A0201060102</w:t>
            </w:r>
            <w:r>
              <w:rPr>
                <w:rFonts w:hint="eastAsia"/>
                <w:spacing w:val="41"/>
              </w:rPr>
              <w:t xml:space="preserve"> </w:t>
            </w:r>
            <w:r>
              <w:rPr>
                <w:rFonts w:hint="eastAsia"/>
                <w:spacing w:val="3"/>
              </w:rPr>
              <w:t>激</w:t>
            </w:r>
            <w:r>
              <w:rPr>
                <w:rFonts w:hint="eastAsia"/>
                <w:spacing w:val="-54"/>
              </w:rPr>
              <w:t xml:space="preserve"> </w:t>
            </w:r>
            <w:r>
              <w:rPr>
                <w:rFonts w:hint="eastAsia"/>
                <w:spacing w:val="3"/>
              </w:rPr>
              <w:t>光</w:t>
            </w:r>
            <w:r>
              <w:rPr>
                <w:rFonts w:hint="eastAsia"/>
              </w:rPr>
              <w:t xml:space="preserve"> </w:t>
            </w:r>
            <w:r>
              <w:rPr>
                <w:rFonts w:hint="eastAsia"/>
                <w:spacing w:val="5"/>
              </w:rPr>
              <w:t>打印机</w:t>
            </w:r>
          </w:p>
        </w:tc>
        <w:tc>
          <w:tcPr>
            <w:tcW w:w="3957" w:type="dxa"/>
            <w:noWrap w:val="0"/>
            <w:vAlign w:val="top"/>
          </w:tcPr>
          <w:p w14:paraId="4ED383E1">
            <w:pPr>
              <w:pStyle w:val="26"/>
              <w:keepNext w:val="0"/>
              <w:keepLines w:val="0"/>
              <w:pageBreakBefore w:val="0"/>
              <w:widowControl w:val="0"/>
              <w:kinsoku/>
              <w:wordWrap/>
              <w:overflowPunct/>
              <w:topLinePunct w:val="0"/>
              <w:autoSpaceDE/>
              <w:autoSpaceDN/>
              <w:bidi w:val="0"/>
              <w:adjustRightInd/>
              <w:snapToGrid/>
              <w:spacing w:before="116" w:line="36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44C41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5B9F96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2449CB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tcBorders>
            <w:noWrap w:val="0"/>
            <w:vAlign w:val="top"/>
          </w:tcPr>
          <w:p w14:paraId="3590C9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15654BB8">
            <w:pPr>
              <w:pStyle w:val="26"/>
              <w:keepNext w:val="0"/>
              <w:keepLines w:val="0"/>
              <w:pageBreakBefore w:val="0"/>
              <w:widowControl w:val="0"/>
              <w:kinsoku/>
              <w:wordWrap/>
              <w:overflowPunct/>
              <w:topLinePunct w:val="0"/>
              <w:autoSpaceDE/>
              <w:autoSpaceDN/>
              <w:bidi w:val="0"/>
              <w:adjustRightInd/>
              <w:snapToGrid/>
              <w:spacing w:before="116" w:line="360" w:lineRule="exact"/>
              <w:ind w:left="19" w:right="8"/>
              <w:textAlignment w:val="auto"/>
              <w:rPr>
                <w:rFonts w:hint="eastAsia"/>
              </w:rPr>
            </w:pPr>
            <w:r>
              <w:rPr>
                <w:rFonts w:hint="eastAsia"/>
                <w:spacing w:val="3"/>
              </w:rPr>
              <w:t>★</w:t>
            </w:r>
            <w:r>
              <w:rPr>
                <w:rFonts w:hint="eastAsia"/>
                <w:spacing w:val="-54"/>
              </w:rPr>
              <w:t xml:space="preserve"> </w:t>
            </w:r>
            <w:r>
              <w:rPr>
                <w:rFonts w:hint="eastAsia"/>
                <w:spacing w:val="3"/>
              </w:rPr>
              <w:t>A0201060104</w:t>
            </w:r>
            <w:r>
              <w:rPr>
                <w:rFonts w:hint="eastAsia"/>
                <w:spacing w:val="43"/>
              </w:rPr>
              <w:t xml:space="preserve"> </w:t>
            </w:r>
            <w:r>
              <w:rPr>
                <w:rFonts w:hint="eastAsia"/>
                <w:spacing w:val="3"/>
              </w:rPr>
              <w:t>针</w:t>
            </w:r>
            <w:r>
              <w:rPr>
                <w:rFonts w:hint="eastAsia"/>
                <w:spacing w:val="-52"/>
              </w:rPr>
              <w:t xml:space="preserve"> </w:t>
            </w:r>
            <w:r>
              <w:rPr>
                <w:rFonts w:hint="eastAsia"/>
                <w:spacing w:val="3"/>
              </w:rPr>
              <w:t>式</w:t>
            </w:r>
            <w:r>
              <w:rPr>
                <w:rFonts w:hint="eastAsia"/>
              </w:rPr>
              <w:t xml:space="preserve"> </w:t>
            </w:r>
            <w:r>
              <w:rPr>
                <w:rFonts w:hint="eastAsia"/>
                <w:spacing w:val="5"/>
              </w:rPr>
              <w:t>打印机</w:t>
            </w:r>
          </w:p>
        </w:tc>
        <w:tc>
          <w:tcPr>
            <w:tcW w:w="3957" w:type="dxa"/>
            <w:noWrap w:val="0"/>
            <w:vAlign w:val="top"/>
          </w:tcPr>
          <w:p w14:paraId="155A97AE">
            <w:pPr>
              <w:pStyle w:val="26"/>
              <w:keepNext w:val="0"/>
              <w:keepLines w:val="0"/>
              <w:pageBreakBefore w:val="0"/>
              <w:widowControl w:val="0"/>
              <w:kinsoku/>
              <w:wordWrap/>
              <w:overflowPunct/>
              <w:topLinePunct w:val="0"/>
              <w:autoSpaceDE/>
              <w:autoSpaceDN/>
              <w:bidi w:val="0"/>
              <w:adjustRightInd/>
              <w:snapToGrid/>
              <w:spacing w:before="116" w:line="36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1F9E4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4256A0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364D43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031990DD">
            <w:pPr>
              <w:pStyle w:val="26"/>
              <w:keepNext w:val="0"/>
              <w:keepLines w:val="0"/>
              <w:pageBreakBefore w:val="0"/>
              <w:widowControl w:val="0"/>
              <w:kinsoku/>
              <w:wordWrap/>
              <w:overflowPunct/>
              <w:topLinePunct w:val="0"/>
              <w:autoSpaceDE/>
              <w:autoSpaceDN/>
              <w:bidi w:val="0"/>
              <w:adjustRightInd/>
              <w:snapToGrid/>
              <w:spacing w:before="290" w:line="360" w:lineRule="exact"/>
              <w:ind w:left="9"/>
              <w:textAlignment w:val="auto"/>
              <w:rPr>
                <w:rFonts w:hint="eastAsia"/>
              </w:rPr>
            </w:pPr>
            <w:r>
              <w:rPr>
                <w:rFonts w:hint="eastAsia"/>
                <w:spacing w:val="5"/>
              </w:rPr>
              <w:t>A02010604</w:t>
            </w:r>
            <w:r>
              <w:rPr>
                <w:rFonts w:hint="eastAsia"/>
                <w:spacing w:val="-28"/>
              </w:rPr>
              <w:t xml:space="preserve"> </w:t>
            </w:r>
            <w:r>
              <w:rPr>
                <w:rFonts w:hint="eastAsia"/>
                <w:spacing w:val="5"/>
              </w:rPr>
              <w:t>显示设备</w:t>
            </w:r>
          </w:p>
        </w:tc>
        <w:tc>
          <w:tcPr>
            <w:tcW w:w="1914" w:type="dxa"/>
            <w:noWrap w:val="0"/>
            <w:vAlign w:val="top"/>
          </w:tcPr>
          <w:p w14:paraId="004F3219">
            <w:pPr>
              <w:pStyle w:val="26"/>
              <w:keepNext w:val="0"/>
              <w:keepLines w:val="0"/>
              <w:pageBreakBefore w:val="0"/>
              <w:widowControl w:val="0"/>
              <w:kinsoku/>
              <w:wordWrap/>
              <w:overflowPunct/>
              <w:topLinePunct w:val="0"/>
              <w:autoSpaceDE/>
              <w:autoSpaceDN/>
              <w:bidi w:val="0"/>
              <w:adjustRightInd/>
              <w:snapToGrid/>
              <w:spacing w:before="133" w:line="360" w:lineRule="exact"/>
              <w:ind w:left="20" w:right="8" w:hanging="1"/>
              <w:textAlignment w:val="auto"/>
              <w:rPr>
                <w:rFonts w:hint="eastAsia"/>
              </w:rPr>
            </w:pPr>
            <w:r>
              <w:rPr>
                <w:rFonts w:hint="eastAsia"/>
                <w:spacing w:val="2"/>
              </w:rPr>
              <w:t>★</w:t>
            </w:r>
            <w:r>
              <w:rPr>
                <w:rFonts w:hint="eastAsia"/>
                <w:spacing w:val="-54"/>
              </w:rPr>
              <w:t xml:space="preserve"> </w:t>
            </w:r>
            <w:r>
              <w:rPr>
                <w:rFonts w:hint="eastAsia"/>
                <w:spacing w:val="2"/>
              </w:rPr>
              <w:t>A0201060401</w:t>
            </w:r>
            <w:r>
              <w:rPr>
                <w:rFonts w:hint="eastAsia"/>
                <w:spacing w:val="44"/>
              </w:rPr>
              <w:t xml:space="preserve"> </w:t>
            </w:r>
            <w:r>
              <w:rPr>
                <w:rFonts w:hint="eastAsia"/>
                <w:spacing w:val="2"/>
              </w:rPr>
              <w:t>液</w:t>
            </w:r>
            <w:r>
              <w:rPr>
                <w:rFonts w:hint="eastAsia"/>
                <w:spacing w:val="-39"/>
              </w:rPr>
              <w:t xml:space="preserve"> </w:t>
            </w:r>
            <w:r>
              <w:rPr>
                <w:rFonts w:hint="eastAsia"/>
                <w:spacing w:val="2"/>
              </w:rPr>
              <w:t>晶</w:t>
            </w:r>
            <w:r>
              <w:rPr>
                <w:rFonts w:hint="eastAsia"/>
              </w:rPr>
              <w:t xml:space="preserve"> </w:t>
            </w:r>
            <w:r>
              <w:rPr>
                <w:rFonts w:hint="eastAsia"/>
                <w:spacing w:val="5"/>
              </w:rPr>
              <w:t>显示器</w:t>
            </w:r>
          </w:p>
        </w:tc>
        <w:tc>
          <w:tcPr>
            <w:tcW w:w="3957" w:type="dxa"/>
            <w:noWrap w:val="0"/>
            <w:vAlign w:val="top"/>
          </w:tcPr>
          <w:p w14:paraId="477275EB">
            <w:pPr>
              <w:pStyle w:val="26"/>
              <w:keepNext w:val="0"/>
              <w:keepLines w:val="0"/>
              <w:pageBreakBefore w:val="0"/>
              <w:widowControl w:val="0"/>
              <w:kinsoku/>
              <w:wordWrap/>
              <w:overflowPunct/>
              <w:topLinePunct w:val="0"/>
              <w:autoSpaceDE/>
              <w:autoSpaceDN/>
              <w:bidi w:val="0"/>
              <w:adjustRightInd/>
              <w:snapToGrid/>
              <w:spacing w:before="133" w:line="360" w:lineRule="exact"/>
              <w:ind w:left="22" w:right="11"/>
              <w:textAlignment w:val="auto"/>
              <w:rPr>
                <w:rFonts w:hint="eastAsia"/>
                <w:lang w:eastAsia="zh-CN"/>
              </w:rPr>
            </w:pPr>
            <w:r>
              <w:rPr>
                <w:rFonts w:hint="eastAsia"/>
                <w:spacing w:val="19"/>
                <w:lang w:eastAsia="zh-CN"/>
              </w:rPr>
              <w:t>《计算机显示器能效限定值及能</w:t>
            </w:r>
            <w:r>
              <w:rPr>
                <w:rFonts w:hint="eastAsia"/>
                <w:spacing w:val="2"/>
                <w:lang w:eastAsia="zh-CN"/>
              </w:rPr>
              <w:t xml:space="preserve"> </w:t>
            </w:r>
            <w:r>
              <w:rPr>
                <w:rFonts w:hint="eastAsia"/>
                <w:spacing w:val="6"/>
                <w:lang w:eastAsia="zh-CN"/>
              </w:rPr>
              <w:t>效等级》（</w:t>
            </w:r>
            <w:r>
              <w:rPr>
                <w:rFonts w:hint="eastAsia"/>
                <w:lang w:eastAsia="zh-CN"/>
              </w:rPr>
              <w:t>GB</w:t>
            </w:r>
            <w:r>
              <w:rPr>
                <w:rFonts w:hint="eastAsia"/>
                <w:spacing w:val="6"/>
                <w:lang w:eastAsia="zh-CN"/>
              </w:rPr>
              <w:t xml:space="preserve"> 21520）</w:t>
            </w:r>
          </w:p>
        </w:tc>
      </w:tr>
      <w:tr w14:paraId="4380D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2513D5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18FC27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4C3613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963CACD">
            <w:pPr>
              <w:pStyle w:val="26"/>
              <w:keepNext w:val="0"/>
              <w:keepLines w:val="0"/>
              <w:pageBreakBefore w:val="0"/>
              <w:widowControl w:val="0"/>
              <w:kinsoku/>
              <w:wordWrap/>
              <w:overflowPunct/>
              <w:topLinePunct w:val="0"/>
              <w:autoSpaceDE/>
              <w:autoSpaceDN/>
              <w:bidi w:val="0"/>
              <w:adjustRightInd/>
              <w:snapToGrid/>
              <w:spacing w:before="62" w:line="360" w:lineRule="exact"/>
              <w:ind w:left="14" w:right="10" w:hanging="5"/>
              <w:textAlignment w:val="auto"/>
              <w:rPr>
                <w:rFonts w:hint="eastAsia"/>
              </w:rPr>
            </w:pPr>
            <w:r>
              <w:rPr>
                <w:rFonts w:hint="eastAsia"/>
                <w:spacing w:val="4"/>
              </w:rPr>
              <w:t>A02010609 图形图像</w:t>
            </w:r>
            <w:r>
              <w:rPr>
                <w:rFonts w:hint="eastAsia"/>
                <w:spacing w:val="7"/>
              </w:rPr>
              <w:t xml:space="preserve"> 输入设备</w:t>
            </w:r>
          </w:p>
        </w:tc>
        <w:tc>
          <w:tcPr>
            <w:tcW w:w="1914" w:type="dxa"/>
            <w:noWrap w:val="0"/>
            <w:vAlign w:val="top"/>
          </w:tcPr>
          <w:p w14:paraId="703538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2EEB8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E560309">
            <w:pPr>
              <w:pStyle w:val="26"/>
              <w:keepNext w:val="0"/>
              <w:keepLines w:val="0"/>
              <w:pageBreakBefore w:val="0"/>
              <w:widowControl w:val="0"/>
              <w:kinsoku/>
              <w:wordWrap/>
              <w:overflowPunct/>
              <w:topLinePunct w:val="0"/>
              <w:autoSpaceDE/>
              <w:autoSpaceDN/>
              <w:bidi w:val="0"/>
              <w:adjustRightInd/>
              <w:snapToGrid/>
              <w:spacing w:before="61" w:line="360" w:lineRule="exact"/>
              <w:ind w:left="10"/>
              <w:textAlignment w:val="auto"/>
              <w:rPr>
                <w:rFonts w:hint="eastAsia"/>
              </w:rPr>
            </w:pPr>
            <w:r>
              <w:rPr>
                <w:rFonts w:hint="eastAsia"/>
                <w:spacing w:val="5"/>
              </w:rPr>
              <w:t>A0201060901</w:t>
            </w:r>
            <w:r>
              <w:rPr>
                <w:rFonts w:hint="eastAsia"/>
                <w:spacing w:val="-34"/>
              </w:rPr>
              <w:t xml:space="preserve"> </w:t>
            </w:r>
            <w:r>
              <w:rPr>
                <w:rFonts w:hint="eastAsia"/>
                <w:spacing w:val="5"/>
              </w:rPr>
              <w:t>扫描仪</w:t>
            </w:r>
          </w:p>
        </w:tc>
        <w:tc>
          <w:tcPr>
            <w:tcW w:w="3957" w:type="dxa"/>
            <w:noWrap w:val="0"/>
            <w:vAlign w:val="top"/>
          </w:tcPr>
          <w:p w14:paraId="4EFB3FD5">
            <w:pPr>
              <w:pStyle w:val="26"/>
              <w:keepNext w:val="0"/>
              <w:keepLines w:val="0"/>
              <w:pageBreakBefore w:val="0"/>
              <w:widowControl w:val="0"/>
              <w:kinsoku/>
              <w:wordWrap/>
              <w:overflowPunct/>
              <w:topLinePunct w:val="0"/>
              <w:autoSpaceDE/>
              <w:autoSpaceDN/>
              <w:bidi w:val="0"/>
              <w:adjustRightInd/>
              <w:snapToGrid/>
              <w:spacing w:before="114" w:line="360" w:lineRule="exact"/>
              <w:ind w:left="22" w:hanging="3"/>
              <w:textAlignment w:val="auto"/>
              <w:rPr>
                <w:rFonts w:hint="eastAsia"/>
                <w:lang w:eastAsia="zh-CN"/>
              </w:rPr>
            </w:pPr>
            <w:r>
              <w:rPr>
                <w:rFonts w:hint="eastAsia"/>
                <w:lang w:eastAsia="zh-CN"/>
              </w:rPr>
              <w:t>参照《复印机、打印机和传真机能</w:t>
            </w:r>
            <w:r>
              <w:rPr>
                <w:rFonts w:hint="eastAsia"/>
                <w:spacing w:val="3"/>
                <w:lang w:eastAsia="zh-CN"/>
              </w:rPr>
              <w:t xml:space="preserve">  </w:t>
            </w:r>
            <w:r>
              <w:rPr>
                <w:rFonts w:hint="eastAsia"/>
                <w:spacing w:val="-4"/>
                <w:lang w:eastAsia="zh-CN"/>
              </w:rPr>
              <w:t>效限定值及能效等级》（GB</w:t>
            </w:r>
            <w:r>
              <w:rPr>
                <w:rFonts w:hint="eastAsia"/>
                <w:spacing w:val="-24"/>
                <w:lang w:eastAsia="zh-CN"/>
              </w:rPr>
              <w:t xml:space="preserve"> </w:t>
            </w:r>
            <w:r>
              <w:rPr>
                <w:rFonts w:hint="eastAsia"/>
                <w:spacing w:val="-4"/>
                <w:lang w:eastAsia="zh-CN"/>
              </w:rPr>
              <w:t>21521）</w:t>
            </w:r>
            <w:r>
              <w:rPr>
                <w:rFonts w:hint="eastAsia"/>
                <w:lang w:eastAsia="zh-CN"/>
              </w:rPr>
              <w:t xml:space="preserve"> </w:t>
            </w:r>
            <w:r>
              <w:rPr>
                <w:rFonts w:hint="eastAsia"/>
                <w:spacing w:val="4"/>
                <w:lang w:eastAsia="zh-CN"/>
              </w:rPr>
              <w:t>中打印速度为</w:t>
            </w:r>
            <w:r>
              <w:rPr>
                <w:rFonts w:hint="eastAsia"/>
                <w:spacing w:val="38"/>
                <w:lang w:eastAsia="zh-CN"/>
              </w:rPr>
              <w:t xml:space="preserve"> </w:t>
            </w:r>
            <w:r>
              <w:rPr>
                <w:rFonts w:hint="eastAsia"/>
                <w:spacing w:val="4"/>
                <w:lang w:eastAsia="zh-CN"/>
              </w:rPr>
              <w:t>15 页/分的针式打</w:t>
            </w:r>
            <w:r>
              <w:rPr>
                <w:rFonts w:hint="eastAsia"/>
                <w:lang w:eastAsia="zh-CN"/>
              </w:rPr>
              <w:t xml:space="preserve">  </w:t>
            </w:r>
            <w:r>
              <w:rPr>
                <w:rFonts w:hint="eastAsia"/>
                <w:spacing w:val="2"/>
                <w:lang w:eastAsia="zh-CN"/>
              </w:rPr>
              <w:t>印机相关要求</w:t>
            </w:r>
          </w:p>
        </w:tc>
      </w:tr>
      <w:tr w14:paraId="16435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2D29F521">
            <w:pPr>
              <w:pStyle w:val="26"/>
              <w:keepNext w:val="0"/>
              <w:keepLines w:val="0"/>
              <w:pageBreakBefore w:val="0"/>
              <w:widowControl w:val="0"/>
              <w:kinsoku/>
              <w:wordWrap/>
              <w:overflowPunct/>
              <w:topLinePunct w:val="0"/>
              <w:autoSpaceDE/>
              <w:autoSpaceDN/>
              <w:bidi w:val="0"/>
              <w:adjustRightInd/>
              <w:snapToGrid/>
              <w:spacing w:before="246" w:line="360" w:lineRule="exact"/>
              <w:ind w:left="246"/>
              <w:textAlignment w:val="auto"/>
              <w:rPr>
                <w:rFonts w:hint="eastAsia"/>
              </w:rPr>
            </w:pPr>
            <w:r>
              <w:rPr>
                <w:rFonts w:hint="eastAsia"/>
                <w:position w:val="1"/>
              </w:rPr>
              <w:t>3</w:t>
            </w:r>
          </w:p>
        </w:tc>
        <w:tc>
          <w:tcPr>
            <w:tcW w:w="1166" w:type="dxa"/>
            <w:noWrap w:val="0"/>
            <w:vAlign w:val="top"/>
          </w:tcPr>
          <w:p w14:paraId="4BBA6D1D">
            <w:pPr>
              <w:pStyle w:val="26"/>
              <w:keepNext w:val="0"/>
              <w:keepLines w:val="0"/>
              <w:pageBreakBefore w:val="0"/>
              <w:widowControl w:val="0"/>
              <w:kinsoku/>
              <w:wordWrap/>
              <w:overflowPunct/>
              <w:topLinePunct w:val="0"/>
              <w:autoSpaceDE/>
              <w:autoSpaceDN/>
              <w:bidi w:val="0"/>
              <w:adjustRightInd/>
              <w:snapToGrid/>
              <w:spacing w:before="90" w:line="360" w:lineRule="exact"/>
              <w:ind w:left="15" w:right="8" w:hanging="6"/>
              <w:textAlignment w:val="auto"/>
              <w:rPr>
                <w:rFonts w:hint="eastAsia"/>
              </w:rPr>
            </w:pPr>
            <w:r>
              <w:rPr>
                <w:rFonts w:hint="eastAsia"/>
                <w:spacing w:val="4"/>
              </w:rPr>
              <w:t>A020202</w:t>
            </w:r>
            <w:r>
              <w:rPr>
                <w:rFonts w:hint="eastAsia"/>
                <w:spacing w:val="-34"/>
              </w:rPr>
              <w:t xml:space="preserve"> </w:t>
            </w:r>
            <w:r>
              <w:rPr>
                <w:rFonts w:hint="eastAsia"/>
                <w:spacing w:val="4"/>
              </w:rPr>
              <w:t>投影</w:t>
            </w:r>
            <w:r>
              <w:rPr>
                <w:rFonts w:hint="eastAsia"/>
              </w:rPr>
              <w:t xml:space="preserve"> 仪</w:t>
            </w:r>
          </w:p>
        </w:tc>
        <w:tc>
          <w:tcPr>
            <w:tcW w:w="1799" w:type="dxa"/>
            <w:noWrap w:val="0"/>
            <w:vAlign w:val="top"/>
          </w:tcPr>
          <w:p w14:paraId="24044F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7685C4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7E1558DE">
            <w:pPr>
              <w:pStyle w:val="26"/>
              <w:keepNext w:val="0"/>
              <w:keepLines w:val="0"/>
              <w:pageBreakBefore w:val="0"/>
              <w:widowControl w:val="0"/>
              <w:kinsoku/>
              <w:wordWrap/>
              <w:overflowPunct/>
              <w:topLinePunct w:val="0"/>
              <w:autoSpaceDE/>
              <w:autoSpaceDN/>
              <w:bidi w:val="0"/>
              <w:adjustRightInd/>
              <w:snapToGrid/>
              <w:spacing w:before="90" w:line="360" w:lineRule="exact"/>
              <w:ind w:left="27" w:hanging="4"/>
              <w:textAlignment w:val="auto"/>
              <w:rPr>
                <w:rFonts w:hint="eastAsia"/>
                <w:lang w:eastAsia="zh-CN"/>
              </w:rPr>
            </w:pPr>
            <w:r>
              <w:rPr>
                <w:rFonts w:hint="eastAsia"/>
                <w:spacing w:val="6"/>
                <w:lang w:eastAsia="zh-CN"/>
              </w:rPr>
              <w:t>《投影机能效限定值及能效等级》</w:t>
            </w:r>
            <w:r>
              <w:rPr>
                <w:rFonts w:hint="eastAsia"/>
                <w:lang w:eastAsia="zh-CN"/>
              </w:rPr>
              <w:t xml:space="preserve"> （GB</w:t>
            </w:r>
            <w:r>
              <w:rPr>
                <w:rFonts w:hint="eastAsia"/>
                <w:spacing w:val="22"/>
                <w:lang w:eastAsia="zh-CN"/>
              </w:rPr>
              <w:t xml:space="preserve"> </w:t>
            </w:r>
            <w:r>
              <w:rPr>
                <w:rFonts w:hint="eastAsia"/>
                <w:lang w:eastAsia="zh-CN"/>
              </w:rPr>
              <w:t>32028）</w:t>
            </w:r>
          </w:p>
        </w:tc>
      </w:tr>
      <w:tr w14:paraId="09AEA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4A1D80AB">
            <w:pPr>
              <w:pStyle w:val="26"/>
              <w:keepNext w:val="0"/>
              <w:keepLines w:val="0"/>
              <w:pageBreakBefore w:val="0"/>
              <w:widowControl w:val="0"/>
              <w:kinsoku/>
              <w:wordWrap/>
              <w:overflowPunct/>
              <w:topLinePunct w:val="0"/>
              <w:autoSpaceDE/>
              <w:autoSpaceDN/>
              <w:bidi w:val="0"/>
              <w:adjustRightInd/>
              <w:snapToGrid/>
              <w:spacing w:before="289" w:line="360" w:lineRule="exact"/>
              <w:ind w:left="242"/>
              <w:textAlignment w:val="auto"/>
              <w:rPr>
                <w:rFonts w:hint="eastAsia"/>
              </w:rPr>
            </w:pPr>
            <w:r>
              <w:rPr>
                <w:rFonts w:hint="eastAsia"/>
                <w:position w:val="1"/>
              </w:rPr>
              <w:t>4</w:t>
            </w:r>
          </w:p>
        </w:tc>
        <w:tc>
          <w:tcPr>
            <w:tcW w:w="1166" w:type="dxa"/>
            <w:noWrap w:val="0"/>
            <w:vAlign w:val="top"/>
          </w:tcPr>
          <w:p w14:paraId="04E9A0FF">
            <w:pPr>
              <w:pStyle w:val="26"/>
              <w:keepNext w:val="0"/>
              <w:keepLines w:val="0"/>
              <w:pageBreakBefore w:val="0"/>
              <w:widowControl w:val="0"/>
              <w:kinsoku/>
              <w:wordWrap/>
              <w:overflowPunct/>
              <w:topLinePunct w:val="0"/>
              <w:autoSpaceDE/>
              <w:autoSpaceDN/>
              <w:bidi w:val="0"/>
              <w:adjustRightInd/>
              <w:snapToGrid/>
              <w:spacing w:before="134" w:line="360" w:lineRule="exact"/>
              <w:ind w:left="9"/>
              <w:textAlignment w:val="auto"/>
              <w:rPr>
                <w:rFonts w:hint="eastAsia"/>
              </w:rPr>
            </w:pPr>
            <w:r>
              <w:rPr>
                <w:rFonts w:hint="eastAsia"/>
                <w:spacing w:val="4"/>
              </w:rPr>
              <w:t>A020204</w:t>
            </w:r>
            <w:r>
              <w:rPr>
                <w:rFonts w:hint="eastAsia"/>
                <w:spacing w:val="-34"/>
              </w:rPr>
              <w:t xml:space="preserve"> </w:t>
            </w:r>
            <w:r>
              <w:rPr>
                <w:rFonts w:hint="eastAsia"/>
                <w:spacing w:val="4"/>
              </w:rPr>
              <w:t>多功</w:t>
            </w:r>
          </w:p>
          <w:p w14:paraId="5BDA74E7">
            <w:pPr>
              <w:pStyle w:val="26"/>
              <w:keepNext w:val="0"/>
              <w:keepLines w:val="0"/>
              <w:pageBreakBefore w:val="0"/>
              <w:widowControl w:val="0"/>
              <w:kinsoku/>
              <w:wordWrap/>
              <w:overflowPunct/>
              <w:topLinePunct w:val="0"/>
              <w:autoSpaceDE/>
              <w:autoSpaceDN/>
              <w:bidi w:val="0"/>
              <w:adjustRightInd/>
              <w:snapToGrid/>
              <w:spacing w:before="75" w:line="360" w:lineRule="exact"/>
              <w:ind w:left="23"/>
              <w:textAlignment w:val="auto"/>
              <w:rPr>
                <w:rFonts w:hint="eastAsia"/>
              </w:rPr>
            </w:pPr>
            <w:r>
              <w:rPr>
                <w:rFonts w:hint="eastAsia"/>
                <w:spacing w:val="5"/>
              </w:rPr>
              <w:t>能一体机</w:t>
            </w:r>
          </w:p>
        </w:tc>
        <w:tc>
          <w:tcPr>
            <w:tcW w:w="1799" w:type="dxa"/>
            <w:noWrap w:val="0"/>
            <w:vAlign w:val="top"/>
          </w:tcPr>
          <w:p w14:paraId="598CD6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0479C4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6855ECAF">
            <w:pPr>
              <w:pStyle w:val="26"/>
              <w:keepNext w:val="0"/>
              <w:keepLines w:val="0"/>
              <w:pageBreakBefore w:val="0"/>
              <w:widowControl w:val="0"/>
              <w:kinsoku/>
              <w:wordWrap/>
              <w:overflowPunct/>
              <w:topLinePunct w:val="0"/>
              <w:autoSpaceDE/>
              <w:autoSpaceDN/>
              <w:bidi w:val="0"/>
              <w:adjustRightInd/>
              <w:snapToGrid/>
              <w:spacing w:before="133" w:line="36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187EF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6B06A11B">
            <w:pPr>
              <w:pStyle w:val="26"/>
              <w:keepNext w:val="0"/>
              <w:keepLines w:val="0"/>
              <w:pageBreakBefore w:val="0"/>
              <w:widowControl w:val="0"/>
              <w:kinsoku/>
              <w:wordWrap/>
              <w:overflowPunct/>
              <w:topLinePunct w:val="0"/>
              <w:autoSpaceDE/>
              <w:autoSpaceDN/>
              <w:bidi w:val="0"/>
              <w:adjustRightInd/>
              <w:snapToGrid/>
              <w:spacing w:before="227" w:line="360" w:lineRule="exact"/>
              <w:ind w:left="246"/>
              <w:textAlignment w:val="auto"/>
              <w:rPr>
                <w:rFonts w:hint="eastAsia"/>
              </w:rPr>
            </w:pPr>
            <w:r>
              <w:rPr>
                <w:rFonts w:hint="eastAsia"/>
                <w:position w:val="1"/>
              </w:rPr>
              <w:t>5</w:t>
            </w:r>
          </w:p>
        </w:tc>
        <w:tc>
          <w:tcPr>
            <w:tcW w:w="1166" w:type="dxa"/>
            <w:noWrap w:val="0"/>
            <w:vAlign w:val="top"/>
          </w:tcPr>
          <w:p w14:paraId="6438172E">
            <w:pPr>
              <w:pStyle w:val="26"/>
              <w:keepNext w:val="0"/>
              <w:keepLines w:val="0"/>
              <w:pageBreakBefore w:val="0"/>
              <w:widowControl w:val="0"/>
              <w:kinsoku/>
              <w:wordWrap/>
              <w:overflowPunct/>
              <w:topLinePunct w:val="0"/>
              <w:autoSpaceDE/>
              <w:autoSpaceDN/>
              <w:bidi w:val="0"/>
              <w:adjustRightInd/>
              <w:snapToGrid/>
              <w:spacing w:before="227" w:line="360" w:lineRule="exact"/>
              <w:ind w:left="9"/>
              <w:textAlignment w:val="auto"/>
              <w:rPr>
                <w:rFonts w:hint="eastAsia"/>
              </w:rPr>
            </w:pPr>
            <w:r>
              <w:rPr>
                <w:rFonts w:hint="eastAsia"/>
                <w:spacing w:val="4"/>
              </w:rPr>
              <w:t>A020519</w:t>
            </w:r>
            <w:r>
              <w:rPr>
                <w:rFonts w:hint="eastAsia"/>
                <w:spacing w:val="-32"/>
              </w:rPr>
              <w:t xml:space="preserve"> </w:t>
            </w:r>
            <w:r>
              <w:rPr>
                <w:rFonts w:hint="eastAsia"/>
                <w:spacing w:val="4"/>
              </w:rPr>
              <w:t>泵</w:t>
            </w:r>
          </w:p>
        </w:tc>
        <w:tc>
          <w:tcPr>
            <w:tcW w:w="1799" w:type="dxa"/>
            <w:noWrap w:val="0"/>
            <w:vAlign w:val="top"/>
          </w:tcPr>
          <w:p w14:paraId="258B32CE">
            <w:pPr>
              <w:pStyle w:val="26"/>
              <w:keepNext w:val="0"/>
              <w:keepLines w:val="0"/>
              <w:pageBreakBefore w:val="0"/>
              <w:widowControl w:val="0"/>
              <w:kinsoku/>
              <w:wordWrap/>
              <w:overflowPunct/>
              <w:topLinePunct w:val="0"/>
              <w:autoSpaceDE/>
              <w:autoSpaceDN/>
              <w:bidi w:val="0"/>
              <w:adjustRightInd/>
              <w:snapToGrid/>
              <w:spacing w:before="227" w:line="360" w:lineRule="exact"/>
              <w:ind w:left="9"/>
              <w:textAlignment w:val="auto"/>
              <w:rPr>
                <w:rFonts w:hint="eastAsia"/>
              </w:rPr>
            </w:pPr>
            <w:r>
              <w:rPr>
                <w:rFonts w:hint="eastAsia"/>
                <w:spacing w:val="5"/>
              </w:rPr>
              <w:t>A02051901</w:t>
            </w:r>
            <w:r>
              <w:rPr>
                <w:rFonts w:hint="eastAsia"/>
                <w:spacing w:val="-33"/>
              </w:rPr>
              <w:t xml:space="preserve"> </w:t>
            </w:r>
            <w:r>
              <w:rPr>
                <w:rFonts w:hint="eastAsia"/>
                <w:spacing w:val="5"/>
              </w:rPr>
              <w:t>离心泵</w:t>
            </w:r>
          </w:p>
        </w:tc>
        <w:tc>
          <w:tcPr>
            <w:tcW w:w="1914" w:type="dxa"/>
            <w:noWrap w:val="0"/>
            <w:vAlign w:val="top"/>
          </w:tcPr>
          <w:p w14:paraId="2BE520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2CF6F2F0">
            <w:pPr>
              <w:pStyle w:val="26"/>
              <w:keepNext w:val="0"/>
              <w:keepLines w:val="0"/>
              <w:pageBreakBefore w:val="0"/>
              <w:widowControl w:val="0"/>
              <w:kinsoku/>
              <w:wordWrap/>
              <w:overflowPunct/>
              <w:topLinePunct w:val="0"/>
              <w:autoSpaceDE/>
              <w:autoSpaceDN/>
              <w:bidi w:val="0"/>
              <w:adjustRightInd/>
              <w:snapToGrid/>
              <w:spacing w:before="72" w:line="360" w:lineRule="exact"/>
              <w:ind w:left="17" w:right="11" w:firstLine="6"/>
              <w:textAlignment w:val="auto"/>
              <w:rPr>
                <w:rFonts w:hint="eastAsia"/>
                <w:lang w:eastAsia="zh-CN"/>
              </w:rPr>
            </w:pPr>
            <w:r>
              <w:rPr>
                <w:rFonts w:hint="eastAsia"/>
                <w:spacing w:val="19"/>
                <w:lang w:eastAsia="zh-CN"/>
              </w:rPr>
              <w:t>《清水离心泵能效限定值及节能</w:t>
            </w:r>
            <w:r>
              <w:rPr>
                <w:rFonts w:hint="eastAsia"/>
                <w:spacing w:val="2"/>
                <w:lang w:eastAsia="zh-CN"/>
              </w:rPr>
              <w:t xml:space="preserve"> </w:t>
            </w:r>
            <w:r>
              <w:rPr>
                <w:rFonts w:hint="eastAsia"/>
                <w:spacing w:val="4"/>
                <w:lang w:eastAsia="zh-CN"/>
              </w:rPr>
              <w:t>评价值》（</w:t>
            </w:r>
            <w:r>
              <w:rPr>
                <w:rFonts w:hint="eastAsia"/>
                <w:lang w:eastAsia="zh-CN"/>
              </w:rPr>
              <w:t>GB</w:t>
            </w:r>
            <w:r>
              <w:rPr>
                <w:rFonts w:hint="eastAsia"/>
                <w:spacing w:val="39"/>
                <w:lang w:eastAsia="zh-CN"/>
              </w:rPr>
              <w:t xml:space="preserve"> </w:t>
            </w:r>
            <w:r>
              <w:rPr>
                <w:rFonts w:hint="eastAsia"/>
                <w:spacing w:val="4"/>
                <w:lang w:eastAsia="zh-CN"/>
              </w:rPr>
              <w:t>19762）</w:t>
            </w:r>
          </w:p>
        </w:tc>
      </w:tr>
      <w:tr w14:paraId="2C749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5B0E98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DD327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3091E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39B68D9">
            <w:pPr>
              <w:pStyle w:val="26"/>
              <w:keepNext w:val="0"/>
              <w:keepLines w:val="0"/>
              <w:pageBreakBefore w:val="0"/>
              <w:widowControl w:val="0"/>
              <w:kinsoku/>
              <w:wordWrap/>
              <w:overflowPunct/>
              <w:topLinePunct w:val="0"/>
              <w:autoSpaceDE/>
              <w:autoSpaceDN/>
              <w:bidi w:val="0"/>
              <w:adjustRightInd/>
              <w:snapToGrid/>
              <w:spacing w:before="62" w:line="360" w:lineRule="exact"/>
              <w:ind w:left="244"/>
              <w:textAlignment w:val="auto"/>
              <w:rPr>
                <w:rFonts w:hint="eastAsia"/>
              </w:rPr>
            </w:pPr>
            <w:r>
              <w:rPr>
                <w:rFonts w:hint="eastAsia"/>
                <w:position w:val="1"/>
              </w:rPr>
              <w:t>6</w:t>
            </w:r>
          </w:p>
        </w:tc>
        <w:tc>
          <w:tcPr>
            <w:tcW w:w="1166" w:type="dxa"/>
            <w:vMerge w:val="restart"/>
            <w:tcBorders>
              <w:bottom w:val="nil"/>
            </w:tcBorders>
            <w:noWrap w:val="0"/>
            <w:vAlign w:val="top"/>
          </w:tcPr>
          <w:p w14:paraId="0DAA37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59014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A04F507">
            <w:pPr>
              <w:pStyle w:val="26"/>
              <w:keepNext w:val="0"/>
              <w:keepLines w:val="0"/>
              <w:pageBreakBefore w:val="0"/>
              <w:widowControl w:val="0"/>
              <w:kinsoku/>
              <w:wordWrap/>
              <w:overflowPunct/>
              <w:topLinePunct w:val="0"/>
              <w:autoSpaceDE/>
              <w:autoSpaceDN/>
              <w:bidi w:val="0"/>
              <w:adjustRightInd/>
              <w:snapToGrid/>
              <w:spacing w:before="61" w:line="360" w:lineRule="exact"/>
              <w:ind w:left="9"/>
              <w:textAlignment w:val="auto"/>
              <w:rPr>
                <w:rFonts w:hint="eastAsia"/>
              </w:rPr>
            </w:pPr>
            <w:r>
              <w:rPr>
                <w:rFonts w:hint="eastAsia"/>
                <w:spacing w:val="5"/>
              </w:rPr>
              <w:t>A020523</w:t>
            </w:r>
            <w:r>
              <w:rPr>
                <w:rFonts w:hint="eastAsia"/>
                <w:spacing w:val="-43"/>
              </w:rPr>
              <w:t xml:space="preserve"> </w:t>
            </w:r>
            <w:r>
              <w:rPr>
                <w:rFonts w:hint="eastAsia"/>
                <w:spacing w:val="5"/>
              </w:rPr>
              <w:t>制冷</w:t>
            </w:r>
          </w:p>
          <w:p w14:paraId="3A3F52C5">
            <w:pPr>
              <w:pStyle w:val="26"/>
              <w:keepNext w:val="0"/>
              <w:keepLines w:val="0"/>
              <w:pageBreakBefore w:val="0"/>
              <w:widowControl w:val="0"/>
              <w:kinsoku/>
              <w:wordWrap/>
              <w:overflowPunct/>
              <w:topLinePunct w:val="0"/>
              <w:autoSpaceDE/>
              <w:autoSpaceDN/>
              <w:bidi w:val="0"/>
              <w:adjustRightInd/>
              <w:snapToGrid/>
              <w:spacing w:before="75" w:line="360" w:lineRule="exact"/>
              <w:ind w:left="21"/>
              <w:textAlignment w:val="auto"/>
              <w:rPr>
                <w:rFonts w:hint="eastAsia"/>
              </w:rPr>
            </w:pPr>
            <w:r>
              <w:rPr>
                <w:rFonts w:hint="eastAsia"/>
                <w:spacing w:val="5"/>
              </w:rPr>
              <w:t>空调设备</w:t>
            </w:r>
          </w:p>
        </w:tc>
        <w:tc>
          <w:tcPr>
            <w:tcW w:w="1799" w:type="dxa"/>
            <w:vMerge w:val="restart"/>
            <w:tcBorders>
              <w:bottom w:val="nil"/>
            </w:tcBorders>
            <w:noWrap w:val="0"/>
            <w:vAlign w:val="top"/>
          </w:tcPr>
          <w:p w14:paraId="13769B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E3019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93E694D">
            <w:pPr>
              <w:pStyle w:val="26"/>
              <w:keepNext w:val="0"/>
              <w:keepLines w:val="0"/>
              <w:pageBreakBefore w:val="0"/>
              <w:widowControl w:val="0"/>
              <w:kinsoku/>
              <w:wordWrap/>
              <w:overflowPunct/>
              <w:topLinePunct w:val="0"/>
              <w:autoSpaceDE/>
              <w:autoSpaceDN/>
              <w:bidi w:val="0"/>
              <w:adjustRightInd/>
              <w:snapToGrid/>
              <w:spacing w:before="62" w:line="360" w:lineRule="exact"/>
              <w:ind w:left="15" w:right="10" w:firstLine="3"/>
              <w:textAlignment w:val="auto"/>
              <w:rPr>
                <w:rFonts w:hint="eastAsia"/>
              </w:rPr>
            </w:pPr>
            <w:r>
              <w:rPr>
                <w:rFonts w:hint="eastAsia"/>
                <w:spacing w:val="3"/>
              </w:rPr>
              <w:t>★A02052301 制冷压</w:t>
            </w:r>
            <w:r>
              <w:rPr>
                <w:rFonts w:hint="eastAsia"/>
                <w:spacing w:val="12"/>
              </w:rPr>
              <w:t xml:space="preserve"> </w:t>
            </w:r>
            <w:r>
              <w:rPr>
                <w:rFonts w:hint="eastAsia"/>
                <w:spacing w:val="5"/>
              </w:rPr>
              <w:t>缩机</w:t>
            </w:r>
          </w:p>
        </w:tc>
        <w:tc>
          <w:tcPr>
            <w:tcW w:w="1914" w:type="dxa"/>
            <w:noWrap w:val="0"/>
            <w:vAlign w:val="top"/>
          </w:tcPr>
          <w:p w14:paraId="75D0F1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16372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DCA08A2">
            <w:pPr>
              <w:pStyle w:val="26"/>
              <w:keepNext w:val="0"/>
              <w:keepLines w:val="0"/>
              <w:pageBreakBefore w:val="0"/>
              <w:widowControl w:val="0"/>
              <w:kinsoku/>
              <w:wordWrap/>
              <w:overflowPunct/>
              <w:topLinePunct w:val="0"/>
              <w:autoSpaceDE/>
              <w:autoSpaceDN/>
              <w:bidi w:val="0"/>
              <w:adjustRightInd/>
              <w:snapToGrid/>
              <w:spacing w:before="61" w:line="360" w:lineRule="exact"/>
              <w:ind w:left="18"/>
              <w:textAlignment w:val="auto"/>
              <w:rPr>
                <w:rFonts w:hint="eastAsia"/>
              </w:rPr>
            </w:pPr>
            <w:r>
              <w:rPr>
                <w:rFonts w:hint="eastAsia"/>
                <w:spacing w:val="6"/>
              </w:rPr>
              <w:t>冷水机组</w:t>
            </w:r>
          </w:p>
        </w:tc>
        <w:tc>
          <w:tcPr>
            <w:tcW w:w="3957" w:type="dxa"/>
            <w:noWrap w:val="0"/>
            <w:vAlign w:val="top"/>
          </w:tcPr>
          <w:p w14:paraId="34020BFF">
            <w:pPr>
              <w:pStyle w:val="26"/>
              <w:keepNext w:val="0"/>
              <w:keepLines w:val="0"/>
              <w:pageBreakBefore w:val="0"/>
              <w:widowControl w:val="0"/>
              <w:kinsoku/>
              <w:wordWrap/>
              <w:overflowPunct/>
              <w:topLinePunct w:val="0"/>
              <w:autoSpaceDE/>
              <w:autoSpaceDN/>
              <w:bidi w:val="0"/>
              <w:adjustRightInd/>
              <w:snapToGrid/>
              <w:spacing w:before="96" w:line="360" w:lineRule="exact"/>
              <w:ind w:left="17" w:right="11" w:firstLine="5"/>
              <w:textAlignment w:val="auto"/>
              <w:rPr>
                <w:rFonts w:hint="eastAsia"/>
                <w:lang w:eastAsia="zh-CN"/>
              </w:rPr>
            </w:pPr>
            <w:r>
              <w:rPr>
                <w:rFonts w:hint="eastAsia"/>
                <w:spacing w:val="19"/>
                <w:lang w:eastAsia="zh-CN"/>
              </w:rPr>
              <w:t>《冷水机组能效限定值及能效等</w:t>
            </w:r>
            <w:r>
              <w:rPr>
                <w:rFonts w:hint="eastAsia"/>
                <w:spacing w:val="2"/>
                <w:lang w:eastAsia="zh-CN"/>
              </w:rPr>
              <w:t xml:space="preserve"> </w:t>
            </w:r>
            <w:r>
              <w:rPr>
                <w:rFonts w:hint="eastAsia"/>
                <w:spacing w:val="6"/>
                <w:lang w:eastAsia="zh-CN"/>
              </w:rPr>
              <w:t>级》（</w:t>
            </w:r>
            <w:r>
              <w:rPr>
                <w:rFonts w:hint="eastAsia"/>
                <w:lang w:eastAsia="zh-CN"/>
              </w:rPr>
              <w:t>GB</w:t>
            </w:r>
            <w:r>
              <w:rPr>
                <w:rFonts w:hint="eastAsia"/>
                <w:spacing w:val="-21"/>
                <w:lang w:eastAsia="zh-CN"/>
              </w:rPr>
              <w:t xml:space="preserve"> </w:t>
            </w:r>
            <w:r>
              <w:rPr>
                <w:rFonts w:hint="eastAsia"/>
                <w:spacing w:val="6"/>
                <w:lang w:eastAsia="zh-CN"/>
              </w:rPr>
              <w:t>19577</w:t>
            </w:r>
            <w:r>
              <w:rPr>
                <w:rFonts w:hint="eastAsia"/>
                <w:spacing w:val="9"/>
                <w:lang w:eastAsia="zh-CN"/>
              </w:rPr>
              <w:t>），</w:t>
            </w:r>
            <w:r>
              <w:rPr>
                <w:rFonts w:hint="eastAsia"/>
                <w:spacing w:val="6"/>
                <w:lang w:eastAsia="zh-CN"/>
              </w:rPr>
              <w:t>《低环境温度</w:t>
            </w:r>
            <w:r>
              <w:rPr>
                <w:rFonts w:hint="eastAsia"/>
                <w:lang w:eastAsia="zh-CN"/>
              </w:rPr>
              <w:t xml:space="preserve"> </w:t>
            </w:r>
            <w:r>
              <w:rPr>
                <w:rFonts w:hint="eastAsia"/>
                <w:spacing w:val="5"/>
                <w:lang w:eastAsia="zh-CN"/>
              </w:rPr>
              <w:t>空气源热泵（冷水）机组能效限定</w:t>
            </w:r>
            <w:r>
              <w:rPr>
                <w:rFonts w:hint="eastAsia"/>
                <w:spacing w:val="6"/>
                <w:lang w:eastAsia="zh-CN"/>
              </w:rPr>
              <w:t xml:space="preserve"> </w:t>
            </w:r>
            <w:r>
              <w:rPr>
                <w:rFonts w:hint="eastAsia"/>
                <w:spacing w:val="7"/>
                <w:lang w:eastAsia="zh-CN"/>
              </w:rPr>
              <w:t>值及能效等级》（</w:t>
            </w:r>
            <w:r>
              <w:rPr>
                <w:rFonts w:hint="eastAsia"/>
                <w:lang w:eastAsia="zh-CN"/>
              </w:rPr>
              <w:t>GB</w:t>
            </w:r>
            <w:r>
              <w:rPr>
                <w:rFonts w:hint="eastAsia"/>
                <w:spacing w:val="7"/>
                <w:lang w:eastAsia="zh-CN"/>
              </w:rPr>
              <w:t xml:space="preserve"> 37480）</w:t>
            </w:r>
          </w:p>
        </w:tc>
      </w:tr>
      <w:tr w14:paraId="66F0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282DED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04A444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tcBorders>
            <w:noWrap w:val="0"/>
            <w:vAlign w:val="top"/>
          </w:tcPr>
          <w:p w14:paraId="05B1F3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07286950">
            <w:pPr>
              <w:pStyle w:val="26"/>
              <w:keepNext w:val="0"/>
              <w:keepLines w:val="0"/>
              <w:pageBreakBefore w:val="0"/>
              <w:widowControl w:val="0"/>
              <w:kinsoku/>
              <w:wordWrap/>
              <w:overflowPunct/>
              <w:topLinePunct w:val="0"/>
              <w:autoSpaceDE/>
              <w:autoSpaceDN/>
              <w:bidi w:val="0"/>
              <w:adjustRightInd/>
              <w:snapToGrid/>
              <w:spacing w:before="276" w:line="360" w:lineRule="exact"/>
              <w:ind w:left="19"/>
              <w:textAlignment w:val="auto"/>
              <w:rPr>
                <w:rFonts w:hint="eastAsia"/>
              </w:rPr>
            </w:pPr>
            <w:r>
              <w:rPr>
                <w:rFonts w:hint="eastAsia"/>
                <w:spacing w:val="7"/>
              </w:rPr>
              <w:t>水源热泵机组</w:t>
            </w:r>
          </w:p>
        </w:tc>
        <w:tc>
          <w:tcPr>
            <w:tcW w:w="3957" w:type="dxa"/>
            <w:noWrap w:val="0"/>
            <w:vAlign w:val="top"/>
          </w:tcPr>
          <w:p w14:paraId="586F8885">
            <w:pPr>
              <w:pStyle w:val="26"/>
              <w:keepNext w:val="0"/>
              <w:keepLines w:val="0"/>
              <w:pageBreakBefore w:val="0"/>
              <w:widowControl w:val="0"/>
              <w:kinsoku/>
              <w:wordWrap/>
              <w:overflowPunct/>
              <w:topLinePunct w:val="0"/>
              <w:autoSpaceDE/>
              <w:autoSpaceDN/>
              <w:bidi w:val="0"/>
              <w:adjustRightInd/>
              <w:snapToGrid/>
              <w:spacing w:before="120" w:line="360" w:lineRule="exact"/>
              <w:ind w:left="17" w:right="13" w:firstLine="6"/>
              <w:textAlignment w:val="auto"/>
              <w:rPr>
                <w:rFonts w:hint="eastAsia"/>
                <w:lang w:eastAsia="zh-CN"/>
              </w:rPr>
            </w:pPr>
            <w:r>
              <w:rPr>
                <w:rFonts w:hint="eastAsia"/>
                <w:spacing w:val="5"/>
                <w:lang w:eastAsia="zh-CN"/>
              </w:rPr>
              <w:t>《水（地）源热泵机组能效限定值</w:t>
            </w:r>
            <w:r>
              <w:rPr>
                <w:rFonts w:hint="eastAsia"/>
                <w:lang w:eastAsia="zh-CN"/>
              </w:rPr>
              <w:t xml:space="preserve"> </w:t>
            </w:r>
            <w:r>
              <w:rPr>
                <w:rFonts w:hint="eastAsia"/>
                <w:spacing w:val="7"/>
                <w:lang w:eastAsia="zh-CN"/>
              </w:rPr>
              <w:t>及能效等级》（</w:t>
            </w:r>
            <w:r>
              <w:rPr>
                <w:rFonts w:hint="eastAsia"/>
                <w:lang w:eastAsia="zh-CN"/>
              </w:rPr>
              <w:t>GB</w:t>
            </w:r>
            <w:r>
              <w:rPr>
                <w:rFonts w:hint="eastAsia"/>
                <w:spacing w:val="7"/>
                <w:lang w:eastAsia="zh-CN"/>
              </w:rPr>
              <w:t xml:space="preserve"> 30721）</w:t>
            </w:r>
          </w:p>
        </w:tc>
      </w:tr>
      <w:tr w14:paraId="293AC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4216DB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restart"/>
            <w:tcBorders>
              <w:bottom w:val="nil"/>
            </w:tcBorders>
            <w:noWrap w:val="0"/>
            <w:vAlign w:val="top"/>
          </w:tcPr>
          <w:p w14:paraId="5E3B9F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2037F0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626ACCDA">
            <w:pPr>
              <w:pStyle w:val="26"/>
              <w:keepNext w:val="0"/>
              <w:keepLines w:val="0"/>
              <w:pageBreakBefore w:val="0"/>
              <w:widowControl w:val="0"/>
              <w:kinsoku/>
              <w:wordWrap/>
              <w:overflowPunct/>
              <w:topLinePunct w:val="0"/>
              <w:autoSpaceDE/>
              <w:autoSpaceDN/>
              <w:bidi w:val="0"/>
              <w:adjustRightInd/>
              <w:snapToGrid/>
              <w:spacing w:before="159" w:line="360" w:lineRule="exact"/>
              <w:ind w:left="19" w:right="11" w:firstLine="1"/>
              <w:textAlignment w:val="auto"/>
              <w:rPr>
                <w:rFonts w:hint="eastAsia"/>
                <w:lang w:eastAsia="zh-CN"/>
              </w:rPr>
            </w:pPr>
            <w:r>
              <w:rPr>
                <w:rFonts w:hint="eastAsia"/>
                <w:spacing w:val="18"/>
                <w:lang w:eastAsia="zh-CN"/>
              </w:rPr>
              <w:t>溴化锂吸收式冷水机</w:t>
            </w:r>
            <w:r>
              <w:rPr>
                <w:rFonts w:hint="eastAsia"/>
                <w:lang w:eastAsia="zh-CN"/>
              </w:rPr>
              <w:t>组</w:t>
            </w:r>
          </w:p>
        </w:tc>
        <w:tc>
          <w:tcPr>
            <w:tcW w:w="3957" w:type="dxa"/>
            <w:noWrap w:val="0"/>
            <w:vAlign w:val="top"/>
          </w:tcPr>
          <w:p w14:paraId="279E8E59">
            <w:pPr>
              <w:pStyle w:val="26"/>
              <w:keepNext w:val="0"/>
              <w:keepLines w:val="0"/>
              <w:pageBreakBefore w:val="0"/>
              <w:widowControl w:val="0"/>
              <w:kinsoku/>
              <w:wordWrap/>
              <w:overflowPunct/>
              <w:topLinePunct w:val="0"/>
              <w:autoSpaceDE/>
              <w:autoSpaceDN/>
              <w:bidi w:val="0"/>
              <w:adjustRightInd/>
              <w:snapToGrid/>
              <w:spacing w:before="160" w:line="360" w:lineRule="exact"/>
              <w:ind w:left="22" w:right="11"/>
              <w:textAlignment w:val="auto"/>
              <w:rPr>
                <w:rFonts w:hint="eastAsia"/>
                <w:lang w:eastAsia="zh-CN"/>
              </w:rPr>
            </w:pPr>
            <w:r>
              <w:rPr>
                <w:rFonts w:hint="eastAsia"/>
                <w:spacing w:val="19"/>
                <w:lang w:eastAsia="zh-CN"/>
              </w:rPr>
              <w:t>《溴化锂吸收式冷水机组能效限</w:t>
            </w:r>
            <w:r>
              <w:rPr>
                <w:rFonts w:hint="eastAsia"/>
                <w:spacing w:val="2"/>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29540）</w:t>
            </w:r>
          </w:p>
        </w:tc>
      </w:tr>
      <w:tr w14:paraId="655D0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039A2C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6F2465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restart"/>
            <w:tcBorders>
              <w:bottom w:val="nil"/>
            </w:tcBorders>
            <w:noWrap w:val="0"/>
            <w:vAlign w:val="top"/>
          </w:tcPr>
          <w:p w14:paraId="10F0A9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93852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D8EE1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8CA9E27">
            <w:pPr>
              <w:pStyle w:val="26"/>
              <w:keepNext w:val="0"/>
              <w:keepLines w:val="0"/>
              <w:pageBreakBefore w:val="0"/>
              <w:widowControl w:val="0"/>
              <w:kinsoku/>
              <w:wordWrap/>
              <w:overflowPunct/>
              <w:topLinePunct w:val="0"/>
              <w:autoSpaceDE/>
              <w:autoSpaceDN/>
              <w:bidi w:val="0"/>
              <w:adjustRightInd/>
              <w:snapToGrid/>
              <w:spacing w:before="62" w:line="360" w:lineRule="exact"/>
              <w:ind w:left="17" w:right="10"/>
              <w:textAlignment w:val="auto"/>
              <w:rPr>
                <w:rFonts w:hint="eastAsia"/>
              </w:rPr>
            </w:pPr>
            <w:r>
              <w:rPr>
                <w:rFonts w:hint="eastAsia"/>
                <w:spacing w:val="3"/>
              </w:rPr>
              <w:t>★A02052305 空调机</w:t>
            </w:r>
            <w:r>
              <w:rPr>
                <w:rFonts w:hint="eastAsia"/>
                <w:spacing w:val="12"/>
              </w:rPr>
              <w:t xml:space="preserve"> </w:t>
            </w:r>
            <w:r>
              <w:rPr>
                <w:rFonts w:hint="eastAsia"/>
              </w:rPr>
              <w:t>组</w:t>
            </w:r>
          </w:p>
        </w:tc>
        <w:tc>
          <w:tcPr>
            <w:tcW w:w="1914" w:type="dxa"/>
            <w:noWrap w:val="0"/>
            <w:vAlign w:val="top"/>
          </w:tcPr>
          <w:p w14:paraId="30EA6EB2">
            <w:pPr>
              <w:pStyle w:val="26"/>
              <w:keepNext w:val="0"/>
              <w:keepLines w:val="0"/>
              <w:pageBreakBefore w:val="0"/>
              <w:widowControl w:val="0"/>
              <w:kinsoku/>
              <w:wordWrap/>
              <w:overflowPunct/>
              <w:topLinePunct w:val="0"/>
              <w:autoSpaceDE/>
              <w:autoSpaceDN/>
              <w:bidi w:val="0"/>
              <w:adjustRightInd/>
              <w:snapToGrid/>
              <w:spacing w:before="65" w:line="360" w:lineRule="exact"/>
              <w:ind w:left="15" w:right="11" w:firstLine="10"/>
              <w:textAlignment w:val="auto"/>
              <w:rPr>
                <w:rFonts w:hint="eastAsia"/>
                <w:lang w:eastAsia="zh-CN"/>
              </w:rPr>
            </w:pPr>
            <w:r>
              <w:rPr>
                <w:rFonts w:hint="eastAsia"/>
                <w:spacing w:val="15"/>
                <w:lang w:eastAsia="zh-CN"/>
              </w:rPr>
              <w:t>多联式空调（热泵）</w:t>
            </w:r>
            <w:r>
              <w:rPr>
                <w:rFonts w:hint="eastAsia"/>
                <w:spacing w:val="7"/>
                <w:lang w:eastAsia="zh-CN"/>
              </w:rPr>
              <w:t xml:space="preserve"> </w:t>
            </w:r>
            <w:r>
              <w:rPr>
                <w:rFonts w:hint="eastAsia"/>
                <w:spacing w:val="-8"/>
                <w:lang w:eastAsia="zh-CN"/>
              </w:rPr>
              <w:t>机组(制冷</w:t>
            </w:r>
            <w:r>
              <w:rPr>
                <w:rFonts w:hint="eastAsia"/>
                <w:spacing w:val="5"/>
                <w:lang w:eastAsia="zh-CN"/>
              </w:rPr>
              <w:t>量&gt;14000W)</w:t>
            </w:r>
          </w:p>
        </w:tc>
        <w:tc>
          <w:tcPr>
            <w:tcW w:w="3957" w:type="dxa"/>
            <w:noWrap w:val="0"/>
            <w:vAlign w:val="top"/>
          </w:tcPr>
          <w:p w14:paraId="235F7404">
            <w:pPr>
              <w:pStyle w:val="26"/>
              <w:keepNext w:val="0"/>
              <w:keepLines w:val="0"/>
              <w:pageBreakBefore w:val="0"/>
              <w:widowControl w:val="0"/>
              <w:kinsoku/>
              <w:wordWrap/>
              <w:overflowPunct/>
              <w:topLinePunct w:val="0"/>
              <w:autoSpaceDE/>
              <w:autoSpaceDN/>
              <w:bidi w:val="0"/>
              <w:adjustRightInd/>
              <w:snapToGrid/>
              <w:spacing w:before="221" w:line="360" w:lineRule="exact"/>
              <w:ind w:left="22"/>
              <w:textAlignment w:val="auto"/>
              <w:rPr>
                <w:rFonts w:hint="eastAsia"/>
                <w:lang w:eastAsia="zh-CN"/>
              </w:rPr>
            </w:pPr>
            <w:r>
              <w:rPr>
                <w:rFonts w:hint="eastAsia"/>
                <w:lang w:eastAsia="zh-CN"/>
              </w:rPr>
              <w:t>《多联式空调（热泵）机组能效限</w:t>
            </w:r>
            <w:r>
              <w:rPr>
                <w:rFonts w:hint="eastAsia"/>
                <w:spacing w:val="2"/>
                <w:lang w:eastAsia="zh-CN"/>
              </w:rPr>
              <w:t xml:space="preserve">  </w:t>
            </w:r>
            <w:r>
              <w:rPr>
                <w:rFonts w:hint="eastAsia"/>
                <w:spacing w:val="-4"/>
                <w:lang w:eastAsia="zh-CN"/>
              </w:rPr>
              <w:t>定值及能源效率等级》（GB</w:t>
            </w:r>
            <w:r>
              <w:rPr>
                <w:rFonts w:hint="eastAsia"/>
                <w:spacing w:val="-24"/>
                <w:lang w:eastAsia="zh-CN"/>
              </w:rPr>
              <w:t xml:space="preserve"> </w:t>
            </w:r>
            <w:r>
              <w:rPr>
                <w:rFonts w:hint="eastAsia"/>
                <w:spacing w:val="-4"/>
                <w:lang w:eastAsia="zh-CN"/>
              </w:rPr>
              <w:t>21454）</w:t>
            </w:r>
          </w:p>
        </w:tc>
      </w:tr>
      <w:tr w14:paraId="51049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42AA0D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38ED6D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tcBorders>
            <w:noWrap w:val="0"/>
            <w:vAlign w:val="top"/>
          </w:tcPr>
          <w:p w14:paraId="636EF3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1EECA8E5">
            <w:pPr>
              <w:pStyle w:val="26"/>
              <w:keepNext w:val="0"/>
              <w:keepLines w:val="0"/>
              <w:pageBreakBefore w:val="0"/>
              <w:widowControl w:val="0"/>
              <w:kinsoku/>
              <w:wordWrap/>
              <w:overflowPunct/>
              <w:topLinePunct w:val="0"/>
              <w:autoSpaceDE/>
              <w:autoSpaceDN/>
              <w:bidi w:val="0"/>
              <w:adjustRightInd/>
              <w:snapToGrid/>
              <w:spacing w:before="62" w:line="360" w:lineRule="exact"/>
              <w:ind w:right="11"/>
              <w:textAlignment w:val="auto"/>
              <w:rPr>
                <w:rFonts w:hint="eastAsia"/>
                <w:lang w:eastAsia="zh-CN"/>
              </w:rPr>
            </w:pPr>
            <w:r>
              <w:rPr>
                <w:rFonts w:hint="eastAsia"/>
                <w:spacing w:val="44"/>
                <w:lang w:eastAsia="zh-CN"/>
              </w:rPr>
              <w:t>单元式空气调节机</w:t>
            </w:r>
            <w:r>
              <w:rPr>
                <w:rFonts w:hint="eastAsia"/>
                <w:spacing w:val="2"/>
                <w:lang w:eastAsia="zh-CN"/>
              </w:rPr>
              <w:t>(制冷量&gt;14000W)</w:t>
            </w:r>
          </w:p>
        </w:tc>
        <w:tc>
          <w:tcPr>
            <w:tcW w:w="3957" w:type="dxa"/>
            <w:noWrap w:val="0"/>
            <w:vAlign w:val="top"/>
          </w:tcPr>
          <w:p w14:paraId="7B113099">
            <w:pPr>
              <w:pStyle w:val="26"/>
              <w:keepNext w:val="0"/>
              <w:keepLines w:val="0"/>
              <w:pageBreakBefore w:val="0"/>
              <w:widowControl w:val="0"/>
              <w:kinsoku/>
              <w:wordWrap/>
              <w:overflowPunct/>
              <w:topLinePunct w:val="0"/>
              <w:autoSpaceDE/>
              <w:autoSpaceDN/>
              <w:bidi w:val="0"/>
              <w:adjustRightInd/>
              <w:snapToGrid/>
              <w:spacing w:before="72" w:line="360" w:lineRule="exact"/>
              <w:ind w:left="16" w:right="11" w:firstLine="6"/>
              <w:textAlignment w:val="auto"/>
              <w:rPr>
                <w:rFonts w:hint="eastAsia"/>
                <w:lang w:eastAsia="zh-CN"/>
              </w:rPr>
            </w:pPr>
            <w:r>
              <w:rPr>
                <w:rFonts w:hint="eastAsia"/>
                <w:spacing w:val="19"/>
                <w:lang w:eastAsia="zh-CN"/>
              </w:rPr>
              <w:t>《单元式空气调节机能效限定值</w:t>
            </w:r>
            <w:r>
              <w:rPr>
                <w:rFonts w:hint="eastAsia"/>
                <w:spacing w:val="2"/>
                <w:lang w:eastAsia="zh-CN"/>
              </w:rPr>
              <w:t xml:space="preserve"> </w:t>
            </w:r>
            <w:r>
              <w:rPr>
                <w:rFonts w:hint="eastAsia"/>
                <w:spacing w:val="6"/>
                <w:lang w:eastAsia="zh-CN"/>
              </w:rPr>
              <w:t>及能效等级》（</w:t>
            </w:r>
            <w:r>
              <w:rPr>
                <w:rFonts w:hint="eastAsia"/>
                <w:lang w:eastAsia="zh-CN"/>
              </w:rPr>
              <w:t>GB</w:t>
            </w:r>
            <w:r>
              <w:rPr>
                <w:rFonts w:hint="eastAsia"/>
                <w:spacing w:val="-13"/>
                <w:lang w:eastAsia="zh-CN"/>
              </w:rPr>
              <w:t xml:space="preserve"> </w:t>
            </w:r>
            <w:r>
              <w:rPr>
                <w:rFonts w:hint="eastAsia"/>
                <w:spacing w:val="6"/>
                <w:lang w:eastAsia="zh-CN"/>
              </w:rPr>
              <w:t>19576）《风管</w:t>
            </w:r>
            <w:r>
              <w:rPr>
                <w:rFonts w:hint="eastAsia"/>
                <w:lang w:eastAsia="zh-CN"/>
              </w:rPr>
              <w:t xml:space="preserve"> </w:t>
            </w:r>
            <w:r>
              <w:rPr>
                <w:rFonts w:hint="eastAsia"/>
                <w:spacing w:val="19"/>
                <w:lang w:eastAsia="zh-CN"/>
              </w:rPr>
              <w:t>送风式空调机组能效限定值及能</w:t>
            </w:r>
            <w:r>
              <w:rPr>
                <w:rFonts w:hint="eastAsia"/>
                <w:spacing w:val="9"/>
                <w:lang w:eastAsia="zh-CN"/>
              </w:rPr>
              <w:t xml:space="preserve"> </w:t>
            </w:r>
            <w:r>
              <w:rPr>
                <w:rFonts w:hint="eastAsia"/>
                <w:spacing w:val="7"/>
                <w:lang w:eastAsia="zh-CN"/>
              </w:rPr>
              <w:t>效等级》（</w:t>
            </w:r>
            <w:r>
              <w:rPr>
                <w:rFonts w:hint="eastAsia"/>
                <w:lang w:eastAsia="zh-CN"/>
              </w:rPr>
              <w:t>GB</w:t>
            </w:r>
            <w:r>
              <w:rPr>
                <w:rFonts w:hint="eastAsia"/>
                <w:spacing w:val="7"/>
                <w:lang w:eastAsia="zh-CN"/>
              </w:rPr>
              <w:t xml:space="preserve"> 37479）</w:t>
            </w:r>
          </w:p>
        </w:tc>
      </w:tr>
      <w:tr w14:paraId="70F35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071267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15D95C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3BCE86AF">
            <w:pPr>
              <w:pStyle w:val="26"/>
              <w:keepNext w:val="0"/>
              <w:keepLines w:val="0"/>
              <w:pageBreakBefore w:val="0"/>
              <w:widowControl w:val="0"/>
              <w:kinsoku/>
              <w:wordWrap/>
              <w:overflowPunct/>
              <w:topLinePunct w:val="0"/>
              <w:autoSpaceDE/>
              <w:autoSpaceDN/>
              <w:bidi w:val="0"/>
              <w:adjustRightInd/>
              <w:snapToGrid/>
              <w:spacing w:before="146" w:line="360" w:lineRule="exact"/>
              <w:ind w:left="17" w:right="10" w:firstLine="1"/>
              <w:textAlignment w:val="auto"/>
              <w:rPr>
                <w:rFonts w:hint="eastAsia"/>
                <w:lang w:eastAsia="zh-CN"/>
              </w:rPr>
            </w:pPr>
            <w:r>
              <w:rPr>
                <w:rFonts w:hint="eastAsia"/>
                <w:spacing w:val="3"/>
                <w:lang w:eastAsia="zh-CN"/>
              </w:rPr>
              <w:t>★A02052309 专用制</w:t>
            </w:r>
            <w:r>
              <w:rPr>
                <w:rFonts w:hint="eastAsia"/>
                <w:spacing w:val="12"/>
                <w:lang w:eastAsia="zh-CN"/>
              </w:rPr>
              <w:t xml:space="preserve"> </w:t>
            </w:r>
            <w:r>
              <w:rPr>
                <w:rFonts w:hint="eastAsia"/>
                <w:spacing w:val="8"/>
                <w:lang w:eastAsia="zh-CN"/>
              </w:rPr>
              <w:t>冷、空调设备</w:t>
            </w:r>
          </w:p>
        </w:tc>
        <w:tc>
          <w:tcPr>
            <w:tcW w:w="1914" w:type="dxa"/>
            <w:noWrap w:val="0"/>
            <w:vAlign w:val="top"/>
          </w:tcPr>
          <w:p w14:paraId="5387DA9E">
            <w:pPr>
              <w:pStyle w:val="26"/>
              <w:keepNext w:val="0"/>
              <w:keepLines w:val="0"/>
              <w:pageBreakBefore w:val="0"/>
              <w:widowControl w:val="0"/>
              <w:kinsoku/>
              <w:wordWrap/>
              <w:overflowPunct/>
              <w:topLinePunct w:val="0"/>
              <w:autoSpaceDE/>
              <w:autoSpaceDN/>
              <w:bidi w:val="0"/>
              <w:adjustRightInd/>
              <w:snapToGrid/>
              <w:spacing w:before="300" w:line="360" w:lineRule="exact"/>
              <w:ind w:left="15"/>
              <w:textAlignment w:val="auto"/>
              <w:rPr>
                <w:rFonts w:hint="eastAsia"/>
              </w:rPr>
            </w:pPr>
            <w:r>
              <w:rPr>
                <w:rFonts w:hint="eastAsia"/>
                <w:spacing w:val="7"/>
              </w:rPr>
              <w:t>机房空调</w:t>
            </w:r>
          </w:p>
        </w:tc>
        <w:tc>
          <w:tcPr>
            <w:tcW w:w="3957" w:type="dxa"/>
            <w:noWrap w:val="0"/>
            <w:vAlign w:val="top"/>
          </w:tcPr>
          <w:p w14:paraId="0CEA6D6C">
            <w:pPr>
              <w:pStyle w:val="26"/>
              <w:keepNext w:val="0"/>
              <w:keepLines w:val="0"/>
              <w:pageBreakBefore w:val="0"/>
              <w:widowControl w:val="0"/>
              <w:kinsoku/>
              <w:wordWrap/>
              <w:overflowPunct/>
              <w:topLinePunct w:val="0"/>
              <w:autoSpaceDE/>
              <w:autoSpaceDN/>
              <w:bidi w:val="0"/>
              <w:adjustRightInd/>
              <w:snapToGrid/>
              <w:spacing w:before="146" w:line="360" w:lineRule="exact"/>
              <w:ind w:left="17" w:right="11" w:firstLine="6"/>
              <w:textAlignment w:val="auto"/>
              <w:rPr>
                <w:rFonts w:hint="eastAsia"/>
                <w:lang w:eastAsia="zh-CN"/>
              </w:rPr>
            </w:pPr>
            <w:r>
              <w:rPr>
                <w:rFonts w:hint="eastAsia"/>
                <w:spacing w:val="19"/>
                <w:lang w:eastAsia="zh-CN"/>
              </w:rPr>
              <w:t>《单元式空气调节机能效限定值</w:t>
            </w:r>
            <w:r>
              <w:rPr>
                <w:rFonts w:hint="eastAsia"/>
                <w:spacing w:val="2"/>
                <w:lang w:eastAsia="zh-CN"/>
              </w:rPr>
              <w:t xml:space="preserve"> </w:t>
            </w:r>
            <w:r>
              <w:rPr>
                <w:rFonts w:hint="eastAsia"/>
                <w:spacing w:val="5"/>
                <w:lang w:eastAsia="zh-CN"/>
              </w:rPr>
              <w:t>及能效等级》（</w:t>
            </w:r>
            <w:r>
              <w:rPr>
                <w:rFonts w:hint="eastAsia"/>
                <w:lang w:eastAsia="zh-CN"/>
              </w:rPr>
              <w:t>GB</w:t>
            </w:r>
            <w:r>
              <w:rPr>
                <w:rFonts w:hint="eastAsia"/>
                <w:spacing w:val="39"/>
                <w:lang w:eastAsia="zh-CN"/>
              </w:rPr>
              <w:t xml:space="preserve"> </w:t>
            </w:r>
            <w:r>
              <w:rPr>
                <w:rFonts w:hint="eastAsia"/>
                <w:spacing w:val="5"/>
                <w:lang w:eastAsia="zh-CN"/>
              </w:rPr>
              <w:t>19576）</w:t>
            </w:r>
          </w:p>
        </w:tc>
      </w:tr>
      <w:tr w14:paraId="75730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1F7334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33D6A7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0A37FE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24610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EC930ED">
            <w:pPr>
              <w:pStyle w:val="26"/>
              <w:keepNext w:val="0"/>
              <w:keepLines w:val="0"/>
              <w:pageBreakBefore w:val="0"/>
              <w:widowControl w:val="0"/>
              <w:kinsoku/>
              <w:wordWrap/>
              <w:overflowPunct/>
              <w:topLinePunct w:val="0"/>
              <w:autoSpaceDE/>
              <w:autoSpaceDN/>
              <w:bidi w:val="0"/>
              <w:adjustRightInd/>
              <w:snapToGrid/>
              <w:spacing w:before="62" w:line="360" w:lineRule="exact"/>
              <w:ind w:left="9"/>
              <w:textAlignment w:val="auto"/>
              <w:rPr>
                <w:rFonts w:hint="eastAsia"/>
              </w:rPr>
            </w:pPr>
            <w:r>
              <w:rPr>
                <w:rFonts w:hint="eastAsia"/>
                <w:spacing w:val="4"/>
              </w:rPr>
              <w:t>A02052399 其他制冷</w:t>
            </w:r>
          </w:p>
          <w:p w14:paraId="483793E3">
            <w:pPr>
              <w:pStyle w:val="26"/>
              <w:keepNext w:val="0"/>
              <w:keepLines w:val="0"/>
              <w:pageBreakBefore w:val="0"/>
              <w:widowControl w:val="0"/>
              <w:kinsoku/>
              <w:wordWrap/>
              <w:overflowPunct/>
              <w:topLinePunct w:val="0"/>
              <w:autoSpaceDE/>
              <w:autoSpaceDN/>
              <w:bidi w:val="0"/>
              <w:adjustRightInd/>
              <w:snapToGrid/>
              <w:spacing w:before="75" w:line="360" w:lineRule="exact"/>
              <w:ind w:left="21"/>
              <w:textAlignment w:val="auto"/>
              <w:rPr>
                <w:rFonts w:hint="eastAsia"/>
              </w:rPr>
            </w:pPr>
            <w:r>
              <w:rPr>
                <w:rFonts w:hint="eastAsia"/>
                <w:spacing w:val="5"/>
              </w:rPr>
              <w:t>空调设备</w:t>
            </w:r>
          </w:p>
        </w:tc>
        <w:tc>
          <w:tcPr>
            <w:tcW w:w="1914" w:type="dxa"/>
            <w:noWrap w:val="0"/>
            <w:vAlign w:val="top"/>
          </w:tcPr>
          <w:p w14:paraId="290F80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5D140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AAA4DC5">
            <w:pPr>
              <w:pStyle w:val="26"/>
              <w:keepNext w:val="0"/>
              <w:keepLines w:val="0"/>
              <w:pageBreakBefore w:val="0"/>
              <w:widowControl w:val="0"/>
              <w:kinsoku/>
              <w:wordWrap/>
              <w:overflowPunct/>
              <w:topLinePunct w:val="0"/>
              <w:autoSpaceDE/>
              <w:autoSpaceDN/>
              <w:bidi w:val="0"/>
              <w:adjustRightInd/>
              <w:snapToGrid/>
              <w:spacing w:before="62" w:line="360" w:lineRule="exact"/>
              <w:ind w:left="18"/>
              <w:textAlignment w:val="auto"/>
              <w:rPr>
                <w:rFonts w:hint="eastAsia"/>
              </w:rPr>
            </w:pPr>
            <w:r>
              <w:rPr>
                <w:rFonts w:hint="eastAsia"/>
                <w:spacing w:val="6"/>
              </w:rPr>
              <w:t>冷却塔</w:t>
            </w:r>
          </w:p>
        </w:tc>
        <w:tc>
          <w:tcPr>
            <w:tcW w:w="3957" w:type="dxa"/>
            <w:noWrap w:val="0"/>
            <w:vAlign w:val="top"/>
          </w:tcPr>
          <w:p w14:paraId="70DE2AAF">
            <w:pPr>
              <w:pStyle w:val="26"/>
              <w:keepNext w:val="0"/>
              <w:keepLines w:val="0"/>
              <w:pageBreakBefore w:val="0"/>
              <w:widowControl w:val="0"/>
              <w:kinsoku/>
              <w:wordWrap/>
              <w:overflowPunct/>
              <w:topLinePunct w:val="0"/>
              <w:autoSpaceDE/>
              <w:autoSpaceDN/>
              <w:bidi w:val="0"/>
              <w:adjustRightInd/>
              <w:snapToGrid/>
              <w:spacing w:before="284" w:line="360" w:lineRule="exact"/>
              <w:ind w:left="23"/>
              <w:textAlignment w:val="auto"/>
              <w:rPr>
                <w:rFonts w:hint="eastAsia"/>
                <w:lang w:eastAsia="zh-CN"/>
              </w:rPr>
            </w:pPr>
            <w:r>
              <w:rPr>
                <w:rFonts w:hint="eastAsia"/>
                <w:spacing w:val="2"/>
                <w:lang w:eastAsia="zh-CN"/>
              </w:rPr>
              <w:t>《机械通风冷却塔 第 1 部分：中</w:t>
            </w:r>
            <w:r>
              <w:rPr>
                <w:rFonts w:hint="eastAsia"/>
                <w:spacing w:val="3"/>
                <w:lang w:eastAsia="zh-CN"/>
              </w:rPr>
              <w:t xml:space="preserve"> </w:t>
            </w:r>
            <w:r>
              <w:rPr>
                <w:rFonts w:hint="eastAsia"/>
                <w:spacing w:val="-6"/>
                <w:lang w:eastAsia="zh-CN"/>
              </w:rPr>
              <w:t>小型开式冷却塔》（GB</w:t>
            </w:r>
            <w:r>
              <w:rPr>
                <w:rFonts w:hint="eastAsia"/>
                <w:spacing w:val="-36"/>
                <w:lang w:eastAsia="zh-CN"/>
              </w:rPr>
              <w:t xml:space="preserve"> </w:t>
            </w:r>
            <w:r>
              <w:rPr>
                <w:rFonts w:hint="eastAsia"/>
                <w:spacing w:val="-6"/>
                <w:lang w:eastAsia="zh-CN"/>
              </w:rPr>
              <w:t>/T</w:t>
            </w:r>
            <w:r>
              <w:rPr>
                <w:rFonts w:hint="eastAsia"/>
                <w:spacing w:val="-31"/>
                <w:lang w:eastAsia="zh-CN"/>
              </w:rPr>
              <w:t xml:space="preserve"> </w:t>
            </w:r>
            <w:r>
              <w:rPr>
                <w:rFonts w:hint="eastAsia"/>
                <w:spacing w:val="-6"/>
                <w:lang w:eastAsia="zh-CN"/>
              </w:rPr>
              <w:t>7190.1</w:t>
            </w:r>
            <w:r>
              <w:rPr>
                <w:rFonts w:hint="eastAsia"/>
                <w:spacing w:val="-49"/>
                <w:w w:val="97"/>
                <w:lang w:eastAsia="zh-CN"/>
              </w:rPr>
              <w:t>）；</w:t>
            </w:r>
            <w:r>
              <w:rPr>
                <w:rFonts w:hint="eastAsia"/>
                <w:lang w:eastAsia="zh-CN"/>
              </w:rPr>
              <w:t xml:space="preserve"> </w:t>
            </w:r>
            <w:r>
              <w:rPr>
                <w:rFonts w:hint="eastAsia"/>
                <w:spacing w:val="2"/>
                <w:lang w:eastAsia="zh-CN"/>
              </w:rPr>
              <w:t>《机械通风冷却塔 第 2 部分：大</w:t>
            </w:r>
            <w:r>
              <w:rPr>
                <w:rFonts w:hint="eastAsia"/>
                <w:spacing w:val="3"/>
                <w:lang w:eastAsia="zh-CN"/>
              </w:rPr>
              <w:t xml:space="preserve"> </w:t>
            </w:r>
            <w:r>
              <w:rPr>
                <w:rFonts w:hint="eastAsia"/>
                <w:spacing w:val="4"/>
                <w:lang w:eastAsia="zh-CN"/>
              </w:rPr>
              <w:t>型开式冷却塔》（</w:t>
            </w:r>
            <w:r>
              <w:rPr>
                <w:rFonts w:hint="eastAsia"/>
                <w:lang w:eastAsia="zh-CN"/>
              </w:rPr>
              <w:t>GB</w:t>
            </w:r>
            <w:r>
              <w:rPr>
                <w:rFonts w:hint="eastAsia"/>
                <w:spacing w:val="4"/>
                <w:lang w:eastAsia="zh-CN"/>
              </w:rPr>
              <w:t xml:space="preserve"> /T 7190.2）</w:t>
            </w:r>
          </w:p>
        </w:tc>
      </w:tr>
      <w:tr w14:paraId="76C17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67A9021E">
            <w:pPr>
              <w:pStyle w:val="26"/>
              <w:keepNext w:val="0"/>
              <w:keepLines w:val="0"/>
              <w:pageBreakBefore w:val="0"/>
              <w:widowControl w:val="0"/>
              <w:kinsoku/>
              <w:wordWrap/>
              <w:overflowPunct/>
              <w:topLinePunct w:val="0"/>
              <w:autoSpaceDE/>
              <w:autoSpaceDN/>
              <w:bidi w:val="0"/>
              <w:adjustRightInd/>
              <w:snapToGrid/>
              <w:spacing w:before="272" w:line="360" w:lineRule="exact"/>
              <w:ind w:left="247"/>
              <w:textAlignment w:val="auto"/>
              <w:rPr>
                <w:rFonts w:hint="eastAsia"/>
              </w:rPr>
            </w:pPr>
            <w:r>
              <w:rPr>
                <w:rFonts w:hint="eastAsia"/>
                <w:position w:val="1"/>
              </w:rPr>
              <w:t>7</w:t>
            </w:r>
          </w:p>
        </w:tc>
        <w:tc>
          <w:tcPr>
            <w:tcW w:w="1166" w:type="dxa"/>
            <w:noWrap w:val="0"/>
            <w:vAlign w:val="top"/>
          </w:tcPr>
          <w:p w14:paraId="2C4412F3">
            <w:pPr>
              <w:pStyle w:val="26"/>
              <w:keepNext w:val="0"/>
              <w:keepLines w:val="0"/>
              <w:pageBreakBefore w:val="0"/>
              <w:widowControl w:val="0"/>
              <w:kinsoku/>
              <w:wordWrap/>
              <w:overflowPunct/>
              <w:topLinePunct w:val="0"/>
              <w:autoSpaceDE/>
              <w:autoSpaceDN/>
              <w:bidi w:val="0"/>
              <w:adjustRightInd/>
              <w:snapToGrid/>
              <w:spacing w:before="273" w:line="360" w:lineRule="exact"/>
              <w:ind w:left="9"/>
              <w:textAlignment w:val="auto"/>
              <w:rPr>
                <w:rFonts w:hint="eastAsia"/>
              </w:rPr>
            </w:pPr>
            <w:r>
              <w:rPr>
                <w:rFonts w:hint="eastAsia"/>
                <w:spacing w:val="3"/>
              </w:rPr>
              <w:t>A020601</w:t>
            </w:r>
            <w:r>
              <w:rPr>
                <w:rFonts w:hint="eastAsia"/>
                <w:spacing w:val="-19"/>
              </w:rPr>
              <w:t xml:space="preserve"> </w:t>
            </w:r>
            <w:r>
              <w:rPr>
                <w:rFonts w:hint="eastAsia"/>
                <w:spacing w:val="3"/>
              </w:rPr>
              <w:t>电机</w:t>
            </w:r>
          </w:p>
        </w:tc>
        <w:tc>
          <w:tcPr>
            <w:tcW w:w="1799" w:type="dxa"/>
            <w:noWrap w:val="0"/>
            <w:vAlign w:val="top"/>
          </w:tcPr>
          <w:p w14:paraId="53CFA9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701679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5D2781C6">
            <w:pPr>
              <w:pStyle w:val="26"/>
              <w:keepNext w:val="0"/>
              <w:keepLines w:val="0"/>
              <w:pageBreakBefore w:val="0"/>
              <w:widowControl w:val="0"/>
              <w:kinsoku/>
              <w:wordWrap/>
              <w:overflowPunct/>
              <w:topLinePunct w:val="0"/>
              <w:autoSpaceDE/>
              <w:autoSpaceDN/>
              <w:bidi w:val="0"/>
              <w:adjustRightInd/>
              <w:snapToGrid/>
              <w:spacing w:before="116" w:line="360" w:lineRule="exact"/>
              <w:ind w:left="22" w:right="11"/>
              <w:textAlignment w:val="auto"/>
              <w:rPr>
                <w:rFonts w:hint="eastAsia"/>
                <w:lang w:eastAsia="zh-CN"/>
              </w:rPr>
            </w:pPr>
            <w:r>
              <w:rPr>
                <w:rFonts w:hint="eastAsia"/>
                <w:spacing w:val="19"/>
                <w:lang w:eastAsia="zh-CN"/>
              </w:rPr>
              <w:t>《中小型三相异步电动机能效限</w:t>
            </w:r>
            <w:r>
              <w:rPr>
                <w:rFonts w:hint="eastAsia"/>
                <w:spacing w:val="2"/>
                <w:lang w:eastAsia="zh-CN"/>
              </w:rPr>
              <w:t xml:space="preserve"> </w:t>
            </w:r>
            <w:r>
              <w:rPr>
                <w:rFonts w:hint="eastAsia"/>
                <w:spacing w:val="5"/>
                <w:lang w:eastAsia="zh-CN"/>
              </w:rPr>
              <w:t>定值及能效等级》（</w:t>
            </w:r>
            <w:r>
              <w:rPr>
                <w:rFonts w:hint="eastAsia"/>
                <w:lang w:eastAsia="zh-CN"/>
              </w:rPr>
              <w:t>GB</w:t>
            </w:r>
            <w:r>
              <w:rPr>
                <w:rFonts w:hint="eastAsia"/>
                <w:spacing w:val="42"/>
                <w:lang w:eastAsia="zh-CN"/>
              </w:rPr>
              <w:t xml:space="preserve"> </w:t>
            </w:r>
            <w:r>
              <w:rPr>
                <w:rFonts w:hint="eastAsia"/>
                <w:spacing w:val="5"/>
                <w:lang w:eastAsia="zh-CN"/>
              </w:rPr>
              <w:t>18613）</w:t>
            </w:r>
          </w:p>
        </w:tc>
      </w:tr>
      <w:tr w14:paraId="4EA38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090578E3">
            <w:pPr>
              <w:pStyle w:val="26"/>
              <w:keepNext w:val="0"/>
              <w:keepLines w:val="0"/>
              <w:pageBreakBefore w:val="0"/>
              <w:widowControl w:val="0"/>
              <w:kinsoku/>
              <w:wordWrap/>
              <w:overflowPunct/>
              <w:topLinePunct w:val="0"/>
              <w:autoSpaceDE/>
              <w:autoSpaceDN/>
              <w:bidi w:val="0"/>
              <w:adjustRightInd/>
              <w:snapToGrid/>
              <w:spacing w:before="251" w:line="360" w:lineRule="exact"/>
              <w:ind w:left="243"/>
              <w:textAlignment w:val="auto"/>
              <w:rPr>
                <w:rFonts w:hint="eastAsia"/>
              </w:rPr>
            </w:pPr>
            <w:r>
              <w:rPr>
                <w:rFonts w:hint="eastAsia"/>
                <w:position w:val="1"/>
              </w:rPr>
              <w:t>8</w:t>
            </w:r>
          </w:p>
        </w:tc>
        <w:tc>
          <w:tcPr>
            <w:tcW w:w="1166" w:type="dxa"/>
            <w:noWrap w:val="0"/>
            <w:vAlign w:val="top"/>
          </w:tcPr>
          <w:p w14:paraId="2C8DBF5A">
            <w:pPr>
              <w:pStyle w:val="26"/>
              <w:keepNext w:val="0"/>
              <w:keepLines w:val="0"/>
              <w:pageBreakBefore w:val="0"/>
              <w:widowControl w:val="0"/>
              <w:kinsoku/>
              <w:wordWrap/>
              <w:overflowPunct/>
              <w:topLinePunct w:val="0"/>
              <w:autoSpaceDE/>
              <w:autoSpaceDN/>
              <w:bidi w:val="0"/>
              <w:adjustRightInd/>
              <w:snapToGrid/>
              <w:spacing w:before="96" w:line="360" w:lineRule="exact"/>
              <w:ind w:left="15" w:right="8" w:hanging="6"/>
              <w:textAlignment w:val="auto"/>
              <w:rPr>
                <w:rFonts w:hint="eastAsia"/>
              </w:rPr>
            </w:pPr>
            <w:r>
              <w:rPr>
                <w:rFonts w:hint="eastAsia"/>
                <w:spacing w:val="5"/>
              </w:rPr>
              <w:t>A020602</w:t>
            </w:r>
            <w:r>
              <w:rPr>
                <w:rFonts w:hint="eastAsia"/>
                <w:spacing w:val="-43"/>
              </w:rPr>
              <w:t xml:space="preserve"> </w:t>
            </w:r>
            <w:r>
              <w:rPr>
                <w:rFonts w:hint="eastAsia"/>
                <w:spacing w:val="5"/>
              </w:rPr>
              <w:t>变压</w:t>
            </w:r>
            <w:r>
              <w:rPr>
                <w:rFonts w:hint="eastAsia"/>
              </w:rPr>
              <w:t xml:space="preserve"> </w:t>
            </w:r>
            <w:r>
              <w:rPr>
                <w:rFonts w:hint="eastAsia"/>
                <w:spacing w:val="1"/>
              </w:rPr>
              <w:t>器</w:t>
            </w:r>
          </w:p>
        </w:tc>
        <w:tc>
          <w:tcPr>
            <w:tcW w:w="1799" w:type="dxa"/>
            <w:noWrap w:val="0"/>
            <w:vAlign w:val="top"/>
          </w:tcPr>
          <w:p w14:paraId="5717A0DE">
            <w:pPr>
              <w:pStyle w:val="26"/>
              <w:keepNext w:val="0"/>
              <w:keepLines w:val="0"/>
              <w:pageBreakBefore w:val="0"/>
              <w:widowControl w:val="0"/>
              <w:kinsoku/>
              <w:wordWrap/>
              <w:overflowPunct/>
              <w:topLinePunct w:val="0"/>
              <w:autoSpaceDE/>
              <w:autoSpaceDN/>
              <w:bidi w:val="0"/>
              <w:adjustRightInd/>
              <w:snapToGrid/>
              <w:spacing w:before="252" w:line="360" w:lineRule="exact"/>
              <w:ind w:left="15"/>
              <w:textAlignment w:val="auto"/>
              <w:rPr>
                <w:rFonts w:hint="eastAsia"/>
              </w:rPr>
            </w:pPr>
            <w:r>
              <w:rPr>
                <w:rFonts w:hint="eastAsia"/>
                <w:spacing w:val="8"/>
              </w:rPr>
              <w:t>配电变压器</w:t>
            </w:r>
          </w:p>
        </w:tc>
        <w:tc>
          <w:tcPr>
            <w:tcW w:w="1914" w:type="dxa"/>
            <w:noWrap w:val="0"/>
            <w:vAlign w:val="top"/>
          </w:tcPr>
          <w:p w14:paraId="4536AC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460A7C35">
            <w:pPr>
              <w:pStyle w:val="26"/>
              <w:keepNext w:val="0"/>
              <w:keepLines w:val="0"/>
              <w:pageBreakBefore w:val="0"/>
              <w:widowControl w:val="0"/>
              <w:kinsoku/>
              <w:wordWrap/>
              <w:overflowPunct/>
              <w:topLinePunct w:val="0"/>
              <w:autoSpaceDE/>
              <w:autoSpaceDN/>
              <w:bidi w:val="0"/>
              <w:adjustRightInd/>
              <w:snapToGrid/>
              <w:spacing w:before="96" w:line="360" w:lineRule="exact"/>
              <w:ind w:left="25" w:right="11" w:hanging="2"/>
              <w:textAlignment w:val="auto"/>
              <w:rPr>
                <w:rFonts w:hint="eastAsia"/>
                <w:lang w:eastAsia="zh-CN"/>
              </w:rPr>
            </w:pPr>
            <w:r>
              <w:rPr>
                <w:rFonts w:hint="eastAsia"/>
                <w:spacing w:val="19"/>
                <w:lang w:eastAsia="zh-CN"/>
              </w:rPr>
              <w:t>《三相配电变压器能效限定值及</w:t>
            </w:r>
            <w:r>
              <w:rPr>
                <w:rFonts w:hint="eastAsia"/>
                <w:spacing w:val="2"/>
                <w:lang w:eastAsia="zh-CN"/>
              </w:rPr>
              <w:t xml:space="preserve"> </w:t>
            </w:r>
            <w:r>
              <w:rPr>
                <w:rFonts w:hint="eastAsia"/>
                <w:spacing w:val="6"/>
                <w:lang w:eastAsia="zh-CN"/>
              </w:rPr>
              <w:t>能效等级》（</w:t>
            </w:r>
            <w:r>
              <w:rPr>
                <w:rFonts w:hint="eastAsia"/>
                <w:lang w:eastAsia="zh-CN"/>
              </w:rPr>
              <w:t>GB</w:t>
            </w:r>
            <w:r>
              <w:rPr>
                <w:rFonts w:hint="eastAsia"/>
                <w:spacing w:val="6"/>
                <w:lang w:eastAsia="zh-CN"/>
              </w:rPr>
              <w:t xml:space="preserve"> 20052）</w:t>
            </w:r>
          </w:p>
        </w:tc>
      </w:tr>
      <w:tr w14:paraId="1B0F8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7F56FB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B717E21">
            <w:pPr>
              <w:pStyle w:val="26"/>
              <w:keepNext w:val="0"/>
              <w:keepLines w:val="0"/>
              <w:pageBreakBefore w:val="0"/>
              <w:widowControl w:val="0"/>
              <w:kinsoku/>
              <w:wordWrap/>
              <w:overflowPunct/>
              <w:topLinePunct w:val="0"/>
              <w:autoSpaceDE/>
              <w:autoSpaceDN/>
              <w:bidi w:val="0"/>
              <w:adjustRightInd/>
              <w:snapToGrid/>
              <w:spacing w:before="62" w:line="360" w:lineRule="exact"/>
              <w:ind w:left="243"/>
              <w:textAlignment w:val="auto"/>
              <w:rPr>
                <w:rFonts w:hint="eastAsia"/>
              </w:rPr>
            </w:pPr>
            <w:r>
              <w:rPr>
                <w:rFonts w:hint="eastAsia"/>
                <w:position w:val="1"/>
              </w:rPr>
              <w:t>9</w:t>
            </w:r>
          </w:p>
        </w:tc>
        <w:tc>
          <w:tcPr>
            <w:tcW w:w="1166" w:type="dxa"/>
            <w:noWrap w:val="0"/>
            <w:vAlign w:val="top"/>
          </w:tcPr>
          <w:p w14:paraId="1A731DAB">
            <w:pPr>
              <w:pStyle w:val="26"/>
              <w:keepNext w:val="0"/>
              <w:keepLines w:val="0"/>
              <w:pageBreakBefore w:val="0"/>
              <w:widowControl w:val="0"/>
              <w:kinsoku/>
              <w:wordWrap/>
              <w:overflowPunct/>
              <w:topLinePunct w:val="0"/>
              <w:autoSpaceDE/>
              <w:autoSpaceDN/>
              <w:bidi w:val="0"/>
              <w:adjustRightInd/>
              <w:snapToGrid/>
              <w:spacing w:before="192" w:line="360" w:lineRule="exact"/>
              <w:ind w:left="16" w:right="8" w:firstLine="2"/>
              <w:textAlignment w:val="auto"/>
              <w:rPr>
                <w:rFonts w:hint="eastAsia"/>
              </w:rPr>
            </w:pPr>
            <w:r>
              <w:rPr>
                <w:rFonts w:hint="eastAsia"/>
                <w:spacing w:val="4"/>
              </w:rPr>
              <w:t>★A020609</w:t>
            </w:r>
            <w:r>
              <w:rPr>
                <w:rFonts w:hint="eastAsia"/>
                <w:spacing w:val="-43"/>
              </w:rPr>
              <w:t xml:space="preserve"> </w:t>
            </w:r>
            <w:r>
              <w:rPr>
                <w:rFonts w:hint="eastAsia"/>
                <w:spacing w:val="4"/>
              </w:rPr>
              <w:t>镇</w:t>
            </w:r>
            <w:r>
              <w:rPr>
                <w:rFonts w:hint="eastAsia"/>
              </w:rPr>
              <w:t xml:space="preserve"> </w:t>
            </w:r>
            <w:r>
              <w:rPr>
                <w:rFonts w:hint="eastAsia"/>
                <w:spacing w:val="4"/>
              </w:rPr>
              <w:t>流器</w:t>
            </w:r>
          </w:p>
        </w:tc>
        <w:tc>
          <w:tcPr>
            <w:tcW w:w="1799" w:type="dxa"/>
            <w:noWrap w:val="0"/>
            <w:vAlign w:val="top"/>
          </w:tcPr>
          <w:p w14:paraId="25C1D3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393349A">
            <w:pPr>
              <w:pStyle w:val="26"/>
              <w:keepNext w:val="0"/>
              <w:keepLines w:val="0"/>
              <w:pageBreakBefore w:val="0"/>
              <w:widowControl w:val="0"/>
              <w:kinsoku/>
              <w:wordWrap/>
              <w:overflowPunct/>
              <w:topLinePunct w:val="0"/>
              <w:autoSpaceDE/>
              <w:autoSpaceDN/>
              <w:bidi w:val="0"/>
              <w:adjustRightInd/>
              <w:snapToGrid/>
              <w:spacing w:before="62" w:line="360" w:lineRule="exact"/>
              <w:ind w:left="19"/>
              <w:textAlignment w:val="auto"/>
              <w:rPr>
                <w:rFonts w:hint="eastAsia"/>
              </w:rPr>
            </w:pPr>
            <w:r>
              <w:rPr>
                <w:rFonts w:hint="eastAsia"/>
                <w:spacing w:val="8"/>
              </w:rPr>
              <w:t>管型荧光灯镇流器</w:t>
            </w:r>
          </w:p>
        </w:tc>
        <w:tc>
          <w:tcPr>
            <w:tcW w:w="1914" w:type="dxa"/>
            <w:noWrap w:val="0"/>
            <w:vAlign w:val="top"/>
          </w:tcPr>
          <w:p w14:paraId="4002F8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2159BE74">
            <w:pPr>
              <w:pStyle w:val="26"/>
              <w:keepNext w:val="0"/>
              <w:keepLines w:val="0"/>
              <w:pageBreakBefore w:val="0"/>
              <w:widowControl w:val="0"/>
              <w:kinsoku/>
              <w:wordWrap/>
              <w:overflowPunct/>
              <w:topLinePunct w:val="0"/>
              <w:autoSpaceDE/>
              <w:autoSpaceDN/>
              <w:bidi w:val="0"/>
              <w:adjustRightInd/>
              <w:snapToGrid/>
              <w:spacing w:before="192" w:line="360" w:lineRule="exact"/>
              <w:ind w:left="17" w:right="11" w:firstLine="6"/>
              <w:textAlignment w:val="auto"/>
              <w:rPr>
                <w:rFonts w:hint="eastAsia"/>
                <w:lang w:eastAsia="zh-CN"/>
              </w:rPr>
            </w:pPr>
            <w:r>
              <w:rPr>
                <w:rFonts w:hint="eastAsia"/>
                <w:spacing w:val="19"/>
                <w:lang w:eastAsia="zh-CN"/>
              </w:rPr>
              <w:t>《管形荧光灯镇流器能效限定值</w:t>
            </w:r>
            <w:r>
              <w:rPr>
                <w:rFonts w:hint="eastAsia"/>
                <w:spacing w:val="2"/>
                <w:lang w:eastAsia="zh-CN"/>
              </w:rPr>
              <w:t xml:space="preserve"> </w:t>
            </w:r>
            <w:r>
              <w:rPr>
                <w:rFonts w:hint="eastAsia"/>
                <w:spacing w:val="5"/>
                <w:lang w:eastAsia="zh-CN"/>
              </w:rPr>
              <w:t>及能效等级》（</w:t>
            </w:r>
            <w:r>
              <w:rPr>
                <w:rFonts w:hint="eastAsia"/>
                <w:lang w:eastAsia="zh-CN"/>
              </w:rPr>
              <w:t>GB</w:t>
            </w:r>
            <w:r>
              <w:rPr>
                <w:rFonts w:hint="eastAsia"/>
                <w:spacing w:val="39"/>
                <w:lang w:eastAsia="zh-CN"/>
              </w:rPr>
              <w:t xml:space="preserve"> </w:t>
            </w:r>
            <w:r>
              <w:rPr>
                <w:rFonts w:hint="eastAsia"/>
                <w:spacing w:val="5"/>
                <w:lang w:eastAsia="zh-CN"/>
              </w:rPr>
              <w:t>17896）</w:t>
            </w:r>
          </w:p>
        </w:tc>
      </w:tr>
      <w:tr w14:paraId="38E9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67C8A4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EFFE3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E0C37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2AB59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00AAD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09CFC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10B71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723BC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7B6AF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F89B8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3DF27FC">
            <w:pPr>
              <w:pStyle w:val="26"/>
              <w:keepNext w:val="0"/>
              <w:keepLines w:val="0"/>
              <w:pageBreakBefore w:val="0"/>
              <w:widowControl w:val="0"/>
              <w:kinsoku/>
              <w:wordWrap/>
              <w:overflowPunct/>
              <w:topLinePunct w:val="0"/>
              <w:autoSpaceDE/>
              <w:autoSpaceDN/>
              <w:bidi w:val="0"/>
              <w:adjustRightInd/>
              <w:snapToGrid/>
              <w:spacing w:before="62" w:line="360" w:lineRule="exact"/>
              <w:ind w:left="209"/>
              <w:textAlignment w:val="auto"/>
              <w:rPr>
                <w:rFonts w:hint="eastAsia"/>
              </w:rPr>
            </w:pPr>
            <w:r>
              <w:rPr>
                <w:rFonts w:hint="eastAsia"/>
                <w:spacing w:val="-7"/>
                <w:position w:val="1"/>
              </w:rPr>
              <w:t>10</w:t>
            </w:r>
          </w:p>
        </w:tc>
        <w:tc>
          <w:tcPr>
            <w:tcW w:w="1166" w:type="dxa"/>
            <w:vMerge w:val="restart"/>
            <w:tcBorders>
              <w:bottom w:val="nil"/>
            </w:tcBorders>
            <w:noWrap w:val="0"/>
            <w:vAlign w:val="top"/>
          </w:tcPr>
          <w:p w14:paraId="549C18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A8998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69AD3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896EA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E88FD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CDE56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D08C6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26092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5CF20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95625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A942206">
            <w:pPr>
              <w:pStyle w:val="26"/>
              <w:keepNext w:val="0"/>
              <w:keepLines w:val="0"/>
              <w:pageBreakBefore w:val="0"/>
              <w:widowControl w:val="0"/>
              <w:kinsoku/>
              <w:wordWrap/>
              <w:overflowPunct/>
              <w:topLinePunct w:val="0"/>
              <w:autoSpaceDE/>
              <w:autoSpaceDN/>
              <w:bidi w:val="0"/>
              <w:adjustRightInd/>
              <w:snapToGrid/>
              <w:spacing w:before="62" w:line="360" w:lineRule="exact"/>
              <w:ind w:left="16" w:right="8" w:hanging="7"/>
              <w:textAlignment w:val="auto"/>
              <w:rPr>
                <w:rFonts w:hint="eastAsia"/>
              </w:rPr>
            </w:pPr>
            <w:r>
              <w:rPr>
                <w:rFonts w:hint="eastAsia"/>
                <w:spacing w:val="4"/>
              </w:rPr>
              <w:t>A020618</w:t>
            </w:r>
            <w:r>
              <w:rPr>
                <w:rFonts w:hint="eastAsia"/>
                <w:spacing w:val="-34"/>
              </w:rPr>
              <w:t xml:space="preserve"> </w:t>
            </w:r>
            <w:r>
              <w:rPr>
                <w:rFonts w:hint="eastAsia"/>
                <w:spacing w:val="4"/>
              </w:rPr>
              <w:t>生活</w:t>
            </w:r>
            <w:r>
              <w:rPr>
                <w:rFonts w:hint="eastAsia"/>
              </w:rPr>
              <w:t xml:space="preserve"> </w:t>
            </w:r>
            <w:r>
              <w:rPr>
                <w:rFonts w:hint="eastAsia"/>
                <w:spacing w:val="6"/>
              </w:rPr>
              <w:t>用电器</w:t>
            </w:r>
          </w:p>
        </w:tc>
        <w:tc>
          <w:tcPr>
            <w:tcW w:w="1799" w:type="dxa"/>
            <w:noWrap w:val="0"/>
            <w:vAlign w:val="top"/>
          </w:tcPr>
          <w:p w14:paraId="34957658">
            <w:pPr>
              <w:pStyle w:val="26"/>
              <w:keepNext w:val="0"/>
              <w:keepLines w:val="0"/>
              <w:pageBreakBefore w:val="0"/>
              <w:widowControl w:val="0"/>
              <w:kinsoku/>
              <w:wordWrap/>
              <w:overflowPunct/>
              <w:topLinePunct w:val="0"/>
              <w:autoSpaceDE/>
              <w:autoSpaceDN/>
              <w:bidi w:val="0"/>
              <w:adjustRightInd/>
              <w:snapToGrid/>
              <w:spacing w:before="276" w:line="360" w:lineRule="exact"/>
              <w:ind w:left="9"/>
              <w:textAlignment w:val="auto"/>
              <w:rPr>
                <w:rFonts w:hint="eastAsia"/>
              </w:rPr>
            </w:pPr>
            <w:r>
              <w:rPr>
                <w:rFonts w:hint="eastAsia"/>
                <w:spacing w:val="3"/>
              </w:rPr>
              <w:t>A0206180101</w:t>
            </w:r>
            <w:r>
              <w:rPr>
                <w:rFonts w:hint="eastAsia"/>
                <w:spacing w:val="-4"/>
              </w:rPr>
              <w:t xml:space="preserve"> </w:t>
            </w:r>
            <w:r>
              <w:rPr>
                <w:rFonts w:hint="eastAsia"/>
                <w:spacing w:val="3"/>
              </w:rPr>
              <w:t>电冰箱</w:t>
            </w:r>
          </w:p>
        </w:tc>
        <w:tc>
          <w:tcPr>
            <w:tcW w:w="1914" w:type="dxa"/>
            <w:noWrap w:val="0"/>
            <w:vAlign w:val="top"/>
          </w:tcPr>
          <w:p w14:paraId="62F7C2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2A734323">
            <w:pPr>
              <w:pStyle w:val="26"/>
              <w:keepNext w:val="0"/>
              <w:keepLines w:val="0"/>
              <w:pageBreakBefore w:val="0"/>
              <w:widowControl w:val="0"/>
              <w:kinsoku/>
              <w:wordWrap/>
              <w:overflowPunct/>
              <w:topLinePunct w:val="0"/>
              <w:autoSpaceDE/>
              <w:autoSpaceDN/>
              <w:bidi w:val="0"/>
              <w:adjustRightInd/>
              <w:snapToGrid/>
              <w:spacing w:before="119" w:line="360" w:lineRule="exact"/>
              <w:ind w:left="22" w:right="11"/>
              <w:textAlignment w:val="auto"/>
              <w:rPr>
                <w:rFonts w:hint="eastAsia"/>
                <w:lang w:eastAsia="zh-CN"/>
              </w:rPr>
            </w:pPr>
            <w:r>
              <w:rPr>
                <w:rFonts w:hint="eastAsia"/>
                <w:spacing w:val="19"/>
                <w:lang w:eastAsia="zh-CN"/>
              </w:rPr>
              <w:t>《家用电冰箱耗电量限定值及能</w:t>
            </w:r>
            <w:r>
              <w:rPr>
                <w:rFonts w:hint="eastAsia"/>
                <w:spacing w:val="2"/>
                <w:lang w:eastAsia="zh-CN"/>
              </w:rPr>
              <w:t xml:space="preserve"> </w:t>
            </w:r>
            <w:r>
              <w:rPr>
                <w:rFonts w:hint="eastAsia"/>
                <w:spacing w:val="4"/>
                <w:lang w:eastAsia="zh-CN"/>
              </w:rPr>
              <w:t>效等级》（</w:t>
            </w:r>
            <w:r>
              <w:rPr>
                <w:rFonts w:hint="eastAsia"/>
                <w:lang w:eastAsia="zh-CN"/>
              </w:rPr>
              <w:t>GB</w:t>
            </w:r>
            <w:r>
              <w:rPr>
                <w:rFonts w:hint="eastAsia"/>
                <w:spacing w:val="20"/>
                <w:lang w:eastAsia="zh-CN"/>
              </w:rPr>
              <w:t xml:space="preserve">  </w:t>
            </w:r>
            <w:r>
              <w:rPr>
                <w:rFonts w:hint="eastAsia"/>
                <w:spacing w:val="4"/>
                <w:lang w:eastAsia="zh-CN"/>
              </w:rPr>
              <w:t>12021.2）</w:t>
            </w:r>
          </w:p>
        </w:tc>
      </w:tr>
      <w:tr w14:paraId="7A57B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14B996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51179E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restart"/>
            <w:tcBorders>
              <w:bottom w:val="nil"/>
            </w:tcBorders>
            <w:noWrap w:val="0"/>
            <w:vAlign w:val="top"/>
          </w:tcPr>
          <w:p w14:paraId="15A470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D11A2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59F6B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265F4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903FD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18FB5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8E908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17C761E">
            <w:pPr>
              <w:pStyle w:val="26"/>
              <w:keepNext w:val="0"/>
              <w:keepLines w:val="0"/>
              <w:pageBreakBefore w:val="0"/>
              <w:widowControl w:val="0"/>
              <w:kinsoku/>
              <w:wordWrap/>
              <w:overflowPunct/>
              <w:topLinePunct w:val="0"/>
              <w:autoSpaceDE/>
              <w:autoSpaceDN/>
              <w:bidi w:val="0"/>
              <w:adjustRightInd/>
              <w:snapToGrid/>
              <w:spacing w:before="62" w:line="360" w:lineRule="exact"/>
              <w:ind w:left="14" w:right="10" w:firstLine="3"/>
              <w:textAlignment w:val="auto"/>
              <w:rPr>
                <w:rFonts w:hint="eastAsia"/>
              </w:rPr>
            </w:pPr>
            <w:r>
              <w:rPr>
                <w:rFonts w:hint="eastAsia"/>
                <w:spacing w:val="3"/>
              </w:rPr>
              <w:t>★A0206180203 空调</w:t>
            </w:r>
            <w:r>
              <w:rPr>
                <w:rFonts w:hint="eastAsia"/>
                <w:spacing w:val="9"/>
              </w:rPr>
              <w:t xml:space="preserve"> </w:t>
            </w:r>
            <w:r>
              <w:rPr>
                <w:rFonts w:hint="eastAsia"/>
                <w:spacing w:val="2"/>
              </w:rPr>
              <w:t>机</w:t>
            </w:r>
          </w:p>
        </w:tc>
        <w:tc>
          <w:tcPr>
            <w:tcW w:w="1914" w:type="dxa"/>
            <w:noWrap w:val="0"/>
            <w:vAlign w:val="top"/>
          </w:tcPr>
          <w:p w14:paraId="43632E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CC2E2DA">
            <w:pPr>
              <w:pStyle w:val="26"/>
              <w:keepNext w:val="0"/>
              <w:keepLines w:val="0"/>
              <w:pageBreakBefore w:val="0"/>
              <w:widowControl w:val="0"/>
              <w:kinsoku/>
              <w:wordWrap/>
              <w:overflowPunct/>
              <w:topLinePunct w:val="0"/>
              <w:autoSpaceDE/>
              <w:autoSpaceDN/>
              <w:bidi w:val="0"/>
              <w:adjustRightInd/>
              <w:snapToGrid/>
              <w:spacing w:before="62" w:line="360" w:lineRule="exact"/>
              <w:textAlignment w:val="auto"/>
              <w:rPr>
                <w:rFonts w:hint="eastAsia"/>
              </w:rPr>
            </w:pPr>
            <w:r>
              <w:rPr>
                <w:rFonts w:hint="eastAsia"/>
                <w:spacing w:val="8"/>
              </w:rPr>
              <w:t>房间空气调节器</w:t>
            </w:r>
          </w:p>
        </w:tc>
        <w:tc>
          <w:tcPr>
            <w:tcW w:w="3957" w:type="dxa"/>
            <w:noWrap w:val="0"/>
            <w:vAlign w:val="top"/>
          </w:tcPr>
          <w:p w14:paraId="4CBF3E7D">
            <w:pPr>
              <w:pStyle w:val="26"/>
              <w:keepNext w:val="0"/>
              <w:keepLines w:val="0"/>
              <w:pageBreakBefore w:val="0"/>
              <w:widowControl w:val="0"/>
              <w:kinsoku/>
              <w:wordWrap/>
              <w:overflowPunct/>
              <w:topLinePunct w:val="0"/>
              <w:autoSpaceDE/>
              <w:autoSpaceDN/>
              <w:bidi w:val="0"/>
              <w:adjustRightInd/>
              <w:snapToGrid/>
              <w:spacing w:before="68" w:line="360" w:lineRule="exact"/>
              <w:ind w:left="17" w:firstLine="5"/>
              <w:textAlignment w:val="auto"/>
              <w:rPr>
                <w:rFonts w:hint="eastAsia"/>
                <w:lang w:eastAsia="zh-CN"/>
              </w:rPr>
            </w:pPr>
            <w:r>
              <w:rPr>
                <w:rFonts w:hint="eastAsia"/>
                <w:spacing w:val="14"/>
                <w:lang w:eastAsia="zh-CN"/>
              </w:rPr>
              <w:t>《转速可控型房间空气调节器能</w:t>
            </w:r>
            <w:r>
              <w:rPr>
                <w:rFonts w:hint="eastAsia"/>
                <w:lang w:eastAsia="zh-CN"/>
              </w:rPr>
              <w:t xml:space="preserve">  </w:t>
            </w:r>
            <w:r>
              <w:rPr>
                <w:rFonts w:hint="eastAsia"/>
                <w:spacing w:val="-9"/>
                <w:lang w:eastAsia="zh-CN"/>
              </w:rPr>
              <w:t>效</w:t>
            </w:r>
            <w:r>
              <w:rPr>
                <w:rFonts w:hint="eastAsia"/>
                <w:spacing w:val="-19"/>
                <w:lang w:eastAsia="zh-CN"/>
              </w:rPr>
              <w:t xml:space="preserve"> </w:t>
            </w:r>
            <w:r>
              <w:rPr>
                <w:rFonts w:hint="eastAsia"/>
                <w:spacing w:val="-9"/>
                <w:lang w:eastAsia="zh-CN"/>
              </w:rPr>
              <w:t>限</w:t>
            </w:r>
            <w:r>
              <w:rPr>
                <w:rFonts w:hint="eastAsia"/>
                <w:spacing w:val="-33"/>
                <w:lang w:eastAsia="zh-CN"/>
              </w:rPr>
              <w:t xml:space="preserve"> </w:t>
            </w:r>
            <w:r>
              <w:rPr>
                <w:rFonts w:hint="eastAsia"/>
                <w:spacing w:val="-9"/>
                <w:lang w:eastAsia="zh-CN"/>
              </w:rPr>
              <w:t>定</w:t>
            </w:r>
            <w:r>
              <w:rPr>
                <w:rFonts w:hint="eastAsia"/>
                <w:spacing w:val="-38"/>
                <w:lang w:eastAsia="zh-CN"/>
              </w:rPr>
              <w:t xml:space="preserve"> </w:t>
            </w:r>
            <w:r>
              <w:rPr>
                <w:rFonts w:hint="eastAsia"/>
                <w:spacing w:val="-9"/>
                <w:lang w:eastAsia="zh-CN"/>
              </w:rPr>
              <w:t>值</w:t>
            </w:r>
            <w:r>
              <w:rPr>
                <w:rFonts w:hint="eastAsia"/>
                <w:spacing w:val="-39"/>
                <w:lang w:eastAsia="zh-CN"/>
              </w:rPr>
              <w:t xml:space="preserve"> </w:t>
            </w:r>
            <w:r>
              <w:rPr>
                <w:rFonts w:hint="eastAsia"/>
                <w:spacing w:val="-9"/>
                <w:lang w:eastAsia="zh-CN"/>
              </w:rPr>
              <w:t>及</w:t>
            </w:r>
            <w:r>
              <w:rPr>
                <w:rFonts w:hint="eastAsia"/>
                <w:spacing w:val="-31"/>
                <w:lang w:eastAsia="zh-CN"/>
              </w:rPr>
              <w:t xml:space="preserve"> </w:t>
            </w:r>
            <w:r>
              <w:rPr>
                <w:rFonts w:hint="eastAsia"/>
                <w:spacing w:val="-9"/>
                <w:lang w:eastAsia="zh-CN"/>
              </w:rPr>
              <w:t>能</w:t>
            </w:r>
            <w:r>
              <w:rPr>
                <w:rFonts w:hint="eastAsia"/>
                <w:spacing w:val="-34"/>
                <w:lang w:eastAsia="zh-CN"/>
              </w:rPr>
              <w:t xml:space="preserve"> </w:t>
            </w:r>
            <w:r>
              <w:rPr>
                <w:rFonts w:hint="eastAsia"/>
                <w:spacing w:val="-9"/>
                <w:lang w:eastAsia="zh-CN"/>
              </w:rPr>
              <w:t>效</w:t>
            </w:r>
            <w:r>
              <w:rPr>
                <w:rFonts w:hint="eastAsia"/>
                <w:spacing w:val="-36"/>
                <w:lang w:eastAsia="zh-CN"/>
              </w:rPr>
              <w:t xml:space="preserve"> </w:t>
            </w:r>
            <w:r>
              <w:rPr>
                <w:rFonts w:hint="eastAsia"/>
                <w:spacing w:val="-9"/>
                <w:lang w:eastAsia="zh-CN"/>
              </w:rPr>
              <w:t>等</w:t>
            </w:r>
            <w:r>
              <w:rPr>
                <w:rFonts w:hint="eastAsia"/>
                <w:spacing w:val="-36"/>
                <w:lang w:eastAsia="zh-CN"/>
              </w:rPr>
              <w:t xml:space="preserve"> </w:t>
            </w:r>
            <w:r>
              <w:rPr>
                <w:rFonts w:hint="eastAsia"/>
                <w:spacing w:val="-9"/>
                <w:lang w:eastAsia="zh-CN"/>
              </w:rPr>
              <w:t>级</w:t>
            </w:r>
            <w:r>
              <w:rPr>
                <w:rFonts w:hint="eastAsia"/>
                <w:spacing w:val="-29"/>
                <w:lang w:eastAsia="zh-CN"/>
              </w:rPr>
              <w:t xml:space="preserve"> </w:t>
            </w:r>
            <w:r>
              <w:rPr>
                <w:rFonts w:hint="eastAsia"/>
                <w:spacing w:val="-9"/>
                <w:lang w:eastAsia="zh-CN"/>
              </w:rPr>
              <w:t>》</w:t>
            </w:r>
            <w:r>
              <w:rPr>
                <w:rFonts w:hint="eastAsia"/>
                <w:spacing w:val="-41"/>
                <w:lang w:eastAsia="zh-CN"/>
              </w:rPr>
              <w:t xml:space="preserve"> </w:t>
            </w:r>
            <w:r>
              <w:rPr>
                <w:rFonts w:hint="eastAsia"/>
                <w:spacing w:val="-9"/>
                <w:lang w:eastAsia="zh-CN"/>
              </w:rPr>
              <w:t>（ GB</w:t>
            </w:r>
            <w:r>
              <w:rPr>
                <w:rFonts w:hint="eastAsia"/>
                <w:lang w:eastAsia="zh-CN"/>
              </w:rPr>
              <w:t xml:space="preserve">  21455-2013</w:t>
            </w:r>
            <w:r>
              <w:rPr>
                <w:rFonts w:hint="eastAsia"/>
                <w:spacing w:val="12"/>
                <w:lang w:eastAsia="zh-CN"/>
              </w:rPr>
              <w:t>），</w:t>
            </w:r>
            <w:r>
              <w:rPr>
                <w:rFonts w:hint="eastAsia"/>
                <w:lang w:eastAsia="zh-CN"/>
              </w:rPr>
              <w:t>待 2019</w:t>
            </w:r>
            <w:r>
              <w:rPr>
                <w:rFonts w:hint="eastAsia"/>
                <w:spacing w:val="-15"/>
                <w:lang w:eastAsia="zh-CN"/>
              </w:rPr>
              <w:t xml:space="preserve"> </w:t>
            </w:r>
            <w:r>
              <w:rPr>
                <w:rFonts w:hint="eastAsia"/>
                <w:lang w:eastAsia="zh-CN"/>
              </w:rPr>
              <w:t>年修订发  布后，按《房间空气调节器能效限</w:t>
            </w:r>
            <w:r>
              <w:rPr>
                <w:rFonts w:hint="eastAsia"/>
                <w:spacing w:val="4"/>
                <w:lang w:eastAsia="zh-CN"/>
              </w:rPr>
              <w:t xml:space="preserve">  </w:t>
            </w:r>
            <w:r>
              <w:rPr>
                <w:rFonts w:hint="eastAsia"/>
                <w:spacing w:val="-5"/>
                <w:lang w:eastAsia="zh-CN"/>
              </w:rPr>
              <w:t>定值及能效等级》（GB21455-2019）</w:t>
            </w:r>
            <w:r>
              <w:rPr>
                <w:rFonts w:hint="eastAsia"/>
                <w:spacing w:val="15"/>
                <w:lang w:eastAsia="zh-CN"/>
              </w:rPr>
              <w:t xml:space="preserve"> </w:t>
            </w:r>
            <w:r>
              <w:rPr>
                <w:rFonts w:hint="eastAsia"/>
                <w:lang w:eastAsia="zh-CN"/>
              </w:rPr>
              <w:t>实施。</w:t>
            </w:r>
          </w:p>
        </w:tc>
      </w:tr>
      <w:tr w14:paraId="5C4B2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20A790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67160E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bottom w:val="nil"/>
            </w:tcBorders>
            <w:noWrap w:val="0"/>
            <w:vAlign w:val="top"/>
          </w:tcPr>
          <w:p w14:paraId="273563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75651BA5">
            <w:pPr>
              <w:pStyle w:val="26"/>
              <w:keepNext w:val="0"/>
              <w:keepLines w:val="0"/>
              <w:pageBreakBefore w:val="0"/>
              <w:widowControl w:val="0"/>
              <w:kinsoku/>
              <w:wordWrap/>
              <w:overflowPunct/>
              <w:topLinePunct w:val="0"/>
              <w:autoSpaceDE/>
              <w:autoSpaceDN/>
              <w:bidi w:val="0"/>
              <w:adjustRightInd/>
              <w:snapToGrid/>
              <w:spacing w:before="71" w:line="360" w:lineRule="exact"/>
              <w:ind w:left="15" w:right="11" w:firstLine="10"/>
              <w:textAlignment w:val="auto"/>
              <w:rPr>
                <w:rFonts w:hint="eastAsia"/>
                <w:lang w:eastAsia="zh-CN"/>
              </w:rPr>
            </w:pPr>
            <w:r>
              <w:rPr>
                <w:rFonts w:hint="eastAsia"/>
                <w:spacing w:val="15"/>
                <w:lang w:eastAsia="zh-CN"/>
              </w:rPr>
              <w:t>多联式空调（热泵）</w:t>
            </w:r>
            <w:r>
              <w:rPr>
                <w:rFonts w:hint="eastAsia"/>
                <w:spacing w:val="7"/>
                <w:lang w:eastAsia="zh-CN"/>
              </w:rPr>
              <w:t xml:space="preserve"> </w:t>
            </w:r>
            <w:r>
              <w:rPr>
                <w:rFonts w:hint="eastAsia"/>
                <w:spacing w:val="-4"/>
                <w:lang w:eastAsia="zh-CN"/>
              </w:rPr>
              <w:t>机 组 （</w:t>
            </w:r>
            <w:r>
              <w:rPr>
                <w:rFonts w:hint="eastAsia"/>
                <w:spacing w:val="28"/>
                <w:lang w:eastAsia="zh-CN"/>
              </w:rPr>
              <w:t xml:space="preserve"> </w:t>
            </w:r>
            <w:r>
              <w:rPr>
                <w:rFonts w:hint="eastAsia"/>
                <w:spacing w:val="-4"/>
                <w:lang w:eastAsia="zh-CN"/>
              </w:rPr>
              <w:t>制 冷 量 ≤</w:t>
            </w:r>
            <w:r>
              <w:rPr>
                <w:rFonts w:hint="eastAsia"/>
                <w:lang w:eastAsia="zh-CN"/>
              </w:rPr>
              <w:t xml:space="preserve"> </w:t>
            </w:r>
            <w:r>
              <w:rPr>
                <w:rFonts w:hint="eastAsia"/>
                <w:spacing w:val="3"/>
                <w:lang w:eastAsia="zh-CN"/>
              </w:rPr>
              <w:t>14000W）</w:t>
            </w:r>
          </w:p>
        </w:tc>
        <w:tc>
          <w:tcPr>
            <w:tcW w:w="3957" w:type="dxa"/>
            <w:noWrap w:val="0"/>
            <w:vAlign w:val="top"/>
          </w:tcPr>
          <w:p w14:paraId="6064E3CF">
            <w:pPr>
              <w:pStyle w:val="26"/>
              <w:keepNext w:val="0"/>
              <w:keepLines w:val="0"/>
              <w:pageBreakBefore w:val="0"/>
              <w:widowControl w:val="0"/>
              <w:kinsoku/>
              <w:wordWrap/>
              <w:overflowPunct/>
              <w:topLinePunct w:val="0"/>
              <w:autoSpaceDE/>
              <w:autoSpaceDN/>
              <w:bidi w:val="0"/>
              <w:adjustRightInd/>
              <w:snapToGrid/>
              <w:spacing w:before="225" w:line="360" w:lineRule="exact"/>
              <w:ind w:left="22"/>
              <w:textAlignment w:val="auto"/>
              <w:rPr>
                <w:rFonts w:hint="eastAsia"/>
                <w:lang w:eastAsia="zh-CN"/>
              </w:rPr>
            </w:pPr>
            <w:r>
              <w:rPr>
                <w:rFonts w:hint="eastAsia"/>
                <w:lang w:eastAsia="zh-CN"/>
              </w:rPr>
              <w:t>《多联式空调（热泵）机组能效限</w:t>
            </w:r>
            <w:r>
              <w:rPr>
                <w:rFonts w:hint="eastAsia"/>
                <w:spacing w:val="2"/>
                <w:lang w:eastAsia="zh-CN"/>
              </w:rPr>
              <w:t xml:space="preserve">  </w:t>
            </w:r>
            <w:r>
              <w:rPr>
                <w:rFonts w:hint="eastAsia"/>
                <w:spacing w:val="-4"/>
                <w:lang w:eastAsia="zh-CN"/>
              </w:rPr>
              <w:t>定值及能源效率等级》（GB</w:t>
            </w:r>
            <w:r>
              <w:rPr>
                <w:rFonts w:hint="eastAsia"/>
                <w:spacing w:val="-24"/>
                <w:lang w:eastAsia="zh-CN"/>
              </w:rPr>
              <w:t xml:space="preserve"> </w:t>
            </w:r>
            <w:r>
              <w:rPr>
                <w:rFonts w:hint="eastAsia"/>
                <w:spacing w:val="-4"/>
                <w:lang w:eastAsia="zh-CN"/>
              </w:rPr>
              <w:t>21454）</w:t>
            </w:r>
          </w:p>
        </w:tc>
      </w:tr>
      <w:tr w14:paraId="64FB2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26102D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575E22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tcBorders>
            <w:noWrap w:val="0"/>
            <w:vAlign w:val="top"/>
          </w:tcPr>
          <w:p w14:paraId="3F01E8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12A00D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606A222">
            <w:pPr>
              <w:pStyle w:val="26"/>
              <w:keepNext w:val="0"/>
              <w:keepLines w:val="0"/>
              <w:pageBreakBefore w:val="0"/>
              <w:widowControl w:val="0"/>
              <w:kinsoku/>
              <w:wordWrap/>
              <w:overflowPunct/>
              <w:topLinePunct w:val="0"/>
              <w:autoSpaceDE/>
              <w:autoSpaceDN/>
              <w:bidi w:val="0"/>
              <w:adjustRightInd/>
              <w:snapToGrid/>
              <w:spacing w:before="61" w:line="360" w:lineRule="exact"/>
              <w:ind w:left="51" w:right="11" w:hanging="33"/>
              <w:textAlignment w:val="auto"/>
              <w:rPr>
                <w:rFonts w:hint="eastAsia"/>
                <w:lang w:eastAsia="zh-CN"/>
              </w:rPr>
            </w:pPr>
            <w:r>
              <w:rPr>
                <w:rFonts w:hint="eastAsia"/>
                <w:spacing w:val="44"/>
                <w:lang w:eastAsia="zh-CN"/>
              </w:rPr>
              <w:t>单元式空气调节机</w:t>
            </w:r>
            <w:r>
              <w:rPr>
                <w:rFonts w:hint="eastAsia"/>
                <w:spacing w:val="6"/>
                <w:lang w:eastAsia="zh-CN"/>
              </w:rPr>
              <w:t xml:space="preserve"> </w:t>
            </w:r>
            <w:r>
              <w:rPr>
                <w:rFonts w:hint="eastAsia"/>
                <w:spacing w:val="3"/>
                <w:lang w:eastAsia="zh-CN"/>
              </w:rPr>
              <w:t>(制冷量≤14000W)</w:t>
            </w:r>
          </w:p>
        </w:tc>
        <w:tc>
          <w:tcPr>
            <w:tcW w:w="3957" w:type="dxa"/>
            <w:noWrap w:val="0"/>
            <w:vAlign w:val="top"/>
          </w:tcPr>
          <w:p w14:paraId="733CEA91">
            <w:pPr>
              <w:pStyle w:val="26"/>
              <w:keepNext w:val="0"/>
              <w:keepLines w:val="0"/>
              <w:pageBreakBefore w:val="0"/>
              <w:widowControl w:val="0"/>
              <w:kinsoku/>
              <w:wordWrap/>
              <w:overflowPunct/>
              <w:topLinePunct w:val="0"/>
              <w:autoSpaceDE/>
              <w:autoSpaceDN/>
              <w:bidi w:val="0"/>
              <w:adjustRightInd/>
              <w:snapToGrid/>
              <w:spacing w:before="72" w:line="360" w:lineRule="exact"/>
              <w:ind w:left="17" w:right="11" w:firstLine="6"/>
              <w:textAlignment w:val="auto"/>
              <w:rPr>
                <w:rFonts w:hint="eastAsia"/>
                <w:lang w:eastAsia="zh-CN"/>
              </w:rPr>
            </w:pPr>
            <w:r>
              <w:rPr>
                <w:rFonts w:hint="eastAsia"/>
                <w:spacing w:val="19"/>
                <w:lang w:eastAsia="zh-CN"/>
              </w:rPr>
              <w:t>《单元式空气调节机能效限定值</w:t>
            </w:r>
            <w:r>
              <w:rPr>
                <w:rFonts w:hint="eastAsia"/>
                <w:spacing w:val="2"/>
                <w:lang w:eastAsia="zh-CN"/>
              </w:rPr>
              <w:t xml:space="preserve"> </w:t>
            </w:r>
            <w:r>
              <w:rPr>
                <w:rFonts w:hint="eastAsia"/>
                <w:spacing w:val="-5"/>
                <w:lang w:eastAsia="zh-CN"/>
              </w:rPr>
              <w:t>及能源效率等级》（GB</w:t>
            </w:r>
            <w:r>
              <w:rPr>
                <w:rFonts w:hint="eastAsia"/>
                <w:spacing w:val="-13"/>
                <w:lang w:eastAsia="zh-CN"/>
              </w:rPr>
              <w:t xml:space="preserve"> </w:t>
            </w:r>
            <w:r>
              <w:rPr>
                <w:rFonts w:hint="eastAsia"/>
                <w:spacing w:val="-5"/>
                <w:lang w:eastAsia="zh-CN"/>
              </w:rPr>
              <w:t>19576）《风</w:t>
            </w:r>
            <w:r>
              <w:rPr>
                <w:rFonts w:hint="eastAsia"/>
                <w:lang w:eastAsia="zh-CN"/>
              </w:rPr>
              <w:t xml:space="preserve"> </w:t>
            </w:r>
            <w:r>
              <w:rPr>
                <w:rFonts w:hint="eastAsia"/>
                <w:spacing w:val="19"/>
                <w:lang w:eastAsia="zh-CN"/>
              </w:rPr>
              <w:t>管送风式空调机组能效限定值及</w:t>
            </w:r>
            <w:r>
              <w:rPr>
                <w:rFonts w:hint="eastAsia"/>
                <w:spacing w:val="8"/>
                <w:lang w:eastAsia="zh-CN"/>
              </w:rPr>
              <w:t xml:space="preserve"> </w:t>
            </w:r>
            <w:r>
              <w:rPr>
                <w:rFonts w:hint="eastAsia"/>
                <w:spacing w:val="7"/>
                <w:lang w:eastAsia="zh-CN"/>
              </w:rPr>
              <w:t>能效等级》（</w:t>
            </w:r>
            <w:r>
              <w:rPr>
                <w:rFonts w:hint="eastAsia"/>
                <w:lang w:eastAsia="zh-CN"/>
              </w:rPr>
              <w:t>GB</w:t>
            </w:r>
            <w:r>
              <w:rPr>
                <w:rFonts w:hint="eastAsia"/>
                <w:spacing w:val="7"/>
                <w:lang w:eastAsia="zh-CN"/>
              </w:rPr>
              <w:t xml:space="preserve"> 37479）</w:t>
            </w:r>
          </w:p>
        </w:tc>
      </w:tr>
      <w:tr w14:paraId="24401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240603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38E4BC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3D149252">
            <w:pPr>
              <w:pStyle w:val="26"/>
              <w:keepNext w:val="0"/>
              <w:keepLines w:val="0"/>
              <w:pageBreakBefore w:val="0"/>
              <w:widowControl w:val="0"/>
              <w:kinsoku/>
              <w:wordWrap/>
              <w:overflowPunct/>
              <w:topLinePunct w:val="0"/>
              <w:autoSpaceDE/>
              <w:autoSpaceDN/>
              <w:bidi w:val="0"/>
              <w:adjustRightInd/>
              <w:snapToGrid/>
              <w:spacing w:before="230" w:line="360" w:lineRule="exact"/>
              <w:ind w:left="9"/>
              <w:textAlignment w:val="auto"/>
              <w:rPr>
                <w:rFonts w:hint="eastAsia"/>
              </w:rPr>
            </w:pPr>
            <w:r>
              <w:rPr>
                <w:rFonts w:hint="eastAsia"/>
                <w:spacing w:val="5"/>
              </w:rPr>
              <w:t>A0206180301</w:t>
            </w:r>
            <w:r>
              <w:rPr>
                <w:rFonts w:hint="eastAsia"/>
                <w:spacing w:val="-33"/>
              </w:rPr>
              <w:t xml:space="preserve"> </w:t>
            </w:r>
            <w:r>
              <w:rPr>
                <w:rFonts w:hint="eastAsia"/>
                <w:spacing w:val="5"/>
              </w:rPr>
              <w:t>洗衣机</w:t>
            </w:r>
          </w:p>
        </w:tc>
        <w:tc>
          <w:tcPr>
            <w:tcW w:w="1914" w:type="dxa"/>
            <w:noWrap w:val="0"/>
            <w:vAlign w:val="top"/>
          </w:tcPr>
          <w:p w14:paraId="00FA87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23C67D07">
            <w:pPr>
              <w:pStyle w:val="26"/>
              <w:keepNext w:val="0"/>
              <w:keepLines w:val="0"/>
              <w:pageBreakBefore w:val="0"/>
              <w:widowControl w:val="0"/>
              <w:kinsoku/>
              <w:wordWrap/>
              <w:overflowPunct/>
              <w:topLinePunct w:val="0"/>
              <w:autoSpaceDE/>
              <w:autoSpaceDN/>
              <w:bidi w:val="0"/>
              <w:adjustRightInd/>
              <w:snapToGrid/>
              <w:spacing w:before="74" w:line="360" w:lineRule="exact"/>
              <w:ind w:left="19" w:right="11" w:firstLine="3"/>
              <w:textAlignment w:val="auto"/>
              <w:rPr>
                <w:rFonts w:hint="eastAsia"/>
                <w:lang w:eastAsia="zh-CN"/>
              </w:rPr>
            </w:pPr>
            <w:r>
              <w:rPr>
                <w:rFonts w:hint="eastAsia"/>
                <w:spacing w:val="19"/>
                <w:lang w:eastAsia="zh-CN"/>
              </w:rPr>
              <w:t>《电动洗衣机能效水效限定值及</w:t>
            </w:r>
            <w:r>
              <w:rPr>
                <w:rFonts w:hint="eastAsia"/>
                <w:spacing w:val="2"/>
                <w:lang w:eastAsia="zh-CN"/>
              </w:rPr>
              <w:t xml:space="preserve"> </w:t>
            </w:r>
            <w:r>
              <w:rPr>
                <w:rFonts w:hint="eastAsia"/>
                <w:spacing w:val="4"/>
                <w:lang w:eastAsia="zh-CN"/>
              </w:rPr>
              <w:t>等级》（</w:t>
            </w:r>
            <w:r>
              <w:rPr>
                <w:rFonts w:hint="eastAsia"/>
                <w:lang w:eastAsia="zh-CN"/>
              </w:rPr>
              <w:t>GB</w:t>
            </w:r>
            <w:r>
              <w:rPr>
                <w:rFonts w:hint="eastAsia"/>
                <w:spacing w:val="33"/>
                <w:lang w:eastAsia="zh-CN"/>
              </w:rPr>
              <w:t xml:space="preserve"> </w:t>
            </w:r>
            <w:r>
              <w:rPr>
                <w:rFonts w:hint="eastAsia"/>
                <w:spacing w:val="4"/>
                <w:lang w:eastAsia="zh-CN"/>
              </w:rPr>
              <w:t>12021.4）</w:t>
            </w:r>
          </w:p>
        </w:tc>
      </w:tr>
      <w:tr w14:paraId="565F6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23035F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restart"/>
            <w:tcBorders>
              <w:bottom w:val="nil"/>
            </w:tcBorders>
            <w:noWrap w:val="0"/>
            <w:vAlign w:val="top"/>
          </w:tcPr>
          <w:p w14:paraId="4A2C65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restart"/>
            <w:tcBorders>
              <w:bottom w:val="nil"/>
            </w:tcBorders>
            <w:noWrap w:val="0"/>
            <w:vAlign w:val="top"/>
          </w:tcPr>
          <w:p w14:paraId="631140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AE42F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9E778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1D6EC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9D25F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BBAF0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9D9D084">
            <w:pPr>
              <w:pStyle w:val="26"/>
              <w:keepNext w:val="0"/>
              <w:keepLines w:val="0"/>
              <w:pageBreakBefore w:val="0"/>
              <w:widowControl w:val="0"/>
              <w:kinsoku/>
              <w:wordWrap/>
              <w:overflowPunct/>
              <w:topLinePunct w:val="0"/>
              <w:autoSpaceDE/>
              <w:autoSpaceDN/>
              <w:bidi w:val="0"/>
              <w:adjustRightInd/>
              <w:snapToGrid/>
              <w:spacing w:before="62" w:line="360" w:lineRule="exact"/>
              <w:ind w:left="9"/>
              <w:textAlignment w:val="auto"/>
              <w:rPr>
                <w:rFonts w:hint="eastAsia"/>
              </w:rPr>
            </w:pPr>
            <w:r>
              <w:rPr>
                <w:rFonts w:hint="eastAsia"/>
                <w:spacing w:val="5"/>
              </w:rPr>
              <w:t>A02061808</w:t>
            </w:r>
            <w:r>
              <w:rPr>
                <w:rFonts w:hint="eastAsia"/>
                <w:spacing w:val="-32"/>
              </w:rPr>
              <w:t xml:space="preserve"> </w:t>
            </w:r>
            <w:r>
              <w:rPr>
                <w:rFonts w:hint="eastAsia"/>
                <w:spacing w:val="5"/>
              </w:rPr>
              <w:t>热水器</w:t>
            </w:r>
          </w:p>
        </w:tc>
        <w:tc>
          <w:tcPr>
            <w:tcW w:w="1914" w:type="dxa"/>
            <w:noWrap w:val="0"/>
            <w:vAlign w:val="top"/>
          </w:tcPr>
          <w:p w14:paraId="1BD13FA3">
            <w:pPr>
              <w:pStyle w:val="26"/>
              <w:keepNext w:val="0"/>
              <w:keepLines w:val="0"/>
              <w:pageBreakBefore w:val="0"/>
              <w:widowControl w:val="0"/>
              <w:kinsoku/>
              <w:wordWrap/>
              <w:overflowPunct/>
              <w:topLinePunct w:val="0"/>
              <w:autoSpaceDE/>
              <w:autoSpaceDN/>
              <w:bidi w:val="0"/>
              <w:adjustRightInd/>
              <w:snapToGrid/>
              <w:spacing w:before="275" w:line="360" w:lineRule="exact"/>
              <w:ind w:left="19"/>
              <w:textAlignment w:val="auto"/>
              <w:rPr>
                <w:rFonts w:hint="eastAsia"/>
              </w:rPr>
            </w:pPr>
            <w:r>
              <w:rPr>
                <w:rFonts w:hint="eastAsia"/>
                <w:spacing w:val="7"/>
              </w:rPr>
              <w:t>★电热水器</w:t>
            </w:r>
          </w:p>
        </w:tc>
        <w:tc>
          <w:tcPr>
            <w:tcW w:w="3957" w:type="dxa"/>
            <w:noWrap w:val="0"/>
            <w:vAlign w:val="top"/>
          </w:tcPr>
          <w:p w14:paraId="02116A43">
            <w:pPr>
              <w:pStyle w:val="26"/>
              <w:keepNext w:val="0"/>
              <w:keepLines w:val="0"/>
              <w:pageBreakBefore w:val="0"/>
              <w:widowControl w:val="0"/>
              <w:kinsoku/>
              <w:wordWrap/>
              <w:overflowPunct/>
              <w:topLinePunct w:val="0"/>
              <w:autoSpaceDE/>
              <w:autoSpaceDN/>
              <w:bidi w:val="0"/>
              <w:adjustRightInd/>
              <w:snapToGrid/>
              <w:spacing w:before="119" w:line="360" w:lineRule="exact"/>
              <w:ind w:left="25" w:right="11" w:hanging="2"/>
              <w:textAlignment w:val="auto"/>
              <w:rPr>
                <w:rFonts w:hint="eastAsia"/>
                <w:lang w:eastAsia="zh-CN"/>
              </w:rPr>
            </w:pPr>
            <w:r>
              <w:rPr>
                <w:rFonts w:hint="eastAsia"/>
                <w:spacing w:val="19"/>
                <w:lang w:eastAsia="zh-CN"/>
              </w:rPr>
              <w:t>《储水式电热水器能效限定值及</w:t>
            </w:r>
            <w:r>
              <w:rPr>
                <w:rFonts w:hint="eastAsia"/>
                <w:spacing w:val="2"/>
                <w:lang w:eastAsia="zh-CN"/>
              </w:rPr>
              <w:t xml:space="preserve"> </w:t>
            </w:r>
            <w:r>
              <w:rPr>
                <w:rFonts w:hint="eastAsia"/>
                <w:spacing w:val="6"/>
                <w:lang w:eastAsia="zh-CN"/>
              </w:rPr>
              <w:t>能效等级》（</w:t>
            </w:r>
            <w:r>
              <w:rPr>
                <w:rFonts w:hint="eastAsia"/>
                <w:lang w:eastAsia="zh-CN"/>
              </w:rPr>
              <w:t>GB</w:t>
            </w:r>
            <w:r>
              <w:rPr>
                <w:rFonts w:hint="eastAsia"/>
                <w:spacing w:val="6"/>
                <w:lang w:eastAsia="zh-CN"/>
              </w:rPr>
              <w:t xml:space="preserve">  21519）</w:t>
            </w:r>
          </w:p>
        </w:tc>
      </w:tr>
      <w:tr w14:paraId="6C479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198BB2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0AE7E6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bottom w:val="nil"/>
            </w:tcBorders>
            <w:noWrap w:val="0"/>
            <w:vAlign w:val="top"/>
          </w:tcPr>
          <w:p w14:paraId="3301B9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1BB14E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90443C5">
            <w:pPr>
              <w:pStyle w:val="26"/>
              <w:keepNext w:val="0"/>
              <w:keepLines w:val="0"/>
              <w:pageBreakBefore w:val="0"/>
              <w:widowControl w:val="0"/>
              <w:kinsoku/>
              <w:wordWrap/>
              <w:overflowPunct/>
              <w:topLinePunct w:val="0"/>
              <w:autoSpaceDE/>
              <w:autoSpaceDN/>
              <w:bidi w:val="0"/>
              <w:adjustRightInd/>
              <w:snapToGrid/>
              <w:spacing w:before="61" w:line="360" w:lineRule="exact"/>
              <w:ind w:left="15"/>
              <w:textAlignment w:val="auto"/>
              <w:rPr>
                <w:rFonts w:hint="eastAsia"/>
              </w:rPr>
            </w:pPr>
            <w:r>
              <w:rPr>
                <w:rFonts w:hint="eastAsia"/>
                <w:spacing w:val="8"/>
              </w:rPr>
              <w:t>燃气热水器</w:t>
            </w:r>
          </w:p>
        </w:tc>
        <w:tc>
          <w:tcPr>
            <w:tcW w:w="3957" w:type="dxa"/>
            <w:noWrap w:val="0"/>
            <w:vAlign w:val="top"/>
          </w:tcPr>
          <w:p w14:paraId="1FBDE279">
            <w:pPr>
              <w:pStyle w:val="26"/>
              <w:keepNext w:val="0"/>
              <w:keepLines w:val="0"/>
              <w:pageBreakBefore w:val="0"/>
              <w:widowControl w:val="0"/>
              <w:kinsoku/>
              <w:wordWrap/>
              <w:overflowPunct/>
              <w:topLinePunct w:val="0"/>
              <w:autoSpaceDE/>
              <w:autoSpaceDN/>
              <w:bidi w:val="0"/>
              <w:adjustRightInd/>
              <w:snapToGrid/>
              <w:spacing w:before="68" w:line="360" w:lineRule="exact"/>
              <w:ind w:left="25" w:hanging="2"/>
              <w:textAlignment w:val="auto"/>
              <w:rPr>
                <w:rFonts w:hint="eastAsia"/>
                <w:lang w:eastAsia="zh-CN"/>
              </w:rPr>
            </w:pPr>
            <w:r>
              <w:rPr>
                <w:rFonts w:hint="eastAsia"/>
                <w:spacing w:val="17"/>
                <w:lang w:eastAsia="zh-CN"/>
              </w:rPr>
              <w:t>《家用燃气快速热水器和燃气采</w:t>
            </w:r>
            <w:r>
              <w:rPr>
                <w:rFonts w:hint="eastAsia"/>
                <w:lang w:eastAsia="zh-CN"/>
              </w:rPr>
              <w:t xml:space="preserve"> </w:t>
            </w:r>
            <w:r>
              <w:rPr>
                <w:rFonts w:hint="eastAsia"/>
                <w:spacing w:val="5"/>
                <w:lang w:eastAsia="zh-CN"/>
              </w:rPr>
              <w:t>暖热水炉能效限定值及能效等级》</w:t>
            </w:r>
            <w:r>
              <w:rPr>
                <w:rFonts w:hint="eastAsia"/>
                <w:spacing w:val="12"/>
                <w:lang w:eastAsia="zh-CN"/>
              </w:rPr>
              <w:t xml:space="preserve"> </w:t>
            </w:r>
            <w:r>
              <w:rPr>
                <w:rFonts w:hint="eastAsia"/>
                <w:spacing w:val="1"/>
                <w:lang w:eastAsia="zh-CN"/>
              </w:rPr>
              <w:t>（</w:t>
            </w:r>
            <w:r>
              <w:rPr>
                <w:rFonts w:hint="eastAsia"/>
                <w:lang w:eastAsia="zh-CN"/>
              </w:rPr>
              <w:t>GB</w:t>
            </w:r>
            <w:r>
              <w:rPr>
                <w:rFonts w:hint="eastAsia"/>
                <w:spacing w:val="18"/>
                <w:lang w:eastAsia="zh-CN"/>
              </w:rPr>
              <w:t xml:space="preserve"> </w:t>
            </w:r>
            <w:r>
              <w:rPr>
                <w:rFonts w:hint="eastAsia"/>
                <w:spacing w:val="1"/>
                <w:lang w:eastAsia="zh-CN"/>
              </w:rPr>
              <w:t>20665）</w:t>
            </w:r>
          </w:p>
        </w:tc>
      </w:tr>
      <w:tr w14:paraId="5FEF5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4AA6AA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4DF28F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bottom w:val="nil"/>
            </w:tcBorders>
            <w:noWrap w:val="0"/>
            <w:vAlign w:val="top"/>
          </w:tcPr>
          <w:p w14:paraId="66B56D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3995D2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6028DBE">
            <w:pPr>
              <w:pStyle w:val="26"/>
              <w:keepNext w:val="0"/>
              <w:keepLines w:val="0"/>
              <w:pageBreakBefore w:val="0"/>
              <w:widowControl w:val="0"/>
              <w:kinsoku/>
              <w:wordWrap/>
              <w:overflowPunct/>
              <w:topLinePunct w:val="0"/>
              <w:autoSpaceDE/>
              <w:autoSpaceDN/>
              <w:bidi w:val="0"/>
              <w:adjustRightInd/>
              <w:snapToGrid/>
              <w:spacing w:before="62" w:line="360" w:lineRule="exact"/>
              <w:ind w:left="20"/>
              <w:textAlignment w:val="auto"/>
              <w:rPr>
                <w:rFonts w:hint="eastAsia"/>
              </w:rPr>
            </w:pPr>
            <w:r>
              <w:rPr>
                <w:rFonts w:hint="eastAsia"/>
                <w:spacing w:val="7"/>
              </w:rPr>
              <w:t>热泵热水器</w:t>
            </w:r>
          </w:p>
        </w:tc>
        <w:tc>
          <w:tcPr>
            <w:tcW w:w="3957" w:type="dxa"/>
            <w:noWrap w:val="0"/>
            <w:vAlign w:val="top"/>
          </w:tcPr>
          <w:p w14:paraId="7FDFEB8C">
            <w:pPr>
              <w:pStyle w:val="26"/>
              <w:keepNext w:val="0"/>
              <w:keepLines w:val="0"/>
              <w:pageBreakBefore w:val="0"/>
              <w:widowControl w:val="0"/>
              <w:kinsoku/>
              <w:wordWrap/>
              <w:overflowPunct/>
              <w:topLinePunct w:val="0"/>
              <w:autoSpaceDE/>
              <w:autoSpaceDN/>
              <w:bidi w:val="0"/>
              <w:adjustRightInd/>
              <w:snapToGrid/>
              <w:spacing w:before="156" w:line="360" w:lineRule="exact"/>
              <w:ind w:left="25" w:right="13" w:hanging="2"/>
              <w:textAlignment w:val="auto"/>
              <w:rPr>
                <w:rFonts w:hint="eastAsia"/>
                <w:lang w:eastAsia="zh-CN"/>
              </w:rPr>
            </w:pPr>
            <w:r>
              <w:rPr>
                <w:rFonts w:hint="eastAsia"/>
                <w:spacing w:val="5"/>
                <w:lang w:eastAsia="zh-CN"/>
              </w:rPr>
              <w:t>《热泵热水机（器）能效限定值及</w:t>
            </w:r>
            <w:r>
              <w:rPr>
                <w:rFonts w:hint="eastAsia"/>
                <w:spacing w:val="1"/>
                <w:lang w:eastAsia="zh-CN"/>
              </w:rPr>
              <w:t xml:space="preserve"> </w:t>
            </w:r>
            <w:r>
              <w:rPr>
                <w:rFonts w:hint="eastAsia"/>
                <w:spacing w:val="6"/>
                <w:lang w:eastAsia="zh-CN"/>
              </w:rPr>
              <w:t>能效等级》（</w:t>
            </w:r>
            <w:r>
              <w:rPr>
                <w:rFonts w:hint="eastAsia"/>
                <w:lang w:eastAsia="zh-CN"/>
              </w:rPr>
              <w:t>GB</w:t>
            </w:r>
            <w:r>
              <w:rPr>
                <w:rFonts w:hint="eastAsia"/>
                <w:spacing w:val="6"/>
                <w:lang w:eastAsia="zh-CN"/>
              </w:rPr>
              <w:t xml:space="preserve"> 29541）</w:t>
            </w:r>
          </w:p>
        </w:tc>
      </w:tr>
      <w:tr w14:paraId="4938B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54607D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66A492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tcBorders>
            <w:noWrap w:val="0"/>
            <w:vAlign w:val="top"/>
          </w:tcPr>
          <w:p w14:paraId="1792BB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00CC1146">
            <w:pPr>
              <w:pStyle w:val="26"/>
              <w:keepNext w:val="0"/>
              <w:keepLines w:val="0"/>
              <w:pageBreakBefore w:val="0"/>
              <w:widowControl w:val="0"/>
              <w:kinsoku/>
              <w:wordWrap/>
              <w:overflowPunct/>
              <w:topLinePunct w:val="0"/>
              <w:autoSpaceDE/>
              <w:autoSpaceDN/>
              <w:bidi w:val="0"/>
              <w:adjustRightInd/>
              <w:snapToGrid/>
              <w:spacing w:before="271" w:line="360" w:lineRule="exact"/>
              <w:ind w:left="16"/>
              <w:textAlignment w:val="auto"/>
              <w:rPr>
                <w:rFonts w:hint="eastAsia"/>
              </w:rPr>
            </w:pPr>
            <w:r>
              <w:rPr>
                <w:rFonts w:hint="eastAsia"/>
                <w:spacing w:val="8"/>
              </w:rPr>
              <w:t>太阳能热水系统</w:t>
            </w:r>
          </w:p>
        </w:tc>
        <w:tc>
          <w:tcPr>
            <w:tcW w:w="3957" w:type="dxa"/>
            <w:noWrap w:val="0"/>
            <w:vAlign w:val="top"/>
          </w:tcPr>
          <w:p w14:paraId="15836A25">
            <w:pPr>
              <w:pStyle w:val="26"/>
              <w:keepNext w:val="0"/>
              <w:keepLines w:val="0"/>
              <w:pageBreakBefore w:val="0"/>
              <w:widowControl w:val="0"/>
              <w:kinsoku/>
              <w:wordWrap/>
              <w:overflowPunct/>
              <w:topLinePunct w:val="0"/>
              <w:autoSpaceDE/>
              <w:autoSpaceDN/>
              <w:bidi w:val="0"/>
              <w:adjustRightInd/>
              <w:snapToGrid/>
              <w:spacing w:before="114" w:line="360" w:lineRule="exact"/>
              <w:ind w:left="17" w:right="11" w:firstLine="5"/>
              <w:textAlignment w:val="auto"/>
              <w:rPr>
                <w:rFonts w:hint="eastAsia"/>
                <w:lang w:eastAsia="zh-CN"/>
              </w:rPr>
            </w:pPr>
            <w:r>
              <w:rPr>
                <w:rFonts w:hint="eastAsia"/>
                <w:spacing w:val="19"/>
                <w:lang w:eastAsia="zh-CN"/>
              </w:rPr>
              <w:t>《家用太阳能热水系统能效限定</w:t>
            </w:r>
            <w:r>
              <w:rPr>
                <w:rFonts w:hint="eastAsia"/>
                <w:spacing w:val="2"/>
                <w:lang w:eastAsia="zh-CN"/>
              </w:rPr>
              <w:t xml:space="preserve"> </w:t>
            </w:r>
            <w:r>
              <w:rPr>
                <w:rFonts w:hint="eastAsia"/>
                <w:spacing w:val="7"/>
                <w:lang w:eastAsia="zh-CN"/>
              </w:rPr>
              <w:t>值及能效等级》（</w:t>
            </w:r>
            <w:r>
              <w:rPr>
                <w:rFonts w:hint="eastAsia"/>
                <w:lang w:eastAsia="zh-CN"/>
              </w:rPr>
              <w:t>GB</w:t>
            </w:r>
            <w:r>
              <w:rPr>
                <w:rFonts w:hint="eastAsia"/>
                <w:spacing w:val="7"/>
                <w:lang w:eastAsia="zh-CN"/>
              </w:rPr>
              <w:t xml:space="preserve"> 26969）</w:t>
            </w:r>
          </w:p>
        </w:tc>
      </w:tr>
      <w:tr w14:paraId="02626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1334F3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D3F6F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5544D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0E397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9B0C5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7944A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046D280">
            <w:pPr>
              <w:pStyle w:val="26"/>
              <w:keepNext w:val="0"/>
              <w:keepLines w:val="0"/>
              <w:pageBreakBefore w:val="0"/>
              <w:widowControl w:val="0"/>
              <w:kinsoku/>
              <w:wordWrap/>
              <w:overflowPunct/>
              <w:topLinePunct w:val="0"/>
              <w:autoSpaceDE/>
              <w:autoSpaceDN/>
              <w:bidi w:val="0"/>
              <w:adjustRightInd/>
              <w:snapToGrid/>
              <w:spacing w:before="61" w:line="360" w:lineRule="exact"/>
              <w:ind w:left="209"/>
              <w:textAlignment w:val="auto"/>
              <w:rPr>
                <w:rFonts w:hint="eastAsia"/>
              </w:rPr>
            </w:pPr>
            <w:r>
              <w:rPr>
                <w:rFonts w:hint="eastAsia"/>
                <w:spacing w:val="-7"/>
                <w:position w:val="1"/>
              </w:rPr>
              <w:t>11</w:t>
            </w:r>
          </w:p>
        </w:tc>
        <w:tc>
          <w:tcPr>
            <w:tcW w:w="1166" w:type="dxa"/>
            <w:vMerge w:val="restart"/>
            <w:tcBorders>
              <w:bottom w:val="nil"/>
            </w:tcBorders>
            <w:noWrap w:val="0"/>
            <w:vAlign w:val="top"/>
          </w:tcPr>
          <w:p w14:paraId="6F76BF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CB6E9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8831E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8671C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1857C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92A63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4624837">
            <w:pPr>
              <w:pStyle w:val="26"/>
              <w:keepNext w:val="0"/>
              <w:keepLines w:val="0"/>
              <w:pageBreakBefore w:val="0"/>
              <w:widowControl w:val="0"/>
              <w:kinsoku/>
              <w:wordWrap/>
              <w:overflowPunct/>
              <w:topLinePunct w:val="0"/>
              <w:autoSpaceDE/>
              <w:autoSpaceDN/>
              <w:bidi w:val="0"/>
              <w:adjustRightInd/>
              <w:snapToGrid/>
              <w:spacing w:before="61" w:line="360" w:lineRule="exact"/>
              <w:ind w:left="18" w:right="8" w:hanging="9"/>
              <w:textAlignment w:val="auto"/>
              <w:rPr>
                <w:rFonts w:hint="eastAsia"/>
              </w:rPr>
            </w:pPr>
            <w:r>
              <w:rPr>
                <w:rFonts w:hint="eastAsia"/>
                <w:spacing w:val="5"/>
              </w:rPr>
              <w:t>A020619</w:t>
            </w:r>
            <w:r>
              <w:rPr>
                <w:rFonts w:hint="eastAsia"/>
                <w:spacing w:val="-43"/>
              </w:rPr>
              <w:t xml:space="preserve"> </w:t>
            </w:r>
            <w:r>
              <w:rPr>
                <w:rFonts w:hint="eastAsia"/>
                <w:spacing w:val="5"/>
              </w:rPr>
              <w:t>照明</w:t>
            </w:r>
            <w:r>
              <w:rPr>
                <w:rFonts w:hint="eastAsia"/>
              </w:rPr>
              <w:t xml:space="preserve"> </w:t>
            </w:r>
            <w:r>
              <w:rPr>
                <w:rFonts w:hint="eastAsia"/>
                <w:spacing w:val="3"/>
              </w:rPr>
              <w:t>设备</w:t>
            </w:r>
          </w:p>
        </w:tc>
        <w:tc>
          <w:tcPr>
            <w:tcW w:w="1799" w:type="dxa"/>
            <w:noWrap w:val="0"/>
            <w:vAlign w:val="top"/>
          </w:tcPr>
          <w:p w14:paraId="6885195E">
            <w:pPr>
              <w:pStyle w:val="26"/>
              <w:keepNext w:val="0"/>
              <w:keepLines w:val="0"/>
              <w:pageBreakBefore w:val="0"/>
              <w:widowControl w:val="0"/>
              <w:kinsoku/>
              <w:wordWrap/>
              <w:overflowPunct/>
              <w:topLinePunct w:val="0"/>
              <w:autoSpaceDE/>
              <w:autoSpaceDN/>
              <w:bidi w:val="0"/>
              <w:adjustRightInd/>
              <w:snapToGrid/>
              <w:spacing w:before="198" w:line="360" w:lineRule="exact"/>
              <w:ind w:left="20" w:right="12" w:hanging="2"/>
              <w:textAlignment w:val="auto"/>
              <w:rPr>
                <w:rFonts w:hint="eastAsia"/>
                <w:lang w:eastAsia="zh-CN"/>
              </w:rPr>
            </w:pPr>
            <w:r>
              <w:rPr>
                <w:rFonts w:hint="eastAsia"/>
                <w:spacing w:val="19"/>
                <w:lang w:eastAsia="zh-CN"/>
              </w:rPr>
              <w:t>★</w:t>
            </w:r>
            <w:r>
              <w:rPr>
                <w:rFonts w:hint="eastAsia"/>
                <w:spacing w:val="-59"/>
                <w:lang w:eastAsia="zh-CN"/>
              </w:rPr>
              <w:t xml:space="preserve"> </w:t>
            </w:r>
            <w:r>
              <w:rPr>
                <w:rFonts w:hint="eastAsia"/>
                <w:spacing w:val="19"/>
                <w:lang w:eastAsia="zh-CN"/>
              </w:rPr>
              <w:t>普通照</w:t>
            </w:r>
            <w:r>
              <w:rPr>
                <w:rFonts w:hint="eastAsia"/>
                <w:spacing w:val="-42"/>
                <w:lang w:eastAsia="zh-CN"/>
              </w:rPr>
              <w:t xml:space="preserve"> </w:t>
            </w:r>
            <w:r>
              <w:rPr>
                <w:rFonts w:hint="eastAsia"/>
                <w:spacing w:val="19"/>
                <w:lang w:eastAsia="zh-CN"/>
              </w:rPr>
              <w:t>明用双端</w:t>
            </w:r>
            <w:r>
              <w:rPr>
                <w:rFonts w:hint="eastAsia"/>
                <w:lang w:eastAsia="zh-CN"/>
              </w:rPr>
              <w:t xml:space="preserve"> </w:t>
            </w:r>
            <w:r>
              <w:rPr>
                <w:rFonts w:hint="eastAsia"/>
                <w:spacing w:val="4"/>
                <w:lang w:eastAsia="zh-CN"/>
              </w:rPr>
              <w:t>荧光灯</w:t>
            </w:r>
          </w:p>
        </w:tc>
        <w:tc>
          <w:tcPr>
            <w:tcW w:w="1914" w:type="dxa"/>
            <w:noWrap w:val="0"/>
            <w:vAlign w:val="top"/>
          </w:tcPr>
          <w:p w14:paraId="5C48AB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5C47A298">
            <w:pPr>
              <w:pStyle w:val="26"/>
              <w:keepNext w:val="0"/>
              <w:keepLines w:val="0"/>
              <w:pageBreakBefore w:val="0"/>
              <w:widowControl w:val="0"/>
              <w:kinsoku/>
              <w:wordWrap/>
              <w:overflowPunct/>
              <w:topLinePunct w:val="0"/>
              <w:autoSpaceDE/>
              <w:autoSpaceDN/>
              <w:bidi w:val="0"/>
              <w:adjustRightInd/>
              <w:snapToGrid/>
              <w:spacing w:before="198" w:line="360" w:lineRule="exact"/>
              <w:ind w:left="22" w:right="11"/>
              <w:textAlignment w:val="auto"/>
              <w:rPr>
                <w:rFonts w:hint="eastAsia"/>
                <w:lang w:eastAsia="zh-CN"/>
              </w:rPr>
            </w:pPr>
            <w:r>
              <w:rPr>
                <w:rFonts w:hint="eastAsia"/>
                <w:spacing w:val="19"/>
                <w:lang w:eastAsia="zh-CN"/>
              </w:rPr>
              <w:t>《普通照明用双端荧光灯能效限</w:t>
            </w:r>
            <w:r>
              <w:rPr>
                <w:rFonts w:hint="eastAsia"/>
                <w:spacing w:val="2"/>
                <w:lang w:eastAsia="zh-CN"/>
              </w:rPr>
              <w:t xml:space="preserve"> </w:t>
            </w:r>
            <w:r>
              <w:rPr>
                <w:rFonts w:hint="eastAsia"/>
                <w:spacing w:val="5"/>
                <w:lang w:eastAsia="zh-CN"/>
              </w:rPr>
              <w:t>定值及能效等级》（</w:t>
            </w:r>
            <w:r>
              <w:rPr>
                <w:rFonts w:hint="eastAsia"/>
                <w:lang w:eastAsia="zh-CN"/>
              </w:rPr>
              <w:t>GB</w:t>
            </w:r>
            <w:r>
              <w:rPr>
                <w:rFonts w:hint="eastAsia"/>
                <w:spacing w:val="42"/>
                <w:lang w:eastAsia="zh-CN"/>
              </w:rPr>
              <w:t xml:space="preserve"> </w:t>
            </w:r>
            <w:r>
              <w:rPr>
                <w:rFonts w:hint="eastAsia"/>
                <w:spacing w:val="5"/>
                <w:lang w:eastAsia="zh-CN"/>
              </w:rPr>
              <w:t>19043）</w:t>
            </w:r>
          </w:p>
        </w:tc>
      </w:tr>
      <w:tr w14:paraId="1766A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46A63C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3F1B22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4E39FC6D">
            <w:pPr>
              <w:pStyle w:val="26"/>
              <w:keepNext w:val="0"/>
              <w:keepLines w:val="0"/>
              <w:pageBreakBefore w:val="0"/>
              <w:widowControl w:val="0"/>
              <w:kinsoku/>
              <w:wordWrap/>
              <w:overflowPunct/>
              <w:topLinePunct w:val="0"/>
              <w:autoSpaceDE/>
              <w:autoSpaceDN/>
              <w:bidi w:val="0"/>
              <w:adjustRightInd/>
              <w:snapToGrid/>
              <w:spacing w:before="156" w:line="360" w:lineRule="exact"/>
              <w:ind w:left="14" w:right="7" w:hanging="1"/>
              <w:textAlignment w:val="auto"/>
              <w:rPr>
                <w:rFonts w:hint="eastAsia"/>
              </w:rPr>
            </w:pPr>
            <w:r>
              <w:rPr>
                <w:rFonts w:hint="eastAsia"/>
              </w:rPr>
              <w:t>LED</w:t>
            </w:r>
            <w:r>
              <w:rPr>
                <w:rFonts w:hint="eastAsia"/>
                <w:spacing w:val="23"/>
              </w:rPr>
              <w:t xml:space="preserve"> </w:t>
            </w:r>
            <w:r>
              <w:rPr>
                <w:rFonts w:hint="eastAsia"/>
                <w:spacing w:val="19"/>
              </w:rPr>
              <w:t>道路/隧道照明</w:t>
            </w:r>
            <w:r>
              <w:rPr>
                <w:rFonts w:hint="eastAsia"/>
              </w:rPr>
              <w:t xml:space="preserve"> </w:t>
            </w:r>
            <w:r>
              <w:rPr>
                <w:rFonts w:hint="eastAsia"/>
                <w:spacing w:val="5"/>
              </w:rPr>
              <w:t>产品</w:t>
            </w:r>
          </w:p>
        </w:tc>
        <w:tc>
          <w:tcPr>
            <w:tcW w:w="1914" w:type="dxa"/>
            <w:noWrap w:val="0"/>
            <w:vAlign w:val="top"/>
          </w:tcPr>
          <w:p w14:paraId="40B2A6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0CAFABA8">
            <w:pPr>
              <w:pStyle w:val="26"/>
              <w:keepNext w:val="0"/>
              <w:keepLines w:val="0"/>
              <w:pageBreakBefore w:val="0"/>
              <w:widowControl w:val="0"/>
              <w:kinsoku/>
              <w:wordWrap/>
              <w:overflowPunct/>
              <w:topLinePunct w:val="0"/>
              <w:autoSpaceDE/>
              <w:autoSpaceDN/>
              <w:bidi w:val="0"/>
              <w:adjustRightInd/>
              <w:snapToGrid/>
              <w:spacing w:before="156" w:line="360" w:lineRule="exact"/>
              <w:ind w:left="22"/>
              <w:textAlignment w:val="auto"/>
              <w:rPr>
                <w:rFonts w:hint="eastAsia"/>
              </w:rPr>
            </w:pPr>
            <w:r>
              <w:rPr>
                <w:rFonts w:hint="eastAsia"/>
                <w:spacing w:val="7"/>
              </w:rPr>
              <w:t xml:space="preserve">《道路和隧道照明用 </w:t>
            </w:r>
            <w:r>
              <w:rPr>
                <w:rFonts w:hint="eastAsia"/>
              </w:rPr>
              <w:t>LED</w:t>
            </w:r>
            <w:r>
              <w:rPr>
                <w:rFonts w:hint="eastAsia"/>
                <w:spacing w:val="7"/>
              </w:rPr>
              <w:t xml:space="preserve"> 灯具能</w:t>
            </w:r>
            <w:r>
              <w:rPr>
                <w:rFonts w:hint="eastAsia"/>
              </w:rPr>
              <w:t xml:space="preserve">  </w:t>
            </w:r>
            <w:r>
              <w:rPr>
                <w:rFonts w:hint="eastAsia"/>
                <w:spacing w:val="-4"/>
              </w:rPr>
              <w:t>效限定值及能效等级》（GB</w:t>
            </w:r>
            <w:r>
              <w:rPr>
                <w:rFonts w:hint="eastAsia"/>
                <w:spacing w:val="-24"/>
              </w:rPr>
              <w:t xml:space="preserve"> </w:t>
            </w:r>
            <w:r>
              <w:rPr>
                <w:rFonts w:hint="eastAsia"/>
                <w:spacing w:val="-4"/>
              </w:rPr>
              <w:t>37478）</w:t>
            </w:r>
          </w:p>
        </w:tc>
      </w:tr>
      <w:tr w14:paraId="65FE7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3EE067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60F709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31E37F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BE0F123">
            <w:pPr>
              <w:pStyle w:val="26"/>
              <w:keepNext w:val="0"/>
              <w:keepLines w:val="0"/>
              <w:pageBreakBefore w:val="0"/>
              <w:widowControl w:val="0"/>
              <w:kinsoku/>
              <w:wordWrap/>
              <w:overflowPunct/>
              <w:topLinePunct w:val="0"/>
              <w:autoSpaceDE/>
              <w:autoSpaceDN/>
              <w:bidi w:val="0"/>
              <w:adjustRightInd/>
              <w:snapToGrid/>
              <w:spacing w:before="62" w:line="360" w:lineRule="exact"/>
              <w:ind w:left="13"/>
              <w:textAlignment w:val="auto"/>
              <w:rPr>
                <w:rFonts w:hint="eastAsia"/>
              </w:rPr>
            </w:pPr>
            <w:r>
              <w:rPr>
                <w:rFonts w:hint="eastAsia"/>
              </w:rPr>
              <w:t>LED</w:t>
            </w:r>
            <w:r>
              <w:rPr>
                <w:rFonts w:hint="eastAsia"/>
                <w:spacing w:val="-32"/>
              </w:rPr>
              <w:t xml:space="preserve"> </w:t>
            </w:r>
            <w:r>
              <w:rPr>
                <w:rFonts w:hint="eastAsia"/>
                <w:spacing w:val="8"/>
              </w:rPr>
              <w:t>筒灯</w:t>
            </w:r>
          </w:p>
        </w:tc>
        <w:tc>
          <w:tcPr>
            <w:tcW w:w="1914" w:type="dxa"/>
            <w:noWrap w:val="0"/>
            <w:vAlign w:val="top"/>
          </w:tcPr>
          <w:p w14:paraId="1073B2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7B841FF1">
            <w:pPr>
              <w:pStyle w:val="26"/>
              <w:keepNext w:val="0"/>
              <w:keepLines w:val="0"/>
              <w:pageBreakBefore w:val="0"/>
              <w:widowControl w:val="0"/>
              <w:kinsoku/>
              <w:wordWrap/>
              <w:overflowPunct/>
              <w:topLinePunct w:val="0"/>
              <w:autoSpaceDE/>
              <w:autoSpaceDN/>
              <w:bidi w:val="0"/>
              <w:adjustRightInd/>
              <w:snapToGrid/>
              <w:spacing w:before="148" w:line="360" w:lineRule="exact"/>
              <w:ind w:left="17" w:right="13" w:firstLine="5"/>
              <w:textAlignment w:val="auto"/>
              <w:rPr>
                <w:rFonts w:hint="eastAsia"/>
              </w:rPr>
            </w:pPr>
            <w:r>
              <w:rPr>
                <w:rFonts w:hint="eastAsia"/>
                <w:spacing w:val="12"/>
              </w:rPr>
              <w:t xml:space="preserve">《室内照明用 </w:t>
            </w:r>
            <w:r>
              <w:rPr>
                <w:rFonts w:hint="eastAsia"/>
              </w:rPr>
              <w:t>LED</w:t>
            </w:r>
            <w:r>
              <w:rPr>
                <w:rFonts w:hint="eastAsia"/>
                <w:spacing w:val="12"/>
              </w:rPr>
              <w:t xml:space="preserve"> 产品能效限定</w:t>
            </w:r>
            <w:r>
              <w:rPr>
                <w:rFonts w:hint="eastAsia"/>
                <w:spacing w:val="2"/>
              </w:rPr>
              <w:t xml:space="preserve"> </w:t>
            </w:r>
            <w:r>
              <w:rPr>
                <w:rFonts w:hint="eastAsia"/>
                <w:spacing w:val="7"/>
              </w:rPr>
              <w:t>值及能效等级》（</w:t>
            </w:r>
            <w:r>
              <w:rPr>
                <w:rFonts w:hint="eastAsia"/>
              </w:rPr>
              <w:t>GB</w:t>
            </w:r>
            <w:r>
              <w:rPr>
                <w:rFonts w:hint="eastAsia"/>
                <w:spacing w:val="7"/>
              </w:rPr>
              <w:t xml:space="preserve"> 30255）</w:t>
            </w:r>
          </w:p>
        </w:tc>
      </w:tr>
      <w:tr w14:paraId="3980B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0B8041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2EDE6E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14EB67FC">
            <w:pPr>
              <w:pStyle w:val="26"/>
              <w:keepNext w:val="0"/>
              <w:keepLines w:val="0"/>
              <w:pageBreakBefore w:val="0"/>
              <w:widowControl w:val="0"/>
              <w:kinsoku/>
              <w:wordWrap/>
              <w:overflowPunct/>
              <w:topLinePunct w:val="0"/>
              <w:autoSpaceDE/>
              <w:autoSpaceDN/>
              <w:bidi w:val="0"/>
              <w:adjustRightInd/>
              <w:snapToGrid/>
              <w:spacing w:before="265" w:line="360" w:lineRule="exact"/>
              <w:ind w:left="47" w:right="12" w:hanging="33"/>
              <w:textAlignment w:val="auto"/>
              <w:rPr>
                <w:rFonts w:hint="eastAsia"/>
              </w:rPr>
            </w:pPr>
            <w:r>
              <w:rPr>
                <w:rFonts w:hint="eastAsia"/>
                <w:spacing w:val="30"/>
              </w:rPr>
              <w:t>普通照明用非定向</w:t>
            </w:r>
            <w:r>
              <w:rPr>
                <w:rFonts w:hint="eastAsia"/>
                <w:spacing w:val="5"/>
              </w:rPr>
              <w:t xml:space="preserve"> </w:t>
            </w:r>
            <w:r>
              <w:rPr>
                <w:rFonts w:hint="eastAsia"/>
                <w:spacing w:val="-1"/>
              </w:rPr>
              <w:t>自镇流</w:t>
            </w:r>
            <w:r>
              <w:rPr>
                <w:rFonts w:hint="eastAsia"/>
                <w:spacing w:val="-33"/>
              </w:rPr>
              <w:t xml:space="preserve"> </w:t>
            </w:r>
            <w:r>
              <w:rPr>
                <w:rFonts w:hint="eastAsia"/>
                <w:spacing w:val="-1"/>
              </w:rPr>
              <w:t>LED</w:t>
            </w:r>
            <w:r>
              <w:rPr>
                <w:rFonts w:hint="eastAsia"/>
                <w:spacing w:val="-37"/>
              </w:rPr>
              <w:t xml:space="preserve"> </w:t>
            </w:r>
            <w:r>
              <w:rPr>
                <w:rFonts w:hint="eastAsia"/>
                <w:spacing w:val="-1"/>
              </w:rPr>
              <w:t>灯</w:t>
            </w:r>
          </w:p>
        </w:tc>
        <w:tc>
          <w:tcPr>
            <w:tcW w:w="1914" w:type="dxa"/>
            <w:noWrap w:val="0"/>
            <w:vAlign w:val="top"/>
          </w:tcPr>
          <w:p w14:paraId="7B26E6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59443A66">
            <w:pPr>
              <w:pStyle w:val="26"/>
              <w:keepNext w:val="0"/>
              <w:keepLines w:val="0"/>
              <w:pageBreakBefore w:val="0"/>
              <w:widowControl w:val="0"/>
              <w:kinsoku/>
              <w:wordWrap/>
              <w:overflowPunct/>
              <w:topLinePunct w:val="0"/>
              <w:autoSpaceDE/>
              <w:autoSpaceDN/>
              <w:bidi w:val="0"/>
              <w:adjustRightInd/>
              <w:snapToGrid/>
              <w:spacing w:before="265" w:line="360" w:lineRule="exact"/>
              <w:ind w:left="17" w:right="13" w:firstLine="5"/>
              <w:textAlignment w:val="auto"/>
              <w:rPr>
                <w:rFonts w:hint="eastAsia"/>
              </w:rPr>
            </w:pPr>
            <w:r>
              <w:rPr>
                <w:rFonts w:hint="eastAsia"/>
                <w:spacing w:val="12"/>
              </w:rPr>
              <w:t xml:space="preserve">《室内照明用 </w:t>
            </w:r>
            <w:r>
              <w:rPr>
                <w:rFonts w:hint="eastAsia"/>
              </w:rPr>
              <w:t>LED</w:t>
            </w:r>
            <w:r>
              <w:rPr>
                <w:rFonts w:hint="eastAsia"/>
                <w:spacing w:val="12"/>
              </w:rPr>
              <w:t xml:space="preserve"> 产品能效限定</w:t>
            </w:r>
            <w:r>
              <w:rPr>
                <w:rFonts w:hint="eastAsia"/>
                <w:spacing w:val="2"/>
              </w:rPr>
              <w:t xml:space="preserve"> </w:t>
            </w:r>
            <w:r>
              <w:rPr>
                <w:rFonts w:hint="eastAsia"/>
                <w:spacing w:val="7"/>
              </w:rPr>
              <w:t>值及能效等级》（</w:t>
            </w:r>
            <w:r>
              <w:rPr>
                <w:rFonts w:hint="eastAsia"/>
              </w:rPr>
              <w:t>GB</w:t>
            </w:r>
            <w:r>
              <w:rPr>
                <w:rFonts w:hint="eastAsia"/>
                <w:spacing w:val="7"/>
              </w:rPr>
              <w:t xml:space="preserve"> 30255）</w:t>
            </w:r>
          </w:p>
        </w:tc>
      </w:tr>
      <w:tr w14:paraId="4F230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44F269E3">
            <w:pPr>
              <w:pStyle w:val="26"/>
              <w:keepNext w:val="0"/>
              <w:keepLines w:val="0"/>
              <w:pageBreakBefore w:val="0"/>
              <w:widowControl w:val="0"/>
              <w:kinsoku/>
              <w:wordWrap/>
              <w:overflowPunct/>
              <w:topLinePunct w:val="0"/>
              <w:autoSpaceDE/>
              <w:autoSpaceDN/>
              <w:bidi w:val="0"/>
              <w:adjustRightInd/>
              <w:snapToGrid/>
              <w:spacing w:before="301" w:line="360" w:lineRule="exact"/>
              <w:ind w:left="209"/>
              <w:textAlignment w:val="auto"/>
              <w:rPr>
                <w:rFonts w:hint="eastAsia"/>
              </w:rPr>
            </w:pPr>
            <w:r>
              <w:rPr>
                <w:rFonts w:hint="eastAsia"/>
                <w:spacing w:val="-7"/>
                <w:position w:val="1"/>
              </w:rPr>
              <w:t>12</w:t>
            </w:r>
          </w:p>
        </w:tc>
        <w:tc>
          <w:tcPr>
            <w:tcW w:w="1166" w:type="dxa"/>
            <w:noWrap w:val="0"/>
            <w:vAlign w:val="top"/>
          </w:tcPr>
          <w:p w14:paraId="20AC9AF5">
            <w:pPr>
              <w:pStyle w:val="26"/>
              <w:keepNext w:val="0"/>
              <w:keepLines w:val="0"/>
              <w:pageBreakBefore w:val="0"/>
              <w:widowControl w:val="0"/>
              <w:kinsoku/>
              <w:wordWrap/>
              <w:overflowPunct/>
              <w:topLinePunct w:val="0"/>
              <w:autoSpaceDE/>
              <w:autoSpaceDN/>
              <w:bidi w:val="0"/>
              <w:adjustRightInd/>
              <w:snapToGrid/>
              <w:spacing w:before="145" w:line="360" w:lineRule="exact"/>
              <w:ind w:left="14" w:right="8" w:firstLine="3"/>
              <w:textAlignment w:val="auto"/>
              <w:rPr>
                <w:rFonts w:hint="eastAsia"/>
              </w:rPr>
            </w:pPr>
            <w:r>
              <w:rPr>
                <w:rFonts w:hint="eastAsia"/>
                <w:spacing w:val="1"/>
              </w:rPr>
              <w:t>★A020910</w:t>
            </w:r>
            <w:r>
              <w:rPr>
                <w:rFonts w:hint="eastAsia"/>
                <w:spacing w:val="-17"/>
              </w:rPr>
              <w:t xml:space="preserve"> </w:t>
            </w:r>
            <w:r>
              <w:rPr>
                <w:rFonts w:hint="eastAsia"/>
                <w:spacing w:val="1"/>
              </w:rPr>
              <w:t>电</w:t>
            </w:r>
            <w:r>
              <w:rPr>
                <w:rFonts w:hint="eastAsia"/>
              </w:rPr>
              <w:t xml:space="preserve"> </w:t>
            </w:r>
            <w:r>
              <w:rPr>
                <w:rFonts w:hint="eastAsia"/>
                <w:spacing w:val="6"/>
              </w:rPr>
              <w:t>视设备</w:t>
            </w:r>
          </w:p>
        </w:tc>
        <w:tc>
          <w:tcPr>
            <w:tcW w:w="1799" w:type="dxa"/>
            <w:noWrap w:val="0"/>
            <w:vAlign w:val="top"/>
          </w:tcPr>
          <w:p w14:paraId="68F89B51">
            <w:pPr>
              <w:pStyle w:val="26"/>
              <w:keepNext w:val="0"/>
              <w:keepLines w:val="0"/>
              <w:pageBreakBefore w:val="0"/>
              <w:widowControl w:val="0"/>
              <w:kinsoku/>
              <w:wordWrap/>
              <w:overflowPunct/>
              <w:topLinePunct w:val="0"/>
              <w:autoSpaceDE/>
              <w:autoSpaceDN/>
              <w:bidi w:val="0"/>
              <w:adjustRightInd/>
              <w:snapToGrid/>
              <w:spacing w:before="145" w:line="360" w:lineRule="exact"/>
              <w:ind w:left="18" w:right="10" w:hanging="9"/>
              <w:textAlignment w:val="auto"/>
              <w:rPr>
                <w:rFonts w:hint="eastAsia"/>
                <w:lang w:eastAsia="zh-CN"/>
              </w:rPr>
            </w:pPr>
            <w:r>
              <w:rPr>
                <w:rFonts w:hint="eastAsia"/>
                <w:spacing w:val="4"/>
                <w:lang w:eastAsia="zh-CN"/>
              </w:rPr>
              <w:t>A02091001 普通电视</w:t>
            </w:r>
            <w:r>
              <w:rPr>
                <w:rFonts w:hint="eastAsia"/>
                <w:spacing w:val="7"/>
                <w:lang w:eastAsia="zh-CN"/>
              </w:rPr>
              <w:t xml:space="preserve"> </w:t>
            </w:r>
            <w:r>
              <w:rPr>
                <w:rFonts w:hint="eastAsia"/>
                <w:spacing w:val="6"/>
                <w:lang w:eastAsia="zh-CN"/>
              </w:rPr>
              <w:t>设备（电视机）</w:t>
            </w:r>
          </w:p>
        </w:tc>
        <w:tc>
          <w:tcPr>
            <w:tcW w:w="1914" w:type="dxa"/>
            <w:noWrap w:val="0"/>
            <w:vAlign w:val="top"/>
          </w:tcPr>
          <w:p w14:paraId="52C452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5B2340FA">
            <w:pPr>
              <w:pStyle w:val="26"/>
              <w:keepNext w:val="0"/>
              <w:keepLines w:val="0"/>
              <w:pageBreakBefore w:val="0"/>
              <w:widowControl w:val="0"/>
              <w:kinsoku/>
              <w:wordWrap/>
              <w:overflowPunct/>
              <w:topLinePunct w:val="0"/>
              <w:autoSpaceDE/>
              <w:autoSpaceDN/>
              <w:bidi w:val="0"/>
              <w:adjustRightInd/>
              <w:snapToGrid/>
              <w:spacing w:before="146" w:line="360" w:lineRule="exact"/>
              <w:ind w:left="21" w:right="11" w:firstLine="2"/>
              <w:textAlignment w:val="auto"/>
              <w:rPr>
                <w:rFonts w:hint="eastAsia"/>
                <w:lang w:eastAsia="zh-CN"/>
              </w:rPr>
            </w:pPr>
            <w:r>
              <w:rPr>
                <w:rFonts w:hint="eastAsia"/>
                <w:spacing w:val="19"/>
                <w:lang w:eastAsia="zh-CN"/>
              </w:rPr>
              <w:t>《平板电视能效限定值及能效等</w:t>
            </w:r>
            <w:r>
              <w:rPr>
                <w:rFonts w:hint="eastAsia"/>
                <w:spacing w:val="2"/>
                <w:lang w:eastAsia="zh-CN"/>
              </w:rPr>
              <w:t xml:space="preserve"> </w:t>
            </w:r>
            <w:r>
              <w:rPr>
                <w:rFonts w:hint="eastAsia"/>
                <w:spacing w:val="4"/>
                <w:lang w:eastAsia="zh-CN"/>
              </w:rPr>
              <w:t>级》（</w:t>
            </w:r>
            <w:r>
              <w:rPr>
                <w:rFonts w:hint="eastAsia"/>
                <w:lang w:eastAsia="zh-CN"/>
              </w:rPr>
              <w:t>GB</w:t>
            </w:r>
            <w:r>
              <w:rPr>
                <w:rFonts w:hint="eastAsia"/>
                <w:spacing w:val="23"/>
                <w:lang w:eastAsia="zh-CN"/>
              </w:rPr>
              <w:t xml:space="preserve"> </w:t>
            </w:r>
            <w:r>
              <w:rPr>
                <w:rFonts w:hint="eastAsia"/>
                <w:spacing w:val="4"/>
                <w:lang w:eastAsia="zh-CN"/>
              </w:rPr>
              <w:t>24850）</w:t>
            </w:r>
          </w:p>
        </w:tc>
      </w:tr>
      <w:tr w14:paraId="331B0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2333CB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4A4B9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60CCE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A4505CE">
            <w:pPr>
              <w:pStyle w:val="26"/>
              <w:keepNext w:val="0"/>
              <w:keepLines w:val="0"/>
              <w:pageBreakBefore w:val="0"/>
              <w:widowControl w:val="0"/>
              <w:kinsoku/>
              <w:wordWrap/>
              <w:overflowPunct/>
              <w:topLinePunct w:val="0"/>
              <w:autoSpaceDE/>
              <w:autoSpaceDN/>
              <w:bidi w:val="0"/>
              <w:adjustRightInd/>
              <w:snapToGrid/>
              <w:spacing w:before="62" w:line="360" w:lineRule="exact"/>
              <w:ind w:left="209"/>
              <w:textAlignment w:val="auto"/>
              <w:rPr>
                <w:rFonts w:hint="eastAsia"/>
              </w:rPr>
            </w:pPr>
            <w:r>
              <w:rPr>
                <w:rFonts w:hint="eastAsia"/>
                <w:spacing w:val="-7"/>
                <w:position w:val="1"/>
              </w:rPr>
              <w:t>13</w:t>
            </w:r>
          </w:p>
        </w:tc>
        <w:tc>
          <w:tcPr>
            <w:tcW w:w="1166" w:type="dxa"/>
            <w:noWrap w:val="0"/>
            <w:vAlign w:val="top"/>
          </w:tcPr>
          <w:p w14:paraId="5C470B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A8059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EF2B779">
            <w:pPr>
              <w:pStyle w:val="26"/>
              <w:keepNext w:val="0"/>
              <w:keepLines w:val="0"/>
              <w:pageBreakBefore w:val="0"/>
              <w:widowControl w:val="0"/>
              <w:kinsoku/>
              <w:wordWrap/>
              <w:overflowPunct/>
              <w:topLinePunct w:val="0"/>
              <w:autoSpaceDE/>
              <w:autoSpaceDN/>
              <w:bidi w:val="0"/>
              <w:adjustRightInd/>
              <w:snapToGrid/>
              <w:spacing w:before="62" w:line="360" w:lineRule="exact"/>
              <w:ind w:left="16" w:right="8" w:firstLine="2"/>
              <w:textAlignment w:val="auto"/>
              <w:rPr>
                <w:rFonts w:hint="eastAsia"/>
              </w:rPr>
            </w:pPr>
            <w:r>
              <w:rPr>
                <w:rFonts w:hint="eastAsia"/>
                <w:spacing w:val="4"/>
              </w:rPr>
              <w:t>★A020911</w:t>
            </w:r>
            <w:r>
              <w:rPr>
                <w:rFonts w:hint="eastAsia"/>
                <w:spacing w:val="-44"/>
              </w:rPr>
              <w:t xml:space="preserve"> </w:t>
            </w:r>
            <w:r>
              <w:rPr>
                <w:rFonts w:hint="eastAsia"/>
                <w:spacing w:val="4"/>
              </w:rPr>
              <w:t>视</w:t>
            </w:r>
            <w:r>
              <w:rPr>
                <w:rFonts w:hint="eastAsia"/>
              </w:rPr>
              <w:t xml:space="preserve"> </w:t>
            </w:r>
            <w:r>
              <w:rPr>
                <w:rFonts w:hint="eastAsia"/>
                <w:spacing w:val="6"/>
              </w:rPr>
              <w:t>频设备</w:t>
            </w:r>
          </w:p>
        </w:tc>
        <w:tc>
          <w:tcPr>
            <w:tcW w:w="1799" w:type="dxa"/>
            <w:noWrap w:val="0"/>
            <w:vAlign w:val="top"/>
          </w:tcPr>
          <w:p w14:paraId="754E4B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B99E7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85EF206">
            <w:pPr>
              <w:pStyle w:val="26"/>
              <w:keepNext w:val="0"/>
              <w:keepLines w:val="0"/>
              <w:pageBreakBefore w:val="0"/>
              <w:widowControl w:val="0"/>
              <w:kinsoku/>
              <w:wordWrap/>
              <w:overflowPunct/>
              <w:topLinePunct w:val="0"/>
              <w:autoSpaceDE/>
              <w:autoSpaceDN/>
              <w:bidi w:val="0"/>
              <w:adjustRightInd/>
              <w:snapToGrid/>
              <w:spacing w:before="62" w:line="360" w:lineRule="exact"/>
              <w:ind w:left="18" w:right="10" w:hanging="9"/>
              <w:textAlignment w:val="auto"/>
              <w:rPr>
                <w:rFonts w:hint="eastAsia"/>
              </w:rPr>
            </w:pPr>
            <w:r>
              <w:rPr>
                <w:rFonts w:hint="eastAsia"/>
                <w:spacing w:val="4"/>
              </w:rPr>
              <w:t>A02091107 视频监控</w:t>
            </w:r>
            <w:r>
              <w:rPr>
                <w:rFonts w:hint="eastAsia"/>
                <w:spacing w:val="7"/>
              </w:rPr>
              <w:t xml:space="preserve"> </w:t>
            </w:r>
            <w:r>
              <w:rPr>
                <w:rFonts w:hint="eastAsia"/>
                <w:spacing w:val="3"/>
              </w:rPr>
              <w:t>设备</w:t>
            </w:r>
          </w:p>
        </w:tc>
        <w:tc>
          <w:tcPr>
            <w:tcW w:w="1914" w:type="dxa"/>
            <w:noWrap w:val="0"/>
            <w:vAlign w:val="top"/>
          </w:tcPr>
          <w:p w14:paraId="457352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27F75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7A593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E4D36A6">
            <w:pPr>
              <w:pStyle w:val="26"/>
              <w:keepNext w:val="0"/>
              <w:keepLines w:val="0"/>
              <w:pageBreakBefore w:val="0"/>
              <w:widowControl w:val="0"/>
              <w:kinsoku/>
              <w:wordWrap/>
              <w:overflowPunct/>
              <w:topLinePunct w:val="0"/>
              <w:autoSpaceDE/>
              <w:autoSpaceDN/>
              <w:bidi w:val="0"/>
              <w:adjustRightInd/>
              <w:snapToGrid/>
              <w:spacing w:before="62" w:line="360" w:lineRule="exact"/>
              <w:ind w:left="17"/>
              <w:textAlignment w:val="auto"/>
              <w:rPr>
                <w:rFonts w:hint="eastAsia"/>
              </w:rPr>
            </w:pPr>
            <w:r>
              <w:rPr>
                <w:rFonts w:hint="eastAsia"/>
                <w:spacing w:val="6"/>
              </w:rPr>
              <w:t>监视器</w:t>
            </w:r>
          </w:p>
        </w:tc>
        <w:tc>
          <w:tcPr>
            <w:tcW w:w="3957" w:type="dxa"/>
            <w:noWrap w:val="0"/>
            <w:vAlign w:val="top"/>
          </w:tcPr>
          <w:p w14:paraId="734C4C80">
            <w:pPr>
              <w:pStyle w:val="26"/>
              <w:keepNext w:val="0"/>
              <w:keepLines w:val="0"/>
              <w:pageBreakBefore w:val="0"/>
              <w:widowControl w:val="0"/>
              <w:kinsoku/>
              <w:wordWrap/>
              <w:overflowPunct/>
              <w:topLinePunct w:val="0"/>
              <w:autoSpaceDE/>
              <w:autoSpaceDN/>
              <w:bidi w:val="0"/>
              <w:adjustRightInd/>
              <w:snapToGrid/>
              <w:spacing w:before="93" w:line="360" w:lineRule="exact"/>
              <w:ind w:left="17" w:right="11" w:firstLine="23"/>
              <w:textAlignment w:val="auto"/>
              <w:rPr>
                <w:rFonts w:hint="eastAsia"/>
                <w:lang w:eastAsia="zh-CN"/>
              </w:rPr>
            </w:pPr>
            <w:r>
              <w:rPr>
                <w:rFonts w:hint="eastAsia"/>
                <w:spacing w:val="18"/>
                <w:lang w:eastAsia="zh-CN"/>
              </w:rPr>
              <w:t>以射频信号为主要信号输入的监</w:t>
            </w:r>
            <w:r>
              <w:rPr>
                <w:rFonts w:hint="eastAsia"/>
                <w:lang w:eastAsia="zh-CN"/>
              </w:rPr>
              <w:t xml:space="preserve"> </w:t>
            </w:r>
            <w:r>
              <w:rPr>
                <w:rFonts w:hint="eastAsia"/>
                <w:spacing w:val="5"/>
                <w:lang w:eastAsia="zh-CN"/>
              </w:rPr>
              <w:t>视器应符合《平板电视能效限定值</w:t>
            </w:r>
            <w:r>
              <w:rPr>
                <w:rFonts w:hint="eastAsia"/>
                <w:spacing w:val="7"/>
                <w:lang w:eastAsia="zh-CN"/>
              </w:rPr>
              <w:t xml:space="preserve"> </w:t>
            </w:r>
            <w:r>
              <w:rPr>
                <w:rFonts w:hint="eastAsia"/>
                <w:spacing w:val="8"/>
                <w:lang w:eastAsia="zh-CN"/>
              </w:rPr>
              <w:t>及能效等级》（</w:t>
            </w:r>
            <w:r>
              <w:rPr>
                <w:rFonts w:hint="eastAsia"/>
                <w:lang w:eastAsia="zh-CN"/>
              </w:rPr>
              <w:t>GB</w:t>
            </w:r>
            <w:r>
              <w:rPr>
                <w:rFonts w:hint="eastAsia"/>
                <w:spacing w:val="8"/>
                <w:lang w:eastAsia="zh-CN"/>
              </w:rPr>
              <w:t xml:space="preserve"> 24850</w:t>
            </w:r>
            <w:r>
              <w:rPr>
                <w:rFonts w:hint="eastAsia"/>
                <w:lang w:eastAsia="zh-CN"/>
              </w:rPr>
              <w:t>），</w:t>
            </w:r>
          </w:p>
          <w:p w14:paraId="7F47ECB1">
            <w:pPr>
              <w:pStyle w:val="26"/>
              <w:keepNext w:val="0"/>
              <w:keepLines w:val="0"/>
              <w:pageBreakBefore w:val="0"/>
              <w:widowControl w:val="0"/>
              <w:kinsoku/>
              <w:wordWrap/>
              <w:overflowPunct/>
              <w:topLinePunct w:val="0"/>
              <w:autoSpaceDE/>
              <w:autoSpaceDN/>
              <w:bidi w:val="0"/>
              <w:adjustRightInd/>
              <w:snapToGrid/>
              <w:spacing w:before="1" w:line="360" w:lineRule="exact"/>
              <w:ind w:left="17" w:right="11" w:firstLine="23"/>
              <w:textAlignment w:val="auto"/>
              <w:rPr>
                <w:rFonts w:hint="eastAsia"/>
                <w:lang w:eastAsia="zh-CN"/>
              </w:rPr>
            </w:pPr>
            <w:r>
              <w:rPr>
                <w:rFonts w:hint="eastAsia"/>
                <w:spacing w:val="18"/>
                <w:lang w:eastAsia="zh-CN"/>
              </w:rPr>
              <w:t>以数字信号为主要信号输入的监</w:t>
            </w:r>
            <w:r>
              <w:rPr>
                <w:rFonts w:hint="eastAsia"/>
                <w:lang w:eastAsia="zh-CN"/>
              </w:rPr>
              <w:t xml:space="preserve"> </w:t>
            </w:r>
            <w:r>
              <w:rPr>
                <w:rFonts w:hint="eastAsia"/>
                <w:spacing w:val="5"/>
                <w:lang w:eastAsia="zh-CN"/>
              </w:rPr>
              <w:t>视器应符合《计算机显示器能效限</w:t>
            </w:r>
            <w:r>
              <w:rPr>
                <w:rFonts w:hint="eastAsia"/>
                <w:spacing w:val="7"/>
                <w:lang w:eastAsia="zh-CN"/>
              </w:rPr>
              <w:t xml:space="preserve"> 定值及能效等级》（</w:t>
            </w:r>
            <w:r>
              <w:rPr>
                <w:rFonts w:hint="eastAsia"/>
                <w:lang w:eastAsia="zh-CN"/>
              </w:rPr>
              <w:t>GB</w:t>
            </w:r>
            <w:r>
              <w:rPr>
                <w:rFonts w:hint="eastAsia"/>
                <w:spacing w:val="7"/>
                <w:lang w:eastAsia="zh-CN"/>
              </w:rPr>
              <w:t xml:space="preserve"> 21520）</w:t>
            </w:r>
          </w:p>
        </w:tc>
      </w:tr>
      <w:tr w14:paraId="7053B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2BD3AD6E">
            <w:pPr>
              <w:pStyle w:val="26"/>
              <w:keepNext w:val="0"/>
              <w:keepLines w:val="0"/>
              <w:pageBreakBefore w:val="0"/>
              <w:widowControl w:val="0"/>
              <w:kinsoku/>
              <w:wordWrap/>
              <w:overflowPunct/>
              <w:topLinePunct w:val="0"/>
              <w:autoSpaceDE/>
              <w:autoSpaceDN/>
              <w:bidi w:val="0"/>
              <w:adjustRightInd/>
              <w:snapToGrid/>
              <w:spacing w:before="298" w:line="360" w:lineRule="exact"/>
              <w:ind w:left="209"/>
              <w:textAlignment w:val="auto"/>
              <w:rPr>
                <w:rFonts w:hint="eastAsia"/>
              </w:rPr>
            </w:pPr>
            <w:r>
              <w:rPr>
                <w:rFonts w:hint="eastAsia"/>
                <w:spacing w:val="-7"/>
                <w:position w:val="1"/>
              </w:rPr>
              <w:t>14</w:t>
            </w:r>
          </w:p>
        </w:tc>
        <w:tc>
          <w:tcPr>
            <w:tcW w:w="1166" w:type="dxa"/>
            <w:noWrap w:val="0"/>
            <w:vAlign w:val="top"/>
          </w:tcPr>
          <w:p w14:paraId="4582E61A">
            <w:pPr>
              <w:pStyle w:val="26"/>
              <w:keepNext w:val="0"/>
              <w:keepLines w:val="0"/>
              <w:pageBreakBefore w:val="0"/>
              <w:widowControl w:val="0"/>
              <w:kinsoku/>
              <w:wordWrap/>
              <w:overflowPunct/>
              <w:topLinePunct w:val="0"/>
              <w:autoSpaceDE/>
              <w:autoSpaceDN/>
              <w:bidi w:val="0"/>
              <w:adjustRightInd/>
              <w:snapToGrid/>
              <w:spacing w:before="142" w:line="360" w:lineRule="exact"/>
              <w:ind w:left="15" w:right="8" w:hanging="6"/>
              <w:textAlignment w:val="auto"/>
              <w:rPr>
                <w:rFonts w:hint="eastAsia"/>
              </w:rPr>
            </w:pPr>
            <w:r>
              <w:rPr>
                <w:rFonts w:hint="eastAsia"/>
                <w:spacing w:val="5"/>
              </w:rPr>
              <w:t>A031210</w:t>
            </w:r>
            <w:r>
              <w:rPr>
                <w:rFonts w:hint="eastAsia"/>
                <w:spacing w:val="-43"/>
              </w:rPr>
              <w:t xml:space="preserve"> </w:t>
            </w:r>
            <w:r>
              <w:rPr>
                <w:rFonts w:hint="eastAsia"/>
                <w:spacing w:val="5"/>
              </w:rPr>
              <w:t>饮食</w:t>
            </w:r>
            <w:r>
              <w:rPr>
                <w:rFonts w:hint="eastAsia"/>
              </w:rPr>
              <w:t xml:space="preserve"> </w:t>
            </w:r>
            <w:r>
              <w:rPr>
                <w:rFonts w:hint="eastAsia"/>
                <w:spacing w:val="7"/>
              </w:rPr>
              <w:t>炊事机械</w:t>
            </w:r>
          </w:p>
        </w:tc>
        <w:tc>
          <w:tcPr>
            <w:tcW w:w="1799" w:type="dxa"/>
            <w:noWrap w:val="0"/>
            <w:vAlign w:val="top"/>
          </w:tcPr>
          <w:p w14:paraId="3FADF03D">
            <w:pPr>
              <w:pStyle w:val="26"/>
              <w:keepNext w:val="0"/>
              <w:keepLines w:val="0"/>
              <w:pageBreakBefore w:val="0"/>
              <w:widowControl w:val="0"/>
              <w:kinsoku/>
              <w:wordWrap/>
              <w:overflowPunct/>
              <w:topLinePunct w:val="0"/>
              <w:autoSpaceDE/>
              <w:autoSpaceDN/>
              <w:bidi w:val="0"/>
              <w:adjustRightInd/>
              <w:snapToGrid/>
              <w:spacing w:before="297" w:line="360" w:lineRule="exact"/>
              <w:ind w:left="19"/>
              <w:textAlignment w:val="auto"/>
              <w:rPr>
                <w:rFonts w:hint="eastAsia"/>
              </w:rPr>
            </w:pPr>
            <w:r>
              <w:rPr>
                <w:rFonts w:hint="eastAsia"/>
                <w:spacing w:val="7"/>
              </w:rPr>
              <w:t>商用燃气灶具</w:t>
            </w:r>
          </w:p>
        </w:tc>
        <w:tc>
          <w:tcPr>
            <w:tcW w:w="1914" w:type="dxa"/>
            <w:noWrap w:val="0"/>
            <w:vAlign w:val="top"/>
          </w:tcPr>
          <w:p w14:paraId="6E8513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14477F83">
            <w:pPr>
              <w:pStyle w:val="26"/>
              <w:keepNext w:val="0"/>
              <w:keepLines w:val="0"/>
              <w:pageBreakBefore w:val="0"/>
              <w:widowControl w:val="0"/>
              <w:kinsoku/>
              <w:wordWrap/>
              <w:overflowPunct/>
              <w:topLinePunct w:val="0"/>
              <w:autoSpaceDE/>
              <w:autoSpaceDN/>
              <w:bidi w:val="0"/>
              <w:adjustRightInd/>
              <w:snapToGrid/>
              <w:spacing w:before="142" w:line="360" w:lineRule="exact"/>
              <w:ind w:left="22" w:right="11"/>
              <w:textAlignment w:val="auto"/>
              <w:rPr>
                <w:rFonts w:hint="eastAsia"/>
                <w:lang w:eastAsia="zh-CN"/>
              </w:rPr>
            </w:pPr>
            <w:r>
              <w:rPr>
                <w:rFonts w:hint="eastAsia"/>
                <w:spacing w:val="19"/>
                <w:lang w:eastAsia="zh-CN"/>
              </w:rPr>
              <w:t>《商用燃气灶具能效限定值及能</w:t>
            </w:r>
            <w:r>
              <w:rPr>
                <w:rFonts w:hint="eastAsia"/>
                <w:spacing w:val="2"/>
                <w:lang w:eastAsia="zh-CN"/>
              </w:rPr>
              <w:t xml:space="preserve"> </w:t>
            </w:r>
            <w:r>
              <w:rPr>
                <w:rFonts w:hint="eastAsia"/>
                <w:spacing w:val="6"/>
                <w:lang w:eastAsia="zh-CN"/>
              </w:rPr>
              <w:t>效等级》（</w:t>
            </w:r>
            <w:r>
              <w:rPr>
                <w:rFonts w:hint="eastAsia"/>
                <w:lang w:eastAsia="zh-CN"/>
              </w:rPr>
              <w:t>GB</w:t>
            </w:r>
            <w:r>
              <w:rPr>
                <w:rFonts w:hint="eastAsia"/>
                <w:spacing w:val="6"/>
                <w:lang w:eastAsia="zh-CN"/>
              </w:rPr>
              <w:t xml:space="preserve"> 30531）</w:t>
            </w:r>
          </w:p>
        </w:tc>
      </w:tr>
      <w:tr w14:paraId="70A9C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146B27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06E2F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3001F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B281C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1845FCC">
            <w:pPr>
              <w:pStyle w:val="26"/>
              <w:keepNext w:val="0"/>
              <w:keepLines w:val="0"/>
              <w:pageBreakBefore w:val="0"/>
              <w:widowControl w:val="0"/>
              <w:kinsoku/>
              <w:wordWrap/>
              <w:overflowPunct/>
              <w:topLinePunct w:val="0"/>
              <w:autoSpaceDE/>
              <w:autoSpaceDN/>
              <w:bidi w:val="0"/>
              <w:adjustRightInd/>
              <w:snapToGrid/>
              <w:spacing w:before="62" w:line="360" w:lineRule="exact"/>
              <w:ind w:left="209"/>
              <w:textAlignment w:val="auto"/>
              <w:rPr>
                <w:rFonts w:hint="eastAsia"/>
              </w:rPr>
            </w:pPr>
            <w:r>
              <w:rPr>
                <w:rFonts w:hint="eastAsia"/>
                <w:spacing w:val="-7"/>
                <w:position w:val="1"/>
              </w:rPr>
              <w:t>15</w:t>
            </w:r>
          </w:p>
        </w:tc>
        <w:tc>
          <w:tcPr>
            <w:tcW w:w="1166" w:type="dxa"/>
            <w:vMerge w:val="restart"/>
            <w:tcBorders>
              <w:bottom w:val="nil"/>
            </w:tcBorders>
            <w:noWrap w:val="0"/>
            <w:vAlign w:val="top"/>
          </w:tcPr>
          <w:p w14:paraId="580CB8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CB1F2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A3257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DDBD12B">
            <w:pPr>
              <w:pStyle w:val="26"/>
              <w:keepNext w:val="0"/>
              <w:keepLines w:val="0"/>
              <w:pageBreakBefore w:val="0"/>
              <w:widowControl w:val="0"/>
              <w:kinsoku/>
              <w:wordWrap/>
              <w:overflowPunct/>
              <w:topLinePunct w:val="0"/>
              <w:autoSpaceDE/>
              <w:autoSpaceDN/>
              <w:bidi w:val="0"/>
              <w:adjustRightInd/>
              <w:snapToGrid/>
              <w:spacing w:before="62" w:line="360" w:lineRule="exact"/>
              <w:ind w:left="15" w:right="8" w:firstLine="3"/>
              <w:textAlignment w:val="auto"/>
              <w:rPr>
                <w:rFonts w:hint="eastAsia"/>
              </w:rPr>
            </w:pPr>
            <w:r>
              <w:rPr>
                <w:rFonts w:hint="eastAsia"/>
                <w:spacing w:val="3"/>
              </w:rPr>
              <w:t>★A060805</w:t>
            </w:r>
            <w:r>
              <w:rPr>
                <w:rFonts w:hint="eastAsia"/>
                <w:spacing w:val="-35"/>
              </w:rPr>
              <w:t xml:space="preserve"> </w:t>
            </w:r>
            <w:r>
              <w:rPr>
                <w:rFonts w:hint="eastAsia"/>
                <w:spacing w:val="3"/>
              </w:rPr>
              <w:t>便</w:t>
            </w:r>
            <w:r>
              <w:rPr>
                <w:rFonts w:hint="eastAsia"/>
              </w:rPr>
              <w:t xml:space="preserve"> </w:t>
            </w:r>
            <w:r>
              <w:rPr>
                <w:rFonts w:hint="eastAsia"/>
                <w:spacing w:val="1"/>
              </w:rPr>
              <w:t>器</w:t>
            </w:r>
          </w:p>
        </w:tc>
        <w:tc>
          <w:tcPr>
            <w:tcW w:w="1799" w:type="dxa"/>
            <w:noWrap w:val="0"/>
            <w:vAlign w:val="top"/>
          </w:tcPr>
          <w:p w14:paraId="2C2027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171D90D">
            <w:pPr>
              <w:pStyle w:val="26"/>
              <w:keepNext w:val="0"/>
              <w:keepLines w:val="0"/>
              <w:pageBreakBefore w:val="0"/>
              <w:widowControl w:val="0"/>
              <w:kinsoku/>
              <w:wordWrap/>
              <w:overflowPunct/>
              <w:topLinePunct w:val="0"/>
              <w:autoSpaceDE/>
              <w:autoSpaceDN/>
              <w:bidi w:val="0"/>
              <w:adjustRightInd/>
              <w:snapToGrid/>
              <w:spacing w:before="62" w:line="360" w:lineRule="exact"/>
              <w:ind w:left="16"/>
              <w:textAlignment w:val="auto"/>
              <w:rPr>
                <w:rFonts w:hint="eastAsia"/>
              </w:rPr>
            </w:pPr>
            <w:r>
              <w:rPr>
                <w:rFonts w:hint="eastAsia"/>
                <w:spacing w:val="6"/>
              </w:rPr>
              <w:t>坐便器</w:t>
            </w:r>
          </w:p>
        </w:tc>
        <w:tc>
          <w:tcPr>
            <w:tcW w:w="1914" w:type="dxa"/>
            <w:noWrap w:val="0"/>
            <w:vAlign w:val="top"/>
          </w:tcPr>
          <w:p w14:paraId="1E6EDB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62A13F3A">
            <w:pPr>
              <w:pStyle w:val="26"/>
              <w:keepNext w:val="0"/>
              <w:keepLines w:val="0"/>
              <w:pageBreakBefore w:val="0"/>
              <w:widowControl w:val="0"/>
              <w:kinsoku/>
              <w:wordWrap/>
              <w:overflowPunct/>
              <w:topLinePunct w:val="0"/>
              <w:autoSpaceDE/>
              <w:autoSpaceDN/>
              <w:bidi w:val="0"/>
              <w:adjustRightInd/>
              <w:snapToGrid/>
              <w:spacing w:before="189" w:line="360" w:lineRule="exact"/>
              <w:ind w:left="27" w:hanging="4"/>
              <w:textAlignment w:val="auto"/>
              <w:rPr>
                <w:rFonts w:hint="eastAsia"/>
                <w:lang w:eastAsia="zh-CN"/>
              </w:rPr>
            </w:pPr>
            <w:r>
              <w:rPr>
                <w:rFonts w:hint="eastAsia"/>
                <w:spacing w:val="6"/>
                <w:lang w:eastAsia="zh-CN"/>
              </w:rPr>
              <w:t>《坐便器水效限定值及水效等级》</w:t>
            </w:r>
            <w:r>
              <w:rPr>
                <w:rFonts w:hint="eastAsia"/>
                <w:lang w:eastAsia="zh-CN"/>
              </w:rPr>
              <w:t xml:space="preserve"> </w:t>
            </w:r>
            <w:r>
              <w:rPr>
                <w:rFonts w:hint="eastAsia"/>
                <w:spacing w:val="1"/>
                <w:lang w:eastAsia="zh-CN"/>
              </w:rPr>
              <w:t>（</w:t>
            </w:r>
            <w:r>
              <w:rPr>
                <w:rFonts w:hint="eastAsia"/>
                <w:lang w:eastAsia="zh-CN"/>
              </w:rPr>
              <w:t>GB</w:t>
            </w:r>
            <w:r>
              <w:rPr>
                <w:rFonts w:hint="eastAsia"/>
                <w:spacing w:val="15"/>
                <w:lang w:eastAsia="zh-CN"/>
              </w:rPr>
              <w:t xml:space="preserve"> </w:t>
            </w:r>
            <w:r>
              <w:rPr>
                <w:rFonts w:hint="eastAsia"/>
                <w:spacing w:val="1"/>
                <w:lang w:eastAsia="zh-CN"/>
              </w:rPr>
              <w:t>25502）</w:t>
            </w:r>
          </w:p>
        </w:tc>
      </w:tr>
      <w:tr w14:paraId="577F9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4FC46A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6A4542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1B4947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9B270DE">
            <w:pPr>
              <w:pStyle w:val="26"/>
              <w:keepNext w:val="0"/>
              <w:keepLines w:val="0"/>
              <w:pageBreakBefore w:val="0"/>
              <w:widowControl w:val="0"/>
              <w:kinsoku/>
              <w:wordWrap/>
              <w:overflowPunct/>
              <w:topLinePunct w:val="0"/>
              <w:autoSpaceDE/>
              <w:autoSpaceDN/>
              <w:bidi w:val="0"/>
              <w:adjustRightInd/>
              <w:snapToGrid/>
              <w:spacing w:before="62" w:line="360" w:lineRule="exact"/>
              <w:ind w:left="14"/>
              <w:textAlignment w:val="auto"/>
              <w:rPr>
                <w:rFonts w:hint="eastAsia"/>
              </w:rPr>
            </w:pPr>
            <w:r>
              <w:rPr>
                <w:rFonts w:hint="eastAsia"/>
                <w:spacing w:val="6"/>
              </w:rPr>
              <w:t>蹲便器</w:t>
            </w:r>
          </w:p>
        </w:tc>
        <w:tc>
          <w:tcPr>
            <w:tcW w:w="1914" w:type="dxa"/>
            <w:noWrap w:val="0"/>
            <w:vAlign w:val="top"/>
          </w:tcPr>
          <w:p w14:paraId="54A6E8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7682FCE6">
            <w:pPr>
              <w:pStyle w:val="26"/>
              <w:keepNext w:val="0"/>
              <w:keepLines w:val="0"/>
              <w:pageBreakBefore w:val="0"/>
              <w:widowControl w:val="0"/>
              <w:kinsoku/>
              <w:wordWrap/>
              <w:overflowPunct/>
              <w:topLinePunct w:val="0"/>
              <w:autoSpaceDE/>
              <w:autoSpaceDN/>
              <w:bidi w:val="0"/>
              <w:adjustRightInd/>
              <w:snapToGrid/>
              <w:spacing w:before="191" w:line="360" w:lineRule="exact"/>
              <w:ind w:left="22" w:right="11"/>
              <w:textAlignment w:val="auto"/>
              <w:rPr>
                <w:rFonts w:hint="eastAsia"/>
                <w:lang w:eastAsia="zh-CN"/>
              </w:rPr>
            </w:pPr>
            <w:r>
              <w:rPr>
                <w:rFonts w:hint="eastAsia"/>
                <w:spacing w:val="19"/>
                <w:lang w:eastAsia="zh-CN"/>
              </w:rPr>
              <w:t>《蹲便器用水效率限定值及用水</w:t>
            </w:r>
            <w:r>
              <w:rPr>
                <w:rFonts w:hint="eastAsia"/>
                <w:spacing w:val="2"/>
                <w:lang w:eastAsia="zh-CN"/>
              </w:rPr>
              <w:t xml:space="preserve"> </w:t>
            </w:r>
            <w:r>
              <w:rPr>
                <w:rFonts w:hint="eastAsia"/>
                <w:spacing w:val="6"/>
                <w:lang w:eastAsia="zh-CN"/>
              </w:rPr>
              <w:t>效率等级》（</w:t>
            </w:r>
            <w:r>
              <w:rPr>
                <w:rFonts w:hint="eastAsia"/>
                <w:lang w:eastAsia="zh-CN"/>
              </w:rPr>
              <w:t>GB</w:t>
            </w:r>
            <w:r>
              <w:rPr>
                <w:rFonts w:hint="eastAsia"/>
                <w:spacing w:val="6"/>
                <w:lang w:eastAsia="zh-CN"/>
              </w:rPr>
              <w:t xml:space="preserve"> 30717）</w:t>
            </w:r>
          </w:p>
        </w:tc>
      </w:tr>
      <w:tr w14:paraId="52C37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1976B9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6DB2D1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3BC786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2339126">
            <w:pPr>
              <w:pStyle w:val="26"/>
              <w:keepNext w:val="0"/>
              <w:keepLines w:val="0"/>
              <w:pageBreakBefore w:val="0"/>
              <w:widowControl w:val="0"/>
              <w:kinsoku/>
              <w:wordWrap/>
              <w:overflowPunct/>
              <w:topLinePunct w:val="0"/>
              <w:autoSpaceDE/>
              <w:autoSpaceDN/>
              <w:bidi w:val="0"/>
              <w:adjustRightInd/>
              <w:snapToGrid/>
              <w:spacing w:before="61" w:line="360" w:lineRule="exact"/>
              <w:ind w:left="20"/>
              <w:textAlignment w:val="auto"/>
              <w:rPr>
                <w:rFonts w:hint="eastAsia"/>
              </w:rPr>
            </w:pPr>
            <w:r>
              <w:rPr>
                <w:rFonts w:hint="eastAsia"/>
                <w:spacing w:val="4"/>
              </w:rPr>
              <w:t>小便器</w:t>
            </w:r>
          </w:p>
        </w:tc>
        <w:tc>
          <w:tcPr>
            <w:tcW w:w="1914" w:type="dxa"/>
            <w:noWrap w:val="0"/>
            <w:vAlign w:val="top"/>
          </w:tcPr>
          <w:p w14:paraId="3C4950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443F1BBE">
            <w:pPr>
              <w:pStyle w:val="26"/>
              <w:keepNext w:val="0"/>
              <w:keepLines w:val="0"/>
              <w:pageBreakBefore w:val="0"/>
              <w:widowControl w:val="0"/>
              <w:kinsoku/>
              <w:wordWrap/>
              <w:overflowPunct/>
              <w:topLinePunct w:val="0"/>
              <w:autoSpaceDE/>
              <w:autoSpaceDN/>
              <w:bidi w:val="0"/>
              <w:adjustRightInd/>
              <w:snapToGrid/>
              <w:spacing w:before="192" w:line="360" w:lineRule="exact"/>
              <w:ind w:left="22" w:right="11"/>
              <w:textAlignment w:val="auto"/>
              <w:rPr>
                <w:rFonts w:hint="eastAsia"/>
                <w:lang w:eastAsia="zh-CN"/>
              </w:rPr>
            </w:pPr>
            <w:r>
              <w:rPr>
                <w:rFonts w:hint="eastAsia"/>
                <w:spacing w:val="19"/>
                <w:lang w:eastAsia="zh-CN"/>
              </w:rPr>
              <w:t>《小便器用水效率限定值及用水</w:t>
            </w:r>
            <w:r>
              <w:rPr>
                <w:rFonts w:hint="eastAsia"/>
                <w:spacing w:val="2"/>
                <w:lang w:eastAsia="zh-CN"/>
              </w:rPr>
              <w:t xml:space="preserve"> </w:t>
            </w:r>
            <w:r>
              <w:rPr>
                <w:rFonts w:hint="eastAsia"/>
                <w:spacing w:val="6"/>
                <w:lang w:eastAsia="zh-CN"/>
              </w:rPr>
              <w:t>效率等级》（</w:t>
            </w:r>
            <w:r>
              <w:rPr>
                <w:rFonts w:hint="eastAsia"/>
                <w:lang w:eastAsia="zh-CN"/>
              </w:rPr>
              <w:t>GB</w:t>
            </w:r>
            <w:r>
              <w:rPr>
                <w:rFonts w:hint="eastAsia"/>
                <w:spacing w:val="6"/>
                <w:lang w:eastAsia="zh-CN"/>
              </w:rPr>
              <w:t xml:space="preserve"> 28377）</w:t>
            </w:r>
          </w:p>
        </w:tc>
      </w:tr>
      <w:tr w14:paraId="6459F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0D6CF99E">
            <w:pPr>
              <w:spacing w:line="312" w:lineRule="auto"/>
              <w:rPr>
                <w:rFonts w:hint="eastAsia" w:ascii="宋体" w:hAnsi="宋体" w:cs="宋体"/>
              </w:rPr>
            </w:pPr>
          </w:p>
          <w:p w14:paraId="0B74341C">
            <w:pPr>
              <w:pStyle w:val="26"/>
              <w:spacing w:before="61" w:line="257" w:lineRule="exact"/>
              <w:ind w:left="209"/>
              <w:rPr>
                <w:rFonts w:hint="eastAsia"/>
              </w:rPr>
            </w:pPr>
            <w:r>
              <w:rPr>
                <w:rFonts w:hint="eastAsia"/>
                <w:spacing w:val="-7"/>
                <w:position w:val="1"/>
              </w:rPr>
              <w:t>16</w:t>
            </w:r>
          </w:p>
        </w:tc>
        <w:tc>
          <w:tcPr>
            <w:tcW w:w="1166" w:type="dxa"/>
            <w:noWrap w:val="0"/>
            <w:vAlign w:val="top"/>
          </w:tcPr>
          <w:p w14:paraId="7E7E1E55">
            <w:pPr>
              <w:pStyle w:val="26"/>
              <w:spacing w:before="220" w:line="304" w:lineRule="auto"/>
              <w:ind w:left="22" w:right="8" w:hanging="4"/>
              <w:rPr>
                <w:rFonts w:hint="eastAsia"/>
              </w:rPr>
            </w:pPr>
            <w:r>
              <w:rPr>
                <w:rFonts w:hint="eastAsia"/>
                <w:spacing w:val="3"/>
              </w:rPr>
              <w:t>★A060806</w:t>
            </w:r>
            <w:r>
              <w:rPr>
                <w:rFonts w:hint="eastAsia"/>
                <w:spacing w:val="-35"/>
              </w:rPr>
              <w:t xml:space="preserve"> </w:t>
            </w:r>
            <w:r>
              <w:rPr>
                <w:rFonts w:hint="eastAsia"/>
                <w:spacing w:val="3"/>
              </w:rPr>
              <w:t>水</w:t>
            </w:r>
            <w:r>
              <w:rPr>
                <w:rFonts w:hint="eastAsia"/>
              </w:rPr>
              <w:t xml:space="preserve"> 嘴</w:t>
            </w:r>
          </w:p>
        </w:tc>
        <w:tc>
          <w:tcPr>
            <w:tcW w:w="1799" w:type="dxa"/>
            <w:noWrap w:val="0"/>
            <w:vAlign w:val="top"/>
          </w:tcPr>
          <w:p w14:paraId="77A35E58">
            <w:pPr>
              <w:rPr>
                <w:rFonts w:hint="eastAsia" w:ascii="宋体" w:hAnsi="宋体" w:cs="宋体"/>
              </w:rPr>
            </w:pPr>
          </w:p>
        </w:tc>
        <w:tc>
          <w:tcPr>
            <w:tcW w:w="1914" w:type="dxa"/>
            <w:noWrap w:val="0"/>
            <w:vAlign w:val="top"/>
          </w:tcPr>
          <w:p w14:paraId="4ADE0B0C">
            <w:pPr>
              <w:rPr>
                <w:rFonts w:hint="eastAsia" w:ascii="宋体" w:hAnsi="宋体" w:cs="宋体"/>
              </w:rPr>
            </w:pPr>
          </w:p>
        </w:tc>
        <w:tc>
          <w:tcPr>
            <w:tcW w:w="3957" w:type="dxa"/>
            <w:noWrap w:val="0"/>
            <w:vAlign w:val="top"/>
          </w:tcPr>
          <w:p w14:paraId="6CEE2BD4">
            <w:pPr>
              <w:pStyle w:val="26"/>
              <w:spacing w:before="220" w:line="304" w:lineRule="auto"/>
              <w:ind w:left="19" w:right="11" w:firstLine="3"/>
              <w:rPr>
                <w:rFonts w:hint="eastAsia"/>
                <w:lang w:eastAsia="zh-CN"/>
              </w:rPr>
            </w:pPr>
            <w:r>
              <w:rPr>
                <w:rFonts w:hint="eastAsia"/>
                <w:spacing w:val="19"/>
                <w:lang w:eastAsia="zh-CN"/>
              </w:rPr>
              <w:t>《水嘴用水效率限定值及用水效</w:t>
            </w:r>
            <w:r>
              <w:rPr>
                <w:rFonts w:hint="eastAsia"/>
                <w:spacing w:val="2"/>
                <w:lang w:eastAsia="zh-CN"/>
              </w:rPr>
              <w:t xml:space="preserve"> </w:t>
            </w:r>
            <w:r>
              <w:rPr>
                <w:rFonts w:hint="eastAsia"/>
                <w:spacing w:val="6"/>
                <w:lang w:eastAsia="zh-CN"/>
              </w:rPr>
              <w:t>率等级》（</w:t>
            </w:r>
            <w:r>
              <w:rPr>
                <w:rFonts w:hint="eastAsia"/>
                <w:lang w:eastAsia="zh-CN"/>
              </w:rPr>
              <w:t>GB</w:t>
            </w:r>
            <w:r>
              <w:rPr>
                <w:rFonts w:hint="eastAsia"/>
                <w:spacing w:val="6"/>
                <w:lang w:eastAsia="zh-CN"/>
              </w:rPr>
              <w:t xml:space="preserve"> 25501）</w:t>
            </w:r>
          </w:p>
        </w:tc>
      </w:tr>
      <w:tr w14:paraId="7715D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11CBA0DD">
            <w:pPr>
              <w:spacing w:line="268" w:lineRule="auto"/>
              <w:rPr>
                <w:rFonts w:hint="eastAsia" w:ascii="宋体" w:hAnsi="宋体" w:cs="宋体"/>
              </w:rPr>
            </w:pPr>
          </w:p>
          <w:p w14:paraId="6A732D8B">
            <w:pPr>
              <w:pStyle w:val="26"/>
              <w:spacing w:before="62" w:line="257" w:lineRule="exact"/>
              <w:ind w:left="209"/>
              <w:rPr>
                <w:rFonts w:hint="eastAsia"/>
              </w:rPr>
            </w:pPr>
            <w:r>
              <w:rPr>
                <w:rFonts w:hint="eastAsia"/>
                <w:spacing w:val="-7"/>
                <w:position w:val="1"/>
              </w:rPr>
              <w:t>17</w:t>
            </w:r>
          </w:p>
        </w:tc>
        <w:tc>
          <w:tcPr>
            <w:tcW w:w="1166" w:type="dxa"/>
            <w:noWrap w:val="0"/>
            <w:vAlign w:val="top"/>
          </w:tcPr>
          <w:p w14:paraId="354CB52F">
            <w:pPr>
              <w:pStyle w:val="26"/>
              <w:spacing w:before="176" w:line="305" w:lineRule="auto"/>
              <w:ind w:left="15" w:right="8" w:hanging="6"/>
              <w:rPr>
                <w:rFonts w:hint="eastAsia"/>
              </w:rPr>
            </w:pPr>
            <w:r>
              <w:rPr>
                <w:rFonts w:hint="eastAsia"/>
                <w:spacing w:val="5"/>
              </w:rPr>
              <w:t>A060807</w:t>
            </w:r>
            <w:r>
              <w:rPr>
                <w:rFonts w:hint="eastAsia"/>
                <w:spacing w:val="-43"/>
              </w:rPr>
              <w:t xml:space="preserve"> </w:t>
            </w:r>
            <w:r>
              <w:rPr>
                <w:rFonts w:hint="eastAsia"/>
                <w:spacing w:val="5"/>
              </w:rPr>
              <w:t>便器</w:t>
            </w:r>
            <w:r>
              <w:rPr>
                <w:rFonts w:hint="eastAsia"/>
              </w:rPr>
              <w:t xml:space="preserve"> </w:t>
            </w:r>
            <w:r>
              <w:rPr>
                <w:rFonts w:hint="eastAsia"/>
                <w:spacing w:val="6"/>
              </w:rPr>
              <w:t>冲洗阀</w:t>
            </w:r>
          </w:p>
        </w:tc>
        <w:tc>
          <w:tcPr>
            <w:tcW w:w="1799" w:type="dxa"/>
            <w:noWrap w:val="0"/>
            <w:vAlign w:val="top"/>
          </w:tcPr>
          <w:p w14:paraId="371DE1EA">
            <w:pPr>
              <w:rPr>
                <w:rFonts w:hint="eastAsia" w:ascii="宋体" w:hAnsi="宋体" w:cs="宋体"/>
              </w:rPr>
            </w:pPr>
          </w:p>
        </w:tc>
        <w:tc>
          <w:tcPr>
            <w:tcW w:w="1914" w:type="dxa"/>
            <w:noWrap w:val="0"/>
            <w:vAlign w:val="top"/>
          </w:tcPr>
          <w:p w14:paraId="4FA81B09">
            <w:pPr>
              <w:rPr>
                <w:rFonts w:hint="eastAsia" w:ascii="宋体" w:hAnsi="宋体" w:cs="宋体"/>
              </w:rPr>
            </w:pPr>
          </w:p>
        </w:tc>
        <w:tc>
          <w:tcPr>
            <w:tcW w:w="3957" w:type="dxa"/>
            <w:noWrap w:val="0"/>
            <w:vAlign w:val="top"/>
          </w:tcPr>
          <w:p w14:paraId="28A6D6A8">
            <w:pPr>
              <w:pStyle w:val="26"/>
              <w:spacing w:before="177" w:line="304" w:lineRule="auto"/>
              <w:ind w:left="19" w:right="11" w:firstLine="3"/>
              <w:rPr>
                <w:rFonts w:hint="eastAsia"/>
                <w:lang w:eastAsia="zh-CN"/>
              </w:rPr>
            </w:pPr>
            <w:r>
              <w:rPr>
                <w:rFonts w:hint="eastAsia"/>
                <w:spacing w:val="19"/>
                <w:lang w:eastAsia="zh-CN"/>
              </w:rPr>
              <w:t>《便器冲洗阀用水效率限定值及</w:t>
            </w:r>
            <w:r>
              <w:rPr>
                <w:rFonts w:hint="eastAsia"/>
                <w:spacing w:val="2"/>
                <w:lang w:eastAsia="zh-CN"/>
              </w:rPr>
              <w:t xml:space="preserve"> </w:t>
            </w:r>
            <w:r>
              <w:rPr>
                <w:rFonts w:hint="eastAsia"/>
                <w:spacing w:val="7"/>
                <w:lang w:eastAsia="zh-CN"/>
              </w:rPr>
              <w:t>用水效率等级》（</w:t>
            </w:r>
            <w:r>
              <w:rPr>
                <w:rFonts w:hint="eastAsia"/>
                <w:lang w:eastAsia="zh-CN"/>
              </w:rPr>
              <w:t>GB</w:t>
            </w:r>
            <w:r>
              <w:rPr>
                <w:rFonts w:hint="eastAsia"/>
                <w:spacing w:val="7"/>
                <w:lang w:eastAsia="zh-CN"/>
              </w:rPr>
              <w:t xml:space="preserve"> 28379）</w:t>
            </w:r>
          </w:p>
        </w:tc>
      </w:tr>
      <w:tr w14:paraId="6AFFF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48ED3C55">
            <w:pPr>
              <w:spacing w:line="289" w:lineRule="auto"/>
              <w:rPr>
                <w:rFonts w:hint="eastAsia" w:ascii="宋体" w:hAnsi="宋体" w:cs="宋体"/>
              </w:rPr>
            </w:pPr>
          </w:p>
          <w:p w14:paraId="2FE80FDC">
            <w:pPr>
              <w:pStyle w:val="26"/>
              <w:spacing w:before="62" w:line="256" w:lineRule="exact"/>
              <w:ind w:left="209"/>
              <w:rPr>
                <w:rFonts w:hint="eastAsia"/>
              </w:rPr>
            </w:pPr>
            <w:r>
              <w:rPr>
                <w:rFonts w:hint="eastAsia"/>
                <w:spacing w:val="-7"/>
                <w:position w:val="1"/>
              </w:rPr>
              <w:t>18</w:t>
            </w:r>
          </w:p>
        </w:tc>
        <w:tc>
          <w:tcPr>
            <w:tcW w:w="1166" w:type="dxa"/>
            <w:noWrap w:val="0"/>
            <w:vAlign w:val="top"/>
          </w:tcPr>
          <w:p w14:paraId="2825E119">
            <w:pPr>
              <w:pStyle w:val="26"/>
              <w:spacing w:before="196" w:line="307" w:lineRule="auto"/>
              <w:ind w:left="15" w:right="8" w:hanging="6"/>
              <w:rPr>
                <w:rFonts w:hint="eastAsia"/>
              </w:rPr>
            </w:pPr>
            <w:r>
              <w:rPr>
                <w:rFonts w:hint="eastAsia"/>
                <w:spacing w:val="4"/>
              </w:rPr>
              <w:t>A060810</w:t>
            </w:r>
            <w:r>
              <w:rPr>
                <w:rFonts w:hint="eastAsia"/>
                <w:spacing w:val="-34"/>
              </w:rPr>
              <w:t xml:space="preserve"> </w:t>
            </w:r>
            <w:r>
              <w:rPr>
                <w:rFonts w:hint="eastAsia"/>
                <w:spacing w:val="4"/>
              </w:rPr>
              <w:t>淋浴</w:t>
            </w:r>
            <w:r>
              <w:rPr>
                <w:rFonts w:hint="eastAsia"/>
              </w:rPr>
              <w:t xml:space="preserve"> </w:t>
            </w:r>
            <w:r>
              <w:rPr>
                <w:rFonts w:hint="eastAsia"/>
                <w:spacing w:val="1"/>
              </w:rPr>
              <w:t>器</w:t>
            </w:r>
          </w:p>
        </w:tc>
        <w:tc>
          <w:tcPr>
            <w:tcW w:w="1799" w:type="dxa"/>
            <w:noWrap w:val="0"/>
            <w:vAlign w:val="top"/>
          </w:tcPr>
          <w:p w14:paraId="070CAFBF">
            <w:pPr>
              <w:rPr>
                <w:rFonts w:hint="eastAsia" w:ascii="宋体" w:hAnsi="宋体" w:cs="宋体"/>
              </w:rPr>
            </w:pPr>
          </w:p>
        </w:tc>
        <w:tc>
          <w:tcPr>
            <w:tcW w:w="1914" w:type="dxa"/>
            <w:noWrap w:val="0"/>
            <w:vAlign w:val="top"/>
          </w:tcPr>
          <w:p w14:paraId="6E8A5ABD">
            <w:pPr>
              <w:rPr>
                <w:rFonts w:hint="eastAsia" w:ascii="宋体" w:hAnsi="宋体" w:cs="宋体"/>
              </w:rPr>
            </w:pPr>
          </w:p>
        </w:tc>
        <w:tc>
          <w:tcPr>
            <w:tcW w:w="3957" w:type="dxa"/>
            <w:noWrap w:val="0"/>
            <w:vAlign w:val="top"/>
          </w:tcPr>
          <w:p w14:paraId="1691ECD2">
            <w:pPr>
              <w:pStyle w:val="26"/>
              <w:spacing w:before="197" w:line="304" w:lineRule="auto"/>
              <w:ind w:left="22" w:right="11"/>
              <w:rPr>
                <w:rFonts w:hint="eastAsia"/>
                <w:lang w:eastAsia="zh-CN"/>
              </w:rPr>
            </w:pPr>
            <w:r>
              <w:rPr>
                <w:rFonts w:hint="eastAsia"/>
                <w:spacing w:val="19"/>
                <w:lang w:eastAsia="zh-CN"/>
              </w:rPr>
              <w:t>《淋浴器用水效率限定值及用水</w:t>
            </w:r>
            <w:r>
              <w:rPr>
                <w:rFonts w:hint="eastAsia"/>
                <w:spacing w:val="2"/>
                <w:lang w:eastAsia="zh-CN"/>
              </w:rPr>
              <w:t xml:space="preserve"> </w:t>
            </w:r>
            <w:r>
              <w:rPr>
                <w:rFonts w:hint="eastAsia"/>
                <w:spacing w:val="6"/>
                <w:lang w:eastAsia="zh-CN"/>
              </w:rPr>
              <w:t>效率等级》（</w:t>
            </w:r>
            <w:r>
              <w:rPr>
                <w:rFonts w:hint="eastAsia"/>
                <w:lang w:eastAsia="zh-CN"/>
              </w:rPr>
              <w:t>GB</w:t>
            </w:r>
            <w:r>
              <w:rPr>
                <w:rFonts w:hint="eastAsia"/>
                <w:spacing w:val="6"/>
                <w:lang w:eastAsia="zh-CN"/>
              </w:rPr>
              <w:t xml:space="preserve"> 28378）</w:t>
            </w:r>
          </w:p>
        </w:tc>
      </w:tr>
    </w:tbl>
    <w:p w14:paraId="7D46613A">
      <w:pPr>
        <w:pStyle w:val="2"/>
        <w:spacing w:before="57" w:line="262" w:lineRule="auto"/>
        <w:ind w:left="27" w:hanging="2"/>
        <w:rPr>
          <w:rFonts w:hint="eastAsia" w:ascii="宋体" w:hAnsi="宋体" w:cs="宋体"/>
        </w:rPr>
      </w:pPr>
      <w:r>
        <w:rPr>
          <w:rFonts w:hint="eastAsia" w:ascii="宋体" w:hAnsi="宋体" w:cs="宋体"/>
          <w:spacing w:val="-2"/>
        </w:rPr>
        <w:t>注：1.节能产品认证应依据相关国家标准的最新版</w:t>
      </w:r>
      <w:r>
        <w:rPr>
          <w:rFonts w:hint="eastAsia" w:ascii="宋体" w:hAnsi="宋体" w:cs="宋体"/>
          <w:spacing w:val="-3"/>
        </w:rPr>
        <w:t>本，依据国家标准中二级能效（水效）</w:t>
      </w:r>
      <w:r>
        <w:rPr>
          <w:rFonts w:hint="eastAsia" w:ascii="宋体" w:hAnsi="宋体" w:cs="宋体"/>
        </w:rPr>
        <w:t xml:space="preserve"> </w:t>
      </w:r>
      <w:r>
        <w:rPr>
          <w:rFonts w:hint="eastAsia" w:ascii="宋体" w:hAnsi="宋体" w:cs="宋体"/>
          <w:spacing w:val="-4"/>
        </w:rPr>
        <w:t>指标。</w:t>
      </w:r>
    </w:p>
    <w:p w14:paraId="7C9B7CB7">
      <w:pPr>
        <w:pStyle w:val="2"/>
        <w:spacing w:before="2"/>
        <w:ind w:left="25" w:right="97" w:firstLine="444"/>
        <w:rPr>
          <w:rFonts w:hint="eastAsia" w:ascii="宋体" w:hAnsi="宋体" w:cs="宋体"/>
        </w:rPr>
      </w:pPr>
      <w:r>
        <w:rPr>
          <w:rFonts w:hint="eastAsia" w:ascii="宋体" w:hAnsi="宋体" w:cs="宋体"/>
          <w:spacing w:val="1"/>
        </w:rPr>
        <w:t>2.上述产品中认证标准发生变更的，依据原认</w:t>
      </w:r>
      <w:r>
        <w:rPr>
          <w:rFonts w:hint="eastAsia" w:ascii="宋体" w:hAnsi="宋体" w:cs="宋体"/>
        </w:rPr>
        <w:t xml:space="preserve">证标准获得的、仍在有效期内的认证 </w:t>
      </w:r>
      <w:r>
        <w:rPr>
          <w:rFonts w:hint="eastAsia" w:ascii="宋体" w:hAnsi="宋体" w:cs="宋体"/>
          <w:spacing w:val="-8"/>
        </w:rPr>
        <w:t>证书可使用至</w:t>
      </w:r>
      <w:r>
        <w:rPr>
          <w:rFonts w:hint="eastAsia" w:ascii="宋体" w:hAnsi="宋体" w:cs="宋体"/>
          <w:spacing w:val="-37"/>
        </w:rPr>
        <w:t xml:space="preserve"> </w:t>
      </w:r>
      <w:r>
        <w:rPr>
          <w:rFonts w:hint="eastAsia" w:ascii="宋体" w:hAnsi="宋体" w:cs="宋体"/>
          <w:spacing w:val="-8"/>
        </w:rPr>
        <w:t>2019</w:t>
      </w:r>
      <w:r>
        <w:rPr>
          <w:rFonts w:hint="eastAsia" w:ascii="宋体" w:hAnsi="宋体" w:cs="宋体"/>
          <w:spacing w:val="-46"/>
        </w:rPr>
        <w:t xml:space="preserve"> </w:t>
      </w:r>
      <w:r>
        <w:rPr>
          <w:rFonts w:hint="eastAsia" w:ascii="宋体" w:hAnsi="宋体" w:cs="宋体"/>
          <w:spacing w:val="-8"/>
        </w:rPr>
        <w:t>年</w:t>
      </w:r>
      <w:r>
        <w:rPr>
          <w:rFonts w:hint="eastAsia" w:ascii="宋体" w:hAnsi="宋体" w:cs="宋体"/>
          <w:spacing w:val="-44"/>
        </w:rPr>
        <w:t xml:space="preserve"> </w:t>
      </w:r>
      <w:r>
        <w:rPr>
          <w:rFonts w:hint="eastAsia" w:ascii="宋体" w:hAnsi="宋体" w:cs="宋体"/>
          <w:spacing w:val="-8"/>
        </w:rPr>
        <w:t>6</w:t>
      </w:r>
      <w:r>
        <w:rPr>
          <w:rFonts w:hint="eastAsia" w:ascii="宋体" w:hAnsi="宋体" w:cs="宋体"/>
          <w:spacing w:val="-44"/>
        </w:rPr>
        <w:t xml:space="preserve"> </w:t>
      </w:r>
      <w:r>
        <w:rPr>
          <w:rFonts w:hint="eastAsia" w:ascii="宋体" w:hAnsi="宋体" w:cs="宋体"/>
          <w:spacing w:val="-8"/>
        </w:rPr>
        <w:t>月</w:t>
      </w:r>
      <w:r>
        <w:rPr>
          <w:rFonts w:hint="eastAsia" w:ascii="宋体" w:hAnsi="宋体" w:cs="宋体"/>
          <w:spacing w:val="-29"/>
        </w:rPr>
        <w:t xml:space="preserve"> </w:t>
      </w:r>
      <w:r>
        <w:rPr>
          <w:rFonts w:hint="eastAsia" w:ascii="宋体" w:hAnsi="宋体" w:cs="宋体"/>
          <w:spacing w:val="-8"/>
        </w:rPr>
        <w:t>1 日。</w:t>
      </w:r>
    </w:p>
    <w:p w14:paraId="344063F6">
      <w:pPr>
        <w:rPr>
          <w:rFonts w:hint="eastAsia" w:ascii="宋体" w:hAnsi="宋体" w:cs="宋体"/>
          <w:spacing w:val="-3"/>
        </w:rPr>
      </w:pPr>
      <w:r>
        <w:rPr>
          <w:rFonts w:hint="eastAsia" w:ascii="宋体" w:hAnsi="宋体" w:cs="宋体"/>
          <w:spacing w:val="-3"/>
        </w:rPr>
        <w:t>3.以“★</w:t>
      </w:r>
      <w:r>
        <w:rPr>
          <w:rFonts w:hint="eastAsia" w:ascii="宋体" w:hAnsi="宋体" w:cs="宋体"/>
          <w:spacing w:val="-68"/>
        </w:rPr>
        <w:t xml:space="preserve"> </w:t>
      </w:r>
      <w:r>
        <w:rPr>
          <w:rFonts w:hint="eastAsia" w:ascii="宋体" w:hAnsi="宋体" w:cs="宋体"/>
          <w:spacing w:val="-3"/>
        </w:rPr>
        <w:t>”标注的为政府强制采购产品。</w:t>
      </w:r>
    </w:p>
    <w:p w14:paraId="2CF07C12">
      <w:pPr>
        <w:rPr>
          <w:rFonts w:hint="eastAsia" w:ascii="宋体" w:hAnsi="宋体" w:cs="宋体"/>
          <w:spacing w:val="-3"/>
        </w:rPr>
      </w:pPr>
      <w:r>
        <w:rPr>
          <w:rFonts w:hint="eastAsia" w:ascii="宋体" w:hAnsi="宋体" w:cs="宋体"/>
          <w:spacing w:val="-3"/>
        </w:rPr>
        <w:br w:type="page"/>
      </w:r>
    </w:p>
    <w:p w14:paraId="36FFCE06">
      <w:pPr>
        <w:pStyle w:val="3"/>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0"/>
          <w:szCs w:val="40"/>
          <w:highlight w:val="none"/>
          <w:lang w:val="en-US" w:eastAsia="zh-CN"/>
        </w:rPr>
      </w:pPr>
      <w:bookmarkStart w:id="114" w:name="_Toc2191"/>
      <w:bookmarkStart w:id="115" w:name="_Toc17248"/>
      <w:bookmarkStart w:id="116" w:name="_Toc9297"/>
      <w:r>
        <w:rPr>
          <w:rFonts w:hint="eastAsia" w:ascii="宋体" w:hAnsi="宋体" w:eastAsia="宋体" w:cs="宋体"/>
          <w:b/>
          <w:bCs/>
          <w:color w:val="auto"/>
          <w:kern w:val="44"/>
          <w:sz w:val="40"/>
          <w:szCs w:val="40"/>
          <w:lang w:val="en-US" w:eastAsia="zh-CN" w:bidi="ar-SA"/>
        </w:rPr>
        <w:t xml:space="preserve">第四章 </w:t>
      </w:r>
      <w:r>
        <w:rPr>
          <w:rFonts w:hint="eastAsia" w:ascii="宋体" w:hAnsi="宋体" w:eastAsia="宋体" w:cs="宋体"/>
          <w:color w:val="auto"/>
          <w:sz w:val="40"/>
          <w:szCs w:val="40"/>
          <w:highlight w:val="none"/>
          <w:lang w:val="en-US" w:eastAsia="zh-CN"/>
        </w:rPr>
        <w:t>评标方法及评标标准</w:t>
      </w:r>
      <w:bookmarkEnd w:id="114"/>
      <w:bookmarkEnd w:id="115"/>
      <w:bookmarkEnd w:id="116"/>
    </w:p>
    <w:p w14:paraId="451CBB32">
      <w:pPr>
        <w:pStyle w:val="4"/>
        <w:keepNext/>
        <w:keepLines/>
        <w:pageBreakBefore w:val="0"/>
        <w:widowControl w:val="0"/>
        <w:kinsoku/>
        <w:wordWrap/>
        <w:overflowPunct/>
        <w:topLinePunct w:val="0"/>
        <w:autoSpaceDE/>
        <w:autoSpaceDN/>
        <w:bidi w:val="0"/>
        <w:adjustRightInd/>
        <w:snapToGrid/>
        <w:spacing w:before="240" w:after="24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一、评标方法</w:t>
      </w:r>
    </w:p>
    <w:p w14:paraId="03A4E6DB">
      <w:pPr>
        <w:pStyle w:val="12"/>
        <w:pageBreakBefore w:val="0"/>
        <w:widowControl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综合评分法，是指投标文件满足</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文件全部实质性要求，且按照评审因素的量化指标评审得分最高的投标人为中标候选人的评标方法。</w:t>
      </w:r>
    </w:p>
    <w:p w14:paraId="4422AC0E">
      <w:pPr>
        <w:pStyle w:val="12"/>
        <w:pageBreakBefore w:val="0"/>
        <w:widowControl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最低评标价法，是指投标文件满足</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文件全部实质性要求，且投标报价最低的投标人为中标候选人的评标方法。</w:t>
      </w:r>
    </w:p>
    <w:p w14:paraId="282E4D1F">
      <w:pPr>
        <w:pStyle w:val="4"/>
        <w:keepNext/>
        <w:keepLines/>
        <w:pageBreakBefore w:val="0"/>
        <w:widowControl w:val="0"/>
        <w:kinsoku/>
        <w:wordWrap/>
        <w:overflowPunct/>
        <w:topLinePunct w:val="0"/>
        <w:autoSpaceDE/>
        <w:autoSpaceDN/>
        <w:bidi w:val="0"/>
        <w:adjustRightInd/>
        <w:snapToGrid/>
        <w:spacing w:before="240" w:after="24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二、评标程序</w:t>
      </w:r>
    </w:p>
    <w:p w14:paraId="5892E887">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w:t>
      </w:r>
    </w:p>
    <w:p w14:paraId="4FA161FD">
      <w:pPr>
        <w:pStyle w:val="12"/>
        <w:pageBreakBefore w:val="0"/>
        <w:widowControl w:val="0"/>
        <w:kinsoku/>
        <w:wordWrap/>
        <w:overflowPunct/>
        <w:topLinePunct w:val="0"/>
        <w:autoSpaceDE/>
        <w:autoSpaceDN/>
        <w:bidi w:val="0"/>
        <w:adjustRightInd/>
        <w:snapToGrid w:val="0"/>
        <w:spacing w:line="240" w:lineRule="auto"/>
        <w:ind w:left="1" w:firstLine="42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评标委员会应当对符合资格的投标人的投标文件进行投标报价、商务、技术等实质性内容符合性审查，以确定其是否满足</w:t>
      </w:r>
      <w:r>
        <w:rPr>
          <w:rFonts w:hint="eastAsia" w:hAnsi="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文件的实质性要求。</w:t>
      </w:r>
    </w:p>
    <w:p w14:paraId="76122810">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2.符合性审查不通过而导致投标无效的情形</w:t>
      </w:r>
    </w:p>
    <w:p w14:paraId="1752AD4F">
      <w:pPr>
        <w:pageBreakBefore w:val="0"/>
        <w:widowControl w:val="0"/>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投标人的投标文件中存在对</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文件的任何实质性要求和条件的负偏离，将被视为投标无效。</w:t>
      </w:r>
    </w:p>
    <w:p w14:paraId="46BFD2F4">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2.1在报价评审时，如发现下列情形之一的，将被视为投标无效：</w:t>
      </w:r>
    </w:p>
    <w:p w14:paraId="65BE6CBA">
      <w:pPr>
        <w:pStyle w:val="7"/>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未提供“投标人须知前附表”第13.1条规定中“必须提供”的文件资料的；</w:t>
      </w:r>
    </w:p>
    <w:p w14:paraId="73EA8E6B">
      <w:pPr>
        <w:pStyle w:val="7"/>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未采用人民币报价或者未按照</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文件标明的币种报价的；</w:t>
      </w:r>
    </w:p>
    <w:p w14:paraId="6D1CB60E">
      <w:pPr>
        <w:pStyle w:val="7"/>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各分标报价超出</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文件相应分标规定最高限价，或者超出相应分标采购预算金额的；</w:t>
      </w:r>
    </w:p>
    <w:p w14:paraId="30631509">
      <w:pPr>
        <w:pStyle w:val="7"/>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投标人未就所投分标进行报价或者存在漏项报价；投标人未就所投分标的单项内容作唯一报价；投标人未就所投分标的全部内容作完整唯一总价报价；存在有选择、有条件报价的（</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文件允许有备选方案或者其他约定的除外）；</w:t>
      </w:r>
    </w:p>
    <w:p w14:paraId="6C2EB220">
      <w:pPr>
        <w:pStyle w:val="7"/>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修正后的报价，投标人不确认的；</w:t>
      </w:r>
    </w:p>
    <w:p w14:paraId="6E479DF1">
      <w:pPr>
        <w:pStyle w:val="7"/>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投标人属于本章第5.1条（2）或者第5.2条（2）项情形的；</w:t>
      </w:r>
    </w:p>
    <w:p w14:paraId="2833E6FC">
      <w:pPr>
        <w:pStyle w:val="7"/>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响应的标的数量及单位与</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文件要求实质性不一致的。</w:t>
      </w:r>
    </w:p>
    <w:p w14:paraId="2AE1E0B4">
      <w:pPr>
        <w:pStyle w:val="7"/>
        <w:pageBreakBefore w:val="0"/>
        <w:widowControl w:val="0"/>
        <w:numPr>
          <w:ilvl w:val="0"/>
          <w:numId w:val="0"/>
        </w:numPr>
        <w:kinsoku/>
        <w:wordWrap/>
        <w:overflowPunct/>
        <w:topLinePunct w:val="0"/>
        <w:autoSpaceDE/>
        <w:autoSpaceDN/>
        <w:bidi w:val="0"/>
        <w:adjustRightInd/>
        <w:spacing w:line="240" w:lineRule="auto"/>
        <w:ind w:left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注：本项目异常低价审查情形见“第三章 投标人须知”规定。</w:t>
      </w:r>
    </w:p>
    <w:p w14:paraId="180BC721">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2.2在商务评审时，如发现下列情形之一的，将被视为投标无效：</w:t>
      </w:r>
    </w:p>
    <w:p w14:paraId="1EC9F342">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投标文件未按</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文件要求签署、盖章的；</w:t>
      </w:r>
    </w:p>
    <w:p w14:paraId="4ADE62FA">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委托代理人未能出具有效身份证或者出具的身份证与授权委托书中的信息不符的；</w:t>
      </w:r>
    </w:p>
    <w:p w14:paraId="1A688D5B">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投标文件未提供“投标人须知前附表”第13.1条规定中“必须提供”或者“委托时必须提供”的文件资料的；</w:t>
      </w:r>
    </w:p>
    <w:p w14:paraId="2F905D26">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商务要求评审允许负偏离的条款数超过“投标人须知前附表”规定项数的；</w:t>
      </w:r>
    </w:p>
    <w:p w14:paraId="428787F4">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投标文件的实质性内容未使用中文表述、使用计量单位不符合</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文件要求的；</w:t>
      </w:r>
    </w:p>
    <w:p w14:paraId="3BAD0384">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投标文件中的文件资料因填写不齐全或者内容虚假或者出现其他情形而导致被评标委员会认定无效的；</w:t>
      </w:r>
    </w:p>
    <w:p w14:paraId="2DC49564">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投标文件含有采购人不能接受的附加条件的；</w:t>
      </w:r>
    </w:p>
    <w:p w14:paraId="3FCF0BD8">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属于投标人须知正文第9.2条情形的；</w:t>
      </w:r>
    </w:p>
    <w:p w14:paraId="5C9C51E9">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投标文件标注的项目名称或者项目编号与</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文件标注的项目名称或者项目编号不一致的；</w:t>
      </w:r>
    </w:p>
    <w:p w14:paraId="77AF0DBC">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文件明确不允许分包，投标文件拟分包的；</w:t>
      </w:r>
    </w:p>
    <w:p w14:paraId="34F8283F">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未响应</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文件实质性要求的；</w:t>
      </w:r>
    </w:p>
    <w:p w14:paraId="71B4EED2">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法律、法规和</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文件规定的其他无效情形。</w:t>
      </w:r>
    </w:p>
    <w:p w14:paraId="25667287">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2.3在技术评审时，如发现下列情形之一的，将被视为投标无效：</w:t>
      </w:r>
    </w:p>
    <w:p w14:paraId="0C5E3448">
      <w:pPr>
        <w:pStyle w:val="11"/>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38E654A2">
      <w:pPr>
        <w:pStyle w:val="11"/>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（2）投标文件未提供“投标人须知前附表”第13.1条规定中“必须提供”的文件资料的；</w:t>
      </w:r>
    </w:p>
    <w:p w14:paraId="5E92D1E4">
      <w:pPr>
        <w:pStyle w:val="11"/>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6801200B">
      <w:pPr>
        <w:pStyle w:val="11"/>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17" w:name="_Hlk71706244"/>
      <w:r>
        <w:rPr>
          <w:rFonts w:hint="eastAsia" w:ascii="宋体" w:hAnsi="宋体" w:eastAsia="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文件未载明允许提供备选（替代）投标方案或明确不允许提供备选（替代）投标方案时，投标人提供了备选（替代）投标方案的；</w:t>
      </w:r>
      <w:bookmarkEnd w:id="117"/>
    </w:p>
    <w:p w14:paraId="7A8BD4D8">
      <w:pPr>
        <w:pStyle w:val="11"/>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w:t>
      </w:r>
      <w:r>
        <w:rPr>
          <w:rFonts w:hint="eastAsia" w:ascii="宋体" w:hAnsi="宋体" w:eastAsia="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文件实质性要求的。</w:t>
      </w:r>
    </w:p>
    <w:p w14:paraId="2279A748">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3.澄清补正</w:t>
      </w:r>
    </w:p>
    <w:p w14:paraId="6F751948">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对投标文件中含义不明确、同类问题表述不一致或者有明显文字和计算错误的内容，评标委员会应在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发布电子澄清函，要求投标人在规定时间内作出必要的澄清、说明或者补正。投标人在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422CB25">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805B87E">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未按评标委员会的要求作出明确澄清、说明或者更正的投标人的投标文件将按照有利于采购人的原则由评标委员会进行判定。</w:t>
      </w:r>
    </w:p>
    <w:p w14:paraId="5E5BAA09">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4.投标文件修正</w:t>
      </w:r>
    </w:p>
    <w:p w14:paraId="777CD4A4">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4.1投标文件报价出现前后不一致的，按照下列规定修正：</w:t>
      </w:r>
    </w:p>
    <w:p w14:paraId="1D8EDA88">
      <w:pPr>
        <w:pStyle w:val="12"/>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（1）投标文件中开标一览表（报价表）内容与投标文件中相应内容不一致的，以开标一览表（报价表）为准；</w:t>
      </w:r>
    </w:p>
    <w:p w14:paraId="46540246">
      <w:pPr>
        <w:pStyle w:val="12"/>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4C2213BE">
      <w:pPr>
        <w:pStyle w:val="12"/>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（3）单价金额小数点或者百分比有明显错位的，以开标一览表的总价为准，并修改单价；</w:t>
      </w:r>
    </w:p>
    <w:p w14:paraId="2D42FD67">
      <w:pPr>
        <w:pStyle w:val="12"/>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14E37090">
      <w:pPr>
        <w:pStyle w:val="12"/>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kern w:val="2"/>
          <w:sz w:val="21"/>
          <w:szCs w:val="21"/>
          <w:highlight w:val="none"/>
        </w:rPr>
        <w:t>其投标无效</w:t>
      </w:r>
      <w:r>
        <w:rPr>
          <w:rFonts w:hint="eastAsia" w:ascii="宋体" w:hAnsi="宋体" w:eastAsia="宋体" w:cs="宋体"/>
          <w:color w:val="auto"/>
          <w:sz w:val="21"/>
          <w:szCs w:val="21"/>
          <w:highlight w:val="none"/>
        </w:rPr>
        <w:t>。</w:t>
      </w:r>
    </w:p>
    <w:p w14:paraId="0EDB4E78">
      <w:pPr>
        <w:pStyle w:val="6"/>
        <w:pageBreakBefore w:val="0"/>
        <w:widowControl w:val="0"/>
        <w:kinsoku/>
        <w:wordWrap/>
        <w:overflowPunct/>
        <w:topLinePunct w:val="0"/>
        <w:autoSpaceDE/>
        <w:autoSpaceDN/>
        <w:bidi w:val="0"/>
        <w:adjustRightInd/>
        <w:spacing w:before="0" w:after="0" w:line="240" w:lineRule="auto"/>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4.2经投标人确认修正后的报价若超过采购预算金额或者最高限价，</w:t>
      </w:r>
      <w:r>
        <w:rPr>
          <w:rFonts w:hint="eastAsia" w:ascii="宋体" w:hAnsi="宋体" w:eastAsia="宋体" w:cs="宋体"/>
          <w:color w:val="auto"/>
          <w:sz w:val="21"/>
          <w:szCs w:val="21"/>
          <w:highlight w:val="none"/>
        </w:rPr>
        <w:t>投标人的投标文件作无效投标处理</w:t>
      </w:r>
      <w:r>
        <w:rPr>
          <w:rFonts w:hint="eastAsia" w:ascii="宋体" w:hAnsi="宋体" w:eastAsia="宋体" w:cs="宋体"/>
          <w:b w:val="0"/>
          <w:color w:val="auto"/>
          <w:sz w:val="21"/>
          <w:szCs w:val="21"/>
          <w:highlight w:val="none"/>
        </w:rPr>
        <w:t>。</w:t>
      </w:r>
    </w:p>
    <w:p w14:paraId="70A17FFE">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4.3经投标人确认修正后的报价作为签订合同的依据，并以此报价计算价格分。</w:t>
      </w:r>
    </w:p>
    <w:p w14:paraId="6702B8EA">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5.比较与评价</w:t>
      </w:r>
    </w:p>
    <w:p w14:paraId="41C27483">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5.1采用综合评分法的</w:t>
      </w:r>
    </w:p>
    <w:p w14:paraId="1AD404AA">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文件中规定的评标方法及评标标准，对符合性审查合格的投标文件进行商务和技术评估，综合比较与评价。</w:t>
      </w:r>
    </w:p>
    <w:p w14:paraId="502BAB40">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（2）评标委员会独立对每个投标人的投标文件进行评价，并汇总每个投标人的得分。</w:t>
      </w:r>
    </w:p>
    <w:p w14:paraId="0B034271">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 w:val="21"/>
          <w:szCs w:val="21"/>
          <w:highlight w:val="none"/>
        </w:rPr>
        <w:t>投标人不能证明其报价合理性的，评标委员会将其作为无效投标处理</w:t>
      </w:r>
      <w:r>
        <w:rPr>
          <w:rFonts w:hint="eastAsia" w:ascii="宋体" w:hAnsi="宋体" w:eastAsia="宋体" w:cs="宋体"/>
          <w:color w:val="auto"/>
          <w:sz w:val="21"/>
          <w:szCs w:val="21"/>
          <w:highlight w:val="none"/>
        </w:rPr>
        <w:t>。</w:t>
      </w:r>
    </w:p>
    <w:p w14:paraId="052F200E">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文件中规定的评标方法和标准计算各投标人的报价得分。在计算过程中，不得去掉最高报价或者最低报价。</w:t>
      </w:r>
    </w:p>
    <w:p w14:paraId="2DDB6EE2">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（4）各投标人的得分为所有评委的有效评分的算术平均数。</w:t>
      </w:r>
    </w:p>
    <w:p w14:paraId="14B1A376">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文件中的规定推荐中标候选人。</w:t>
      </w:r>
    </w:p>
    <w:p w14:paraId="502B1338">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003CFC0">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5.2采用最低评标价法的</w:t>
      </w:r>
    </w:p>
    <w:p w14:paraId="32F7405B">
      <w:pPr>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文件中规定的评标方法及评标标准，对符合性审查合格的投标文件报价进行比较。</w:t>
      </w:r>
    </w:p>
    <w:p w14:paraId="7F49DF00">
      <w:pPr>
        <w:pageBreakBefore w:val="0"/>
        <w:widowControl w:val="0"/>
        <w:kinsoku/>
        <w:wordWrap/>
        <w:overflowPunct/>
        <w:topLinePunct w:val="0"/>
        <w:autoSpaceDE/>
        <w:autoSpaceDN/>
        <w:bidi w:val="0"/>
        <w:adjustRightInd/>
        <w:snapToGrid w:val="0"/>
        <w:spacing w:line="240" w:lineRule="auto"/>
        <w:ind w:firstLine="399" w:firstLineChars="202"/>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评标委员会认为投标人的报价明显高于其他通过符合性审查投标人的报价，有可能影响配送产品质量或者服务质量或者不能诚信履约的，应当要求其在评标现场合理的时间内提供书面说明，必要时提交相关证明材料；</w:t>
      </w:r>
      <w:r>
        <w:rPr>
          <w:rFonts w:hint="eastAsia" w:ascii="宋体" w:hAnsi="宋体" w:eastAsia="宋体" w:cs="宋体"/>
          <w:b/>
          <w:color w:val="auto"/>
          <w:spacing w:val="-6"/>
          <w:sz w:val="21"/>
          <w:szCs w:val="21"/>
          <w:highlight w:val="none"/>
        </w:rPr>
        <w:t>投标人不能证明其报价合理性的，评标委员会将其作为无效投标处理</w:t>
      </w:r>
      <w:r>
        <w:rPr>
          <w:rFonts w:hint="eastAsia" w:ascii="宋体" w:hAnsi="宋体" w:eastAsia="宋体" w:cs="宋体"/>
          <w:color w:val="auto"/>
          <w:spacing w:val="-6"/>
          <w:sz w:val="21"/>
          <w:szCs w:val="21"/>
          <w:highlight w:val="none"/>
        </w:rPr>
        <w:t>。</w:t>
      </w:r>
    </w:p>
    <w:p w14:paraId="16FD11AF">
      <w:pPr>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文件中的规定推荐中标候选人。</w:t>
      </w:r>
    </w:p>
    <w:p w14:paraId="5B748465">
      <w:pPr>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A004A5B">
      <w:pPr>
        <w:pStyle w:val="4"/>
        <w:keepNext/>
        <w:keepLines/>
        <w:pageBreakBefore w:val="0"/>
        <w:widowControl w:val="0"/>
        <w:kinsoku/>
        <w:wordWrap/>
        <w:overflowPunct/>
        <w:topLinePunct w:val="0"/>
        <w:autoSpaceDE/>
        <w:autoSpaceDN/>
        <w:bidi w:val="0"/>
        <w:adjustRightInd/>
        <w:snapToGrid/>
        <w:spacing w:before="240" w:after="24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评标标准</w:t>
      </w:r>
    </w:p>
    <w:p w14:paraId="7B76EC61">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w:t>
      </w:r>
      <w:r>
        <w:rPr>
          <w:rFonts w:hint="eastAsia" w:ascii="宋体" w:hAnsi="宋体" w:cs="宋体"/>
          <w:b/>
          <w:bCs/>
          <w:color w:val="auto"/>
          <w:szCs w:val="21"/>
        </w:rPr>
        <w:t>评标原则</w:t>
      </w:r>
    </w:p>
    <w:p w14:paraId="48A8B4B1">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一</w:t>
      </w:r>
      <w:r>
        <w:rPr>
          <w:rFonts w:hint="eastAsia" w:ascii="宋体" w:hAnsi="宋体" w:cs="宋体"/>
          <w:color w:val="auto"/>
          <w:szCs w:val="21"/>
          <w:lang w:eastAsia="zh-CN"/>
        </w:rPr>
        <w:t>）</w:t>
      </w:r>
      <w:r>
        <w:rPr>
          <w:rFonts w:hint="eastAsia" w:ascii="宋体" w:hAnsi="宋体" w:cs="宋体"/>
          <w:color w:val="auto"/>
          <w:szCs w:val="21"/>
        </w:rPr>
        <w:t>评委构成：本招标采购项目的评标委员会由采购人代表和有关技术、经济等方面的专家组成，成员人数应当为五人以上单数。其中，技术、经济等方面的专家不得少于成员总数的三分之二。</w:t>
      </w:r>
    </w:p>
    <w:p w14:paraId="1605A1BA">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二</w:t>
      </w:r>
      <w:r>
        <w:rPr>
          <w:rFonts w:hint="eastAsia" w:ascii="宋体" w:hAnsi="宋体" w:cs="宋体"/>
          <w:color w:val="auto"/>
          <w:szCs w:val="21"/>
          <w:lang w:eastAsia="zh-CN"/>
        </w:rPr>
        <w:t>）</w:t>
      </w:r>
      <w:r>
        <w:rPr>
          <w:rFonts w:hint="eastAsia" w:ascii="宋体" w:hAnsi="宋体" w:cs="宋体"/>
          <w:color w:val="auto"/>
          <w:szCs w:val="21"/>
        </w:rPr>
        <w:t>评标依据：评委将以招投标文件为评标依据，对投标人的内容按百分制打分。</w:t>
      </w:r>
    </w:p>
    <w:p w14:paraId="34A897A7">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三</w:t>
      </w:r>
      <w:r>
        <w:rPr>
          <w:rFonts w:hint="eastAsia" w:ascii="宋体" w:hAnsi="宋体" w:cs="宋体"/>
          <w:color w:val="auto"/>
          <w:szCs w:val="21"/>
          <w:lang w:eastAsia="zh-CN"/>
        </w:rPr>
        <w:t>）</w:t>
      </w:r>
      <w:r>
        <w:rPr>
          <w:rFonts w:hint="eastAsia" w:ascii="宋体" w:hAnsi="宋体" w:cs="宋体"/>
          <w:color w:val="auto"/>
          <w:szCs w:val="21"/>
        </w:rPr>
        <w:t>评标方式：以封闭方式进行。</w:t>
      </w:r>
    </w:p>
    <w:p w14:paraId="50215648">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二、</w:t>
      </w:r>
      <w:r>
        <w:rPr>
          <w:rFonts w:hint="eastAsia" w:ascii="宋体" w:hAnsi="宋体" w:cs="宋体"/>
          <w:b/>
          <w:bCs/>
          <w:color w:val="auto"/>
          <w:szCs w:val="21"/>
        </w:rPr>
        <w:t>评标方法</w:t>
      </w:r>
    </w:p>
    <w:p w14:paraId="2CAE01CA">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（一）对进入详评的，采用百分制综合评分法。</w:t>
      </w:r>
    </w:p>
    <w:p w14:paraId="749E0B2C">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（二）计分办法（按四舍五入取至百分位）：</w:t>
      </w:r>
    </w:p>
    <w:p w14:paraId="0A47EE2A">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bCs/>
          <w:color w:val="auto"/>
          <w:sz w:val="21"/>
          <w:szCs w:val="21"/>
          <w:lang w:eastAsia="zh-CN"/>
        </w:rPr>
      </w:pPr>
      <w:r>
        <w:rPr>
          <w:rFonts w:hint="eastAsia" w:hAnsi="宋体" w:eastAsia="宋体" w:cs="宋体"/>
          <w:bCs/>
          <w:color w:val="auto"/>
          <w:sz w:val="21"/>
          <w:szCs w:val="21"/>
          <w:lang w:eastAsia="zh-CN"/>
        </w:rPr>
        <w:t>（</w:t>
      </w:r>
      <w:r>
        <w:rPr>
          <w:rFonts w:hint="eastAsia" w:ascii="宋体" w:hAnsi="宋体" w:eastAsia="宋体" w:cs="宋体"/>
          <w:bCs/>
          <w:color w:val="auto"/>
          <w:sz w:val="21"/>
          <w:szCs w:val="21"/>
        </w:rPr>
        <w:t>以下各项评审因素仅作为参考，制作招标文件时，评审因素应当与相应的商务条件和采购需求对应</w:t>
      </w:r>
      <w:r>
        <w:rPr>
          <w:rFonts w:hint="eastAsia" w:ascii="宋体" w:hAnsi="宋体" w:eastAsia="宋体" w:cs="宋体"/>
          <w:bCs/>
          <w:color w:val="auto"/>
          <w:sz w:val="21"/>
          <w:szCs w:val="21"/>
          <w:lang w:eastAsia="zh-CN"/>
        </w:rPr>
        <w:t>。</w:t>
      </w:r>
      <w:r>
        <w:rPr>
          <w:rFonts w:hint="eastAsia" w:hAnsi="宋体" w:eastAsia="宋体" w:cs="宋体"/>
          <w:bCs/>
          <w:color w:val="auto"/>
          <w:sz w:val="21"/>
          <w:szCs w:val="21"/>
          <w:lang w:eastAsia="zh-CN"/>
        </w:rPr>
        <w:t>）</w:t>
      </w:r>
    </w:p>
    <w:tbl>
      <w:tblPr>
        <w:tblStyle w:val="1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209"/>
        <w:gridCol w:w="6435"/>
        <w:gridCol w:w="736"/>
      </w:tblGrid>
      <w:tr w14:paraId="536F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63918661">
            <w:pPr>
              <w:pageBreakBefore w:val="0"/>
              <w:widowControl/>
              <w:wordWrap/>
              <w:overflowPunct/>
              <w:topLinePunct w:val="0"/>
              <w:bidi w:val="0"/>
              <w:spacing w:line="4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序号</w:t>
            </w:r>
          </w:p>
        </w:tc>
        <w:tc>
          <w:tcPr>
            <w:tcW w:w="1209" w:type="dxa"/>
            <w:noWrap w:val="0"/>
            <w:vAlign w:val="center"/>
          </w:tcPr>
          <w:p w14:paraId="15499394">
            <w:pPr>
              <w:pageBreakBefore w:val="0"/>
              <w:widowControl/>
              <w:wordWrap/>
              <w:overflowPunct/>
              <w:topLinePunct w:val="0"/>
              <w:bidi w:val="0"/>
              <w:spacing w:line="440" w:lineRule="exact"/>
              <w:jc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rPr>
              <w:t>评审</w:t>
            </w:r>
            <w:r>
              <w:rPr>
                <w:rFonts w:hint="eastAsia" w:ascii="仿宋" w:hAnsi="仿宋" w:eastAsia="仿宋" w:cs="仿宋"/>
                <w:b/>
                <w:bCs/>
                <w:color w:val="000000"/>
                <w:kern w:val="0"/>
                <w:sz w:val="21"/>
                <w:szCs w:val="21"/>
                <w:lang w:val="en-US" w:eastAsia="zh-CN"/>
              </w:rPr>
              <w:t>类型</w:t>
            </w:r>
          </w:p>
        </w:tc>
        <w:tc>
          <w:tcPr>
            <w:tcW w:w="6435" w:type="dxa"/>
            <w:noWrap w:val="0"/>
            <w:vAlign w:val="center"/>
          </w:tcPr>
          <w:p w14:paraId="75BFA043">
            <w:pPr>
              <w:pageBreakBefore w:val="0"/>
              <w:widowControl/>
              <w:wordWrap/>
              <w:overflowPunct/>
              <w:topLinePunct w:val="0"/>
              <w:bidi w:val="0"/>
              <w:spacing w:line="440" w:lineRule="exact"/>
              <w:jc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val="en-US" w:eastAsia="zh-CN"/>
              </w:rPr>
              <w:t>评分标准</w:t>
            </w:r>
          </w:p>
        </w:tc>
        <w:tc>
          <w:tcPr>
            <w:tcW w:w="736" w:type="dxa"/>
            <w:noWrap w:val="0"/>
            <w:vAlign w:val="center"/>
          </w:tcPr>
          <w:p w14:paraId="76C7489B">
            <w:pPr>
              <w:pageBreakBefore w:val="0"/>
              <w:widowControl/>
              <w:wordWrap/>
              <w:overflowPunct/>
              <w:topLinePunct w:val="0"/>
              <w:bidi w:val="0"/>
              <w:spacing w:line="4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分值</w:t>
            </w:r>
          </w:p>
        </w:tc>
      </w:tr>
      <w:tr w14:paraId="6924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7B2A77FF">
            <w:pPr>
              <w:pageBreakBefore w:val="0"/>
              <w:widowControl/>
              <w:wordWrap/>
              <w:overflowPunct/>
              <w:topLinePunct w:val="0"/>
              <w:bidi w:val="0"/>
              <w:spacing w:line="4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209" w:type="dxa"/>
            <w:noWrap w:val="0"/>
            <w:vAlign w:val="center"/>
          </w:tcPr>
          <w:p w14:paraId="202D4E62">
            <w:pPr>
              <w:pageBreakBefore w:val="0"/>
              <w:widowControl/>
              <w:wordWrap/>
              <w:overflowPunct/>
              <w:topLinePunct w:val="0"/>
              <w:bidi w:val="0"/>
              <w:spacing w:line="440" w:lineRule="exact"/>
              <w:jc w:val="center"/>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lang w:val="en-US" w:eastAsia="zh-CN"/>
              </w:rPr>
              <w:t>报价</w:t>
            </w:r>
            <w:r>
              <w:rPr>
                <w:rFonts w:hint="eastAsia" w:ascii="仿宋" w:hAnsi="仿宋" w:eastAsia="仿宋" w:cs="仿宋"/>
                <w:b/>
                <w:bCs/>
                <w:color w:val="000000"/>
                <w:kern w:val="0"/>
                <w:sz w:val="21"/>
                <w:szCs w:val="21"/>
              </w:rPr>
              <w:t>分</w:t>
            </w:r>
          </w:p>
        </w:tc>
        <w:tc>
          <w:tcPr>
            <w:tcW w:w="6435" w:type="dxa"/>
            <w:noWrap w:val="0"/>
            <w:vAlign w:val="top"/>
          </w:tcPr>
          <w:p w14:paraId="21341188">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1.评审价为供应商的最后报价进行政策性扣除后的价格，评审价只是作为评审时使用。最终成交供应商的成交金额等于最后报价（如有修正，以确认修正后的最后报价为准）。</w:t>
            </w:r>
          </w:p>
          <w:p w14:paraId="6D0A2C15">
            <w:pPr>
              <w:pStyle w:val="12"/>
              <w:pageBreakBefore w:val="0"/>
              <w:wordWrap/>
              <w:overflowPunct/>
              <w:topLinePunct w:val="0"/>
              <w:bidi w:val="0"/>
              <w:spacing w:line="440" w:lineRule="exact"/>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2.政府采购政策性扣除计算方法</w:t>
            </w:r>
          </w:p>
          <w:p w14:paraId="3B810DB1">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（1）按照财库〔2020〕46号文件、财库〔2022〕19号文件及《广西壮族自治区财政厅 广西壮族自治区工业和信息化厅关于转发财政部 工业和信息化部政府采购促进中小企业发展管理办法的通知》（桂财采〔2021〕70号）等文件要求，响应文件中提供《中小企业声明函》，且服务全部由符合政策要求的小型、微型企业承接的，对其最后报价给予20%的扣除。</w:t>
            </w:r>
          </w:p>
          <w:p w14:paraId="6B36967F">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D57C810">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B2367A9">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（4）政策性扣除计算方法。</w:t>
            </w:r>
          </w:p>
          <w:p w14:paraId="61AC8329">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供应商被评定为监狱企业或者残疾人福利性单位或者其服务全部由符合政策要求的小型、微型企业承接的，该供应商的最后报价给予20%的扣除，扣除后的价格为评审价，即评审价=最后报价×（1-20%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扣除后的价格为评审价，即评审价=最后报价×（1-6%）。</w:t>
            </w:r>
          </w:p>
          <w:p w14:paraId="7A0E8A3E">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（5）除上述情况外，评审价＝最后报价。</w:t>
            </w:r>
          </w:p>
          <w:p w14:paraId="0A5AB9FE">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（6）以进入比较与评价环节的最低的评审价为基准价，基准价得分为20分。</w:t>
            </w:r>
          </w:p>
          <w:p w14:paraId="57D2F14C">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（7）价格分计算公式：</w:t>
            </w:r>
          </w:p>
          <w:p w14:paraId="74CC5FE4">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报价得分=（基准价/评审价）×20分</w:t>
            </w:r>
          </w:p>
        </w:tc>
        <w:tc>
          <w:tcPr>
            <w:tcW w:w="736" w:type="dxa"/>
            <w:noWrap w:val="0"/>
            <w:vAlign w:val="center"/>
          </w:tcPr>
          <w:p w14:paraId="7B746D2A">
            <w:pPr>
              <w:pageBreakBefore w:val="0"/>
              <w:widowControl/>
              <w:wordWrap/>
              <w:overflowPunct/>
              <w:topLinePunct w:val="0"/>
              <w:bidi w:val="0"/>
              <w:spacing w:line="440" w:lineRule="exact"/>
              <w:jc w:val="center"/>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lang w:val="en-US" w:eastAsia="zh-CN"/>
              </w:rPr>
              <w:t>20</w:t>
            </w:r>
            <w:r>
              <w:rPr>
                <w:rFonts w:hint="eastAsia" w:ascii="仿宋" w:hAnsi="仿宋" w:eastAsia="仿宋" w:cs="仿宋"/>
                <w:b/>
                <w:bCs/>
                <w:color w:val="000000"/>
                <w:kern w:val="0"/>
                <w:sz w:val="21"/>
                <w:szCs w:val="21"/>
              </w:rPr>
              <w:t>分</w:t>
            </w:r>
          </w:p>
        </w:tc>
      </w:tr>
      <w:tr w14:paraId="6010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7040650B">
            <w:pPr>
              <w:pageBreakBefore w:val="0"/>
              <w:widowControl/>
              <w:wordWrap/>
              <w:overflowPunct/>
              <w:topLinePunct w:val="0"/>
              <w:bidi w:val="0"/>
              <w:spacing w:line="440" w:lineRule="exact"/>
              <w:jc w:val="center"/>
              <w:rPr>
                <w:rFonts w:hint="eastAsia" w:ascii="仿宋" w:hAnsi="仿宋" w:eastAsia="仿宋" w:cs="仿宋"/>
                <w:b/>
                <w:bCs w:val="0"/>
                <w:color w:val="000000"/>
                <w:kern w:val="0"/>
                <w:sz w:val="21"/>
                <w:szCs w:val="21"/>
              </w:rPr>
            </w:pPr>
            <w:r>
              <w:rPr>
                <w:rFonts w:hint="eastAsia" w:ascii="仿宋" w:hAnsi="仿宋" w:eastAsia="仿宋" w:cs="仿宋"/>
                <w:b/>
                <w:bCs w:val="0"/>
                <w:color w:val="000000"/>
                <w:kern w:val="0"/>
                <w:sz w:val="21"/>
                <w:szCs w:val="21"/>
              </w:rPr>
              <w:t>2</w:t>
            </w:r>
          </w:p>
        </w:tc>
        <w:tc>
          <w:tcPr>
            <w:tcW w:w="1209" w:type="dxa"/>
            <w:noWrap w:val="0"/>
            <w:vAlign w:val="center"/>
          </w:tcPr>
          <w:p w14:paraId="6D27608F">
            <w:pPr>
              <w:pageBreakBefore w:val="0"/>
              <w:widowControl/>
              <w:wordWrap/>
              <w:overflowPunct/>
              <w:topLinePunct w:val="0"/>
              <w:bidi w:val="0"/>
              <w:spacing w:line="440" w:lineRule="exact"/>
              <w:jc w:val="center"/>
              <w:rPr>
                <w:rFonts w:hint="eastAsia" w:ascii="仿宋" w:hAnsi="仿宋" w:eastAsia="仿宋" w:cs="仿宋"/>
                <w:b/>
                <w:bCs w:val="0"/>
                <w:color w:val="000000"/>
                <w:kern w:val="0"/>
                <w:sz w:val="21"/>
                <w:szCs w:val="21"/>
              </w:rPr>
            </w:pPr>
            <w:r>
              <w:rPr>
                <w:rFonts w:hint="eastAsia" w:ascii="仿宋" w:hAnsi="仿宋" w:eastAsia="仿宋" w:cs="仿宋"/>
                <w:b/>
                <w:bCs w:val="0"/>
                <w:color w:val="000000"/>
                <w:kern w:val="0"/>
                <w:sz w:val="21"/>
                <w:szCs w:val="21"/>
              </w:rPr>
              <w:t>技术分</w:t>
            </w:r>
          </w:p>
        </w:tc>
        <w:tc>
          <w:tcPr>
            <w:tcW w:w="6435" w:type="dxa"/>
            <w:noWrap w:val="0"/>
            <w:vAlign w:val="center"/>
          </w:tcPr>
          <w:p w14:paraId="7FF03CE8">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评审因素</w:t>
            </w:r>
          </w:p>
        </w:tc>
        <w:tc>
          <w:tcPr>
            <w:tcW w:w="736" w:type="dxa"/>
            <w:noWrap w:val="0"/>
            <w:vAlign w:val="center"/>
          </w:tcPr>
          <w:p w14:paraId="7A565A46">
            <w:pPr>
              <w:pageBreakBefore w:val="0"/>
              <w:widowControl/>
              <w:wordWrap/>
              <w:overflowPunct/>
              <w:topLinePunct w:val="0"/>
              <w:bidi w:val="0"/>
              <w:spacing w:line="440" w:lineRule="exact"/>
              <w:jc w:val="left"/>
              <w:rPr>
                <w:rFonts w:hint="eastAsia" w:ascii="仿宋" w:hAnsi="仿宋" w:eastAsia="仿宋" w:cs="仿宋"/>
                <w:b/>
                <w:bCs w:val="0"/>
                <w:color w:val="000000"/>
                <w:sz w:val="21"/>
                <w:szCs w:val="21"/>
                <w:highlight w:val="none"/>
              </w:rPr>
            </w:pPr>
            <w:r>
              <w:rPr>
                <w:rFonts w:hint="eastAsia" w:ascii="仿宋" w:hAnsi="仿宋" w:eastAsia="仿宋" w:cs="仿宋"/>
                <w:b/>
                <w:bCs w:val="0"/>
                <w:color w:val="000000"/>
                <w:sz w:val="21"/>
                <w:szCs w:val="21"/>
                <w:highlight w:val="none"/>
                <w:lang w:val="en-US" w:eastAsia="zh-CN"/>
              </w:rPr>
              <w:t>60</w:t>
            </w:r>
            <w:r>
              <w:rPr>
                <w:rFonts w:hint="eastAsia" w:ascii="仿宋" w:hAnsi="仿宋" w:eastAsia="仿宋" w:cs="仿宋"/>
                <w:b/>
                <w:bCs w:val="0"/>
                <w:color w:val="000000"/>
                <w:sz w:val="21"/>
                <w:szCs w:val="21"/>
                <w:highlight w:val="none"/>
              </w:rPr>
              <w:t>分</w:t>
            </w:r>
          </w:p>
        </w:tc>
      </w:tr>
      <w:tr w14:paraId="4943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447D3A7C">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w:t>
            </w:r>
          </w:p>
        </w:tc>
        <w:tc>
          <w:tcPr>
            <w:tcW w:w="1209" w:type="dxa"/>
            <w:noWrap w:val="0"/>
            <w:vAlign w:val="center"/>
          </w:tcPr>
          <w:p w14:paraId="4F56683A">
            <w:pPr>
              <w:pStyle w:val="12"/>
              <w:pageBreakBefore w:val="0"/>
              <w:wordWrap/>
              <w:overflowPunct/>
              <w:topLinePunct w:val="0"/>
              <w:bidi w:val="0"/>
              <w:spacing w:line="4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技术服务方案分</w:t>
            </w:r>
          </w:p>
        </w:tc>
        <w:tc>
          <w:tcPr>
            <w:tcW w:w="6435" w:type="dxa"/>
            <w:noWrap w:val="0"/>
            <w:vAlign w:val="center"/>
          </w:tcPr>
          <w:p w14:paraId="1862C68C">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一档（0分）：未提供技术服务方案。</w:t>
            </w:r>
          </w:p>
          <w:p w14:paraId="2D0903A5">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二档（10分）：技术参数全部满足采购文件要求，没有明显技术错误，技术方案较简单可行，系统功能配置基本达到要求。</w:t>
            </w:r>
          </w:p>
          <w:p w14:paraId="0C2E180F">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三档（15分）：技术参数全部满足采购文件要求，对本项目的整体规划技术路线清晰，思路合理；且遵照电子政务外网建设规范，能够无缝对接自治区广域网（针对如何实现对接有详细可行的描述内容。传输网络采用MSTP、PTN、IPRAN、MSAP或者裸光纤组网技术。方案基本了解用户现有需求，采用的技术类型，结合现状的分析，论述较为准确，技术较新，主要系统性能较好，系统功能配置齐全，现有传输设备数量达到1500个以上(必须提供传输设备列表截图佐证，并加盖电子公章) ，可对网络QOS能力进行灵活管控，可设置CAR策略模板，满足采购人在未来三年的使用。</w:t>
            </w:r>
          </w:p>
          <w:p w14:paraId="6B0C40F5">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四档（20分）：技术参数全部满足采购文件要求，对本项目的整体规划（需求分析、线路方案、路由设计、安全设计等）技术路线清晰，思路合理，可操作性强。且遵照电子政务外网建设规范，遵照合规性检查的要求，能够无缝对接自治区广域网（针对如何实现对接有详细可行的描述内容），提供完整的规划设计，割接方案、具体的IP地址规划、路由设计方案、安全服务方案。传输网络采用MSTP、PTN、IPRAN、MSAP或者裸光纤组网技术,传输网络的汇聚层至骨干层具有自愈环保护功能，具备不超过50ms保护倒换能力，保证数据专线电路不会因光缆的意外阻断或部分设备故障而中断。方案完全理解项目的背景、目标、范围，技术方案和用户现有需求切合，采用的技术类型，结合现状的分析，论述准确，技术新，性能拔尖，功能配置齐全，现有传输设备数量达到2500个以上(必须提供传输设备列表截图佐证，并加盖电子公章)，可对网络QOS能力进行灵活管控，可设置CAR策略模板，满足采购人在未来三年的使用。技术方案具有明确的实施日程、进度安排、人员安排职责分工。</w:t>
            </w:r>
          </w:p>
          <w:p w14:paraId="312FB991">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注：不提供项目技术服务方案的得0分，评委根据供应商提供的项目技术服务方案独立进行打分。</w:t>
            </w:r>
          </w:p>
        </w:tc>
        <w:tc>
          <w:tcPr>
            <w:tcW w:w="736" w:type="dxa"/>
            <w:noWrap w:val="0"/>
            <w:vAlign w:val="center"/>
          </w:tcPr>
          <w:p w14:paraId="148910AE">
            <w:pPr>
              <w:pStyle w:val="12"/>
              <w:pageBreakBefore w:val="0"/>
              <w:wordWrap/>
              <w:overflowPunct/>
              <w:topLinePunct w:val="0"/>
              <w:bidi w:val="0"/>
              <w:spacing w:line="4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20分</w:t>
            </w:r>
          </w:p>
        </w:tc>
      </w:tr>
      <w:tr w14:paraId="1FCD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1FBF81F0">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w:t>
            </w:r>
          </w:p>
        </w:tc>
        <w:tc>
          <w:tcPr>
            <w:tcW w:w="1209" w:type="dxa"/>
            <w:noWrap w:val="0"/>
            <w:vAlign w:val="center"/>
          </w:tcPr>
          <w:p w14:paraId="46B9BD40">
            <w:pPr>
              <w:pStyle w:val="12"/>
              <w:pageBreakBefore w:val="0"/>
              <w:wordWrap/>
              <w:overflowPunct/>
              <w:topLinePunct w:val="0"/>
              <w:bidi w:val="0"/>
              <w:spacing w:line="4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服务保障分</w:t>
            </w:r>
          </w:p>
        </w:tc>
        <w:tc>
          <w:tcPr>
            <w:tcW w:w="6435" w:type="dxa"/>
            <w:noWrap w:val="0"/>
            <w:vAlign w:val="center"/>
          </w:tcPr>
          <w:p w14:paraId="63EC0F85">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一档（0分）：未提供服务保障方案。</w:t>
            </w:r>
          </w:p>
          <w:p w14:paraId="3D2D40DD">
            <w:pPr>
              <w:pStyle w:val="12"/>
              <w:pageBreakBefore w:val="0"/>
              <w:wordWrap/>
              <w:overflowPunct/>
              <w:topLinePunct w:val="0"/>
              <w:bidi w:val="0"/>
              <w:spacing w:line="440" w:lineRule="exact"/>
              <w:jc w:val="left"/>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lang w:val="en-US" w:eastAsia="zh-CN"/>
              </w:rPr>
              <w:t>二档（10分</w:t>
            </w:r>
            <w:r>
              <w:rPr>
                <w:rFonts w:hint="eastAsia" w:ascii="仿宋" w:hAnsi="仿宋" w:eastAsia="仿宋" w:cs="仿宋"/>
                <w:color w:val="000000"/>
                <w:sz w:val="21"/>
                <w:szCs w:val="21"/>
                <w:highlight w:val="none"/>
                <w:lang w:val="en-US" w:eastAsia="zh-CN"/>
              </w:rPr>
              <w:t>）：提供的服务保障方案进度安排、相关保障措施能力一般；对各项关键工作安排（含安装、调试方案）、对本项目的风险预见、风险应对措施、组织机构安排及分工与职责安排等描述简单，能在采购要求时间内完成设备的安装和调试。</w:t>
            </w:r>
          </w:p>
          <w:p w14:paraId="433BBC02">
            <w:pPr>
              <w:pStyle w:val="12"/>
              <w:pageBreakBefore w:val="0"/>
              <w:wordWrap/>
              <w:overflowPunct/>
              <w:topLinePunct w:val="0"/>
              <w:bidi w:val="0"/>
              <w:spacing w:line="440" w:lineRule="exact"/>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三档（15分）：提供的服务保障方案进度安排合理、科学，且有相关保障措施；对各项关键工作安排较合理（含安装、调试方案）；对本项目的风险预见、风险应对措施较好；组织机构比较合理，分工与职责明确；具有工程项目安全管理、实施质量保证措施及质量管理程序；能提前完工及具有赶工计划，远超采购要求时间完成设备的安装和调试。拟投入本项目项目经理1人（同时具备高级网络信息安全工程师、注册信息安全专业人员证书），除项目经理外拟投入本项目实施人员不少于10人，其中至少2人获得信息系统、网络规划、信息安全、通信工程等与本项目相关专业的中级及以上的职称或职业资格或具有国家认证认可监督管理委员会颁发专业能力认证。</w:t>
            </w:r>
          </w:p>
          <w:p w14:paraId="76CB7866">
            <w:pPr>
              <w:pStyle w:val="12"/>
              <w:pageBreakBefore w:val="0"/>
              <w:wordWrap/>
              <w:overflowPunct/>
              <w:topLinePunct w:val="0"/>
              <w:bidi w:val="0"/>
              <w:spacing w:line="440" w:lineRule="exact"/>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四档（20分）：提供的服务保障方案进度安排合理、科学，且相关保障措施到位；对各项关键工作安排比较合理（含安装、调试方案）；对本项目的风险预见、风险应对措施完备，有完善的项目解决方案；组织机构合理，分工与职责比较明确，能灵活应对各种复杂情况；引入前沿的安全与质量技术，实现零事故和零缺陷；实施质量保证措施及质量管理程序严谨高效，智能化程度高，能够提前超预期完工，赶工计划极具战略眼光，设备的安装和调试速度与质量远超同行，且在整个过程中实现资源的最优配置和成本的有效控制，具有符合本项目情形的突发事件应急预案和处理措施。拟投入本项目项目经理1人</w:t>
            </w:r>
            <w:r>
              <w:rPr>
                <w:rFonts w:hint="eastAsia" w:ascii="仿宋" w:hAnsi="仿宋" w:eastAsia="仿宋" w:cs="仿宋"/>
                <w:color w:val="auto"/>
                <w:sz w:val="21"/>
                <w:szCs w:val="21"/>
                <w:highlight w:val="none"/>
                <w:lang w:val="en-US" w:eastAsia="zh-CN"/>
              </w:rPr>
              <w:t>（同时具备高级网络信息安全工程师证书、注册信息安全专业人员证书）</w:t>
            </w:r>
            <w:r>
              <w:rPr>
                <w:rFonts w:hint="eastAsia" w:ascii="仿宋" w:hAnsi="仿宋" w:eastAsia="仿宋" w:cs="仿宋"/>
                <w:color w:val="000000"/>
                <w:sz w:val="21"/>
                <w:szCs w:val="21"/>
                <w:highlight w:val="none"/>
                <w:lang w:val="en-US" w:eastAsia="zh-CN"/>
              </w:rPr>
              <w:t>，拟投入本项目的技术负责人1人（同时具备系统架构设计师证书、高级网络信息安全工程师证书），除实施项目经理及技术负责人外拟投入本项目实施人员不少于20人，其中至少2人获得信息系统、网络规划、信息安全、通信工程等与本项目相关专业的中级及以上的职称或职业资格或具有国家认证认可监督管理委员会颁发专业能力认证，至少2人获得信息系统、网络规划、信息安全、通信工程等与本项目相关专业的高级及以上的职称或职业资格或具有国家认证认可监督管理委员会颁发专业能力认证。</w:t>
            </w:r>
          </w:p>
          <w:p w14:paraId="06718E79">
            <w:pPr>
              <w:pStyle w:val="12"/>
              <w:pageBreakBefore w:val="0"/>
              <w:wordWrap/>
              <w:overflowPunct/>
              <w:topLinePunct w:val="0"/>
              <w:bidi w:val="0"/>
              <w:spacing w:line="440" w:lineRule="exact"/>
              <w:jc w:val="left"/>
              <w:rPr>
                <w:rFonts w:hint="eastAsia"/>
                <w:lang w:val="en-US" w:eastAsia="zh-CN"/>
              </w:rPr>
            </w:pPr>
            <w:r>
              <w:rPr>
                <w:rFonts w:hint="eastAsia" w:ascii="仿宋" w:hAnsi="仿宋" w:eastAsia="仿宋" w:cs="仿宋"/>
                <w:color w:val="000000"/>
                <w:sz w:val="21"/>
                <w:szCs w:val="21"/>
                <w:lang w:val="en-US" w:eastAsia="zh-CN"/>
              </w:rPr>
              <w:t>注：不提供项目服务保障方案的得0分，评委根据供应商提供的项目服务保障方案独立进行打分。</w:t>
            </w:r>
          </w:p>
        </w:tc>
        <w:tc>
          <w:tcPr>
            <w:tcW w:w="736" w:type="dxa"/>
            <w:noWrap w:val="0"/>
            <w:vAlign w:val="center"/>
          </w:tcPr>
          <w:p w14:paraId="3509509E">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20分</w:t>
            </w:r>
          </w:p>
        </w:tc>
      </w:tr>
      <w:tr w14:paraId="3D34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12F1E0C9">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2.4</w:t>
            </w:r>
          </w:p>
        </w:tc>
        <w:tc>
          <w:tcPr>
            <w:tcW w:w="1209" w:type="dxa"/>
            <w:noWrap w:val="0"/>
            <w:vAlign w:val="center"/>
          </w:tcPr>
          <w:p w14:paraId="3F96E0AB">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售后服务分</w:t>
            </w:r>
          </w:p>
        </w:tc>
        <w:tc>
          <w:tcPr>
            <w:tcW w:w="6435" w:type="dxa"/>
            <w:noWrap w:val="0"/>
            <w:vAlign w:val="center"/>
          </w:tcPr>
          <w:p w14:paraId="4E5E8CB1">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一档（0分）：未提供售后服务方案。</w:t>
            </w:r>
          </w:p>
          <w:p w14:paraId="0F6BC715">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二档（10分）：提供的售后服务方案基本合理、可行，服务经验一般。网络运维工程师驻场人员1人，协助做好业务请求响应、故障排查、网络优化、巡检等工作。提供7×24小时热线服务，并提供多个故障申告途径及绿色通道，并指定专人负责上门受理日常维护及平时协助采购方维护检测等工作。</w:t>
            </w:r>
          </w:p>
          <w:p w14:paraId="45E24239">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三档（15分）：提供的售后服务方案合理，有一定操作性，比较满足采购文件需求，方案中项目售后服务方案、解决故障时间、培训、服务能力良好。网络运维工程师驻场人员1人，协助做好业务请求响应、故障排查、网络优化、巡检等工作。提供7×24小时热线服务和运维保障值守服务，并提供多个故障申告途径及绿色通道，并指定专人负责上门受理日常维护及平时协助采购方维护检测等工作。</w:t>
            </w:r>
          </w:p>
          <w:p w14:paraId="0080FE74">
            <w:pPr>
              <w:pStyle w:val="12"/>
              <w:pageBreakBefore w:val="0"/>
              <w:wordWrap/>
              <w:overflowPunct/>
              <w:topLinePunct w:val="0"/>
              <w:bidi w:val="0"/>
              <w:spacing w:line="440" w:lineRule="exact"/>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lang w:val="en-US" w:eastAsia="zh-CN"/>
              </w:rPr>
              <w:t>拟投入本项目售后运维经理1人（</w:t>
            </w:r>
            <w:r>
              <w:rPr>
                <w:rFonts w:hint="eastAsia" w:ascii="仿宋" w:hAnsi="仿宋" w:eastAsia="仿宋" w:cs="仿宋"/>
                <w:color w:val="000000"/>
                <w:sz w:val="21"/>
                <w:szCs w:val="21"/>
                <w:highlight w:val="none"/>
                <w:lang w:val="en-US" w:eastAsia="zh-CN"/>
              </w:rPr>
              <w:t>具有通信工程高级工程师职称或高级网络信息安全工程师证书或高级通信专业技术人员职业资格（互联网技术）证书</w:t>
            </w:r>
            <w:r>
              <w:rPr>
                <w:rFonts w:hint="eastAsia" w:ascii="仿宋" w:hAnsi="仿宋" w:eastAsia="仿宋" w:cs="仿宋"/>
                <w:color w:val="000000"/>
                <w:sz w:val="21"/>
                <w:szCs w:val="21"/>
                <w:lang w:val="en-US" w:eastAsia="zh-CN"/>
              </w:rPr>
              <w:t>）；除售后运维经理外，拟投入本项目售后运维服务团队不少于10人，至少2人</w:t>
            </w:r>
            <w:r>
              <w:rPr>
                <w:rFonts w:hint="eastAsia" w:ascii="仿宋" w:hAnsi="仿宋" w:eastAsia="仿宋" w:cs="仿宋"/>
                <w:color w:val="000000"/>
                <w:sz w:val="21"/>
                <w:szCs w:val="21"/>
                <w:highlight w:val="none"/>
                <w:lang w:val="en-US" w:eastAsia="zh-CN"/>
              </w:rPr>
              <w:t>获得信息系统、网络规划、信息安全、售后服务、通信工程等与本项目相关专业的中级及以上</w:t>
            </w:r>
            <w:r>
              <w:rPr>
                <w:rFonts w:hint="eastAsia" w:ascii="仿宋" w:hAnsi="仿宋" w:eastAsia="仿宋" w:cs="仿宋"/>
                <w:color w:val="000000"/>
                <w:sz w:val="21"/>
                <w:szCs w:val="21"/>
                <w:lang w:val="en-US" w:eastAsia="zh-CN"/>
              </w:rPr>
              <w:t>的职称或职业资格或具有</w:t>
            </w:r>
            <w:r>
              <w:rPr>
                <w:rFonts w:hint="eastAsia" w:ascii="仿宋" w:hAnsi="仿宋" w:eastAsia="仿宋" w:cs="仿宋"/>
                <w:color w:val="000000"/>
                <w:sz w:val="21"/>
                <w:szCs w:val="21"/>
                <w:highlight w:val="none"/>
                <w:lang w:val="en-US" w:eastAsia="zh-CN"/>
              </w:rPr>
              <w:t>国家认证认可监督管理委员会颁发专业能力认证。</w:t>
            </w:r>
          </w:p>
          <w:p w14:paraId="3C34DC2A">
            <w:pPr>
              <w:pStyle w:val="12"/>
              <w:pageBreakBefore w:val="0"/>
              <w:wordWrap/>
              <w:overflowPunct/>
              <w:topLinePunct w:val="0"/>
              <w:bidi w:val="0"/>
              <w:spacing w:line="440" w:lineRule="exact"/>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lang w:val="en-US" w:eastAsia="zh-CN"/>
              </w:rPr>
              <w:t>四档（20分）：提供的售后服务方案操作性强，能较好满足或优于采购文件需求，提供售后服务方案细致、合理、可行，保障响应措施较有力，服务经验丰富，网络运维工程师驻场人员1人，协助做好业务请求响应、故障排查、网络优化、巡检等工作。提供7×24小时热线服务和运维保障值守服务，响应时间短，快捷、迅速，方案包含有项目售后维护、保密承诺等，且描述了项目售后维护和应急保障方案的方法以及实现方式、售后服务机构及联系人、技术人员名单等资料详细，服务承诺和保障措施考虑周全完整；供应商提供详细的应急保障方案，具备在网管系统7×24小时实时监控传输设备的技术，并快速定位故障问题。（必须提供网管系统相关记录截图，并加盖电子公章）。拟投入本项目售后运维经理1人</w:t>
            </w:r>
            <w:r>
              <w:rPr>
                <w:rFonts w:hint="eastAsia" w:ascii="仿宋" w:hAnsi="仿宋" w:eastAsia="仿宋" w:cs="仿宋"/>
                <w:color w:val="auto"/>
                <w:sz w:val="21"/>
                <w:szCs w:val="21"/>
                <w:lang w:val="en-US" w:eastAsia="zh-CN"/>
              </w:rPr>
              <w:t>（同时</w:t>
            </w:r>
            <w:r>
              <w:rPr>
                <w:rFonts w:hint="eastAsia" w:ascii="仿宋" w:hAnsi="仿宋" w:eastAsia="仿宋" w:cs="仿宋"/>
                <w:color w:val="auto"/>
                <w:sz w:val="21"/>
                <w:szCs w:val="21"/>
                <w:highlight w:val="none"/>
                <w:lang w:val="en-US" w:eastAsia="zh-CN"/>
              </w:rPr>
              <w:t>具备通信工程高级工程师职称、高级网络信息安全工程师证书</w:t>
            </w:r>
            <w:r>
              <w:rPr>
                <w:rFonts w:hint="eastAsia" w:ascii="仿宋" w:hAnsi="仿宋" w:eastAsia="仿宋" w:cs="仿宋"/>
                <w:color w:val="auto"/>
                <w:sz w:val="21"/>
                <w:szCs w:val="21"/>
                <w:lang w:val="en-US" w:eastAsia="zh-CN"/>
              </w:rPr>
              <w:t>）；</w:t>
            </w:r>
            <w:r>
              <w:rPr>
                <w:rFonts w:hint="eastAsia" w:ascii="仿宋" w:hAnsi="仿宋" w:eastAsia="仿宋" w:cs="仿宋"/>
                <w:color w:val="000000"/>
                <w:sz w:val="21"/>
                <w:szCs w:val="21"/>
                <w:lang w:val="en-US" w:eastAsia="zh-CN"/>
              </w:rPr>
              <w:t>拟投入本项目的售后运维技术负责人1人（具有高级网络规划设计师证书或高级网络信息安全工程师证书或高级通信专业技术人员职业资格（互联网技术）证书）；除</w:t>
            </w:r>
            <w:r>
              <w:rPr>
                <w:rFonts w:hint="eastAsia" w:ascii="仿宋" w:hAnsi="仿宋" w:eastAsia="仿宋" w:cs="仿宋"/>
                <w:color w:val="000000"/>
                <w:sz w:val="21"/>
                <w:szCs w:val="21"/>
                <w:highlight w:val="none"/>
                <w:lang w:val="en-US" w:eastAsia="zh-CN"/>
              </w:rPr>
              <w:t>售后运维经理和售后运维技术负责人外，拟投入本项目售后运维服务团队不少于20人，</w:t>
            </w:r>
            <w:r>
              <w:rPr>
                <w:rFonts w:hint="eastAsia" w:ascii="仿宋" w:hAnsi="仿宋" w:eastAsia="仿宋" w:cs="仿宋"/>
                <w:color w:val="000000"/>
                <w:sz w:val="21"/>
                <w:szCs w:val="21"/>
                <w:lang w:val="en-US" w:eastAsia="zh-CN"/>
              </w:rPr>
              <w:t>至少2人</w:t>
            </w:r>
            <w:r>
              <w:rPr>
                <w:rFonts w:hint="eastAsia" w:ascii="仿宋" w:hAnsi="仿宋" w:eastAsia="仿宋" w:cs="仿宋"/>
                <w:color w:val="000000"/>
                <w:sz w:val="21"/>
                <w:szCs w:val="21"/>
                <w:highlight w:val="none"/>
                <w:lang w:val="en-US" w:eastAsia="zh-CN"/>
              </w:rPr>
              <w:t>获得信息系统、网络规划、信息安全、售后服务、通信工程等与本项目相关专业的中级及以上的职称或职业资格或具有国家认证认可监督管理委员会颁发专业能力认证，</w:t>
            </w:r>
            <w:r>
              <w:rPr>
                <w:rFonts w:hint="eastAsia" w:ascii="仿宋" w:hAnsi="仿宋" w:eastAsia="仿宋" w:cs="仿宋"/>
                <w:color w:val="000000"/>
                <w:sz w:val="21"/>
                <w:szCs w:val="21"/>
                <w:lang w:val="en-US" w:eastAsia="zh-CN"/>
              </w:rPr>
              <w:t>至少2人</w:t>
            </w:r>
            <w:r>
              <w:rPr>
                <w:rFonts w:hint="eastAsia" w:ascii="仿宋" w:hAnsi="仿宋" w:eastAsia="仿宋" w:cs="仿宋"/>
                <w:color w:val="000000"/>
                <w:sz w:val="21"/>
                <w:szCs w:val="21"/>
                <w:highlight w:val="none"/>
                <w:lang w:val="en-US" w:eastAsia="zh-CN"/>
              </w:rPr>
              <w:t>获得信息系统、网络规划、信息安全、售后服务、通信工程等与本项目相关专业的高级及以上的职称</w:t>
            </w:r>
            <w:r>
              <w:rPr>
                <w:rFonts w:hint="eastAsia" w:ascii="仿宋" w:hAnsi="仿宋" w:eastAsia="仿宋" w:cs="仿宋"/>
                <w:color w:val="000000"/>
                <w:sz w:val="21"/>
                <w:szCs w:val="21"/>
                <w:lang w:val="en-US" w:eastAsia="zh-CN"/>
              </w:rPr>
              <w:t>或职业资格或具有国家认证认可监督管理委员会颁发专业能力认证。</w:t>
            </w:r>
          </w:p>
          <w:p w14:paraId="3CE4EAC5">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注：不提供项目售后服务方案的得0分，评委根据供应商提供的项目售后服务方案独立进行打分。</w:t>
            </w:r>
          </w:p>
        </w:tc>
        <w:tc>
          <w:tcPr>
            <w:tcW w:w="736" w:type="dxa"/>
            <w:noWrap w:val="0"/>
            <w:vAlign w:val="center"/>
          </w:tcPr>
          <w:p w14:paraId="51849A5C">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20分</w:t>
            </w:r>
          </w:p>
        </w:tc>
      </w:tr>
      <w:tr w14:paraId="6831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755622A5">
            <w:pPr>
              <w:pStyle w:val="12"/>
              <w:pageBreakBefore w:val="0"/>
              <w:wordWrap/>
              <w:overflowPunct/>
              <w:topLinePunct w:val="0"/>
              <w:bidi w:val="0"/>
              <w:spacing w:line="440" w:lineRule="exact"/>
              <w:jc w:val="center"/>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w:t>
            </w:r>
          </w:p>
        </w:tc>
        <w:tc>
          <w:tcPr>
            <w:tcW w:w="1209" w:type="dxa"/>
            <w:noWrap w:val="0"/>
            <w:vAlign w:val="center"/>
          </w:tcPr>
          <w:p w14:paraId="37FC313A">
            <w:pPr>
              <w:pStyle w:val="12"/>
              <w:pageBreakBefore w:val="0"/>
              <w:wordWrap/>
              <w:overflowPunct/>
              <w:topLinePunct w:val="0"/>
              <w:bidi w:val="0"/>
              <w:spacing w:line="440" w:lineRule="exact"/>
              <w:jc w:val="center"/>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商务分</w:t>
            </w:r>
          </w:p>
        </w:tc>
        <w:tc>
          <w:tcPr>
            <w:tcW w:w="6435" w:type="dxa"/>
            <w:noWrap w:val="0"/>
            <w:vAlign w:val="center"/>
          </w:tcPr>
          <w:p w14:paraId="6A924A40">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评审因素</w:t>
            </w:r>
          </w:p>
        </w:tc>
        <w:tc>
          <w:tcPr>
            <w:tcW w:w="736" w:type="dxa"/>
            <w:noWrap w:val="0"/>
            <w:vAlign w:val="center"/>
          </w:tcPr>
          <w:p w14:paraId="601AF61E">
            <w:pPr>
              <w:pStyle w:val="12"/>
              <w:pageBreakBefore w:val="0"/>
              <w:wordWrap/>
              <w:overflowPunct/>
              <w:topLinePunct w:val="0"/>
              <w:bidi w:val="0"/>
              <w:spacing w:line="440" w:lineRule="exact"/>
              <w:jc w:val="center"/>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20分</w:t>
            </w:r>
          </w:p>
        </w:tc>
      </w:tr>
      <w:tr w14:paraId="15DE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370A8599">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3.1</w:t>
            </w:r>
          </w:p>
        </w:tc>
        <w:tc>
          <w:tcPr>
            <w:tcW w:w="1209" w:type="dxa"/>
            <w:noWrap w:val="0"/>
            <w:vAlign w:val="center"/>
          </w:tcPr>
          <w:p w14:paraId="2297B69B">
            <w:pPr>
              <w:pStyle w:val="12"/>
              <w:pageBreakBefore w:val="0"/>
              <w:wordWrap/>
              <w:overflowPunct/>
              <w:topLinePunct w:val="0"/>
              <w:bidi w:val="0"/>
              <w:spacing w:line="4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业绩分</w:t>
            </w:r>
          </w:p>
        </w:tc>
        <w:tc>
          <w:tcPr>
            <w:tcW w:w="6435" w:type="dxa"/>
            <w:noWrap w:val="0"/>
            <w:vAlign w:val="center"/>
          </w:tcPr>
          <w:p w14:paraId="74359897">
            <w:pPr>
              <w:pStyle w:val="12"/>
              <w:spacing w:line="40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highlight w:val="none"/>
                <w:lang w:val="en-US" w:eastAsia="zh-CN"/>
              </w:rPr>
              <w:t>供应商自2021年1月1日以来同类服务内容业绩的相关证明材料（以中标、中标通知书或签订的采购合同扫描件为准，并能清晰反映所提供的服务类型、种类、金额），否则将不予计分；同一个编号的项目有两个或两个以上的分标中标的只算一次，每项得2分，满分为10分。</w:t>
            </w:r>
            <w:r>
              <w:rPr>
                <w:rFonts w:hint="eastAsia" w:ascii="宋体" w:hAnsi="宋体" w:eastAsia="宋体" w:cs="宋体"/>
                <w:b w:val="0"/>
                <w:bCs w:val="0"/>
                <w:color w:val="000000"/>
                <w:kern w:val="0"/>
                <w:sz w:val="21"/>
                <w:szCs w:val="21"/>
                <w:highlight w:val="none"/>
                <w:lang w:val="en-US" w:eastAsia="zh-CN" w:bidi="ar-SA"/>
              </w:rPr>
              <w:t>（</w:t>
            </w:r>
            <w:r>
              <w:rPr>
                <w:rFonts w:hint="eastAsia" w:ascii="宋体" w:hAnsi="宋体" w:eastAsia="宋体" w:cs="宋体"/>
                <w:b/>
                <w:bCs/>
                <w:color w:val="000000"/>
                <w:kern w:val="0"/>
                <w:sz w:val="21"/>
                <w:szCs w:val="21"/>
                <w:highlight w:val="none"/>
                <w:lang w:val="en-US" w:eastAsia="zh-CN" w:bidi="ar-SA"/>
              </w:rPr>
              <w:t>需提供相关证明材料扫描件并加盖单位公章（CA签章），否则不得分</w:t>
            </w:r>
            <w:r>
              <w:rPr>
                <w:rFonts w:hint="eastAsia" w:ascii="宋体" w:hAnsi="宋体" w:eastAsia="宋体" w:cs="宋体"/>
                <w:b w:val="0"/>
                <w:bCs w:val="0"/>
                <w:color w:val="000000"/>
                <w:kern w:val="0"/>
                <w:sz w:val="21"/>
                <w:szCs w:val="21"/>
                <w:highlight w:val="none"/>
                <w:lang w:val="en-US" w:eastAsia="zh-CN" w:bidi="ar-SA"/>
              </w:rPr>
              <w:t>）</w:t>
            </w:r>
          </w:p>
        </w:tc>
        <w:tc>
          <w:tcPr>
            <w:tcW w:w="736" w:type="dxa"/>
            <w:noWrap w:val="0"/>
            <w:vAlign w:val="center"/>
          </w:tcPr>
          <w:p w14:paraId="1E9E3B0D">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10分</w:t>
            </w:r>
          </w:p>
        </w:tc>
      </w:tr>
      <w:tr w14:paraId="3D47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43D03EC4">
            <w:pPr>
              <w:pStyle w:val="12"/>
              <w:pageBreakBefore w:val="0"/>
              <w:wordWrap/>
              <w:overflowPunct/>
              <w:topLinePunct w:val="0"/>
              <w:bidi w:val="0"/>
              <w:spacing w:line="4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3.2</w:t>
            </w:r>
          </w:p>
        </w:tc>
        <w:tc>
          <w:tcPr>
            <w:tcW w:w="1209" w:type="dxa"/>
            <w:noWrap w:val="0"/>
            <w:vAlign w:val="center"/>
          </w:tcPr>
          <w:p w14:paraId="6CF7F3DD">
            <w:pPr>
              <w:pStyle w:val="12"/>
              <w:pageBreakBefore w:val="0"/>
              <w:wordWrap/>
              <w:overflowPunct/>
              <w:topLinePunct w:val="0"/>
              <w:bidi w:val="0"/>
              <w:spacing w:line="4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信誉、能力分</w:t>
            </w:r>
          </w:p>
        </w:tc>
        <w:tc>
          <w:tcPr>
            <w:tcW w:w="6435" w:type="dxa"/>
            <w:noWrap w:val="0"/>
            <w:vAlign w:val="center"/>
          </w:tcPr>
          <w:p w14:paraId="1FFF998D">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bookmarkStart w:id="118" w:name="OLE_LINK19"/>
            <w:r>
              <w:rPr>
                <w:rFonts w:hint="eastAsia" w:ascii="仿宋" w:hAnsi="仿宋" w:eastAsia="仿宋" w:cs="仿宋"/>
                <w:color w:val="000000"/>
                <w:sz w:val="21"/>
                <w:szCs w:val="21"/>
                <w:lang w:val="en-US" w:eastAsia="zh-CN"/>
              </w:rPr>
              <w:t>1.供应商或供应商上级机构进行线路运营时须提供运营商国家工业和信息化部颁发的基础电信业务经营许可证，自有的得3分；租赁的提供租赁合同的，得1分。（提供许可证复印件或租赁合同复印件并加盖电子公章）。（满分3分）</w:t>
            </w:r>
          </w:p>
          <w:p w14:paraId="256AFE62">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2.供应商或供应商上级机构具备ITSS信息技术服务标准认证(数据中心服务)2级（GB/T33136-2016）及以上资质的，提供证书复印件或相关证明的得2分（提供许可证复印件并加盖电子公章）；（满分2分）</w:t>
            </w:r>
          </w:p>
          <w:bookmarkEnd w:id="118"/>
          <w:p w14:paraId="0E86A441">
            <w:pPr>
              <w:pStyle w:val="12"/>
              <w:pageBreakBefore w:val="0"/>
              <w:wordWrap/>
              <w:overflowPunct/>
              <w:topLinePunct w:val="0"/>
              <w:bidi w:val="0"/>
              <w:spacing w:line="44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3.供应商或供应商上级机构具备ITSS信息技术服务运行维护标准符合性贰级及以上资质的，提供证书复印件或相关证明的得2分（提供许可证复印件并加盖电子公章）；（满分2分）</w:t>
            </w:r>
          </w:p>
          <w:p w14:paraId="5987DB69">
            <w:pPr>
              <w:pStyle w:val="12"/>
              <w:pageBreakBefore w:val="0"/>
              <w:wordWrap/>
              <w:overflowPunct/>
              <w:topLinePunct w:val="0"/>
              <w:bidi w:val="0"/>
              <w:spacing w:line="440" w:lineRule="exact"/>
              <w:jc w:val="both"/>
              <w:rPr>
                <w:rFonts w:hint="default"/>
                <w:sz w:val="21"/>
                <w:szCs w:val="21"/>
                <w:lang w:val="en-US" w:eastAsia="zh-CN"/>
              </w:rPr>
            </w:pPr>
            <w:r>
              <w:rPr>
                <w:rFonts w:hint="eastAsia" w:ascii="仿宋" w:hAnsi="仿宋" w:eastAsia="仿宋" w:cs="仿宋"/>
                <w:color w:val="000000"/>
                <w:sz w:val="21"/>
                <w:szCs w:val="21"/>
                <w:lang w:val="en-US" w:eastAsia="zh-CN"/>
              </w:rPr>
              <w:t>4.供应商或供应商上级机构具备供应商综合实力评价认证2A级（GB/T23793-2017）资质的，提供证书复印件并加盖电子公章或相关证明的得2分，具备供应商综合实力评价认证3A级（GB/T23793-2017）资质的，提供证书复印件并加盖电子公章或相关证明的得3分；（满分3分）</w:t>
            </w:r>
          </w:p>
        </w:tc>
        <w:tc>
          <w:tcPr>
            <w:tcW w:w="736" w:type="dxa"/>
            <w:noWrap w:val="0"/>
            <w:vAlign w:val="center"/>
          </w:tcPr>
          <w:p w14:paraId="79A5CCE6">
            <w:pPr>
              <w:pStyle w:val="12"/>
              <w:pageBreakBefore w:val="0"/>
              <w:wordWrap/>
              <w:overflowPunct/>
              <w:topLinePunct w:val="0"/>
              <w:bidi w:val="0"/>
              <w:spacing w:line="4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10分</w:t>
            </w:r>
          </w:p>
        </w:tc>
      </w:tr>
    </w:tbl>
    <w:p w14:paraId="0B7A337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b/>
          <w:bCs/>
          <w:color w:val="auto"/>
          <w:szCs w:val="21"/>
        </w:rPr>
      </w:pPr>
    </w:p>
    <w:p w14:paraId="0FD8EE24">
      <w:pPr>
        <w:keepNext w:val="0"/>
        <w:keepLines w:val="0"/>
        <w:pageBreakBefore w:val="0"/>
        <w:widowControl w:val="0"/>
        <w:kinsoku/>
        <w:wordWrap/>
        <w:overflowPunct/>
        <w:topLinePunct w:val="0"/>
        <w:autoSpaceDE/>
        <w:autoSpaceDN/>
        <w:bidi w:val="0"/>
        <w:adjustRightInd/>
        <w:snapToGrid w:val="0"/>
        <w:spacing w:line="360" w:lineRule="exact"/>
        <w:ind w:firstLine="426" w:firstLineChars="202"/>
        <w:jc w:val="left"/>
        <w:textAlignment w:val="auto"/>
        <w:rPr>
          <w:rFonts w:hint="eastAsia" w:ascii="宋体" w:hAnsi="宋体" w:cs="宋体"/>
          <w:color w:val="auto"/>
          <w:szCs w:val="21"/>
        </w:rPr>
      </w:pPr>
      <w:r>
        <w:rPr>
          <w:rFonts w:hint="eastAsia" w:ascii="宋体" w:hAnsi="宋体" w:cs="宋体"/>
          <w:b/>
          <w:bCs/>
          <w:color w:val="auto"/>
          <w:szCs w:val="21"/>
        </w:rPr>
        <w:t>三、中标候选人推荐原则</w:t>
      </w:r>
    </w:p>
    <w:p w14:paraId="37CFFFA5">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评标委员会将根据得分由高到低排列次序（得分相同时，以投标报价由低到高顺序排列；得分相同且投标报价相同的，按服务方案优劣顺序排列）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14:paraId="7616A8AA">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14:paraId="7BA3D07A">
      <w:pPr>
        <w:pStyle w:val="21"/>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asciiTheme="minorHAnsi" w:hAnsiTheme="minorHAnsi" w:eastAsiaTheme="minorEastAsia" w:cstheme="minorBidi"/>
          <w:kern w:val="2"/>
          <w:sz w:val="21"/>
          <w:szCs w:val="24"/>
          <w:lang w:val="en-US" w:eastAsia="zh-CN" w:bidi="ar-SA"/>
        </w:rPr>
      </w:pPr>
      <w:r>
        <w:rPr>
          <w:rFonts w:hint="eastAsia" w:ascii="宋体" w:hAnsi="宋体" w:cs="宋体"/>
          <w:color w:val="auto"/>
          <w:szCs w:val="21"/>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0240B4E">
      <w:pPr>
        <w:pStyle w:val="3"/>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4"/>
          <w:szCs w:val="44"/>
          <w:highlight w:val="none"/>
          <w:lang w:val="en-US" w:eastAsia="zh-CN"/>
        </w:rPr>
      </w:pPr>
      <w:bookmarkStart w:id="119" w:name="_Toc23791"/>
      <w:bookmarkStart w:id="120" w:name="_Toc971"/>
      <w:bookmarkStart w:id="121" w:name="_Toc4121"/>
      <w:r>
        <w:rPr>
          <w:rFonts w:hint="eastAsia" w:ascii="宋体" w:hAnsi="宋体" w:eastAsia="宋体" w:cs="宋体"/>
          <w:b/>
          <w:bCs/>
          <w:color w:val="auto"/>
          <w:kern w:val="44"/>
          <w:sz w:val="44"/>
          <w:szCs w:val="44"/>
          <w:lang w:val="en-US" w:eastAsia="zh-CN" w:bidi="ar-SA"/>
        </w:rPr>
        <w:t xml:space="preserve">第五章 </w:t>
      </w:r>
      <w:r>
        <w:rPr>
          <w:rFonts w:hint="eastAsia" w:ascii="宋体" w:hAnsi="宋体" w:eastAsia="宋体" w:cs="宋体"/>
          <w:color w:val="auto"/>
          <w:sz w:val="44"/>
          <w:szCs w:val="44"/>
          <w:highlight w:val="none"/>
          <w:lang w:val="en-US" w:eastAsia="zh-CN"/>
        </w:rPr>
        <w:t>拟签订的合同文本</w:t>
      </w:r>
      <w:bookmarkEnd w:id="119"/>
      <w:bookmarkEnd w:id="120"/>
      <w:bookmarkEnd w:id="121"/>
    </w:p>
    <w:p w14:paraId="67B4D563">
      <w:pPr>
        <w:pStyle w:val="3"/>
        <w:pageBreakBefore w:val="0"/>
        <w:kinsoku/>
        <w:overflowPunct/>
        <w:topLinePunct w:val="0"/>
        <w:bidi w:val="0"/>
        <w:spacing w:line="240" w:lineRule="auto"/>
        <w:jc w:val="center"/>
        <w:rPr>
          <w:rFonts w:hint="eastAsia" w:ascii="宋体" w:hAnsi="宋体" w:eastAsia="宋体" w:cs="宋体"/>
          <w:b/>
          <w:color w:val="000000"/>
          <w:sz w:val="32"/>
          <w:szCs w:val="32"/>
          <w:highlight w:val="none"/>
        </w:rPr>
      </w:pPr>
      <w:r>
        <w:rPr>
          <w:rFonts w:hint="eastAsia" w:ascii="宋体" w:hAnsi="宋体" w:eastAsia="宋体" w:cs="宋体"/>
          <w:color w:val="auto"/>
          <w:sz w:val="21"/>
          <w:szCs w:val="21"/>
          <w:highlight w:val="none"/>
        </w:rPr>
        <w:t xml:space="preserve"> </w:t>
      </w:r>
      <w:bookmarkStart w:id="122" w:name="_Toc19470"/>
      <w:bookmarkStart w:id="123" w:name="_Toc6256"/>
      <w:bookmarkStart w:id="124" w:name="_Toc11774"/>
      <w:bookmarkStart w:id="125" w:name="_Toc1521"/>
      <w:bookmarkStart w:id="126" w:name="_Toc12316"/>
      <w:bookmarkStart w:id="127" w:name="_Toc3136"/>
      <w:bookmarkStart w:id="128" w:name="_Toc2695"/>
      <w:bookmarkStart w:id="129" w:name="_Toc18478"/>
      <w:r>
        <w:rPr>
          <w:rFonts w:hint="eastAsia" w:ascii="宋体" w:hAnsi="宋体" w:eastAsia="宋体" w:cs="宋体"/>
          <w:color w:val="auto"/>
          <w:sz w:val="24"/>
          <w:szCs w:val="24"/>
          <w:highlight w:val="none"/>
        </w:rPr>
        <w:t>拟签订的合同文本</w:t>
      </w:r>
      <w:bookmarkEnd w:id="122"/>
      <w:bookmarkEnd w:id="123"/>
      <w:bookmarkEnd w:id="124"/>
      <w:bookmarkEnd w:id="125"/>
      <w:bookmarkEnd w:id="126"/>
      <w:bookmarkEnd w:id="127"/>
      <w:bookmarkEnd w:id="128"/>
      <w:bookmarkEnd w:id="129"/>
    </w:p>
    <w:p w14:paraId="1DEBAFCE">
      <w:pPr>
        <w:keepNext w:val="0"/>
        <w:keepLines w:val="0"/>
        <w:pageBreakBefore w:val="0"/>
        <w:widowControl w:val="0"/>
        <w:kinsoku/>
        <w:wordWrap/>
        <w:overflowPunct/>
        <w:topLinePunct w:val="0"/>
        <w:autoSpaceDE/>
        <w:autoSpaceDN/>
        <w:bidi w:val="0"/>
        <w:adjustRightInd/>
        <w:spacing w:line="360" w:lineRule="exact"/>
        <w:ind w:right="800" w:firstLine="420" w:firstLineChars="200"/>
        <w:jc w:val="left"/>
        <w:textAlignment w:val="auto"/>
        <w:rPr>
          <w:rFonts w:hint="eastAsia" w:ascii="宋体" w:hAnsi="宋体" w:eastAsia="宋体" w:cs="宋体"/>
          <w:color w:val="000000"/>
          <w:szCs w:val="21"/>
          <w:highlight w:val="none"/>
          <w:u w:val="single"/>
        </w:rPr>
      </w:pPr>
      <w:r>
        <w:rPr>
          <w:rFonts w:hint="eastAsia" w:ascii="宋体" w:hAnsi="宋体" w:eastAsia="宋体" w:cs="宋体"/>
          <w:bCs/>
          <w:color w:val="000000"/>
          <w:szCs w:val="21"/>
          <w:highlight w:val="none"/>
        </w:rPr>
        <w:t>合同编号：</w:t>
      </w:r>
    </w:p>
    <w:p w14:paraId="28508FFE">
      <w:pPr>
        <w:keepNext w:val="0"/>
        <w:keepLines w:val="0"/>
        <w:pageBreakBefore w:val="0"/>
        <w:widowControl w:val="0"/>
        <w:kinsoku/>
        <w:wordWrap/>
        <w:overflowPunct/>
        <w:topLinePunct w:val="0"/>
        <w:autoSpaceDE/>
        <w:autoSpaceDN/>
        <w:bidi w:val="0"/>
        <w:adjustRightInd/>
        <w:spacing w:line="360" w:lineRule="exact"/>
        <w:ind w:right="80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采购计划号：</w:t>
      </w:r>
    </w:p>
    <w:p w14:paraId="4B0344AA">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采购人（甲方）：</w:t>
      </w:r>
    </w:p>
    <w:p w14:paraId="3C6401FD">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u w:val="single"/>
        </w:rPr>
      </w:pPr>
      <w:r>
        <w:rPr>
          <w:rFonts w:hint="eastAsia" w:ascii="宋体" w:hAnsi="宋体" w:cs="宋体"/>
          <w:color w:val="000000"/>
          <w:szCs w:val="21"/>
          <w:highlight w:val="none"/>
          <w:lang w:val="en-US" w:eastAsia="zh-CN"/>
        </w:rPr>
        <w:t>中标</w:t>
      </w:r>
      <w:r>
        <w:rPr>
          <w:rFonts w:hint="eastAsia" w:ascii="宋体" w:hAnsi="宋体" w:cs="宋体"/>
          <w:color w:val="000000"/>
          <w:szCs w:val="21"/>
          <w:highlight w:val="none"/>
          <w:lang w:eastAsia="zh-CN"/>
        </w:rPr>
        <w:t>供应商</w:t>
      </w:r>
      <w:r>
        <w:rPr>
          <w:rFonts w:hint="eastAsia" w:ascii="宋体" w:hAnsi="宋体" w:eastAsia="宋体" w:cs="宋体"/>
          <w:color w:val="000000"/>
          <w:szCs w:val="21"/>
          <w:highlight w:val="none"/>
        </w:rPr>
        <w:t>（乙方）：</w:t>
      </w:r>
    </w:p>
    <w:p w14:paraId="654BC759">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p w14:paraId="5DDCD685">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项目编号：</w:t>
      </w:r>
    </w:p>
    <w:p w14:paraId="68B7CF51">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u w:val="single"/>
        </w:rPr>
      </w:pPr>
      <w:r>
        <w:rPr>
          <w:rFonts w:hint="eastAsia" w:ascii="宋体" w:hAnsi="宋体" w:eastAsia="宋体" w:cs="宋体"/>
          <w:color w:val="000000"/>
          <w:szCs w:val="21"/>
          <w:highlight w:val="none"/>
        </w:rPr>
        <w:t>签订地点：</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none"/>
          <w:lang w:val="en-US" w:eastAsia="zh-CN"/>
        </w:rPr>
        <w:t xml:space="preserve"> </w:t>
      </w:r>
      <w:r>
        <w:rPr>
          <w:rFonts w:hint="eastAsia" w:ascii="宋体" w:hAnsi="宋体" w:cs="宋体"/>
          <w:color w:val="000000"/>
          <w:szCs w:val="21"/>
          <w:highlight w:val="none"/>
          <w:u w:val="none"/>
          <w:lang w:val="en-US" w:eastAsia="zh-CN"/>
        </w:rPr>
        <w:t xml:space="preserve">                   </w:t>
      </w:r>
      <w:r>
        <w:rPr>
          <w:rFonts w:hint="eastAsia" w:ascii="宋体" w:hAnsi="宋体" w:eastAsia="宋体" w:cs="宋体"/>
          <w:color w:val="000000"/>
          <w:szCs w:val="21"/>
          <w:highlight w:val="none"/>
        </w:rPr>
        <w:t>签订时间：</w:t>
      </w:r>
    </w:p>
    <w:p w14:paraId="6AC6D811">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p>
    <w:p w14:paraId="54B89505">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根据《中华人民共和国政府采购法</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中华人民共和国</w:t>
      </w:r>
      <w:r>
        <w:rPr>
          <w:rFonts w:hint="eastAsia" w:ascii="宋体" w:hAnsi="宋体" w:cs="宋体"/>
          <w:color w:val="000000"/>
          <w:szCs w:val="21"/>
          <w:highlight w:val="none"/>
          <w:lang w:eastAsia="zh-CN"/>
        </w:rPr>
        <w:t>民法典</w:t>
      </w:r>
      <w:r>
        <w:rPr>
          <w:rFonts w:hint="eastAsia" w:ascii="宋体" w:hAnsi="宋体" w:cs="宋体"/>
          <w:color w:val="000000"/>
          <w:szCs w:val="21"/>
          <w:highlight w:val="none"/>
        </w:rPr>
        <w:t>》等法律、法规规定，按照</w:t>
      </w:r>
      <w:r>
        <w:rPr>
          <w:rFonts w:hint="eastAsia" w:ascii="宋体" w:hAnsi="宋体" w:cs="宋体"/>
          <w:color w:val="000000"/>
          <w:szCs w:val="21"/>
          <w:highlight w:val="none"/>
          <w:lang w:val="en-US" w:eastAsia="zh-CN"/>
        </w:rPr>
        <w:t>竞争性</w:t>
      </w:r>
      <w:r>
        <w:rPr>
          <w:rFonts w:hint="eastAsia" w:ascii="宋体" w:hAnsi="宋体"/>
          <w:color w:val="000000"/>
          <w:szCs w:val="21"/>
          <w:highlight w:val="none"/>
        </w:rPr>
        <w:t>磋商文件规定条款和乙方响应文件及其承诺，甲乙双方签订本合同。</w:t>
      </w:r>
    </w:p>
    <w:p w14:paraId="0BD4C365">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第一条　合同标的</w:t>
      </w:r>
    </w:p>
    <w:p w14:paraId="585FA12D">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eastAsia="宋体" w:cs="宋体"/>
          <w:color w:val="000000"/>
          <w:szCs w:val="21"/>
          <w:highlight w:val="none"/>
          <w:lang w:val="en-US" w:eastAsia="zh-CN"/>
        </w:rPr>
        <w:t>1.合同总金额：</w:t>
      </w:r>
      <w:r>
        <w:rPr>
          <w:rFonts w:hint="eastAsia" w:ascii="宋体" w:hAnsi="宋体" w:eastAsia="宋体" w:cs="宋体"/>
          <w:color w:val="000000"/>
          <w:szCs w:val="21"/>
          <w:highlight w:val="none"/>
          <w:u w:val="single"/>
          <w:lang w:val="en-US" w:eastAsia="zh-CN"/>
        </w:rPr>
        <w:t xml:space="preserve">                          。</w:t>
      </w:r>
    </w:p>
    <w:p w14:paraId="47DBD55B">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color w:val="000000"/>
          <w:lang w:eastAsia="zh-CN"/>
        </w:rPr>
      </w:pP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lang w:eastAsia="zh-CN"/>
        </w:rPr>
        <w:t>服务内容</w:t>
      </w:r>
      <w:r>
        <w:rPr>
          <w:rFonts w:hint="eastAsia" w:ascii="宋体" w:hAnsi="宋体" w:eastAsia="宋体" w:cs="宋体"/>
          <w:color w:val="000000"/>
          <w:szCs w:val="21"/>
          <w:highlight w:val="none"/>
        </w:rPr>
        <w:t>一览表</w:t>
      </w:r>
      <w:r>
        <w:rPr>
          <w:rFonts w:hint="eastAsia" w:ascii="宋体" w:hAnsi="宋体" w:eastAsia="宋体" w:cs="宋体"/>
          <w:color w:val="000000"/>
          <w:szCs w:val="21"/>
          <w:highlight w:val="none"/>
          <w:lang w:eastAsia="zh-CN"/>
        </w:rPr>
        <w:t>（详见附件中的响应报价表）</w:t>
      </w:r>
    </w:p>
    <w:p w14:paraId="57E1F125">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cs="宋体"/>
          <w:color w:val="000000"/>
          <w:szCs w:val="21"/>
          <w:highlight w:val="none"/>
          <w:lang w:val="en-US" w:eastAsia="zh-CN"/>
        </w:rPr>
        <w:t>3.</w:t>
      </w:r>
      <w:r>
        <w:rPr>
          <w:rFonts w:hint="eastAsia" w:ascii="宋体" w:hAnsi="宋体" w:eastAsia="宋体" w:cs="宋体"/>
          <w:b w:val="0"/>
          <w:bCs w:val="0"/>
          <w:color w:val="000000"/>
          <w:kern w:val="2"/>
          <w:sz w:val="21"/>
          <w:szCs w:val="21"/>
          <w:highlight w:val="none"/>
          <w:lang w:val="en-US" w:eastAsia="zh-CN" w:bidi="ar-SA"/>
        </w:rPr>
        <w:t>合同总金额包含满足本次竞标全部采购需求所应提供的服务，报价应包含了本项目“项目采购需求”规定的各项服务内容的价格，是履行合同的最终价格，即满足全部采购需求所应提供的服务的价格；包括竞标服务的成本、运输（含保险）（如有）、技术服务、培训、税费等完成本项目服务内容所需要的其他一切费用。对于本文件中未列明，而供应商认为必需的费用也需列入总报价。在合同实施时，采购人将不予支付中标供应商没有列入的项目费用，并认为此项目的费用已包括在合同总金额中。如竞争性磋商文件对其另有规定的，从其规定。</w:t>
      </w:r>
    </w:p>
    <w:p w14:paraId="5B3DCAFF">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第二条　质量保证</w:t>
      </w:r>
    </w:p>
    <w:p w14:paraId="774C74A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乙方所提供的服务及服务内容必须与响应文件承诺相一致，有国家强制性标准的，还必须符合国家强制性标准的规定，没有国家强制性标准但有</w:t>
      </w:r>
      <w:r>
        <w:rPr>
          <w:rFonts w:hint="eastAsia" w:ascii="宋体" w:hAnsi="宋体" w:cs="宋体"/>
          <w:color w:val="000000"/>
          <w:szCs w:val="21"/>
          <w:highlight w:val="none"/>
          <w:lang w:eastAsia="zh-CN"/>
        </w:rPr>
        <w:t>其他</w:t>
      </w:r>
      <w:r>
        <w:rPr>
          <w:rFonts w:hint="eastAsia" w:ascii="宋体" w:hAnsi="宋体" w:cs="宋体"/>
          <w:color w:val="000000"/>
          <w:szCs w:val="21"/>
          <w:highlight w:val="none"/>
        </w:rPr>
        <w:t>强制性标准的，必须符合</w:t>
      </w:r>
      <w:r>
        <w:rPr>
          <w:rFonts w:hint="eastAsia" w:ascii="宋体" w:hAnsi="宋体" w:cs="宋体"/>
          <w:color w:val="000000"/>
          <w:szCs w:val="21"/>
          <w:highlight w:val="none"/>
          <w:lang w:eastAsia="zh-CN"/>
        </w:rPr>
        <w:t>其他</w:t>
      </w:r>
      <w:r>
        <w:rPr>
          <w:rFonts w:hint="eastAsia" w:ascii="宋体" w:hAnsi="宋体" w:cs="宋体"/>
          <w:color w:val="000000"/>
          <w:szCs w:val="21"/>
          <w:highlight w:val="none"/>
        </w:rPr>
        <w:t>强制性标准的规定。</w:t>
      </w:r>
    </w:p>
    <w:p w14:paraId="50EE28CD">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color w:val="000000"/>
          <w:szCs w:val="21"/>
          <w:highlight w:val="none"/>
        </w:rPr>
      </w:pPr>
      <w:r>
        <w:rPr>
          <w:rFonts w:hint="eastAsia" w:ascii="宋体" w:hAnsi="宋体" w:cs="宋体"/>
          <w:b/>
          <w:color w:val="000000"/>
          <w:szCs w:val="21"/>
          <w:highlight w:val="none"/>
        </w:rPr>
        <w:t>第三条　权利保证</w:t>
      </w:r>
    </w:p>
    <w:p w14:paraId="62C6676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乙方应保证所提供服务在使用时不会侵犯任何第三方的专利权、商标权、工业设计权等知识产权及</w:t>
      </w:r>
      <w:r>
        <w:rPr>
          <w:rFonts w:hint="eastAsia" w:ascii="宋体" w:hAnsi="宋体" w:cs="宋体"/>
          <w:color w:val="000000"/>
          <w:szCs w:val="21"/>
          <w:highlight w:val="none"/>
          <w:lang w:eastAsia="zh-CN"/>
        </w:rPr>
        <w:t>其他</w:t>
      </w:r>
      <w:r>
        <w:rPr>
          <w:rFonts w:hint="eastAsia" w:ascii="宋体" w:hAnsi="宋体" w:cs="宋体"/>
          <w:color w:val="000000"/>
          <w:szCs w:val="21"/>
          <w:highlight w:val="none"/>
        </w:rPr>
        <w:t>合法权利，且所有权、处分权等没有受到任何限制。</w:t>
      </w:r>
    </w:p>
    <w:p w14:paraId="4AA53AD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没有甲方事先书面同意，乙方不得将由甲方提供的有关合同或者任何合同条文、规格、计划、图纸、样品或者资料提供</w:t>
      </w:r>
      <w:r>
        <w:rPr>
          <w:rFonts w:hint="eastAsia" w:ascii="宋体" w:hAnsi="宋体" w:cs="宋体"/>
          <w:color w:val="000000"/>
          <w:szCs w:val="21"/>
          <w:highlight w:val="none"/>
          <w:lang w:val="en-US" w:eastAsia="zh-CN"/>
        </w:rPr>
        <w:t>给予</w:t>
      </w:r>
      <w:r>
        <w:rPr>
          <w:rFonts w:hint="eastAsia" w:ascii="宋体" w:hAnsi="宋体" w:cs="宋体"/>
          <w:color w:val="000000"/>
          <w:szCs w:val="21"/>
          <w:highlight w:val="none"/>
        </w:rPr>
        <w:t>履行本合同无关的任何</w:t>
      </w:r>
      <w:r>
        <w:rPr>
          <w:rFonts w:hint="eastAsia" w:ascii="宋体" w:hAnsi="宋体" w:cs="宋体"/>
          <w:color w:val="000000"/>
          <w:szCs w:val="21"/>
          <w:highlight w:val="none"/>
          <w:lang w:eastAsia="zh-CN"/>
        </w:rPr>
        <w:t>其他</w:t>
      </w:r>
      <w:r>
        <w:rPr>
          <w:rFonts w:hint="eastAsia" w:ascii="宋体" w:hAnsi="宋体" w:cs="宋体"/>
          <w:color w:val="000000"/>
          <w:szCs w:val="21"/>
          <w:highlight w:val="none"/>
        </w:rPr>
        <w:t>人。即使向履行本合同有关的人员提供，也应注意保密并限于履行合同的必需范围。乙方的保密义务持续有效，不因为本合同履行终止、解除或者无效而解除。</w:t>
      </w:r>
    </w:p>
    <w:p w14:paraId="044E9928">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color w:val="000000"/>
          <w:szCs w:val="21"/>
          <w:highlight w:val="none"/>
        </w:rPr>
      </w:pPr>
      <w:r>
        <w:rPr>
          <w:rFonts w:hint="eastAsia" w:ascii="宋体" w:hAnsi="宋体" w:cs="宋体"/>
          <w:b/>
          <w:color w:val="000000"/>
          <w:szCs w:val="21"/>
          <w:highlight w:val="none"/>
        </w:rPr>
        <w:t>第四条　交付和验收</w:t>
      </w:r>
    </w:p>
    <w:p w14:paraId="60ED5564">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服务期限：</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          </w:t>
      </w:r>
      <w:r>
        <w:rPr>
          <w:rFonts w:hint="eastAsia" w:ascii="宋体" w:hAnsi="宋体" w:cs="宋体"/>
          <w:color w:val="000000"/>
          <w:szCs w:val="21"/>
          <w:highlight w:val="none"/>
          <w:u w:val="single"/>
        </w:rPr>
        <w:t>起至</w:t>
      </w:r>
      <w:r>
        <w:rPr>
          <w:rFonts w:ascii="宋体" w:hAnsi="宋体" w:cs="宋体"/>
          <w:color w:val="000000"/>
          <w:szCs w:val="21"/>
          <w:highlight w:val="none"/>
          <w:u w:val="single"/>
        </w:rPr>
        <w:t xml:space="preserve">              </w:t>
      </w:r>
      <w:r>
        <w:rPr>
          <w:rFonts w:hint="eastAsia" w:ascii="宋体" w:hAnsi="宋体" w:cs="宋体"/>
          <w:color w:val="000000"/>
          <w:szCs w:val="21"/>
          <w:highlight w:val="none"/>
        </w:rPr>
        <w:t>，服务地点：</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            </w:t>
      </w:r>
      <w:r>
        <w:rPr>
          <w:rFonts w:hint="eastAsia" w:ascii="宋体" w:hAnsi="宋体" w:cs="宋体"/>
          <w:color w:val="000000"/>
          <w:szCs w:val="21"/>
          <w:highlight w:val="none"/>
        </w:rPr>
        <w:t>。</w:t>
      </w:r>
    </w:p>
    <w:p w14:paraId="37DD7174">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乙方应按响应文件的承诺向甲方提供相应的服务，并提供所服务内容的相关技术资料。</w:t>
      </w:r>
    </w:p>
    <w:p w14:paraId="2BDA9DA0">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乙方提供不符合响应文件和本合同规定的服务成果，甲方有权拒绝接受。</w:t>
      </w:r>
    </w:p>
    <w:p w14:paraId="202E488F">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olor w:val="000000"/>
          <w:szCs w:val="21"/>
          <w:highlight w:val="none"/>
        </w:rPr>
      </w:pPr>
      <w:r>
        <w:rPr>
          <w:rFonts w:hint="eastAsia" w:ascii="宋体" w:hAnsi="宋体"/>
          <w:color w:val="000000"/>
          <w:szCs w:val="21"/>
          <w:highlight w:val="none"/>
        </w:rPr>
        <w:t>4</w:t>
      </w:r>
      <w:r>
        <w:rPr>
          <w:rFonts w:hint="eastAsia" w:ascii="宋体" w:hAnsi="宋体"/>
          <w:color w:val="000000"/>
          <w:szCs w:val="21"/>
          <w:highlight w:val="none"/>
          <w:lang w:val="en-US" w:eastAsia="zh-CN"/>
        </w:rPr>
        <w:t>.</w:t>
      </w:r>
      <w:r>
        <w:rPr>
          <w:rFonts w:hint="eastAsia" w:ascii="宋体" w:hAnsi="宋体"/>
          <w:color w:val="000000"/>
          <w:szCs w:val="21"/>
          <w:highlight w:val="none"/>
        </w:rPr>
        <w:t>乙方完成服务后应及时书面通知甲方进行验收，甲方应在收到通知后</w:t>
      </w:r>
      <w:r>
        <w:rPr>
          <w:rFonts w:hint="eastAsia" w:ascii="宋体" w:hAnsi="宋体"/>
          <w:color w:val="000000"/>
          <w:szCs w:val="21"/>
          <w:highlight w:val="none"/>
          <w:lang w:eastAsia="zh-CN"/>
        </w:rPr>
        <w:t>五</w:t>
      </w:r>
      <w:r>
        <w:rPr>
          <w:rFonts w:hint="eastAsia" w:ascii="宋体" w:hAnsi="宋体"/>
          <w:color w:val="000000"/>
          <w:szCs w:val="21"/>
          <w:highlight w:val="none"/>
        </w:rPr>
        <w:t>个工作日内进行验收，逾期不开始验收的，乙方可视同验收合格。验收合格后由甲乙双方签署验收单并加盖</w:t>
      </w:r>
      <w:r>
        <w:rPr>
          <w:rFonts w:hint="eastAsia" w:ascii="宋体" w:hAnsi="宋体"/>
          <w:color w:val="000000"/>
          <w:szCs w:val="21"/>
          <w:highlight w:val="none"/>
          <w:lang w:eastAsia="zh-CN"/>
        </w:rPr>
        <w:t>甲方</w:t>
      </w:r>
      <w:r>
        <w:rPr>
          <w:rFonts w:hint="eastAsia" w:ascii="宋体" w:hAnsi="宋体"/>
          <w:color w:val="000000"/>
          <w:szCs w:val="21"/>
          <w:highlight w:val="none"/>
        </w:rPr>
        <w:t>公章，甲乙双方各执一份。</w:t>
      </w:r>
    </w:p>
    <w:p w14:paraId="6A994147">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甲乙双方应按照《</w:t>
      </w:r>
      <w:r>
        <w:rPr>
          <w:rFonts w:ascii="宋体" w:hAnsi="宋体" w:cs="宋体"/>
          <w:color w:val="000000"/>
          <w:szCs w:val="21"/>
          <w:highlight w:val="none"/>
        </w:rPr>
        <w:t>广西壮族自治区政府采购项目履约验收管理办法</w:t>
      </w:r>
      <w:r>
        <w:rPr>
          <w:rFonts w:hint="eastAsia" w:ascii="宋体" w:hAnsi="宋体" w:cs="宋体"/>
          <w:color w:val="000000"/>
          <w:szCs w:val="21"/>
          <w:highlight w:val="none"/>
        </w:rPr>
        <w:t>》、双方合同、响应文件验收。</w:t>
      </w:r>
    </w:p>
    <w:p w14:paraId="27F0113B">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6</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甲方在初步验收或者最终验收过程中如发现乙方提供的服务成果不满足响应文件及本合同规定的，可暂缓向乙方付款，直到乙方及时完善并提交相应的服务成果且经甲方验收合格后，方可办理付款。</w:t>
      </w:r>
    </w:p>
    <w:p w14:paraId="1ED5B2EF">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7</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甲方验收时以书面形式提出异议的，乙方应自收到甲方书面异议后五个工作日内及时予以解决，否则甲方有权不出具服务验收合格单。</w:t>
      </w:r>
    </w:p>
    <w:p w14:paraId="4F28BB3B">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第五条  售后服务及培训</w:t>
      </w:r>
    </w:p>
    <w:p w14:paraId="7FF636A4">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乙方应按照国家有关法律法规和本合同所附的《售后服务承诺》要求为甲方提供相应的售后服务。</w:t>
      </w:r>
    </w:p>
    <w:p w14:paraId="47B40759">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甲方应提供必要测试条件（如场地、电源、水源等）。</w:t>
      </w:r>
    </w:p>
    <w:p w14:paraId="12046BE5">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乙方负责甲方有关人员的培训。培训时间、地点：</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                   </w:t>
      </w:r>
      <w:r>
        <w:rPr>
          <w:rFonts w:hint="eastAsia" w:ascii="宋体" w:hAnsi="宋体" w:cs="宋体"/>
          <w:color w:val="000000"/>
          <w:szCs w:val="21"/>
          <w:highlight w:val="none"/>
        </w:rPr>
        <w:t>。</w:t>
      </w:r>
    </w:p>
    <w:p w14:paraId="497F0A91">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cs="宋体"/>
          <w:b/>
          <w:color w:val="000000"/>
          <w:szCs w:val="21"/>
          <w:highlight w:val="none"/>
        </w:rPr>
        <w:t>第六条　付款方式</w:t>
      </w:r>
      <w:r>
        <w:rPr>
          <w:rFonts w:hint="eastAsia"/>
          <w:color w:val="000000"/>
          <w:lang w:eastAsia="zh-CN"/>
        </w:rPr>
        <w:t>：</w:t>
      </w:r>
      <w:r>
        <w:rPr>
          <w:rFonts w:hint="eastAsia" w:ascii="宋体" w:hAnsi="宋体" w:eastAsia="宋体" w:cs="宋体"/>
          <w:b w:val="0"/>
          <w:bCs w:val="0"/>
          <w:color w:val="000000"/>
          <w:sz w:val="21"/>
          <w:szCs w:val="21"/>
          <w:highlight w:val="none"/>
        </w:rPr>
        <w:t>双方签订合同，</w:t>
      </w:r>
      <w:r>
        <w:rPr>
          <w:rFonts w:hint="eastAsia" w:ascii="宋体" w:hAnsi="宋体" w:eastAsia="宋体" w:cs="宋体"/>
          <w:b w:val="0"/>
          <w:bCs w:val="0"/>
          <w:color w:val="000000"/>
          <w:sz w:val="21"/>
          <w:szCs w:val="21"/>
          <w:highlight w:val="none"/>
          <w:lang w:val="en-US" w:eastAsia="zh-CN"/>
        </w:rPr>
        <w:t>乙方</w:t>
      </w:r>
      <w:r>
        <w:rPr>
          <w:rFonts w:hint="eastAsia" w:ascii="宋体" w:hAnsi="宋体" w:eastAsia="宋体" w:cs="宋体"/>
          <w:b w:val="0"/>
          <w:bCs w:val="0"/>
          <w:color w:val="000000"/>
          <w:sz w:val="21"/>
          <w:szCs w:val="21"/>
          <w:highlight w:val="none"/>
        </w:rPr>
        <w:t>开具面额为合同价款的30%发票给</w:t>
      </w:r>
      <w:r>
        <w:rPr>
          <w:rFonts w:hint="eastAsia" w:ascii="宋体" w:hAnsi="宋体" w:eastAsia="宋体" w:cs="宋体"/>
          <w:b w:val="0"/>
          <w:bCs w:val="0"/>
          <w:color w:val="000000"/>
          <w:sz w:val="21"/>
          <w:szCs w:val="21"/>
          <w:highlight w:val="none"/>
          <w:lang w:val="en-US" w:eastAsia="zh-CN"/>
        </w:rPr>
        <w:t>甲方</w:t>
      </w: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lang w:val="en-US" w:eastAsia="zh-CN"/>
        </w:rPr>
        <w:t>甲方</w:t>
      </w:r>
      <w:r>
        <w:rPr>
          <w:rFonts w:hint="eastAsia" w:ascii="宋体" w:hAnsi="宋体" w:eastAsia="宋体" w:cs="宋体"/>
          <w:b w:val="0"/>
          <w:bCs w:val="0"/>
          <w:color w:val="000000"/>
          <w:sz w:val="21"/>
          <w:szCs w:val="21"/>
          <w:highlight w:val="none"/>
        </w:rPr>
        <w:t>在收到预付款发票后10个工作日内向</w:t>
      </w:r>
      <w:r>
        <w:rPr>
          <w:rFonts w:hint="eastAsia" w:ascii="宋体" w:hAnsi="宋体" w:eastAsia="宋体" w:cs="宋体"/>
          <w:b w:val="0"/>
          <w:bCs w:val="0"/>
          <w:color w:val="000000"/>
          <w:sz w:val="21"/>
          <w:szCs w:val="21"/>
          <w:highlight w:val="none"/>
          <w:lang w:val="en-US" w:eastAsia="zh-CN"/>
        </w:rPr>
        <w:t>乙方</w:t>
      </w:r>
      <w:r>
        <w:rPr>
          <w:rFonts w:hint="eastAsia" w:ascii="宋体" w:hAnsi="宋体" w:eastAsia="宋体" w:cs="宋体"/>
          <w:b w:val="0"/>
          <w:bCs w:val="0"/>
          <w:color w:val="000000"/>
          <w:sz w:val="21"/>
          <w:szCs w:val="21"/>
          <w:highlight w:val="none"/>
        </w:rPr>
        <w:t>指定账户拨付预付款。</w:t>
      </w:r>
      <w:r>
        <w:rPr>
          <w:rFonts w:hint="eastAsia" w:ascii="宋体" w:hAnsi="宋体" w:eastAsia="宋体" w:cs="宋体"/>
          <w:b w:val="0"/>
          <w:bCs w:val="0"/>
          <w:color w:val="000000"/>
          <w:sz w:val="21"/>
          <w:szCs w:val="21"/>
          <w:highlight w:val="none"/>
          <w:lang w:val="en-US" w:eastAsia="zh-CN"/>
        </w:rPr>
        <w:t>乙方</w:t>
      </w:r>
      <w:r>
        <w:rPr>
          <w:rFonts w:hint="eastAsia" w:ascii="宋体" w:hAnsi="宋体" w:eastAsia="宋体" w:cs="宋体"/>
          <w:b w:val="0"/>
          <w:bCs w:val="0"/>
          <w:color w:val="000000"/>
          <w:sz w:val="21"/>
          <w:szCs w:val="21"/>
          <w:highlight w:val="none"/>
        </w:rPr>
        <w:t>完成调查监测工作后，经形成成果材料提交给</w:t>
      </w:r>
      <w:r>
        <w:rPr>
          <w:rFonts w:hint="eastAsia" w:ascii="宋体" w:hAnsi="宋体" w:eastAsia="宋体" w:cs="宋体"/>
          <w:b w:val="0"/>
          <w:bCs w:val="0"/>
          <w:color w:val="000000"/>
          <w:sz w:val="21"/>
          <w:szCs w:val="21"/>
          <w:highlight w:val="none"/>
          <w:lang w:val="en-US" w:eastAsia="zh-CN"/>
        </w:rPr>
        <w:t>甲方，甲方验收合格</w:t>
      </w:r>
      <w:r>
        <w:rPr>
          <w:rFonts w:hint="eastAsia" w:ascii="宋体" w:hAnsi="宋体" w:eastAsia="宋体" w:cs="宋体"/>
          <w:b w:val="0"/>
          <w:bCs w:val="0"/>
          <w:color w:val="000000"/>
          <w:sz w:val="21"/>
          <w:szCs w:val="21"/>
          <w:highlight w:val="none"/>
        </w:rPr>
        <w:t>后，</w:t>
      </w:r>
      <w:r>
        <w:rPr>
          <w:rFonts w:hint="eastAsia" w:ascii="宋体" w:hAnsi="宋体" w:eastAsia="宋体" w:cs="宋体"/>
          <w:b w:val="0"/>
          <w:bCs w:val="0"/>
          <w:color w:val="000000"/>
          <w:sz w:val="21"/>
          <w:szCs w:val="21"/>
          <w:highlight w:val="none"/>
          <w:lang w:val="en-US" w:eastAsia="zh-CN"/>
        </w:rPr>
        <w:t>乙方</w:t>
      </w:r>
      <w:r>
        <w:rPr>
          <w:rFonts w:hint="eastAsia" w:ascii="宋体" w:hAnsi="宋体" w:eastAsia="宋体" w:cs="宋体"/>
          <w:b w:val="0"/>
          <w:bCs w:val="0"/>
          <w:color w:val="000000"/>
          <w:sz w:val="21"/>
          <w:szCs w:val="21"/>
          <w:highlight w:val="none"/>
        </w:rPr>
        <w:t>开具合同款余款额发票给</w:t>
      </w:r>
      <w:r>
        <w:rPr>
          <w:rFonts w:hint="eastAsia" w:ascii="宋体" w:hAnsi="宋体" w:eastAsia="宋体" w:cs="宋体"/>
          <w:b w:val="0"/>
          <w:bCs w:val="0"/>
          <w:color w:val="000000"/>
          <w:sz w:val="21"/>
          <w:szCs w:val="21"/>
          <w:highlight w:val="none"/>
          <w:lang w:val="en-US" w:eastAsia="zh-CN"/>
        </w:rPr>
        <w:t>甲方</w:t>
      </w: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lang w:val="en-US" w:eastAsia="zh-CN"/>
        </w:rPr>
        <w:t>甲方</w:t>
      </w:r>
      <w:r>
        <w:rPr>
          <w:rFonts w:hint="eastAsia" w:ascii="宋体" w:hAnsi="宋体" w:eastAsia="宋体" w:cs="宋体"/>
          <w:b w:val="0"/>
          <w:bCs w:val="0"/>
          <w:color w:val="000000"/>
          <w:sz w:val="21"/>
          <w:szCs w:val="21"/>
          <w:highlight w:val="none"/>
        </w:rPr>
        <w:t>自收到发票后30日内向</w:t>
      </w:r>
      <w:r>
        <w:rPr>
          <w:rFonts w:hint="eastAsia" w:ascii="宋体" w:hAnsi="宋体" w:eastAsia="宋体" w:cs="宋体"/>
          <w:b w:val="0"/>
          <w:bCs w:val="0"/>
          <w:color w:val="000000"/>
          <w:sz w:val="21"/>
          <w:szCs w:val="21"/>
          <w:highlight w:val="none"/>
          <w:lang w:val="en-US" w:eastAsia="zh-CN"/>
        </w:rPr>
        <w:t>乙方</w:t>
      </w:r>
      <w:r>
        <w:rPr>
          <w:rFonts w:hint="eastAsia" w:ascii="宋体" w:hAnsi="宋体" w:eastAsia="宋体" w:cs="宋体"/>
          <w:b w:val="0"/>
          <w:bCs w:val="0"/>
          <w:color w:val="000000"/>
          <w:sz w:val="21"/>
          <w:szCs w:val="21"/>
          <w:highlight w:val="none"/>
        </w:rPr>
        <w:t>一次性结清合同总金额70%尾款。</w:t>
      </w:r>
    </w:p>
    <w:p w14:paraId="1B59E79A">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宋体" w:hAnsi="宋体" w:eastAsia="宋体" w:cs="宋体"/>
          <w:color w:val="000000"/>
          <w:szCs w:val="21"/>
          <w:highlight w:val="none"/>
          <w:lang w:val="en-US"/>
        </w:rPr>
      </w:pPr>
      <w:r>
        <w:rPr>
          <w:rFonts w:hint="eastAsia" w:ascii="宋体" w:hAnsi="宋体" w:eastAsia="宋体" w:cs="宋体"/>
          <w:color w:val="000000"/>
          <w:szCs w:val="21"/>
          <w:highlight w:val="none"/>
          <w:lang w:val="en-US" w:eastAsia="zh-CN"/>
        </w:rPr>
        <w:t>乙方</w:t>
      </w:r>
      <w:r>
        <w:rPr>
          <w:rFonts w:hint="default" w:ascii="宋体" w:hAnsi="宋体" w:eastAsia="宋体" w:cs="宋体"/>
          <w:color w:val="000000"/>
          <w:szCs w:val="21"/>
          <w:highlight w:val="none"/>
          <w:lang w:val="en-US"/>
        </w:rPr>
        <w:t>开户名称：</w:t>
      </w:r>
    </w:p>
    <w:p w14:paraId="6962FD52">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宋体" w:hAnsi="宋体" w:eastAsia="宋体" w:cs="宋体"/>
          <w:color w:val="000000"/>
          <w:szCs w:val="21"/>
          <w:highlight w:val="none"/>
          <w:lang w:val="en-US"/>
        </w:rPr>
      </w:pPr>
      <w:r>
        <w:rPr>
          <w:rFonts w:hint="eastAsia" w:ascii="宋体" w:hAnsi="宋体" w:eastAsia="宋体" w:cs="宋体"/>
          <w:color w:val="000000"/>
          <w:szCs w:val="21"/>
          <w:highlight w:val="none"/>
          <w:lang w:val="en-US" w:eastAsia="zh-CN"/>
        </w:rPr>
        <w:t>乙方</w:t>
      </w:r>
      <w:r>
        <w:rPr>
          <w:rFonts w:hint="default" w:ascii="宋体" w:hAnsi="宋体" w:eastAsia="宋体" w:cs="宋体"/>
          <w:color w:val="000000"/>
          <w:szCs w:val="21"/>
          <w:highlight w:val="none"/>
          <w:lang w:val="en-US"/>
        </w:rPr>
        <w:t>开户银行：</w:t>
      </w:r>
    </w:p>
    <w:p w14:paraId="7F91D68D">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宋体" w:hAnsi="宋体" w:eastAsia="宋体" w:cs="宋体"/>
          <w:color w:val="000000"/>
          <w:szCs w:val="21"/>
          <w:highlight w:val="none"/>
          <w:lang w:val="en-US"/>
        </w:rPr>
      </w:pPr>
      <w:r>
        <w:rPr>
          <w:rFonts w:hint="eastAsia" w:ascii="宋体" w:hAnsi="宋体" w:eastAsia="宋体" w:cs="宋体"/>
          <w:color w:val="000000"/>
          <w:szCs w:val="21"/>
          <w:highlight w:val="none"/>
          <w:lang w:val="en-US" w:eastAsia="zh-CN"/>
        </w:rPr>
        <w:t>乙方</w:t>
      </w:r>
      <w:r>
        <w:rPr>
          <w:rFonts w:hint="default" w:ascii="宋体" w:hAnsi="宋体" w:eastAsia="宋体" w:cs="宋体"/>
          <w:color w:val="000000"/>
          <w:szCs w:val="21"/>
          <w:highlight w:val="none"/>
          <w:lang w:val="en-US" w:eastAsia="zh-CN"/>
        </w:rPr>
        <w:t>账</w:t>
      </w:r>
      <w:r>
        <w:rPr>
          <w:rFonts w:hint="default" w:ascii="宋体" w:hAnsi="宋体" w:eastAsia="宋体" w:cs="宋体"/>
          <w:color w:val="000000"/>
          <w:szCs w:val="21"/>
          <w:highlight w:val="none"/>
          <w:lang w:val="en-US"/>
        </w:rPr>
        <w:t>号：</w:t>
      </w:r>
    </w:p>
    <w:p w14:paraId="03664FDD">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第七条　履约保证金</w:t>
      </w:r>
    </w:p>
    <w:p w14:paraId="5681ECCD">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default" w:eastAsia="宋体"/>
          <w:color w:val="000000"/>
          <w:highlight w:val="none"/>
          <w:lang w:val="en-US" w:eastAsia="zh-CN"/>
        </w:rPr>
      </w:pPr>
      <w:r>
        <w:rPr>
          <w:rFonts w:hint="eastAsia" w:ascii="宋体" w:hAnsi="宋体" w:cs="宋体"/>
          <w:b/>
          <w:bCs/>
          <w:color w:val="000000"/>
          <w:szCs w:val="21"/>
          <w:highlight w:val="none"/>
          <w:lang w:eastAsia="zh-CN"/>
        </w:rPr>
        <w:t>本项目不需要缴</w:t>
      </w:r>
      <w:r>
        <w:rPr>
          <w:rFonts w:hint="eastAsia" w:ascii="宋体" w:hAnsi="宋体" w:cs="宋体"/>
          <w:b/>
          <w:bCs/>
          <w:color w:val="000000"/>
          <w:kern w:val="0"/>
          <w:szCs w:val="21"/>
          <w:highlight w:val="none"/>
        </w:rPr>
        <w:t>纳</w:t>
      </w:r>
      <w:r>
        <w:rPr>
          <w:rFonts w:hint="eastAsia" w:ascii="宋体" w:hAnsi="宋体" w:cs="宋体"/>
          <w:b/>
          <w:bCs/>
          <w:color w:val="000000"/>
          <w:szCs w:val="21"/>
          <w:highlight w:val="none"/>
        </w:rPr>
        <w:t>履约</w:t>
      </w:r>
      <w:r>
        <w:rPr>
          <w:rFonts w:hint="eastAsia" w:ascii="宋体" w:hAnsi="宋体" w:cs="宋体"/>
          <w:b/>
          <w:bCs/>
          <w:color w:val="000000"/>
          <w:szCs w:val="21"/>
          <w:highlight w:val="none"/>
          <w:lang w:eastAsia="zh-CN"/>
        </w:rPr>
        <w:t>保证金。</w:t>
      </w:r>
    </w:p>
    <w:p w14:paraId="1408B395">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第八条  税费</w:t>
      </w:r>
    </w:p>
    <w:p w14:paraId="5DAE729B">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本合同执行中相关的一切税费均由乙方负担，合同另有约定的除外。</w:t>
      </w:r>
    </w:p>
    <w:p w14:paraId="0EBC08ED">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第九条　违约责任</w:t>
      </w:r>
    </w:p>
    <w:p w14:paraId="28BE1DA0">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lang w:val="en-US" w:eastAsia="zh-CN"/>
        </w:rPr>
        <w:t>.</w:t>
      </w:r>
      <w:r>
        <w:rPr>
          <w:rFonts w:hint="eastAsia" w:ascii="宋体" w:hAnsi="宋体"/>
          <w:color w:val="000000"/>
          <w:szCs w:val="21"/>
          <w:highlight w:val="none"/>
        </w:rPr>
        <w:t>除不可抗力原因外，乙方没有按照合同规定的时间提供服务的，甲方可要求乙方支付违约金。每推迟一天按合同</w:t>
      </w:r>
      <w:r>
        <w:rPr>
          <w:rFonts w:hint="eastAsia" w:ascii="宋体" w:hAnsi="宋体"/>
          <w:color w:val="000000"/>
          <w:szCs w:val="21"/>
          <w:highlight w:val="none"/>
          <w:lang w:eastAsia="zh-CN"/>
        </w:rPr>
        <w:t>总</w:t>
      </w:r>
      <w:r>
        <w:rPr>
          <w:rFonts w:hint="eastAsia" w:ascii="宋体" w:hAnsi="宋体"/>
          <w:color w:val="000000"/>
          <w:szCs w:val="21"/>
          <w:highlight w:val="none"/>
        </w:rPr>
        <w:t>金额的3‰支付违约金，该违约金累计不超过合同</w:t>
      </w:r>
      <w:r>
        <w:rPr>
          <w:rFonts w:hint="eastAsia" w:ascii="宋体" w:hAnsi="宋体"/>
          <w:color w:val="000000"/>
          <w:szCs w:val="21"/>
          <w:highlight w:val="none"/>
          <w:lang w:eastAsia="zh-CN"/>
        </w:rPr>
        <w:t>总</w:t>
      </w:r>
      <w:r>
        <w:rPr>
          <w:rFonts w:hint="eastAsia" w:ascii="宋体" w:hAnsi="宋体"/>
          <w:color w:val="000000"/>
          <w:szCs w:val="21"/>
          <w:highlight w:val="none"/>
        </w:rPr>
        <w:t>金额的10%。</w:t>
      </w:r>
    </w:p>
    <w:p w14:paraId="656E295C">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乙方提供的服务如侵犯了第三方合法权益而引发的任何纠纷或者诉讼，均由乙方负责交涉并承担全部责任。</w:t>
      </w:r>
    </w:p>
    <w:p w14:paraId="4FE416A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lang w:val="en-US" w:eastAsia="zh-CN"/>
        </w:rPr>
        <w:t>.</w:t>
      </w:r>
      <w:r>
        <w:rPr>
          <w:rFonts w:hint="eastAsia" w:ascii="宋体" w:hAnsi="宋体"/>
          <w:color w:val="000000"/>
          <w:szCs w:val="21"/>
          <w:highlight w:val="none"/>
        </w:rPr>
        <w:t>甲方延期付款的，每天向乙方偿付延期款额3‰滞纳金，但滞纳金累计不得超过延期款额5%。</w:t>
      </w:r>
    </w:p>
    <w:p w14:paraId="72FEAB8F">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第十条  不可抗力事件处理</w:t>
      </w:r>
    </w:p>
    <w:p w14:paraId="55396147">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在合同有效期内，任何一方因不可抗力事件导致不能履行合同，则合同履行期可延长，其延长期与不可抗力影响期相同。</w:t>
      </w:r>
    </w:p>
    <w:p w14:paraId="3493BA82">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不可抗力事件发生后，应立即通知对方，并寄送有关权威机构出具的证明。</w:t>
      </w:r>
    </w:p>
    <w:p w14:paraId="2DAB864D">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不可抗力事件延续一百二十天以上，双方应通过友好协商，确定是否继续履行合同。</w:t>
      </w:r>
    </w:p>
    <w:p w14:paraId="106D78B8">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color w:val="000000"/>
          <w:szCs w:val="21"/>
          <w:highlight w:val="none"/>
        </w:rPr>
      </w:pPr>
      <w:r>
        <w:rPr>
          <w:rFonts w:hint="eastAsia" w:ascii="宋体" w:hAnsi="宋体" w:cs="宋体"/>
          <w:b/>
          <w:color w:val="000000"/>
          <w:szCs w:val="21"/>
          <w:highlight w:val="none"/>
        </w:rPr>
        <w:t>第十一条  合同争议</w:t>
      </w:r>
      <w:r>
        <w:rPr>
          <w:rFonts w:hint="eastAsia" w:ascii="宋体" w:hAnsi="宋体" w:cs="宋体"/>
          <w:b/>
          <w:color w:val="000000"/>
          <w:szCs w:val="21"/>
          <w:highlight w:val="none"/>
          <w:lang w:eastAsia="zh-CN"/>
        </w:rPr>
        <w:t>及</w:t>
      </w:r>
      <w:r>
        <w:rPr>
          <w:rFonts w:hint="eastAsia" w:ascii="宋体" w:hAnsi="宋体" w:cs="宋体"/>
          <w:b/>
          <w:color w:val="000000"/>
          <w:szCs w:val="21"/>
          <w:highlight w:val="none"/>
        </w:rPr>
        <w:t>解决</w:t>
      </w:r>
    </w:p>
    <w:p w14:paraId="5AC4705C">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因服务质量问题发生争议的，应邀请国家认可的质量检测机构进行鉴定。服务符合标准的，鉴定费由甲方承担；服务不符合标准的，鉴定费由乙方承担。</w:t>
      </w:r>
    </w:p>
    <w:p w14:paraId="2826827B">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因履行本合同引起的或者与本合同有关的争议，甲乙双方应首先通过友好协商解决，如果协商不能解决，可向甲方所在地有管辖权的人民法院提起诉讼。</w:t>
      </w:r>
    </w:p>
    <w:p w14:paraId="2D158B17">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诉讼期间，本合同继续履行。</w:t>
      </w:r>
    </w:p>
    <w:p w14:paraId="7A329B9A">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eastAsia="宋体" w:cs="宋体"/>
          <w:b/>
          <w:color w:val="000000"/>
          <w:szCs w:val="21"/>
          <w:highlight w:val="none"/>
          <w:lang w:eastAsia="zh-CN"/>
        </w:rPr>
      </w:pPr>
      <w:r>
        <w:rPr>
          <w:rFonts w:hint="eastAsia" w:ascii="宋体" w:hAnsi="宋体" w:cs="宋体"/>
          <w:b/>
          <w:color w:val="000000"/>
          <w:szCs w:val="21"/>
          <w:highlight w:val="none"/>
        </w:rPr>
        <w:t>第十二条  合同生效及</w:t>
      </w:r>
      <w:r>
        <w:rPr>
          <w:rFonts w:hint="eastAsia" w:ascii="宋体" w:hAnsi="宋体" w:cs="宋体"/>
          <w:b/>
          <w:color w:val="000000"/>
          <w:szCs w:val="21"/>
          <w:highlight w:val="none"/>
          <w:lang w:eastAsia="zh-CN"/>
        </w:rPr>
        <w:t>其他</w:t>
      </w:r>
    </w:p>
    <w:p w14:paraId="66B2BBFB">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合同经双方法定代表人或者授权代表签字并加盖单位公章后生效（委托代理人签字的需后附法定代表人授权委托书，格式自拟）。</w:t>
      </w:r>
    </w:p>
    <w:p w14:paraId="2A448CC8">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合同执行中涉及采购资金和采购内容修改或者补充的，须经财政部门审批，并</w:t>
      </w:r>
      <w:r>
        <w:rPr>
          <w:rFonts w:hint="eastAsia" w:ascii="宋体" w:hAnsi="宋体" w:cs="宋体"/>
          <w:color w:val="000000"/>
          <w:szCs w:val="21"/>
          <w:highlight w:val="none"/>
          <w:lang w:eastAsia="zh-CN"/>
        </w:rPr>
        <w:t>签订</w:t>
      </w:r>
      <w:r>
        <w:rPr>
          <w:rFonts w:hint="eastAsia" w:ascii="宋体" w:hAnsi="宋体" w:cs="宋体"/>
          <w:color w:val="000000"/>
          <w:szCs w:val="21"/>
          <w:highlight w:val="none"/>
        </w:rPr>
        <w:t>书面补充协议报财政部门备案，方可作为主合同不可分割的一部分。</w:t>
      </w:r>
    </w:p>
    <w:p w14:paraId="096D0173">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3、本合同未尽事宜，遵照《</w:t>
      </w:r>
      <w:r>
        <w:rPr>
          <w:rFonts w:hint="eastAsia" w:ascii="宋体" w:hAnsi="宋体" w:cs="宋体"/>
          <w:color w:val="000000"/>
          <w:szCs w:val="21"/>
          <w:highlight w:val="none"/>
          <w:lang w:eastAsia="zh-CN"/>
        </w:rPr>
        <w:t>中华人民共和国民法典</w:t>
      </w:r>
      <w:r>
        <w:rPr>
          <w:rFonts w:hint="eastAsia" w:ascii="宋体" w:hAnsi="宋体" w:cs="宋体"/>
          <w:color w:val="000000"/>
          <w:szCs w:val="21"/>
          <w:highlight w:val="none"/>
        </w:rPr>
        <w:t>》有关条文执行。</w:t>
      </w:r>
    </w:p>
    <w:p w14:paraId="531E7B10">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第十三条　合同的变更、终止与转让</w:t>
      </w:r>
    </w:p>
    <w:p w14:paraId="24BA90E2">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除《中华人民共和国政府采购法》第五十条规定的情形外，本合同一经签订，甲乙双方不得擅自变更、中止或者终止。</w:t>
      </w:r>
    </w:p>
    <w:p w14:paraId="111E9B0E">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乙方不得擅自转让其应履行的合同义务。</w:t>
      </w:r>
    </w:p>
    <w:p w14:paraId="770970B9">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第十四条　签订本合同依据</w:t>
      </w:r>
    </w:p>
    <w:p w14:paraId="14588FA2">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w:t>
      </w:r>
      <w:r>
        <w:rPr>
          <w:rFonts w:hint="eastAsia" w:ascii="宋体" w:hAnsi="宋体"/>
          <w:color w:val="000000"/>
          <w:szCs w:val="21"/>
          <w:highlight w:val="none"/>
          <w:lang w:val="en-US" w:eastAsia="zh-CN"/>
        </w:rPr>
        <w:t>中标</w:t>
      </w:r>
      <w:r>
        <w:rPr>
          <w:rFonts w:hint="eastAsia" w:ascii="宋体" w:hAnsi="宋体"/>
          <w:color w:val="000000"/>
          <w:szCs w:val="21"/>
          <w:highlight w:val="none"/>
        </w:rPr>
        <w:t>通知书</w:t>
      </w:r>
      <w:r>
        <w:rPr>
          <w:rFonts w:hint="eastAsia" w:ascii="宋体" w:hAnsi="宋体" w:cs="宋体"/>
          <w:color w:val="000000"/>
          <w:szCs w:val="21"/>
          <w:highlight w:val="none"/>
        </w:rPr>
        <w:t>；</w:t>
      </w:r>
    </w:p>
    <w:p w14:paraId="562EC7E7">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lang w:eastAsia="zh-CN"/>
        </w:rPr>
        <w:t>响应报价表</w:t>
      </w:r>
      <w:r>
        <w:rPr>
          <w:rFonts w:hint="eastAsia" w:ascii="宋体" w:hAnsi="宋体" w:cs="宋体"/>
          <w:color w:val="000000"/>
          <w:szCs w:val="21"/>
          <w:highlight w:val="none"/>
        </w:rPr>
        <w:t>；</w:t>
      </w:r>
    </w:p>
    <w:p w14:paraId="376A9980">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cs="宋体"/>
          <w:color w:val="000000"/>
          <w:kern w:val="2"/>
          <w:sz w:val="21"/>
          <w:szCs w:val="21"/>
          <w:highlight w:val="none"/>
          <w:lang w:val="en-US" w:eastAsia="zh-CN"/>
        </w:rPr>
        <w:t>3.响应函；</w:t>
      </w:r>
    </w:p>
    <w:p w14:paraId="4E4F8A08">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商务条款偏离表和服务需求偏离表；</w:t>
      </w:r>
    </w:p>
    <w:p w14:paraId="56429525">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lang w:eastAsia="zh-CN"/>
        </w:rPr>
        <w:t>售后</w:t>
      </w:r>
      <w:r>
        <w:rPr>
          <w:rFonts w:hint="eastAsia" w:ascii="宋体" w:hAnsi="宋体" w:cs="宋体"/>
          <w:color w:val="000000"/>
          <w:szCs w:val="21"/>
          <w:highlight w:val="none"/>
        </w:rPr>
        <w:t>服务方案；</w:t>
      </w:r>
    </w:p>
    <w:p w14:paraId="2B126BB4">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6.</w:t>
      </w:r>
      <w:r>
        <w:rPr>
          <w:rFonts w:hint="eastAsia" w:hAnsi="宋体" w:eastAsia="宋体" w:cs="宋体"/>
          <w:color w:val="000000"/>
          <w:sz w:val="21"/>
          <w:highlight w:val="none"/>
        </w:rPr>
        <w:t>……</w:t>
      </w:r>
      <w:r>
        <w:rPr>
          <w:rFonts w:hint="eastAsia" w:hAnsi="宋体" w:eastAsia="宋体" w:cs="宋体"/>
          <w:color w:val="000000"/>
          <w:sz w:val="21"/>
          <w:highlight w:val="none"/>
          <w:lang w:eastAsia="zh-CN"/>
        </w:rPr>
        <w:t>；</w:t>
      </w:r>
    </w:p>
    <w:p w14:paraId="2906DCDC">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hAnsi="宋体" w:eastAsia="宋体" w:cs="宋体"/>
          <w:color w:val="000000"/>
          <w:sz w:val="21"/>
          <w:highlight w:val="none"/>
          <w:lang w:eastAsia="zh-CN"/>
        </w:rPr>
        <w:t>其他</w:t>
      </w:r>
      <w:r>
        <w:rPr>
          <w:rFonts w:hint="eastAsia" w:hAnsi="宋体" w:eastAsia="宋体" w:cs="宋体"/>
          <w:color w:val="000000"/>
          <w:sz w:val="21"/>
          <w:highlight w:val="none"/>
        </w:rPr>
        <w:t>合同文件</w:t>
      </w:r>
      <w:r>
        <w:rPr>
          <w:rFonts w:hint="eastAsia" w:ascii="宋体" w:hAnsi="宋体" w:cs="宋体"/>
          <w:color w:val="000000"/>
          <w:szCs w:val="21"/>
          <w:highlight w:val="none"/>
        </w:rPr>
        <w:t>。</w:t>
      </w:r>
    </w:p>
    <w:p w14:paraId="25E142B8">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上述合同文件互相补充和解释。如果合同文件之间存在矛盾或者不一致之处，以上述文件的排列顺序在先者为准。</w:t>
      </w:r>
    </w:p>
    <w:p w14:paraId="610E9B11">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color w:val="000000"/>
          <w:szCs w:val="21"/>
          <w:highlight w:val="none"/>
        </w:rPr>
      </w:pPr>
      <w:r>
        <w:rPr>
          <w:rFonts w:hint="eastAsia" w:ascii="宋体" w:hAnsi="宋体" w:cs="宋体"/>
          <w:b/>
          <w:color w:val="000000"/>
          <w:szCs w:val="21"/>
          <w:highlight w:val="none"/>
        </w:rPr>
        <w:t>第十五条　</w:t>
      </w:r>
      <w:r>
        <w:rPr>
          <w:rFonts w:hint="eastAsia" w:ascii="宋体" w:hAnsi="宋体" w:cs="宋体"/>
          <w:color w:val="000000"/>
          <w:szCs w:val="21"/>
          <w:highlight w:val="none"/>
        </w:rPr>
        <w:t>本合同一式四份，具有同等法律效力，财政部门（政府采购监管部门）、采购代理机构各一份，甲乙双方各一份（可根据需要另增加）。</w:t>
      </w:r>
    </w:p>
    <w:p w14:paraId="4FB77C38">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本合</w:t>
      </w:r>
      <w:r>
        <w:rPr>
          <w:rFonts w:hint="eastAsia" w:ascii="宋体" w:hAnsi="宋体" w:cs="宋体"/>
          <w:color w:val="000000"/>
          <w:szCs w:val="21"/>
          <w:highlight w:val="none"/>
          <w:lang w:eastAsia="zh-CN"/>
        </w:rPr>
        <w:t>同在</w:t>
      </w:r>
      <w:r>
        <w:rPr>
          <w:rFonts w:hint="eastAsia" w:ascii="宋体" w:hAnsi="宋体" w:cs="宋体"/>
          <w:color w:val="000000"/>
          <w:szCs w:val="21"/>
          <w:highlight w:val="none"/>
        </w:rPr>
        <w:t>甲乙双方签字盖章后生效，自签订之日起七个工作日内，甲方应当将合同副本报同级财政部门备案。</w:t>
      </w:r>
    </w:p>
    <w:p w14:paraId="7FE8C1DB">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本合同自签订之日起2个工作日内，甲方应当将采购合同在广西壮族自治区财政厅指定的媒体上公告。</w:t>
      </w:r>
    </w:p>
    <w:p w14:paraId="49C82B39">
      <w:pPr>
        <w:pStyle w:val="13"/>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cs="宋体"/>
          <w:color w:val="000000"/>
          <w:szCs w:val="21"/>
          <w:highlight w:val="none"/>
        </w:rPr>
      </w:pPr>
    </w:p>
    <w:p w14:paraId="32B8349A">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rPr>
      </w:pPr>
    </w:p>
    <w:p w14:paraId="0AB8DF70">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甲方：（章）</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乙方：（章）</w:t>
      </w:r>
    </w:p>
    <w:p w14:paraId="553ACD01">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lang w:val="en-US" w:eastAsia="zh-CN"/>
        </w:rPr>
        <w:t>或委托代理人</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lang w:val="en-US" w:eastAsia="zh-CN"/>
        </w:rPr>
        <w:t>或委托代理人</w:t>
      </w:r>
      <w:r>
        <w:rPr>
          <w:rFonts w:hint="eastAsia" w:ascii="宋体" w:hAnsi="宋体" w:eastAsia="宋体" w:cs="宋体"/>
          <w:color w:val="000000"/>
          <w:szCs w:val="21"/>
          <w:highlight w:val="none"/>
        </w:rPr>
        <w:t>：</w:t>
      </w:r>
    </w:p>
    <w:p w14:paraId="32E5B539">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单位地址：</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单位地址：</w:t>
      </w:r>
    </w:p>
    <w:p w14:paraId="7F01F510">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年   月   日</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年   月   日</w:t>
      </w:r>
    </w:p>
    <w:p w14:paraId="0CBEB3CE">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b/>
          <w:color w:val="000000"/>
          <w:szCs w:val="21"/>
          <w:highlight w:val="none"/>
        </w:rPr>
      </w:pPr>
      <w:r>
        <w:rPr>
          <w:rFonts w:hint="eastAsia" w:ascii="宋体" w:hAnsi="宋体" w:cs="Courier New"/>
          <w:b/>
          <w:color w:val="000000"/>
          <w:szCs w:val="21"/>
          <w:highlight w:val="none"/>
        </w:rPr>
        <w:br w:type="page"/>
      </w:r>
      <w:r>
        <w:rPr>
          <w:rFonts w:hint="eastAsia" w:ascii="宋体" w:hAnsi="宋体"/>
          <w:b/>
          <w:color w:val="000000"/>
          <w:szCs w:val="21"/>
          <w:highlight w:val="none"/>
        </w:rPr>
        <w:t>合 同 附 件</w:t>
      </w:r>
    </w:p>
    <w:p w14:paraId="43EC0C5A">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olor w:val="000000"/>
          <w:szCs w:val="21"/>
          <w:highlight w:val="none"/>
        </w:rPr>
      </w:pPr>
    </w:p>
    <w:tbl>
      <w:tblPr>
        <w:tblStyle w:val="16"/>
        <w:tblW w:w="0" w:type="auto"/>
        <w:tblInd w:w="493" w:type="dxa"/>
        <w:tblLayout w:type="fixed"/>
        <w:tblCellMar>
          <w:top w:w="0" w:type="dxa"/>
          <w:left w:w="108" w:type="dxa"/>
          <w:bottom w:w="0" w:type="dxa"/>
          <w:right w:w="108" w:type="dxa"/>
        </w:tblCellMar>
      </w:tblPr>
      <w:tblGrid>
        <w:gridCol w:w="3755"/>
        <w:gridCol w:w="5210"/>
      </w:tblGrid>
      <w:tr w14:paraId="224DC7D4">
        <w:tblPrEx>
          <w:tblCellMar>
            <w:top w:w="0" w:type="dxa"/>
            <w:left w:w="108" w:type="dxa"/>
            <w:bottom w:w="0" w:type="dxa"/>
            <w:right w:w="108" w:type="dxa"/>
          </w:tblCellMar>
        </w:tblPrEx>
        <w:trPr>
          <w:trHeight w:val="1226" w:hRule="atLeast"/>
        </w:trPr>
        <w:tc>
          <w:tcPr>
            <w:tcW w:w="8965" w:type="dxa"/>
            <w:gridSpan w:val="2"/>
            <w:tcBorders>
              <w:top w:val="single" w:color="auto" w:sz="4" w:space="0"/>
              <w:left w:val="single" w:color="auto" w:sz="4" w:space="0"/>
              <w:right w:val="single" w:color="auto" w:sz="4" w:space="0"/>
            </w:tcBorders>
            <w:noWrap w:val="0"/>
            <w:vAlign w:val="top"/>
          </w:tcPr>
          <w:p w14:paraId="6F96B796">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r>
              <w:rPr>
                <w:rFonts w:hint="eastAsia" w:ascii="宋体" w:hAnsi="宋体"/>
                <w:b/>
                <w:color w:val="000000"/>
                <w:szCs w:val="21"/>
                <w:highlight w:val="none"/>
              </w:rPr>
              <w:t>1. 供应商承诺具体事项：</w:t>
            </w:r>
          </w:p>
        </w:tc>
      </w:tr>
      <w:tr w14:paraId="3193CE6F">
        <w:tblPrEx>
          <w:tblCellMar>
            <w:top w:w="0" w:type="dxa"/>
            <w:left w:w="108" w:type="dxa"/>
            <w:bottom w:w="0" w:type="dxa"/>
            <w:right w:w="108" w:type="dxa"/>
          </w:tblCellMar>
        </w:tblPrEx>
        <w:trPr>
          <w:trHeight w:val="1228" w:hRule="atLeast"/>
        </w:trPr>
        <w:tc>
          <w:tcPr>
            <w:tcW w:w="8965" w:type="dxa"/>
            <w:gridSpan w:val="2"/>
            <w:tcBorders>
              <w:top w:val="single" w:color="auto" w:sz="4" w:space="0"/>
              <w:left w:val="single" w:color="auto" w:sz="4" w:space="0"/>
              <w:right w:val="single" w:color="auto" w:sz="4" w:space="0"/>
            </w:tcBorders>
            <w:noWrap w:val="0"/>
            <w:vAlign w:val="top"/>
          </w:tcPr>
          <w:p w14:paraId="3045DCA7">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r>
              <w:rPr>
                <w:rFonts w:hint="eastAsia" w:ascii="宋体" w:hAnsi="宋体"/>
                <w:b/>
                <w:color w:val="000000"/>
                <w:szCs w:val="21"/>
                <w:highlight w:val="none"/>
              </w:rPr>
              <w:t>2. 服务具体事项：</w:t>
            </w:r>
          </w:p>
        </w:tc>
      </w:tr>
      <w:tr w14:paraId="262F6CF5">
        <w:tblPrEx>
          <w:tblCellMar>
            <w:top w:w="0" w:type="dxa"/>
            <w:left w:w="108" w:type="dxa"/>
            <w:bottom w:w="0" w:type="dxa"/>
            <w:right w:w="108" w:type="dxa"/>
          </w:tblCellMar>
        </w:tblPrEx>
        <w:trPr>
          <w:trHeight w:val="1360" w:hRule="atLeast"/>
        </w:trPr>
        <w:tc>
          <w:tcPr>
            <w:tcW w:w="8965" w:type="dxa"/>
            <w:gridSpan w:val="2"/>
            <w:tcBorders>
              <w:top w:val="single" w:color="auto" w:sz="4" w:space="0"/>
              <w:left w:val="single" w:color="auto" w:sz="4" w:space="0"/>
              <w:right w:val="single" w:color="auto" w:sz="4" w:space="0"/>
            </w:tcBorders>
            <w:noWrap w:val="0"/>
            <w:vAlign w:val="top"/>
          </w:tcPr>
          <w:p w14:paraId="4E8300C7">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r>
              <w:rPr>
                <w:rFonts w:hint="eastAsia" w:ascii="宋体" w:hAnsi="宋体"/>
                <w:b/>
                <w:color w:val="000000"/>
                <w:szCs w:val="21"/>
                <w:highlight w:val="none"/>
                <w:lang w:val="en-US" w:eastAsia="zh-CN"/>
              </w:rPr>
              <w:t>3</w:t>
            </w:r>
            <w:r>
              <w:rPr>
                <w:rFonts w:hint="eastAsia" w:ascii="宋体" w:hAnsi="宋体"/>
                <w:b/>
                <w:color w:val="000000"/>
                <w:szCs w:val="21"/>
                <w:highlight w:val="none"/>
              </w:rPr>
              <w:t xml:space="preserve">. </w:t>
            </w:r>
            <w:r>
              <w:rPr>
                <w:rFonts w:hint="eastAsia" w:ascii="宋体" w:hAnsi="宋体"/>
                <w:b/>
                <w:color w:val="000000"/>
                <w:szCs w:val="21"/>
                <w:highlight w:val="none"/>
                <w:lang w:eastAsia="zh-CN"/>
              </w:rPr>
              <w:t>其他</w:t>
            </w:r>
            <w:r>
              <w:rPr>
                <w:rFonts w:hint="eastAsia" w:ascii="宋体" w:hAnsi="宋体"/>
                <w:b/>
                <w:color w:val="000000"/>
                <w:szCs w:val="21"/>
                <w:highlight w:val="none"/>
              </w:rPr>
              <w:t>具体事项：</w:t>
            </w:r>
          </w:p>
        </w:tc>
      </w:tr>
      <w:tr w14:paraId="14A13FD3">
        <w:tblPrEx>
          <w:tblCellMar>
            <w:top w:w="0" w:type="dxa"/>
            <w:left w:w="108" w:type="dxa"/>
            <w:bottom w:w="0" w:type="dxa"/>
            <w:right w:w="108" w:type="dxa"/>
          </w:tblCellMar>
        </w:tblPrEx>
        <w:trPr>
          <w:trHeight w:val="1703" w:hRule="atLeast"/>
        </w:trPr>
        <w:tc>
          <w:tcPr>
            <w:tcW w:w="3755" w:type="dxa"/>
            <w:tcBorders>
              <w:top w:val="single" w:color="auto" w:sz="4" w:space="0"/>
              <w:left w:val="single" w:color="auto" w:sz="4" w:space="0"/>
              <w:bottom w:val="single" w:color="auto" w:sz="4" w:space="0"/>
              <w:right w:val="single" w:color="auto" w:sz="4" w:space="0"/>
            </w:tcBorders>
            <w:noWrap w:val="0"/>
            <w:vAlign w:val="center"/>
          </w:tcPr>
          <w:p w14:paraId="77521875">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r>
              <w:rPr>
                <w:rFonts w:hint="eastAsia" w:ascii="宋体" w:hAnsi="宋体"/>
                <w:b/>
                <w:color w:val="000000"/>
                <w:szCs w:val="21"/>
                <w:highlight w:val="none"/>
              </w:rPr>
              <w:t>甲方（章）</w:t>
            </w:r>
          </w:p>
          <w:p w14:paraId="28A1D2AE">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p>
          <w:p w14:paraId="4E86FD6E">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b/>
                <w:color w:val="000000"/>
                <w:szCs w:val="21"/>
                <w:highlight w:val="none"/>
              </w:rPr>
            </w:pPr>
          </w:p>
          <w:p w14:paraId="04CD716C">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r>
              <w:rPr>
                <w:rFonts w:hint="eastAsia" w:ascii="宋体" w:hAnsi="宋体"/>
                <w:b/>
                <w:color w:val="000000"/>
                <w:szCs w:val="21"/>
                <w:highlight w:val="none"/>
              </w:rPr>
              <w:t>年   月   日</w:t>
            </w:r>
          </w:p>
        </w:tc>
        <w:tc>
          <w:tcPr>
            <w:tcW w:w="5210" w:type="dxa"/>
            <w:tcBorders>
              <w:top w:val="single" w:color="auto" w:sz="4" w:space="0"/>
              <w:left w:val="single" w:color="auto" w:sz="4" w:space="0"/>
              <w:bottom w:val="single" w:color="auto" w:sz="4" w:space="0"/>
              <w:right w:val="single" w:color="auto" w:sz="4" w:space="0"/>
            </w:tcBorders>
            <w:noWrap w:val="0"/>
            <w:vAlign w:val="center"/>
          </w:tcPr>
          <w:p w14:paraId="22AFC304">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r>
              <w:rPr>
                <w:rFonts w:hint="eastAsia" w:ascii="宋体" w:hAnsi="宋体"/>
                <w:b/>
                <w:color w:val="000000"/>
                <w:szCs w:val="21"/>
                <w:highlight w:val="none"/>
              </w:rPr>
              <w:t>乙方（章）</w:t>
            </w:r>
          </w:p>
          <w:p w14:paraId="04D2791A">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p>
          <w:p w14:paraId="4B82B07F">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b/>
                <w:color w:val="000000"/>
                <w:szCs w:val="21"/>
                <w:highlight w:val="none"/>
              </w:rPr>
            </w:pPr>
          </w:p>
          <w:p w14:paraId="48E03CA9">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r>
              <w:rPr>
                <w:rFonts w:hint="eastAsia" w:ascii="宋体" w:hAnsi="宋体"/>
                <w:b/>
                <w:color w:val="000000"/>
                <w:szCs w:val="21"/>
                <w:highlight w:val="none"/>
              </w:rPr>
              <w:t>年   月   日</w:t>
            </w:r>
          </w:p>
        </w:tc>
      </w:tr>
    </w:tbl>
    <w:p w14:paraId="23E236F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olor w:val="000000"/>
          <w:szCs w:val="21"/>
          <w:highlight w:val="none"/>
        </w:rPr>
      </w:pPr>
      <w:r>
        <w:rPr>
          <w:rFonts w:hint="eastAsia" w:ascii="宋体" w:hAnsi="宋体"/>
          <w:color w:val="000000"/>
          <w:szCs w:val="21"/>
          <w:highlight w:val="none"/>
        </w:rPr>
        <w:t>注：服务事项填不下时可另加附页</w:t>
      </w:r>
    </w:p>
    <w:p w14:paraId="56B58E64">
      <w:pPr>
        <w:rPr>
          <w:rFonts w:asciiTheme="minorHAnsi" w:hAnsiTheme="minorHAnsi" w:eastAsiaTheme="minorEastAsia" w:cstheme="minorBidi"/>
          <w:kern w:val="2"/>
          <w:sz w:val="21"/>
          <w:szCs w:val="24"/>
          <w:lang w:val="en-US" w:eastAsia="zh-CN" w:bidi="ar-SA"/>
        </w:rPr>
      </w:pPr>
      <w:r>
        <w:rPr>
          <w:rFonts w:asciiTheme="minorHAnsi" w:hAnsiTheme="minorHAnsi" w:eastAsiaTheme="minorEastAsia" w:cstheme="minorBidi"/>
          <w:kern w:val="2"/>
          <w:sz w:val="21"/>
          <w:szCs w:val="24"/>
          <w:lang w:val="en-US" w:eastAsia="zh-CN" w:bidi="ar-SA"/>
        </w:rPr>
        <w:br w:type="page"/>
      </w:r>
    </w:p>
    <w:p w14:paraId="698A14AE">
      <w:pPr>
        <w:pStyle w:val="3"/>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4"/>
          <w:szCs w:val="44"/>
          <w:highlight w:val="none"/>
          <w:lang w:val="en-US" w:eastAsia="zh-CN"/>
        </w:rPr>
      </w:pPr>
      <w:bookmarkStart w:id="130" w:name="_Toc16478"/>
      <w:bookmarkStart w:id="131" w:name="_Toc8202"/>
      <w:bookmarkStart w:id="132" w:name="_Toc9058"/>
      <w:r>
        <w:rPr>
          <w:rFonts w:hint="eastAsia" w:ascii="宋体" w:hAnsi="宋体" w:eastAsia="宋体" w:cs="宋体"/>
          <w:b/>
          <w:bCs/>
          <w:color w:val="auto"/>
          <w:kern w:val="44"/>
          <w:sz w:val="44"/>
          <w:szCs w:val="44"/>
          <w:lang w:val="en-US" w:eastAsia="zh-CN" w:bidi="ar-SA"/>
        </w:rPr>
        <w:t xml:space="preserve">第六章 </w:t>
      </w:r>
      <w:r>
        <w:rPr>
          <w:rFonts w:hint="eastAsia" w:ascii="宋体" w:hAnsi="宋体" w:eastAsia="宋体" w:cs="宋体"/>
          <w:color w:val="auto"/>
          <w:sz w:val="44"/>
          <w:szCs w:val="44"/>
          <w:highlight w:val="none"/>
          <w:lang w:val="en-US" w:eastAsia="zh-CN"/>
        </w:rPr>
        <w:t>投标文件格式</w:t>
      </w:r>
      <w:bookmarkEnd w:id="130"/>
      <w:bookmarkEnd w:id="131"/>
      <w:bookmarkEnd w:id="132"/>
    </w:p>
    <w:p w14:paraId="3DA04CDB">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5301761F">
      <w:pPr>
        <w:pageBreakBefore w:val="0"/>
        <w:kinsoku/>
        <w:overflowPunct/>
        <w:topLinePunct w:val="0"/>
        <w:bidi w:val="0"/>
        <w:spacing w:line="240" w:lineRule="auto"/>
        <w:rPr>
          <w:rFonts w:hint="eastAsia" w:ascii="宋体" w:hAnsi="宋体" w:eastAsia="宋体" w:cs="宋体"/>
          <w:b/>
          <w:color w:val="auto"/>
          <w:sz w:val="32"/>
          <w:szCs w:val="32"/>
          <w:highlight w:val="none"/>
        </w:rPr>
      </w:pPr>
      <w:bookmarkStart w:id="133" w:name="_Toc19686836"/>
      <w:r>
        <w:rPr>
          <w:rFonts w:hint="eastAsia" w:ascii="宋体" w:hAnsi="宋体" w:eastAsia="宋体" w:cs="宋体"/>
          <w:b/>
          <w:color w:val="auto"/>
          <w:sz w:val="32"/>
          <w:szCs w:val="32"/>
          <w:highlight w:val="none"/>
        </w:rPr>
        <w:t>一、报价文件格式</w:t>
      </w:r>
      <w:bookmarkEnd w:id="133"/>
    </w:p>
    <w:p w14:paraId="727DC3CF">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1.报价文件封面格式： </w:t>
      </w:r>
    </w:p>
    <w:p w14:paraId="23C00214">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2"/>
          <w:szCs w:val="32"/>
          <w:highlight w:val="none"/>
        </w:rPr>
      </w:pPr>
    </w:p>
    <w:p w14:paraId="67D01C0F">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2"/>
          <w:szCs w:val="32"/>
          <w:highlight w:val="none"/>
        </w:rPr>
      </w:pPr>
    </w:p>
    <w:p w14:paraId="4B0D74D7">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14:paraId="60374E98">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p>
    <w:p w14:paraId="6C14C4CF">
      <w:pPr>
        <w:pageBreakBefore w:val="0"/>
        <w:kinsoku/>
        <w:overflowPunct/>
        <w:topLinePunct w:val="0"/>
        <w:bidi w:val="0"/>
        <w:snapToGrid w:val="0"/>
        <w:spacing w:before="120" w:beforeLines="50" w:after="50" w:line="24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报  价  文  件</w:t>
      </w:r>
    </w:p>
    <w:p w14:paraId="192B4BEB">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C8740CA">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074C68E">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93E21E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2BDF9E59">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项目名称： </w:t>
      </w:r>
    </w:p>
    <w:p w14:paraId="01FEFF58">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083A9831">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项目编号： </w:t>
      </w:r>
    </w:p>
    <w:p w14:paraId="3F2499E3">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lang w:val="en-US" w:eastAsia="zh-CN"/>
        </w:rPr>
      </w:pPr>
    </w:p>
    <w:p w14:paraId="23ACAE54">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分标：</w:t>
      </w:r>
    </w:p>
    <w:p w14:paraId="3A074F35">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097D1B82">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14:paraId="3BE61A19">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738C62B1">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14:paraId="7D65829B">
      <w:pPr>
        <w:pStyle w:val="7"/>
        <w:pageBreakBefore w:val="0"/>
        <w:kinsoku/>
        <w:overflowPunct/>
        <w:topLinePunct w:val="0"/>
        <w:bidi w:val="0"/>
        <w:snapToGrid w:val="0"/>
        <w:spacing w:before="50" w:after="50" w:line="240" w:lineRule="auto"/>
        <w:ind w:firstLine="840" w:firstLineChars="400"/>
        <w:rPr>
          <w:rFonts w:hint="eastAsia" w:ascii="宋体" w:hAnsi="宋体" w:eastAsia="宋体" w:cs="宋体"/>
          <w:bCs/>
          <w:color w:val="auto"/>
          <w:sz w:val="21"/>
          <w:szCs w:val="21"/>
          <w:highlight w:val="none"/>
        </w:rPr>
      </w:pPr>
    </w:p>
    <w:p w14:paraId="78FA29A1">
      <w:pPr>
        <w:pageBreakBefore w:val="0"/>
        <w:kinsoku/>
        <w:overflowPunct/>
        <w:topLinePunct w:val="0"/>
        <w:bidi w:val="0"/>
        <w:snapToGrid w:val="0"/>
        <w:spacing w:before="120" w:beforeLines="50" w:after="5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8"/>
          <w:szCs w:val="28"/>
          <w:highlight w:val="none"/>
        </w:rPr>
        <w:t xml:space="preserve">  年  月  日</w:t>
      </w:r>
    </w:p>
    <w:p w14:paraId="1D92F969">
      <w:pPr>
        <w:rPr>
          <w:rFonts w:hint="eastAsia"/>
        </w:rPr>
      </w:pPr>
      <w:r>
        <w:rPr>
          <w:rFonts w:hint="eastAsia" w:ascii="宋体" w:hAnsi="宋体" w:eastAsia="宋体" w:cs="宋体"/>
          <w:color w:val="auto"/>
          <w:sz w:val="21"/>
          <w:szCs w:val="21"/>
          <w:highlight w:val="none"/>
        </w:rPr>
        <w:br w:type="page"/>
      </w:r>
    </w:p>
    <w:p w14:paraId="59A3E7AE">
      <w:pPr>
        <w:pageBreakBefore w:val="0"/>
        <w:kinsoku/>
        <w:overflowPunct/>
        <w:topLinePunct w:val="0"/>
        <w:bidi w:val="0"/>
        <w:snapToGrid w:val="0"/>
        <w:spacing w:before="120" w:beforeLines="50" w:after="50" w:line="240" w:lineRule="auto"/>
        <w:jc w:val="left"/>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2.</w:t>
      </w:r>
      <w:r>
        <w:rPr>
          <w:rFonts w:hint="eastAsia" w:ascii="宋体" w:hAnsi="宋体" w:eastAsia="宋体" w:cs="宋体"/>
          <w:b/>
          <w:bCs/>
          <w:color w:val="auto"/>
          <w:sz w:val="30"/>
          <w:szCs w:val="30"/>
          <w:highlight w:val="none"/>
        </w:rPr>
        <w:t>报价文件目录</w:t>
      </w:r>
    </w:p>
    <w:p w14:paraId="3370FAAA">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14:paraId="74547488">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30"/>
          <w:szCs w:val="30"/>
          <w:highlight w:val="none"/>
        </w:rPr>
        <w:t>3.投标函格式：</w:t>
      </w:r>
    </w:p>
    <w:p w14:paraId="0485F9BA">
      <w:pPr>
        <w:pageBreakBefore w:val="0"/>
        <w:kinsoku/>
        <w:overflowPunct/>
        <w:topLinePunct w:val="0"/>
        <w:bidi w:val="0"/>
        <w:snapToGrid w:val="0"/>
        <w:spacing w:before="120" w:beforeLines="50" w:after="50"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投 标 函</w:t>
      </w:r>
    </w:p>
    <w:p w14:paraId="3378DF63">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0F80C49">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公告，签字代表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（姓名）经正式授权并代表投标人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（投标人名称）提交投标文件。</w:t>
      </w:r>
    </w:p>
    <w:p w14:paraId="5848BCB8">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据此函，我方宣布同意如下：</w:t>
      </w:r>
    </w:p>
    <w:p w14:paraId="373007FC">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1.我方已详细审查全部“</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文件”，包括修改文件（如有的话）以及全部参考资料和有关附件，已经了解我方对于</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文件、采购过程、采购结果有依法进行询问、质疑、投诉的权利及相关渠道和要求。</w:t>
      </w:r>
    </w:p>
    <w:p w14:paraId="22F204DD">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2.我方在投标之前已经完全理解并接受</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文件的各项规定和要求，对</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文件的合理性、合法性不再有异议。</w:t>
      </w:r>
    </w:p>
    <w:p w14:paraId="603FF303">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3.本投标有效期自投标截止之日起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E2A9759">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4.如中标，本投标文件至本项目合同履行完毕止均保持有效，我方将按“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文件”及政府采购法律、法规的规定履行合同责任和义务。</w:t>
      </w:r>
    </w:p>
    <w:p w14:paraId="2DCE2E5F">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5.我方同意按照贵方要求提供与投标有关的一切数据或者资料。</w:t>
      </w:r>
    </w:p>
    <w:p w14:paraId="2C712302">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6.我方向贵方提交的所有投标文件、资料都是准确的和真实的。</w:t>
      </w:r>
    </w:p>
    <w:p w14:paraId="7BC74D7D">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7.以上事项如有虚假或者隐瞒，我方愿意承担一切后果，并不再寻求任何旨在减轻或者免除法律责任的辩解。</w:t>
      </w:r>
    </w:p>
    <w:p w14:paraId="7C4B7DD6">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01C3A5B6">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□我方本次投标文件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p>
    <w:p w14:paraId="2B35C901">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□我方本次投标文件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04F264C">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9.与本投标有关的一切正式往来信函请寄：</w:t>
      </w:r>
    </w:p>
    <w:p w14:paraId="3FAE09E6">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p>
    <w:p w14:paraId="6AE9CF4E">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电子邮箱：</w:t>
      </w:r>
      <w:r>
        <w:rPr>
          <w:rFonts w:hint="eastAsia" w:ascii="宋体" w:hAnsi="宋体" w:eastAsia="宋体" w:cs="宋体"/>
          <w:color w:val="auto"/>
          <w:sz w:val="24"/>
          <w:szCs w:val="24"/>
          <w:highlight w:val="none"/>
          <w:u w:val="single"/>
        </w:rPr>
        <w:t xml:space="preserve">         </w:t>
      </w:r>
    </w:p>
    <w:p w14:paraId="19D3D51E">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2BD9F389">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银行帐号：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79320B6">
      <w:pPr>
        <w:pStyle w:val="2"/>
        <w:pageBreakBefore w:val="0"/>
        <w:kinsoku/>
        <w:overflowPunct/>
        <w:topLinePunct w:val="0"/>
        <w:bidi w:val="0"/>
        <w:spacing w:line="240" w:lineRule="auto"/>
        <w:rPr>
          <w:rFonts w:hint="eastAsia" w:ascii="宋体" w:hAnsi="宋体" w:eastAsia="宋体" w:cs="宋体"/>
          <w:color w:val="auto"/>
          <w:sz w:val="24"/>
          <w:szCs w:val="24"/>
          <w:highlight w:val="none"/>
        </w:rPr>
      </w:pPr>
    </w:p>
    <w:p w14:paraId="3838D8F1">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法定代表人或者委托代理人（签名）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_______ </w:t>
      </w:r>
    </w:p>
    <w:p w14:paraId="14C85D74">
      <w:pPr>
        <w:pStyle w:val="12"/>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投标人名称（公章）：</w:t>
      </w:r>
    </w:p>
    <w:p w14:paraId="5CAEB1BE">
      <w:pPr>
        <w:pStyle w:val="12"/>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AA65F42">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lang w:eastAsia="zh-CN"/>
        </w:rPr>
      </w:pPr>
      <w:r>
        <w:rPr>
          <w:rFonts w:hint="eastAsia"/>
          <w:lang w:val="en-US" w:eastAsia="zh-CN"/>
        </w:rPr>
        <w:br w:type="page"/>
      </w:r>
      <w:r>
        <w:rPr>
          <w:rFonts w:hint="eastAsia" w:ascii="宋体" w:hAnsi="宋体" w:eastAsia="宋体" w:cs="宋体"/>
          <w:b/>
          <w:color w:val="auto"/>
          <w:sz w:val="30"/>
          <w:szCs w:val="30"/>
          <w:highlight w:val="none"/>
        </w:rPr>
        <w:t>4.</w:t>
      </w:r>
      <w:r>
        <w:rPr>
          <w:rFonts w:hint="eastAsia" w:ascii="宋体" w:hAnsi="宋体" w:eastAsia="宋体" w:cs="宋体"/>
          <w:b/>
          <w:color w:val="auto"/>
          <w:sz w:val="30"/>
          <w:szCs w:val="30"/>
          <w:highlight w:val="none"/>
          <w:lang w:eastAsia="zh-CN"/>
        </w:rPr>
        <w:t>开标一览表</w:t>
      </w:r>
    </w:p>
    <w:p w14:paraId="18FDDAAB">
      <w:pPr>
        <w:pageBreakBefore w:val="0"/>
        <w:kinsoku/>
        <w:overflowPunct/>
        <w:topLinePunct w:val="0"/>
        <w:bidi w:val="0"/>
        <w:snapToGrid w:val="0"/>
        <w:spacing w:before="50" w:after="50" w:line="24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开标一览表</w:t>
      </w:r>
    </w:p>
    <w:p w14:paraId="53A23CA5">
      <w:pPr>
        <w:pageBreakBefore w:val="0"/>
        <w:kinsoku/>
        <w:overflowPunct/>
        <w:topLinePunct w:val="0"/>
        <w:bidi w:val="0"/>
        <w:snapToGrid w:val="0"/>
        <w:spacing w:before="50" w:after="50" w:line="240" w:lineRule="auto"/>
        <w:jc w:val="center"/>
        <w:rPr>
          <w:rFonts w:hint="eastAsia" w:ascii="宋体" w:hAnsi="宋体" w:eastAsia="宋体" w:cs="宋体"/>
          <w:b/>
          <w:color w:val="auto"/>
          <w:sz w:val="21"/>
          <w:szCs w:val="21"/>
          <w:highlight w:val="none"/>
        </w:rPr>
      </w:pPr>
    </w:p>
    <w:p w14:paraId="18B1276D">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分标：</w:t>
      </w:r>
      <w:r>
        <w:rPr>
          <w:rFonts w:hint="eastAsia" w:ascii="宋体" w:hAnsi="宋体" w:eastAsia="宋体" w:cs="宋体"/>
          <w:color w:val="auto"/>
          <w:sz w:val="21"/>
          <w:szCs w:val="21"/>
          <w:highlight w:val="none"/>
          <w:u w:val="single"/>
        </w:rPr>
        <w:t xml:space="preserve">      </w:t>
      </w:r>
    </w:p>
    <w:p w14:paraId="5C795584">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单位：</w:t>
      </w:r>
      <w:r>
        <w:rPr>
          <w:rFonts w:hint="eastAsia" w:ascii="宋体" w:hAnsi="宋体" w:cs="宋体"/>
          <w:color w:val="auto"/>
          <w:sz w:val="21"/>
          <w:szCs w:val="21"/>
          <w:highlight w:val="none"/>
          <w:lang w:val="en-US" w:eastAsia="zh-CN"/>
        </w:rPr>
        <w:t>元</w:t>
      </w:r>
    </w:p>
    <w:tbl>
      <w:tblPr>
        <w:tblStyle w:val="16"/>
        <w:tblW w:w="95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73"/>
        <w:gridCol w:w="1184"/>
      </w:tblGrid>
      <w:tr w14:paraId="78A8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6B7A3041">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44D1EDF1">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b/>
                <w:color w:val="auto"/>
                <w:sz w:val="24"/>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43D74948">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78DB5537">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4FF2D716">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032067D7">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备注</w:t>
            </w:r>
          </w:p>
        </w:tc>
      </w:tr>
      <w:tr w14:paraId="606C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4266610C">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1A35A6ED">
            <w:pPr>
              <w:pageBreakBefore w:val="0"/>
              <w:kinsoku/>
              <w:overflowPunct/>
              <w:topLinePunct w:val="0"/>
              <w:bidi w:val="0"/>
              <w:spacing w:line="240" w:lineRule="auto"/>
              <w:jc w:val="center"/>
              <w:rPr>
                <w:rFonts w:hint="eastAsia" w:ascii="宋体" w:hAnsi="宋体" w:cs="宋体"/>
                <w:color w:val="auto"/>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0D3749D1">
            <w:pPr>
              <w:pageBreakBefore w:val="0"/>
              <w:kinsoku/>
              <w:overflowPunct/>
              <w:topLinePunct w:val="0"/>
              <w:bidi w:val="0"/>
              <w:spacing w:line="240" w:lineRule="auto"/>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0F7E3D10">
            <w:pPr>
              <w:pageBreakBefore w:val="0"/>
              <w:kinsoku/>
              <w:overflowPunct/>
              <w:topLinePunct w:val="0"/>
              <w:bidi w:val="0"/>
              <w:spacing w:line="240" w:lineRule="auto"/>
              <w:rPr>
                <w:rFonts w:hint="eastAsia"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tcPr>
          <w:p w14:paraId="3F4ADA0F">
            <w:pPr>
              <w:pageBreakBefore w:val="0"/>
              <w:kinsoku/>
              <w:overflowPunct/>
              <w:topLinePunct w:val="0"/>
              <w:bidi w:val="0"/>
              <w:spacing w:line="240" w:lineRule="auto"/>
              <w:rPr>
                <w:rFonts w:hint="eastAsia"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7EF8EA0B">
            <w:pPr>
              <w:pageBreakBefore w:val="0"/>
              <w:kinsoku/>
              <w:overflowPunct/>
              <w:topLinePunct w:val="0"/>
              <w:bidi w:val="0"/>
              <w:spacing w:line="240" w:lineRule="auto"/>
              <w:rPr>
                <w:rFonts w:hint="eastAsia" w:ascii="宋体" w:hAnsi="宋体" w:cs="宋体"/>
                <w:color w:val="auto"/>
                <w:sz w:val="24"/>
              </w:rPr>
            </w:pPr>
          </w:p>
        </w:tc>
      </w:tr>
      <w:tr w14:paraId="43BE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4F2F67DF">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2</w:t>
            </w:r>
          </w:p>
        </w:tc>
        <w:tc>
          <w:tcPr>
            <w:tcW w:w="2712" w:type="dxa"/>
            <w:tcBorders>
              <w:top w:val="single" w:color="auto" w:sz="4" w:space="0"/>
              <w:left w:val="single" w:color="auto" w:sz="4" w:space="0"/>
              <w:bottom w:val="single" w:color="auto" w:sz="4" w:space="0"/>
              <w:right w:val="single" w:color="auto" w:sz="4" w:space="0"/>
            </w:tcBorders>
            <w:vAlign w:val="center"/>
          </w:tcPr>
          <w:p w14:paraId="753769CB">
            <w:pPr>
              <w:pageBreakBefore w:val="0"/>
              <w:kinsoku/>
              <w:overflowPunct/>
              <w:topLinePunct w:val="0"/>
              <w:bidi w:val="0"/>
              <w:spacing w:line="240" w:lineRule="auto"/>
              <w:jc w:val="center"/>
              <w:rPr>
                <w:rFonts w:hint="eastAsia" w:ascii="宋体" w:hAnsi="宋体" w:cs="宋体"/>
                <w:color w:val="auto"/>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53C962CF">
            <w:pPr>
              <w:pageBreakBefore w:val="0"/>
              <w:kinsoku/>
              <w:overflowPunct/>
              <w:topLinePunct w:val="0"/>
              <w:bidi w:val="0"/>
              <w:spacing w:line="240" w:lineRule="auto"/>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2C4CE825">
            <w:pPr>
              <w:pageBreakBefore w:val="0"/>
              <w:kinsoku/>
              <w:overflowPunct/>
              <w:topLinePunct w:val="0"/>
              <w:bidi w:val="0"/>
              <w:spacing w:line="240" w:lineRule="auto"/>
              <w:rPr>
                <w:rFonts w:hint="eastAsia"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tcPr>
          <w:p w14:paraId="6B006BC3">
            <w:pPr>
              <w:pageBreakBefore w:val="0"/>
              <w:kinsoku/>
              <w:overflowPunct/>
              <w:topLinePunct w:val="0"/>
              <w:bidi w:val="0"/>
              <w:spacing w:line="240" w:lineRule="auto"/>
              <w:rPr>
                <w:rFonts w:hint="eastAsia"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1014134D">
            <w:pPr>
              <w:pageBreakBefore w:val="0"/>
              <w:kinsoku/>
              <w:overflowPunct/>
              <w:topLinePunct w:val="0"/>
              <w:bidi w:val="0"/>
              <w:spacing w:line="240" w:lineRule="auto"/>
              <w:rPr>
                <w:rFonts w:hint="eastAsia" w:ascii="宋体" w:hAnsi="宋体" w:cs="宋体"/>
                <w:color w:val="auto"/>
                <w:sz w:val="24"/>
              </w:rPr>
            </w:pPr>
          </w:p>
        </w:tc>
      </w:tr>
      <w:tr w14:paraId="295B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168B093C">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b/>
                <w:color w:val="auto"/>
                <w:sz w:val="24"/>
              </w:rPr>
              <w:t>……</w:t>
            </w:r>
          </w:p>
        </w:tc>
        <w:tc>
          <w:tcPr>
            <w:tcW w:w="2712" w:type="dxa"/>
            <w:tcBorders>
              <w:top w:val="single" w:color="auto" w:sz="4" w:space="0"/>
              <w:left w:val="single" w:color="auto" w:sz="4" w:space="0"/>
              <w:bottom w:val="single" w:color="auto" w:sz="4" w:space="0"/>
              <w:right w:val="single" w:color="auto" w:sz="4" w:space="0"/>
            </w:tcBorders>
            <w:vAlign w:val="center"/>
          </w:tcPr>
          <w:p w14:paraId="5AE33412">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b/>
                <w:color w:val="auto"/>
                <w:sz w:val="24"/>
              </w:rPr>
              <w:t>……</w:t>
            </w:r>
          </w:p>
        </w:tc>
        <w:tc>
          <w:tcPr>
            <w:tcW w:w="1521" w:type="dxa"/>
            <w:tcBorders>
              <w:top w:val="single" w:color="auto" w:sz="4" w:space="0"/>
              <w:left w:val="single" w:color="auto" w:sz="4" w:space="0"/>
              <w:bottom w:val="single" w:color="auto" w:sz="4" w:space="0"/>
              <w:right w:val="single" w:color="auto" w:sz="4" w:space="0"/>
            </w:tcBorders>
            <w:vAlign w:val="center"/>
          </w:tcPr>
          <w:p w14:paraId="1D695CD2">
            <w:pPr>
              <w:pageBreakBefore w:val="0"/>
              <w:kinsoku/>
              <w:overflowPunct/>
              <w:topLinePunct w:val="0"/>
              <w:bidi w:val="0"/>
              <w:spacing w:line="240" w:lineRule="auto"/>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22264612">
            <w:pPr>
              <w:pageBreakBefore w:val="0"/>
              <w:kinsoku/>
              <w:overflowPunct/>
              <w:topLinePunct w:val="0"/>
              <w:bidi w:val="0"/>
              <w:spacing w:line="240" w:lineRule="auto"/>
              <w:rPr>
                <w:rFonts w:hint="eastAsia"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tcPr>
          <w:p w14:paraId="332B903A">
            <w:pPr>
              <w:pageBreakBefore w:val="0"/>
              <w:kinsoku/>
              <w:overflowPunct/>
              <w:topLinePunct w:val="0"/>
              <w:bidi w:val="0"/>
              <w:spacing w:line="240" w:lineRule="auto"/>
              <w:rPr>
                <w:rFonts w:hint="eastAsia"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38338B36">
            <w:pPr>
              <w:pageBreakBefore w:val="0"/>
              <w:kinsoku/>
              <w:overflowPunct/>
              <w:topLinePunct w:val="0"/>
              <w:bidi w:val="0"/>
              <w:spacing w:line="240" w:lineRule="auto"/>
              <w:rPr>
                <w:rFonts w:hint="eastAsia" w:ascii="宋体" w:hAnsi="宋体" w:cs="宋体"/>
                <w:color w:val="auto"/>
                <w:sz w:val="24"/>
              </w:rPr>
            </w:pPr>
          </w:p>
        </w:tc>
      </w:tr>
      <w:tr w14:paraId="3F0B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520" w:type="dxa"/>
            <w:gridSpan w:val="6"/>
            <w:tcBorders>
              <w:top w:val="single" w:color="auto" w:sz="4" w:space="0"/>
              <w:left w:val="single" w:color="auto" w:sz="4" w:space="0"/>
              <w:bottom w:val="single" w:color="auto" w:sz="4" w:space="0"/>
              <w:right w:val="single" w:color="auto" w:sz="4" w:space="0"/>
            </w:tcBorders>
            <w:vAlign w:val="center"/>
          </w:tcPr>
          <w:p w14:paraId="607F5757">
            <w:pPr>
              <w:pageBreakBefore w:val="0"/>
              <w:kinsoku/>
              <w:overflowPunct/>
              <w:topLinePunct w:val="0"/>
              <w:bidi w:val="0"/>
              <w:snapToGrid w:val="0"/>
              <w:spacing w:before="50" w:after="50" w:line="240" w:lineRule="auto"/>
              <w:rPr>
                <w:rFonts w:hint="eastAsia" w:ascii="宋体" w:hAnsi="宋体" w:cs="宋体"/>
                <w:color w:val="auto"/>
                <w:sz w:val="24"/>
              </w:rPr>
            </w:pPr>
            <w:r>
              <w:rPr>
                <w:rFonts w:hint="eastAsia" w:ascii="宋体" w:hAnsi="宋体" w:cs="宋体"/>
                <w:color w:val="auto"/>
                <w:sz w:val="24"/>
              </w:rPr>
              <w:t>合计金额大写：人民币（￥）</w:t>
            </w:r>
          </w:p>
        </w:tc>
      </w:tr>
    </w:tbl>
    <w:p w14:paraId="64C8EA87">
      <w:pPr>
        <w:pageBreakBefore w:val="0"/>
        <w:kinsoku/>
        <w:overflowPunct/>
        <w:topLinePunct w:val="0"/>
        <w:bidi w:val="0"/>
        <w:snapToGrid w:val="0"/>
        <w:spacing w:before="50" w:after="50" w:line="240" w:lineRule="auto"/>
        <w:jc w:val="left"/>
        <w:rPr>
          <w:rFonts w:hint="eastAsia" w:ascii="宋体" w:hAnsi="宋体" w:eastAsia="宋体" w:cs="宋体"/>
          <w:color w:val="auto"/>
          <w:sz w:val="21"/>
          <w:szCs w:val="21"/>
          <w:highlight w:val="none"/>
        </w:rPr>
      </w:pPr>
    </w:p>
    <w:p w14:paraId="17FB7572">
      <w:pPr>
        <w:pageBreakBefore w:val="0"/>
        <w:kinsoku/>
        <w:overflowPunct/>
        <w:topLinePunct w:val="0"/>
        <w:bidi w:val="0"/>
        <w:snapToGrid w:val="0"/>
        <w:spacing w:before="50" w:after="50" w:line="240" w:lineRule="auto"/>
        <w:jc w:val="left"/>
        <w:rPr>
          <w:rFonts w:hint="eastAsia" w:ascii="宋体" w:hAnsi="宋体" w:cs="宋体"/>
          <w:color w:val="auto"/>
          <w:sz w:val="24"/>
        </w:rPr>
      </w:pPr>
      <w:r>
        <w:rPr>
          <w:rFonts w:hint="eastAsia" w:ascii="宋体" w:hAnsi="宋体" w:cs="宋体"/>
          <w:color w:val="auto"/>
          <w:sz w:val="24"/>
        </w:rPr>
        <w:t>注</w:t>
      </w:r>
      <w:r>
        <w:rPr>
          <w:rFonts w:hint="eastAsia" w:ascii="宋体" w:hAnsi="宋体" w:cs="宋体"/>
          <w:color w:val="auto"/>
          <w:sz w:val="24"/>
          <w:lang w:eastAsia="zh-CN"/>
        </w:rPr>
        <w:t>：</w:t>
      </w:r>
      <w:r>
        <w:rPr>
          <w:rFonts w:hint="eastAsia" w:ascii="宋体" w:hAnsi="宋体" w:cs="宋体"/>
          <w:color w:val="auto"/>
          <w:sz w:val="24"/>
        </w:rPr>
        <w:t xml:space="preserve"> </w:t>
      </w:r>
    </w:p>
    <w:p w14:paraId="49CED724">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rPr>
      </w:pPr>
      <w:r>
        <w:rPr>
          <w:rFonts w:hint="eastAsia" w:ascii="宋体" w:hAnsi="宋体" w:cs="宋体"/>
          <w:color w:val="auto"/>
          <w:sz w:val="24"/>
        </w:rPr>
        <w:t>1.投标人的开标一览表必须加盖投标人公章并由法定代表人或者委托代理人签字，</w:t>
      </w:r>
      <w:r>
        <w:rPr>
          <w:rFonts w:hint="eastAsia" w:ascii="宋体" w:hAnsi="宋体" w:cs="宋体"/>
          <w:b/>
          <w:color w:val="auto"/>
          <w:sz w:val="24"/>
        </w:rPr>
        <w:t>否则其投标作无效标处理</w:t>
      </w:r>
      <w:r>
        <w:rPr>
          <w:rFonts w:hint="eastAsia" w:ascii="宋体" w:hAnsi="宋体" w:cs="宋体"/>
          <w:color w:val="auto"/>
          <w:sz w:val="24"/>
        </w:rPr>
        <w:t>。</w:t>
      </w:r>
    </w:p>
    <w:p w14:paraId="3473F111">
      <w:pPr>
        <w:pageBreakBefore w:val="0"/>
        <w:kinsoku/>
        <w:overflowPunct/>
        <w:topLinePunct w:val="0"/>
        <w:bidi w:val="0"/>
        <w:snapToGrid w:val="0"/>
        <w:spacing w:before="50" w:after="50" w:line="240" w:lineRule="auto"/>
        <w:ind w:firstLine="480" w:firstLineChars="200"/>
        <w:jc w:val="left"/>
        <w:rPr>
          <w:rFonts w:hint="eastAsia" w:ascii="宋体" w:hAnsi="宋体" w:cs="宋体"/>
          <w:b/>
          <w:color w:val="auto"/>
          <w:sz w:val="24"/>
        </w:rPr>
      </w:pPr>
      <w:r>
        <w:rPr>
          <w:rFonts w:hint="eastAsia" w:ascii="宋体" w:hAnsi="宋体" w:cs="宋体"/>
          <w:bCs/>
          <w:color w:val="auto"/>
          <w:sz w:val="24"/>
        </w:rPr>
        <w:t>2.</w:t>
      </w:r>
      <w:r>
        <w:rPr>
          <w:rFonts w:hint="eastAsia" w:ascii="宋体" w:hAnsi="宋体" w:cs="宋体"/>
          <w:color w:val="auto"/>
          <w:sz w:val="24"/>
        </w:rPr>
        <w:t>报价一经涂改，应在涂改处加盖投标人公章或者由法定代表人或者委托代理人签字或者盖章</w:t>
      </w:r>
      <w:r>
        <w:rPr>
          <w:rFonts w:hint="eastAsia" w:ascii="宋体" w:hAnsi="宋体" w:cs="宋体"/>
          <w:b/>
          <w:color w:val="auto"/>
          <w:sz w:val="24"/>
        </w:rPr>
        <w:t>，否则其投标作无效标处理。</w:t>
      </w:r>
    </w:p>
    <w:p w14:paraId="38C31727">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rPr>
      </w:pPr>
      <w:r>
        <w:rPr>
          <w:rFonts w:hint="eastAsia" w:ascii="宋体" w:hAnsi="宋体" w:cs="宋体"/>
          <w:color w:val="auto"/>
          <w:sz w:val="24"/>
        </w:rPr>
        <w:t>3.如为联合体投标，“投标人名称”处必须列明联合体各方名称，并标注联合体牵头人名称，</w:t>
      </w:r>
      <w:r>
        <w:rPr>
          <w:rFonts w:hint="eastAsia" w:ascii="宋体" w:hAnsi="宋体" w:cs="宋体"/>
          <w:b/>
          <w:color w:val="auto"/>
          <w:sz w:val="24"/>
        </w:rPr>
        <w:t>否则其投标作无效标处理。</w:t>
      </w:r>
    </w:p>
    <w:p w14:paraId="01256224">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rPr>
      </w:pPr>
      <w:r>
        <w:rPr>
          <w:rFonts w:hint="eastAsia" w:ascii="宋体" w:hAnsi="宋体" w:cs="宋体"/>
          <w:color w:val="auto"/>
          <w:sz w:val="24"/>
        </w:rPr>
        <w:t>4.如为联合体投标，盖章处须加盖联合体各方公章，</w:t>
      </w:r>
      <w:r>
        <w:rPr>
          <w:rFonts w:hint="eastAsia" w:ascii="宋体" w:hAnsi="宋体" w:cs="宋体"/>
          <w:b/>
          <w:color w:val="auto"/>
          <w:sz w:val="24"/>
        </w:rPr>
        <w:t>否则其投标作无效标处理。</w:t>
      </w:r>
    </w:p>
    <w:p w14:paraId="6F538482">
      <w:pPr>
        <w:pageBreakBefore w:val="0"/>
        <w:kinsoku/>
        <w:overflowPunct/>
        <w:topLinePunct w:val="0"/>
        <w:bidi w:val="0"/>
        <w:snapToGrid w:val="0"/>
        <w:spacing w:before="50" w:after="50" w:line="240" w:lineRule="auto"/>
        <w:ind w:firstLine="480" w:firstLineChars="200"/>
        <w:rPr>
          <w:rFonts w:hint="eastAsia" w:ascii="宋体" w:hAnsi="宋体" w:cs="宋体"/>
          <w:color w:val="auto"/>
          <w:sz w:val="24"/>
        </w:rPr>
      </w:pPr>
      <w:r>
        <w:rPr>
          <w:rFonts w:hint="eastAsia" w:ascii="宋体" w:hAnsi="宋体" w:cs="宋体"/>
          <w:color w:val="auto"/>
          <w:sz w:val="24"/>
        </w:rPr>
        <w:t>5.如有多分标，按分标分别提供开标一览表，</w:t>
      </w:r>
      <w:r>
        <w:rPr>
          <w:rFonts w:hint="eastAsia" w:ascii="宋体" w:hAnsi="宋体" w:cs="宋体"/>
          <w:b/>
          <w:color w:val="auto"/>
          <w:sz w:val="24"/>
        </w:rPr>
        <w:t>否则投标无效。</w:t>
      </w:r>
    </w:p>
    <w:p w14:paraId="6216F72E">
      <w:pPr>
        <w:pageBreakBefore w:val="0"/>
        <w:kinsoku/>
        <w:overflowPunct/>
        <w:topLinePunct w:val="0"/>
        <w:bidi w:val="0"/>
        <w:snapToGrid w:val="0"/>
        <w:spacing w:before="50" w:after="50" w:line="240" w:lineRule="auto"/>
        <w:ind w:left="-2" w:right="-817" w:rightChars="-389"/>
        <w:rPr>
          <w:rFonts w:hint="eastAsia" w:ascii="宋体" w:hAnsi="宋体" w:cs="宋体"/>
          <w:color w:val="auto"/>
          <w:sz w:val="24"/>
        </w:rPr>
      </w:pPr>
    </w:p>
    <w:p w14:paraId="7854B444">
      <w:pPr>
        <w:pageBreakBefore w:val="0"/>
        <w:kinsoku/>
        <w:overflowPunct/>
        <w:topLinePunct w:val="0"/>
        <w:bidi w:val="0"/>
        <w:snapToGrid w:val="0"/>
        <w:spacing w:before="50" w:after="50" w:line="240" w:lineRule="auto"/>
        <w:ind w:left="-2" w:right="-817" w:rightChars="-389"/>
        <w:rPr>
          <w:rFonts w:hint="eastAsia" w:ascii="宋体" w:hAnsi="宋体" w:cs="宋体"/>
          <w:color w:val="auto"/>
          <w:sz w:val="24"/>
        </w:rPr>
      </w:pPr>
      <w:r>
        <w:rPr>
          <w:rFonts w:hint="eastAsia" w:ascii="宋体" w:hAnsi="宋体" w:cs="宋体"/>
          <w:color w:val="auto"/>
          <w:sz w:val="24"/>
        </w:rPr>
        <w:t xml:space="preserve">法定代表人或者委托代理人（签字）：                    </w:t>
      </w:r>
    </w:p>
    <w:p w14:paraId="10E1FB51">
      <w:pPr>
        <w:pageBreakBefore w:val="0"/>
        <w:kinsoku/>
        <w:overflowPunct/>
        <w:topLinePunct w:val="0"/>
        <w:bidi w:val="0"/>
        <w:snapToGrid w:val="0"/>
        <w:spacing w:before="50" w:after="50" w:line="240" w:lineRule="auto"/>
        <w:ind w:left="-3" w:leftChars="-72" w:right="-817" w:rightChars="-389" w:hanging="148" w:hangingChars="62"/>
        <w:rPr>
          <w:rFonts w:hint="eastAsia" w:ascii="宋体" w:hAnsi="宋体" w:cs="宋体"/>
          <w:color w:val="auto"/>
          <w:sz w:val="24"/>
        </w:rPr>
      </w:pPr>
    </w:p>
    <w:p w14:paraId="57EA5BA2">
      <w:pPr>
        <w:pageBreakBefore w:val="0"/>
        <w:kinsoku/>
        <w:overflowPunct/>
        <w:topLinePunct w:val="0"/>
        <w:bidi w:val="0"/>
        <w:snapToGrid w:val="0"/>
        <w:spacing w:before="50" w:after="50" w:line="240" w:lineRule="auto"/>
        <w:ind w:left="-3" w:leftChars="-15" w:right="-817" w:rightChars="-389" w:hanging="28" w:hangingChars="12"/>
        <w:rPr>
          <w:rFonts w:hint="eastAsia" w:ascii="宋体" w:hAnsi="宋体" w:cs="宋体"/>
          <w:color w:val="auto"/>
          <w:sz w:val="24"/>
        </w:rPr>
      </w:pPr>
      <w:r>
        <w:rPr>
          <w:rFonts w:hint="eastAsia" w:ascii="宋体" w:hAnsi="宋体" w:cs="宋体"/>
          <w:color w:val="auto"/>
          <w:sz w:val="24"/>
        </w:rPr>
        <w:t>投标人（盖公章）：                                 日期：    年   月   日</w:t>
      </w:r>
    </w:p>
    <w:p w14:paraId="22615E2F">
      <w:pPr>
        <w:rPr>
          <w:rFonts w:hint="eastAsia"/>
        </w:rPr>
      </w:pPr>
      <w:r>
        <w:rPr>
          <w:rFonts w:hint="eastAsia" w:ascii="宋体" w:hAnsi="宋体" w:cs="宋体"/>
          <w:color w:val="auto"/>
          <w:sz w:val="24"/>
        </w:rPr>
        <w:br w:type="page"/>
      </w:r>
    </w:p>
    <w:p w14:paraId="76E770BF">
      <w:pPr>
        <w:pageBreakBefore w:val="0"/>
        <w:numPr>
          <w:ilvl w:val="0"/>
          <w:numId w:val="0"/>
        </w:numPr>
        <w:kinsoku/>
        <w:overflowPunct/>
        <w:topLinePunct w:val="0"/>
        <w:bidi w:val="0"/>
        <w:snapToGrid w:val="0"/>
        <w:spacing w:before="120" w:beforeLines="50" w:after="50" w:line="240" w:lineRule="auto"/>
        <w:jc w:val="left"/>
        <w:rPr>
          <w:rFonts w:hint="eastAsia" w:ascii="微软雅黑" w:hAnsi="微软雅黑" w:eastAsia="微软雅黑" w:cs="微软雅黑"/>
          <w:bCs/>
          <w:sz w:val="44"/>
          <w:szCs w:val="44"/>
        </w:rPr>
      </w:pPr>
      <w:bookmarkStart w:id="134" w:name="_Toc71365383"/>
      <w:bookmarkStart w:id="135" w:name="_Toc71366061"/>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中小企业声明函或监狱企业证明材料或</w:t>
      </w:r>
      <w:r>
        <w:rPr>
          <w:rFonts w:hint="eastAsia" w:ascii="宋体" w:hAnsi="宋体" w:eastAsia="宋体" w:cs="宋体"/>
          <w:b/>
          <w:color w:val="auto"/>
          <w:sz w:val="30"/>
          <w:szCs w:val="30"/>
          <w:highlight w:val="none"/>
          <w:lang w:val="en-US" w:eastAsia="zh-CN"/>
        </w:rPr>
        <w:t>残疾人福利性单位</w:t>
      </w:r>
      <w:r>
        <w:rPr>
          <w:rFonts w:hint="eastAsia" w:ascii="宋体" w:hAnsi="宋体" w:eastAsia="宋体" w:cs="宋体"/>
          <w:b/>
          <w:color w:val="auto"/>
          <w:sz w:val="30"/>
          <w:szCs w:val="30"/>
          <w:highlight w:val="none"/>
        </w:rPr>
        <w:t>声明函</w:t>
      </w:r>
    </w:p>
    <w:p w14:paraId="7E343E0D">
      <w:pPr>
        <w:adjustRightInd w:val="0"/>
        <w:snapToGrid w:val="0"/>
        <w:spacing w:line="240" w:lineRule="auto"/>
        <w:jc w:val="center"/>
        <w:rPr>
          <w:rFonts w:hint="eastAsia" w:ascii="微软雅黑" w:hAnsi="微软雅黑" w:eastAsia="微软雅黑" w:cs="微软雅黑"/>
          <w:bCs/>
          <w:sz w:val="32"/>
          <w:szCs w:val="32"/>
        </w:rPr>
      </w:pPr>
    </w:p>
    <w:p w14:paraId="069CF35B">
      <w:pPr>
        <w:adjustRightInd w:val="0"/>
        <w:snapToGrid w:val="0"/>
        <w:spacing w:line="240" w:lineRule="auto"/>
        <w:jc w:val="center"/>
        <w:rPr>
          <w:rFonts w:hint="eastAsia" w:ascii="微软雅黑" w:hAnsi="微软雅黑" w:eastAsia="微软雅黑" w:cs="微软雅黑"/>
          <w:bCs/>
          <w:sz w:val="32"/>
          <w:szCs w:val="32"/>
        </w:rPr>
      </w:pPr>
      <w:r>
        <w:rPr>
          <w:rFonts w:hint="eastAsia" w:ascii="微软雅黑" w:hAnsi="微软雅黑" w:eastAsia="微软雅黑" w:cs="微软雅黑"/>
          <w:bCs/>
          <w:sz w:val="32"/>
          <w:szCs w:val="32"/>
        </w:rPr>
        <w:t>中小企业声明函</w:t>
      </w:r>
      <w:bookmarkEnd w:id="134"/>
      <w:bookmarkEnd w:id="135"/>
    </w:p>
    <w:p w14:paraId="700EF1ED">
      <w:pPr>
        <w:rPr>
          <w:rFonts w:hint="eastAsia"/>
        </w:rPr>
      </w:pPr>
    </w:p>
    <w:p w14:paraId="76F7BBCC">
      <w:pPr>
        <w:pageBreakBefore w:val="0"/>
        <w:kinsoku/>
        <w:overflowPunct/>
        <w:topLinePunct w:val="0"/>
        <w:bidi w:val="0"/>
        <w:spacing w:line="240" w:lineRule="auto"/>
        <w:ind w:left="-426" w:leftChars="-203" w:right="142" w:firstLine="480" w:firstLineChars="200"/>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采购活动，服务全部由符合政策要求的中小企业承接。相关企业（含联合体中的中小企业、签订分包意向协议的中小企业）的具体情况如下：</w:t>
      </w:r>
    </w:p>
    <w:p w14:paraId="151C34EE">
      <w:pPr>
        <w:pageBreakBefore w:val="0"/>
        <w:tabs>
          <w:tab w:val="left" w:pos="1384"/>
          <w:tab w:val="left" w:pos="4562"/>
          <w:tab w:val="left" w:pos="6803"/>
        </w:tabs>
        <w:kinsoku/>
        <w:overflowPunct/>
        <w:topLinePunct w:val="0"/>
        <w:bidi w:val="0"/>
        <w:spacing w:line="240" w:lineRule="auto"/>
        <w:ind w:left="-426" w:right="-58" w:firstLine="655"/>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1.</w:t>
      </w:r>
      <w:r>
        <w:rPr>
          <w:rFonts w:hint="eastAsia" w:ascii="宋体" w:hAnsi="宋体" w:eastAsia="宋体" w:cs="宋体"/>
          <w:color w:val="auto"/>
          <w:kern w:val="24"/>
          <w:sz w:val="24"/>
          <w:szCs w:val="24"/>
          <w:highlight w:val="none"/>
          <w:u w:val="single"/>
        </w:rPr>
        <w:t>（标的名称）</w:t>
      </w:r>
      <w:r>
        <w:rPr>
          <w:rFonts w:hint="eastAsia" w:ascii="宋体" w:hAnsi="宋体" w:eastAsia="宋体" w:cs="宋体"/>
          <w:color w:val="auto"/>
          <w:kern w:val="24"/>
          <w:sz w:val="24"/>
          <w:szCs w:val="24"/>
          <w:highlight w:val="none"/>
        </w:rPr>
        <w:t>，属于</w:t>
      </w:r>
      <w:r>
        <w:rPr>
          <w:rFonts w:hint="eastAsia" w:ascii="宋体" w:hAnsi="宋体" w:eastAsia="宋体" w:cs="宋体"/>
          <w:color w:val="auto"/>
          <w:kern w:val="24"/>
          <w:sz w:val="24"/>
          <w:szCs w:val="24"/>
          <w:highlight w:val="none"/>
          <w:u w:val="single"/>
        </w:rPr>
        <w:t>（采购文件中明确的所属行业）</w:t>
      </w:r>
      <w:r>
        <w:rPr>
          <w:rFonts w:hint="eastAsia" w:ascii="宋体" w:hAnsi="宋体" w:eastAsia="宋体" w:cs="宋体"/>
          <w:color w:val="auto"/>
          <w:kern w:val="24"/>
          <w:sz w:val="24"/>
          <w:szCs w:val="24"/>
          <w:highlight w:val="none"/>
        </w:rPr>
        <w:t>行业；承接企业为</w:t>
      </w:r>
      <w:r>
        <w:rPr>
          <w:rFonts w:hint="eastAsia" w:ascii="宋体" w:hAnsi="宋体" w:eastAsia="宋体" w:cs="宋体"/>
          <w:color w:val="auto"/>
          <w:kern w:val="24"/>
          <w:sz w:val="24"/>
          <w:szCs w:val="24"/>
          <w:highlight w:val="none"/>
          <w:u w:val="single"/>
        </w:rPr>
        <w:t>（企业名称）</w:t>
      </w:r>
      <w:r>
        <w:rPr>
          <w:rFonts w:hint="eastAsia" w:ascii="宋体" w:hAnsi="宋体" w:eastAsia="宋体" w:cs="宋体"/>
          <w:color w:val="auto"/>
          <w:kern w:val="24"/>
          <w:sz w:val="24"/>
          <w:szCs w:val="24"/>
          <w:highlight w:val="none"/>
        </w:rPr>
        <w:t>，从业人员</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人，营业收入为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万元，资产总额为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万元，属于</w:t>
      </w:r>
      <w:r>
        <w:rPr>
          <w:rFonts w:hint="eastAsia" w:ascii="宋体" w:hAnsi="宋体" w:eastAsia="宋体" w:cs="宋体"/>
          <w:color w:val="auto"/>
          <w:kern w:val="24"/>
          <w:sz w:val="24"/>
          <w:szCs w:val="24"/>
          <w:highlight w:val="none"/>
          <w:u w:val="single"/>
        </w:rPr>
        <w:t>（中型企业、小型企业、微型企业）</w:t>
      </w:r>
      <w:r>
        <w:rPr>
          <w:rFonts w:hint="eastAsia" w:ascii="宋体" w:hAnsi="宋体" w:eastAsia="宋体" w:cs="宋体"/>
          <w:color w:val="auto"/>
          <w:kern w:val="24"/>
          <w:sz w:val="24"/>
          <w:szCs w:val="24"/>
          <w:highlight w:val="none"/>
        </w:rPr>
        <w:t>；</w:t>
      </w:r>
    </w:p>
    <w:p w14:paraId="60E2722A">
      <w:pPr>
        <w:pageBreakBefore w:val="0"/>
        <w:tabs>
          <w:tab w:val="left" w:pos="1065"/>
          <w:tab w:val="left" w:pos="6477"/>
        </w:tabs>
        <w:kinsoku/>
        <w:overflowPunct/>
        <w:topLinePunct w:val="0"/>
        <w:bidi w:val="0"/>
        <w:spacing w:line="240" w:lineRule="auto"/>
        <w:ind w:left="-426" w:right="-58" w:firstLine="655"/>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2.</w:t>
      </w:r>
      <w:r>
        <w:rPr>
          <w:rFonts w:hint="eastAsia" w:ascii="宋体" w:hAnsi="宋体" w:eastAsia="宋体" w:cs="宋体"/>
          <w:color w:val="auto"/>
          <w:kern w:val="24"/>
          <w:sz w:val="24"/>
          <w:szCs w:val="24"/>
          <w:highlight w:val="none"/>
          <w:u w:val="single"/>
        </w:rPr>
        <w:t>（标的名称）</w:t>
      </w:r>
      <w:r>
        <w:rPr>
          <w:rFonts w:hint="eastAsia" w:ascii="宋体" w:hAnsi="宋体" w:eastAsia="宋体" w:cs="宋体"/>
          <w:color w:val="auto"/>
          <w:kern w:val="24"/>
          <w:sz w:val="24"/>
          <w:szCs w:val="24"/>
          <w:highlight w:val="none"/>
        </w:rPr>
        <w:t>，属于</w:t>
      </w:r>
      <w:r>
        <w:rPr>
          <w:rFonts w:hint="eastAsia" w:ascii="宋体" w:hAnsi="宋体" w:eastAsia="宋体" w:cs="宋体"/>
          <w:color w:val="auto"/>
          <w:kern w:val="24"/>
          <w:sz w:val="24"/>
          <w:szCs w:val="24"/>
          <w:highlight w:val="none"/>
          <w:u w:val="single"/>
        </w:rPr>
        <w:t>（采购文件中明确的所属行业）</w:t>
      </w:r>
      <w:r>
        <w:rPr>
          <w:rFonts w:hint="eastAsia" w:ascii="宋体" w:hAnsi="宋体" w:eastAsia="宋体" w:cs="宋体"/>
          <w:color w:val="auto"/>
          <w:kern w:val="24"/>
          <w:sz w:val="24"/>
          <w:szCs w:val="24"/>
          <w:highlight w:val="none"/>
        </w:rPr>
        <w:t>行业；承接企业为</w:t>
      </w:r>
      <w:r>
        <w:rPr>
          <w:rFonts w:hint="eastAsia" w:ascii="宋体" w:hAnsi="宋体" w:eastAsia="宋体" w:cs="宋体"/>
          <w:color w:val="auto"/>
          <w:kern w:val="24"/>
          <w:sz w:val="24"/>
          <w:szCs w:val="24"/>
          <w:highlight w:val="none"/>
          <w:u w:val="single"/>
        </w:rPr>
        <w:t>（企业名称）</w:t>
      </w:r>
      <w:r>
        <w:rPr>
          <w:rFonts w:hint="eastAsia" w:ascii="宋体" w:hAnsi="宋体" w:eastAsia="宋体" w:cs="宋体"/>
          <w:color w:val="auto"/>
          <w:kern w:val="24"/>
          <w:sz w:val="24"/>
          <w:szCs w:val="24"/>
          <w:highlight w:val="none"/>
        </w:rPr>
        <w:t>，从业人员</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人，营业收入为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万元，资产总额为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万元，属于</w:t>
      </w:r>
      <w:r>
        <w:rPr>
          <w:rFonts w:hint="eastAsia" w:ascii="宋体" w:hAnsi="宋体" w:eastAsia="宋体" w:cs="宋体"/>
          <w:color w:val="auto"/>
          <w:kern w:val="24"/>
          <w:sz w:val="24"/>
          <w:szCs w:val="24"/>
          <w:highlight w:val="none"/>
          <w:u w:val="single"/>
        </w:rPr>
        <w:t>（中型企业、小型企业、微型企业）</w:t>
      </w:r>
      <w:r>
        <w:rPr>
          <w:rFonts w:hint="eastAsia" w:ascii="宋体" w:hAnsi="宋体" w:eastAsia="宋体" w:cs="宋体"/>
          <w:color w:val="auto"/>
          <w:kern w:val="24"/>
          <w:sz w:val="24"/>
          <w:szCs w:val="24"/>
          <w:highlight w:val="none"/>
        </w:rPr>
        <w:t>；</w:t>
      </w:r>
    </w:p>
    <w:p w14:paraId="7DD448E5">
      <w:pPr>
        <w:pageBreakBefore w:val="0"/>
        <w:kinsoku/>
        <w:overflowPunct/>
        <w:topLinePunct w:val="0"/>
        <w:bidi w:val="0"/>
        <w:spacing w:line="240" w:lineRule="auto"/>
        <w:ind w:left="142" w:right="142"/>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 xml:space="preserve">…… </w:t>
      </w:r>
    </w:p>
    <w:p w14:paraId="7A381306">
      <w:pPr>
        <w:pageBreakBefore w:val="0"/>
        <w:kinsoku/>
        <w:overflowPunct/>
        <w:topLinePunct w:val="0"/>
        <w:bidi w:val="0"/>
        <w:spacing w:line="240" w:lineRule="auto"/>
        <w:ind w:left="-405" w:leftChars="-193" w:right="142" w:firstLine="453" w:firstLineChars="189"/>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以上企业，不属于大企业的分支机构，不存在控股股东为大企业的情形，也不存在与大企业的负责人为同一人的情形。</w:t>
      </w:r>
    </w:p>
    <w:p w14:paraId="0BD79E02">
      <w:pPr>
        <w:pageBreakBefore w:val="0"/>
        <w:kinsoku/>
        <w:overflowPunct/>
        <w:topLinePunct w:val="0"/>
        <w:bidi w:val="0"/>
        <w:spacing w:line="240" w:lineRule="auto"/>
        <w:ind w:left="-426" w:right="142" w:firstLine="567"/>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本企业对上述声明内容的真实性负责。如有虚假，将依法承担相应责任。</w:t>
      </w:r>
    </w:p>
    <w:p w14:paraId="66D8336C">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p>
    <w:p w14:paraId="1E91DDB1">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企业名称（</w:t>
      </w:r>
      <w:r>
        <w:rPr>
          <w:rFonts w:hint="eastAsia" w:ascii="宋体" w:hAnsi="宋体" w:eastAsia="宋体" w:cs="宋体"/>
          <w:color w:val="auto"/>
          <w:sz w:val="24"/>
          <w:szCs w:val="24"/>
          <w:highlight w:val="none"/>
        </w:rPr>
        <w:t>公章</w:t>
      </w:r>
      <w:r>
        <w:rPr>
          <w:rFonts w:hint="eastAsia" w:ascii="宋体" w:hAnsi="宋体" w:eastAsia="宋体" w:cs="宋体"/>
          <w:color w:val="auto"/>
          <w:kern w:val="24"/>
          <w:sz w:val="24"/>
          <w:szCs w:val="24"/>
          <w:highlight w:val="none"/>
        </w:rPr>
        <w:t>）：</w:t>
      </w:r>
    </w:p>
    <w:p w14:paraId="4E014315">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日 期：</w:t>
      </w:r>
    </w:p>
    <w:p w14:paraId="129DE5C8">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p>
    <w:p w14:paraId="53184336">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p>
    <w:p w14:paraId="1EBD34F8">
      <w:pPr>
        <w:pageBreakBefore w:val="0"/>
        <w:kinsoku/>
        <w:overflowPunct/>
        <w:topLinePunct w:val="0"/>
        <w:bidi w:val="0"/>
        <w:spacing w:line="240" w:lineRule="auto"/>
        <w:ind w:left="-426" w:right="142" w:firstLine="567"/>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77222A08">
      <w:pPr>
        <w:spacing w:line="240" w:lineRule="auto"/>
        <w:jc w:val="center"/>
        <w:rPr>
          <w:rFonts w:hint="eastAsia" w:ascii="仿宋_GB2312" w:hAnsi="仿宋_GB2312" w:eastAsia="仿宋_GB2312" w:cs="仿宋_GB2312"/>
          <w:sz w:val="32"/>
          <w:szCs w:val="32"/>
        </w:rPr>
      </w:pPr>
      <w:r>
        <w:rPr>
          <w:rFonts w:ascii="宋体" w:hAnsi="宋体"/>
          <w:sz w:val="24"/>
        </w:rPr>
        <w:br w:type="page"/>
      </w:r>
      <w:r>
        <w:rPr>
          <w:rFonts w:hint="eastAsia" w:ascii="微软雅黑" w:hAnsi="微软雅黑" w:eastAsia="微软雅黑" w:cs="微软雅黑"/>
          <w:sz w:val="32"/>
          <w:szCs w:val="32"/>
        </w:rPr>
        <w:t>残疾人福利性单位声明函</w:t>
      </w:r>
    </w:p>
    <w:p w14:paraId="26673446">
      <w:pPr>
        <w:spacing w:line="520" w:lineRule="exact"/>
        <w:rPr>
          <w:rFonts w:hint="eastAsia" w:ascii="仿宋_GB2312" w:hAnsi="仿宋_GB2312" w:eastAsia="仿宋_GB2312" w:cs="仿宋_GB2312"/>
          <w:sz w:val="32"/>
          <w:szCs w:val="32"/>
        </w:rPr>
      </w:pPr>
    </w:p>
    <w:p w14:paraId="027A80F2">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u w:val="single"/>
        </w:rPr>
        <w:t xml:space="preserve">       </w:t>
      </w:r>
      <w:r>
        <w:rPr>
          <w:rFonts w:hint="eastAsia" w:ascii="宋体" w:hAnsi="宋体" w:cs="仿宋_GB2312"/>
          <w:sz w:val="24"/>
        </w:rPr>
        <w:t>单位的</w:t>
      </w:r>
      <w:r>
        <w:rPr>
          <w:rFonts w:hint="eastAsia" w:ascii="宋体" w:hAnsi="宋体" w:cs="仿宋_GB2312"/>
          <w:sz w:val="24"/>
          <w:u w:val="single"/>
        </w:rPr>
        <w:t xml:space="preserve">        </w:t>
      </w:r>
      <w:r>
        <w:rPr>
          <w:rFonts w:hint="eastAsia" w:ascii="宋体" w:hAnsi="宋体" w:cs="仿宋_GB2312"/>
          <w:sz w:val="24"/>
        </w:rPr>
        <w:t>项目采购活动提供本单位制造的货物（由本单位承担工程/提供服务），或者提供其他残疾人福利性单位制造的货物（不包括使用非残疾人福利性单位注册商标的货物）。</w:t>
      </w:r>
    </w:p>
    <w:p w14:paraId="5AED619D">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本单位对上述声明的真实性负责。如有虚假，将依法承担相应责任。</w:t>
      </w:r>
    </w:p>
    <w:p w14:paraId="118309D1">
      <w:pPr>
        <w:spacing w:line="360" w:lineRule="auto"/>
        <w:contextualSpacing/>
        <w:rPr>
          <w:rFonts w:hint="eastAsia" w:ascii="宋体" w:hAnsi="宋体" w:cs="仿宋_GB2312"/>
          <w:sz w:val="24"/>
        </w:rPr>
      </w:pPr>
    </w:p>
    <w:p w14:paraId="0C267112">
      <w:pPr>
        <w:spacing w:line="360" w:lineRule="auto"/>
        <w:contextualSpacing/>
        <w:rPr>
          <w:rFonts w:hint="eastAsia" w:ascii="宋体" w:hAnsi="宋体" w:cs="仿宋_GB2312"/>
          <w:sz w:val="24"/>
        </w:rPr>
      </w:pPr>
    </w:p>
    <w:p w14:paraId="1A844B2F">
      <w:pPr>
        <w:spacing w:line="360" w:lineRule="auto"/>
        <w:contextualSpacing/>
        <w:rPr>
          <w:rFonts w:hint="eastAsia" w:ascii="宋体" w:hAnsi="宋体" w:cs="仿宋_GB2312"/>
          <w:sz w:val="24"/>
        </w:rPr>
      </w:pPr>
    </w:p>
    <w:p w14:paraId="0B8DA0C7">
      <w:pPr>
        <w:spacing w:line="360" w:lineRule="auto"/>
        <w:ind w:firstLine="2400" w:firstLineChars="1000"/>
        <w:contextualSpacing/>
        <w:rPr>
          <w:rFonts w:hint="eastAsia" w:ascii="宋体" w:hAnsi="宋体" w:cs="仿宋_GB2312"/>
          <w:sz w:val="24"/>
        </w:rPr>
      </w:pPr>
      <w:r>
        <w:rPr>
          <w:rFonts w:hint="eastAsia" w:ascii="宋体" w:hAnsi="宋体" w:cs="仿宋_GB2312"/>
          <w:sz w:val="24"/>
        </w:rPr>
        <w:t>单位名称（盖章）：</w:t>
      </w:r>
    </w:p>
    <w:p w14:paraId="5BF50A59">
      <w:pPr>
        <w:spacing w:line="360" w:lineRule="auto"/>
        <w:ind w:firstLine="3600" w:firstLineChars="1500"/>
        <w:contextualSpacing/>
        <w:rPr>
          <w:rFonts w:hint="eastAsia" w:ascii="宋体" w:hAnsi="宋体" w:cs="仿宋_GB2312"/>
          <w:sz w:val="24"/>
        </w:rPr>
      </w:pPr>
      <w:r>
        <w:rPr>
          <w:rFonts w:hint="eastAsia" w:ascii="宋体" w:hAnsi="宋体" w:cs="仿宋_GB2312"/>
          <w:sz w:val="24"/>
        </w:rPr>
        <w:t>日  期：</w:t>
      </w:r>
    </w:p>
    <w:p w14:paraId="33026014">
      <w:pPr>
        <w:spacing w:line="360" w:lineRule="auto"/>
        <w:contextualSpacing/>
        <w:rPr>
          <w:rFonts w:hint="eastAsia" w:ascii="宋体" w:hAnsi="宋体" w:cs="仿宋_GB2312"/>
          <w:sz w:val="24"/>
        </w:rPr>
      </w:pPr>
    </w:p>
    <w:p w14:paraId="1C30F364">
      <w:pPr>
        <w:spacing w:line="360" w:lineRule="auto"/>
        <w:contextualSpacing/>
        <w:rPr>
          <w:rFonts w:hint="eastAsia" w:ascii="宋体" w:hAnsi="宋体" w:cs="仿宋_GB2312"/>
          <w:sz w:val="24"/>
        </w:rPr>
      </w:pPr>
    </w:p>
    <w:p w14:paraId="141D66AC">
      <w:pPr>
        <w:spacing w:line="360" w:lineRule="auto"/>
        <w:contextualSpacing/>
        <w:rPr>
          <w:rFonts w:hint="eastAsia" w:ascii="宋体" w:hAnsi="宋体" w:cs="仿宋_GB2312"/>
          <w:sz w:val="24"/>
        </w:rPr>
      </w:pPr>
    </w:p>
    <w:p w14:paraId="078F8B46">
      <w:pPr>
        <w:spacing w:line="360" w:lineRule="auto"/>
        <w:contextualSpacing/>
        <w:rPr>
          <w:rFonts w:hint="eastAsia"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注：请根据自己的真实情况出具《残疾人福利性单位声明函》。依法享受中小企业优惠政策的，采购人或者采购代理机构在公告成交结果时，同时公告其《残疾人福利性单位声明函》，接受社会监督。</w:t>
      </w:r>
    </w:p>
    <w:p w14:paraId="4E487B5F">
      <w:pPr>
        <w:rPr>
          <w:lang w:val="en-US" w:eastAsia="zh-CN"/>
        </w:rPr>
      </w:pPr>
      <w:r>
        <w:rPr>
          <w:lang w:val="en-US" w:eastAsia="zh-CN"/>
        </w:rPr>
        <w:br w:type="page"/>
      </w:r>
    </w:p>
    <w:p w14:paraId="7AFA15E1">
      <w:pPr>
        <w:pageBreakBefore w:val="0"/>
        <w:kinsoku/>
        <w:overflowPunct/>
        <w:topLinePunct w:val="0"/>
        <w:bidi w:val="0"/>
        <w:spacing w:line="240" w:lineRule="auto"/>
        <w:rPr>
          <w:rFonts w:hint="eastAsia" w:ascii="宋体" w:hAnsi="宋体" w:eastAsia="宋体" w:cs="宋体"/>
          <w:b/>
          <w:color w:val="auto"/>
          <w:sz w:val="32"/>
          <w:szCs w:val="32"/>
          <w:highlight w:val="none"/>
        </w:rPr>
      </w:pPr>
      <w:bookmarkStart w:id="136" w:name="_Toc19686837"/>
      <w:r>
        <w:rPr>
          <w:rFonts w:hint="eastAsia" w:ascii="宋体" w:hAnsi="宋体" w:eastAsia="宋体" w:cs="宋体"/>
          <w:b/>
          <w:color w:val="auto"/>
          <w:sz w:val="32"/>
          <w:szCs w:val="32"/>
          <w:highlight w:val="none"/>
        </w:rPr>
        <w:t>二、资格证明文件格式</w:t>
      </w:r>
      <w:bookmarkEnd w:id="136"/>
    </w:p>
    <w:p w14:paraId="3515DF04">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rPr>
        <w:t xml:space="preserve">资格证明文件封面格式： </w:t>
      </w:r>
    </w:p>
    <w:p w14:paraId="68F2ECC6">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p>
    <w:p w14:paraId="04B8345C">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14:paraId="52C9F28E">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44"/>
          <w:szCs w:val="44"/>
          <w:highlight w:val="none"/>
        </w:rPr>
      </w:pPr>
    </w:p>
    <w:p w14:paraId="38B397C0">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格</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证</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明</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文</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件</w:t>
      </w:r>
    </w:p>
    <w:p w14:paraId="51B64F27">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148BBBC1">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709F44C5">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7027FAD5">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118C3256">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09A90E4B">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367941C">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29F3EF0E">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14:paraId="3FE8772C">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14:paraId="01868D8C">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12EFF6D2">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p>
    <w:p w14:paraId="4D0B87B8">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分标：</w:t>
      </w:r>
    </w:p>
    <w:p w14:paraId="44F83B8A">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14:paraId="6EC2C115">
      <w:pPr>
        <w:pStyle w:val="7"/>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14:paraId="2C7045AE">
      <w:pPr>
        <w:pStyle w:val="7"/>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p>
    <w:p w14:paraId="1814F95F">
      <w:pPr>
        <w:pStyle w:val="7"/>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14:paraId="4BE30BB2">
      <w:pPr>
        <w:pStyle w:val="7"/>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p>
    <w:p w14:paraId="1099904C">
      <w:pPr>
        <w:pStyle w:val="7"/>
        <w:pageBreakBefore w:val="0"/>
        <w:kinsoku/>
        <w:overflowPunct/>
        <w:topLinePunct w:val="0"/>
        <w:bidi w:val="0"/>
        <w:snapToGrid w:val="0"/>
        <w:spacing w:before="50" w:after="50" w:line="240" w:lineRule="auto"/>
        <w:ind w:firstLine="1120" w:firstLineChars="400"/>
        <w:rPr>
          <w:rFonts w:hint="eastAsia" w:ascii="宋体" w:hAnsi="宋体" w:eastAsia="宋体" w:cs="宋体"/>
          <w:bCs/>
          <w:color w:val="auto"/>
          <w:sz w:val="28"/>
          <w:szCs w:val="28"/>
          <w:highlight w:val="none"/>
        </w:rPr>
      </w:pPr>
    </w:p>
    <w:p w14:paraId="61F07695">
      <w:pPr>
        <w:pageBreakBefore w:val="0"/>
        <w:kinsoku/>
        <w:overflowPunct/>
        <w:topLinePunct w:val="0"/>
        <w:bidi w:val="0"/>
        <w:snapToGrid w:val="0"/>
        <w:spacing w:before="120" w:beforeLines="50" w:after="50" w:line="240" w:lineRule="auto"/>
        <w:ind w:firstLine="64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7163066F">
      <w:pPr>
        <w:rPr>
          <w:rFonts w:hint="eastAsia"/>
          <w:lang w:val="en-US" w:eastAsia="zh-CN"/>
        </w:rPr>
      </w:pPr>
      <w:r>
        <w:rPr>
          <w:rFonts w:hint="eastAsia"/>
          <w:lang w:val="en-US" w:eastAsia="zh-CN"/>
        </w:rPr>
        <w:br w:type="page"/>
      </w:r>
    </w:p>
    <w:p w14:paraId="4A430FB1">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rPr>
        <w:t>资格证明文件目录</w:t>
      </w:r>
    </w:p>
    <w:p w14:paraId="57C60781">
      <w:pPr>
        <w:pageBreakBefore w:val="0"/>
        <w:kinsoku/>
        <w:overflowPunct/>
        <w:topLinePunct w:val="0"/>
        <w:bidi w:val="0"/>
        <w:snapToGrid w:val="0"/>
        <w:spacing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14:paraId="03D6E5E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584E941D">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3.</w:t>
      </w:r>
      <w:r>
        <w:rPr>
          <w:rFonts w:hint="eastAsia" w:ascii="宋体" w:hAnsi="宋体" w:eastAsia="宋体" w:cs="宋体"/>
          <w:b/>
          <w:color w:val="auto"/>
          <w:sz w:val="30"/>
          <w:szCs w:val="30"/>
          <w:highlight w:val="none"/>
        </w:rPr>
        <w:t>防城港市政府采购供应商信用承诺函</w:t>
      </w:r>
    </w:p>
    <w:p w14:paraId="4E34612E">
      <w:pPr>
        <w:pStyle w:val="13"/>
        <w:pageBreakBefore w:val="0"/>
        <w:kinsoku/>
        <w:overflowPunct/>
        <w:topLinePunct w:val="0"/>
        <w:bidi w:val="0"/>
        <w:spacing w:line="240" w:lineRule="auto"/>
        <w:rPr>
          <w:rFonts w:hint="eastAsia" w:ascii="宋体" w:hAnsi="宋体" w:eastAsia="宋体" w:cs="宋体"/>
          <w:color w:val="auto"/>
          <w:sz w:val="21"/>
          <w:szCs w:val="21"/>
          <w:highlight w:val="none"/>
        </w:rPr>
      </w:pPr>
    </w:p>
    <w:p w14:paraId="168AD157">
      <w:pPr>
        <w:pageBreakBefore w:val="0"/>
        <w:kinsoku/>
        <w:overflowPunct/>
        <w:topLinePunct w:val="0"/>
        <w:bidi w:val="0"/>
        <w:spacing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防城港市政府采购供应商信用承诺函</w:t>
      </w:r>
    </w:p>
    <w:p w14:paraId="783C8D1B">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p>
    <w:p w14:paraId="13BD4A64">
      <w:pPr>
        <w:pageBreakBefore w:val="0"/>
        <w:kinsoku/>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致（采购人或采购代理机构） ：</w:t>
      </w:r>
    </w:p>
    <w:p w14:paraId="7AA2D4BB">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我方自愿参加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 xml:space="preserve">项目编号：         </w:t>
      </w:r>
      <w:r>
        <w:rPr>
          <w:rFonts w:hint="eastAsia" w:ascii="宋体" w:hAnsi="宋体" w:eastAsia="宋体" w:cs="宋体"/>
          <w:color w:val="auto"/>
          <w:sz w:val="24"/>
          <w:szCs w:val="24"/>
          <w:highlight w:val="none"/>
        </w:rPr>
        <w:t xml:space="preserve">）的政府采购活动，严格遵守《中华人民共和国政府采购法》及相关法律法规，依法诚信经营，无条件遵守本次政府采购活动的各项规定，并郑重承诺： </w:t>
      </w:r>
    </w:p>
    <w:p w14:paraId="1F27594E">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1.我方具有符合采购文件资格要求的财务状况报告。 </w:t>
      </w:r>
    </w:p>
    <w:p w14:paraId="2FC24FFE">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2.我方具有符合采购文件资格要求的依法缴纳税收和社会保障资金的良好记录。 </w:t>
      </w:r>
    </w:p>
    <w:p w14:paraId="5AFE79BD">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3.我方参加政府采购活动前三年内在经营活动中没有重大违法记录。 </w:t>
      </w:r>
    </w:p>
    <w:p w14:paraId="4B1BFA8D">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我方对以上承诺内容的真实性负责。如有虚假，将依法承担相应责任。</w:t>
      </w:r>
    </w:p>
    <w:p w14:paraId="44C7386E">
      <w:pPr>
        <w:pageBreakBefore w:val="0"/>
        <w:kinsoku/>
        <w:overflowPunct/>
        <w:topLinePunct w:val="0"/>
        <w:bidi w:val="0"/>
        <w:spacing w:line="240" w:lineRule="auto"/>
        <w:ind w:firstLine="2760" w:firstLineChars="1150"/>
        <w:rPr>
          <w:rFonts w:hint="eastAsia" w:ascii="宋体" w:hAnsi="宋体" w:eastAsia="宋体" w:cs="宋体"/>
          <w:color w:val="auto"/>
          <w:sz w:val="24"/>
          <w:szCs w:val="24"/>
          <w:highlight w:val="none"/>
        </w:rPr>
      </w:pPr>
    </w:p>
    <w:p w14:paraId="44410CAE">
      <w:pPr>
        <w:pageBreakBefore w:val="0"/>
        <w:kinsoku/>
        <w:overflowPunct/>
        <w:topLinePunct w:val="0"/>
        <w:bidi w:val="0"/>
        <w:spacing w:line="240" w:lineRule="auto"/>
        <w:ind w:firstLine="2760" w:firstLineChars="1150"/>
        <w:rPr>
          <w:rFonts w:hint="eastAsia" w:ascii="宋体" w:hAnsi="宋体" w:eastAsia="宋体" w:cs="宋体"/>
          <w:color w:val="auto"/>
          <w:sz w:val="24"/>
          <w:szCs w:val="24"/>
          <w:highlight w:val="none"/>
        </w:rPr>
      </w:pPr>
    </w:p>
    <w:p w14:paraId="0301867D">
      <w:pPr>
        <w:pageBreakBefore w:val="0"/>
        <w:kinsoku/>
        <w:overflowPunct/>
        <w:topLinePunct w:val="0"/>
        <w:bidi w:val="0"/>
        <w:spacing w:line="240" w:lineRule="auto"/>
        <w:ind w:firstLine="2760" w:firstLineChars="1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407C3882">
      <w:pPr>
        <w:pageBreakBefore w:val="0"/>
        <w:kinsoku/>
        <w:overflowPunct/>
        <w:topLinePunct w:val="0"/>
        <w:bidi w:val="0"/>
        <w:spacing w:line="24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r>
        <w:rPr>
          <w:rFonts w:hint="eastAsia" w:ascii="宋体" w:hAnsi="宋体" w:eastAsia="宋体" w:cs="宋体"/>
          <w:color w:val="auto"/>
          <w:sz w:val="24"/>
          <w:szCs w:val="24"/>
          <w:highlight w:val="none"/>
          <w:u w:val="single"/>
        </w:rPr>
        <w:t xml:space="preserve">                  </w:t>
      </w:r>
    </w:p>
    <w:p w14:paraId="11704DA0">
      <w:pPr>
        <w:pageBreakBefore w:val="0"/>
        <w:kinsoku/>
        <w:overflowPunct/>
        <w:topLinePunct w:val="0"/>
        <w:bidi w:val="0"/>
        <w:spacing w:line="240" w:lineRule="auto"/>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法定代表人或授权代表(签名)：</w:t>
      </w:r>
      <w:r>
        <w:rPr>
          <w:rFonts w:hint="eastAsia" w:ascii="宋体" w:hAnsi="宋体" w:eastAsia="宋体" w:cs="宋体"/>
          <w:color w:val="auto"/>
          <w:sz w:val="24"/>
          <w:szCs w:val="24"/>
          <w:highlight w:val="none"/>
          <w:u w:val="single"/>
        </w:rPr>
        <w:t xml:space="preserve">                </w:t>
      </w:r>
    </w:p>
    <w:p w14:paraId="178F1209">
      <w:pPr>
        <w:pageBreakBefore w:val="0"/>
        <w:kinsoku/>
        <w:overflowPunct/>
        <w:topLinePunct w:val="0"/>
        <w:bidi w:val="0"/>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DB20639">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p>
    <w:p w14:paraId="50918EC5">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注：1.供应商须在投标（响应）文件中按此模板提供承诺函，未提供视为未实质性响应</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（采购）文件要求，按无效投标（响应）处理。</w:t>
      </w:r>
    </w:p>
    <w:p w14:paraId="10D85FC2">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2.供应商的法定代表人（其他组织的为负责人）或者授权代表的签名或盖章应真实、有效，如由授权代表签名或盖章的，应提供“法定代表人授权书”。</w:t>
      </w:r>
    </w:p>
    <w:p w14:paraId="12639686">
      <w:pPr>
        <w:rPr>
          <w:rFonts w:hint="eastAsia"/>
          <w:lang w:val="en-US" w:eastAsia="zh-CN"/>
        </w:rPr>
      </w:pPr>
      <w:r>
        <w:rPr>
          <w:rFonts w:hint="eastAsia"/>
          <w:lang w:val="en-US" w:eastAsia="zh-CN"/>
        </w:rPr>
        <w:br w:type="page"/>
      </w:r>
    </w:p>
    <w:p w14:paraId="27FEBF79">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4.</w:t>
      </w:r>
      <w:r>
        <w:rPr>
          <w:rFonts w:hint="eastAsia" w:ascii="宋体" w:hAnsi="宋体" w:eastAsia="宋体" w:cs="宋体"/>
          <w:b/>
          <w:color w:val="auto"/>
          <w:sz w:val="30"/>
          <w:szCs w:val="30"/>
          <w:highlight w:val="none"/>
        </w:rPr>
        <w:t>投标人直接控股、管理关系信息表</w:t>
      </w:r>
    </w:p>
    <w:p w14:paraId="055D2781">
      <w:pPr>
        <w:pageBreakBefore w:val="0"/>
        <w:kinsoku/>
        <w:overflowPunct/>
        <w:topLinePunct w:val="0"/>
        <w:bidi w:val="0"/>
        <w:snapToGrid w:val="0"/>
        <w:spacing w:before="50" w:after="120" w:afterLines="50" w:line="240" w:lineRule="auto"/>
        <w:jc w:val="center"/>
        <w:rPr>
          <w:rFonts w:hint="eastAsia" w:ascii="宋体" w:hAnsi="宋体" w:eastAsia="宋体" w:cs="宋体"/>
          <w:b/>
          <w:color w:val="auto"/>
          <w:sz w:val="28"/>
          <w:szCs w:val="28"/>
          <w:highlight w:val="none"/>
        </w:rPr>
      </w:pPr>
    </w:p>
    <w:p w14:paraId="418F2A24">
      <w:pPr>
        <w:pageBreakBefore w:val="0"/>
        <w:kinsoku/>
        <w:overflowPunct/>
        <w:topLinePunct w:val="0"/>
        <w:bidi w:val="0"/>
        <w:snapToGrid w:val="0"/>
        <w:spacing w:before="50" w:after="120" w:afterLines="50" w:line="24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投标人直接控股股东信息表</w:t>
      </w:r>
    </w:p>
    <w:tbl>
      <w:tblPr>
        <w:tblStyle w:val="16"/>
        <w:tblW w:w="9476" w:type="dxa"/>
        <w:jc w:val="center"/>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E9223DE">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9F9E97">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AACFA9">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B827CD">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D08B8A">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DA0144">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3FF2A082">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2966E9">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AACCB5">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D5E561">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A95A9F">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5DB4F4">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6034E20D">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3AFCF6">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76BBAD">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172535">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3E2173">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294061">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557A3E1F">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5DAD17">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19205E">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4E9799">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774A3B">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611AFC">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7755FA05">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780188">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622B6F">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3064BC">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241BB2">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C39F88">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bl>
    <w:p w14:paraId="63D9569D">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9BFDAD9">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0753228">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2.本表所指的控股关系仅限于直接控股关系，不包括间接的控股关系。公司实际控制人与公司之间的关系不属于本表所指的直接控股关系。</w:t>
      </w:r>
    </w:p>
    <w:p w14:paraId="01DD0223">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3.供应商不存在直接控股股东的，则在“</w:t>
      </w:r>
      <w:r>
        <w:rPr>
          <w:rFonts w:hint="eastAsia" w:ascii="宋体" w:hAnsi="宋体" w:eastAsia="宋体" w:cs="宋体"/>
          <w:b/>
          <w:bCs/>
          <w:color w:val="auto"/>
          <w:kern w:val="0"/>
          <w:sz w:val="24"/>
          <w:szCs w:val="24"/>
          <w:highlight w:val="none"/>
        </w:rPr>
        <w:t>直接控股股东名称</w:t>
      </w:r>
      <w:r>
        <w:rPr>
          <w:rFonts w:hint="eastAsia" w:ascii="宋体" w:hAnsi="宋体" w:eastAsia="宋体" w:cs="宋体"/>
          <w:color w:val="auto"/>
          <w:sz w:val="24"/>
          <w:szCs w:val="24"/>
          <w:highlight w:val="none"/>
        </w:rPr>
        <w:t>”中填“无”。</w:t>
      </w:r>
    </w:p>
    <w:p w14:paraId="7293272F">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14:paraId="70B944EA">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14:paraId="10CEB183">
      <w:pPr>
        <w:pageBreakBefore w:val="0"/>
        <w:kinsoku/>
        <w:overflowPunct/>
        <w:topLinePunct w:val="0"/>
        <w:bidi w:val="0"/>
        <w:snapToGrid w:val="0"/>
        <w:spacing w:line="240" w:lineRule="auto"/>
        <w:ind w:left="-2" w:right="-817" w:rightChars="-3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法定代表人或者委托代理人（签名）： </w:t>
      </w:r>
    </w:p>
    <w:p w14:paraId="269B3535">
      <w:pPr>
        <w:pageBreakBefore w:val="0"/>
        <w:kinsoku/>
        <w:overflowPunct/>
        <w:topLinePunct w:val="0"/>
        <w:bidi w:val="0"/>
        <w:snapToGrid w:val="0"/>
        <w:spacing w:line="240" w:lineRule="auto"/>
        <w:ind w:left="-3" w:leftChars="-15" w:right="-817" w:rightChars="-389" w:hanging="28" w:hangingChars="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14:paraId="7BA5EF08">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日期：    年   月   日</w:t>
      </w:r>
    </w:p>
    <w:p w14:paraId="37D0DD3F">
      <w:pPr>
        <w:rPr>
          <w:rFonts w:hint="eastAsia"/>
          <w:lang w:val="en-US" w:eastAsia="zh-CN"/>
        </w:rPr>
      </w:pPr>
      <w:r>
        <w:rPr>
          <w:rFonts w:hint="eastAsia"/>
          <w:lang w:val="en-US" w:eastAsia="zh-CN"/>
        </w:rPr>
        <w:br w:type="page"/>
      </w:r>
    </w:p>
    <w:p w14:paraId="3EA1138F">
      <w:pPr>
        <w:keepNext w:val="0"/>
        <w:keepLines w:val="0"/>
        <w:pageBreakBefore w:val="0"/>
        <w:widowControl w:val="0"/>
        <w:kinsoku/>
        <w:wordWrap/>
        <w:overflowPunct/>
        <w:topLinePunct w:val="0"/>
        <w:autoSpaceDE/>
        <w:autoSpaceDN/>
        <w:bidi w:val="0"/>
        <w:adjustRightInd/>
        <w:snapToGrid w:val="0"/>
        <w:spacing w:after="157" w:afterLines="50"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投标人直接管理关系信息表</w:t>
      </w:r>
    </w:p>
    <w:tbl>
      <w:tblPr>
        <w:tblStyle w:val="16"/>
        <w:tblW w:w="9652" w:type="dxa"/>
        <w:jc w:val="center"/>
        <w:shd w:val="clear" w:color="auto" w:fill="FBFBFB"/>
        <w:tblLayout w:type="fixed"/>
        <w:tblCellMar>
          <w:top w:w="0" w:type="dxa"/>
          <w:left w:w="0" w:type="dxa"/>
          <w:bottom w:w="0" w:type="dxa"/>
          <w:right w:w="0" w:type="dxa"/>
        </w:tblCellMar>
      </w:tblPr>
      <w:tblGrid>
        <w:gridCol w:w="1005"/>
        <w:gridCol w:w="2659"/>
        <w:gridCol w:w="3924"/>
        <w:gridCol w:w="2064"/>
      </w:tblGrid>
      <w:tr w14:paraId="47C90190">
        <w:tblPrEx>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B07F6A">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13D69D">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7C3B8A7">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D60C19">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240185CF">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4BC12A">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7678E6">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BEB163">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E31723">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18958644">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0F478E">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C76134">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73F5AB">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123FAC">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05C69DE4">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307081">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EAF64A">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5E71D0">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BB56F5">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03B2523D">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BDA176">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362A20">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FE91C4">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CF830E">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bl>
    <w:p w14:paraId="23EAF21E">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6C9E805">
      <w:pPr>
        <w:pageBreakBefore w:val="0"/>
        <w:kinsoku/>
        <w:overflowPunct/>
        <w:topLinePunct w:val="0"/>
        <w:bidi w:val="0"/>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1.管理关系：是指不具有出资持股关系的其他单位之间存在的管理与被管理关系，如一些上下级关系的事业单位和团体组织。</w:t>
      </w:r>
    </w:p>
    <w:p w14:paraId="418D1765">
      <w:pPr>
        <w:pageBreakBefore w:val="0"/>
        <w:kinsoku/>
        <w:overflowPunct/>
        <w:topLinePunct w:val="0"/>
        <w:bidi w:val="0"/>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
          <w:sz w:val="24"/>
          <w:szCs w:val="24"/>
          <w:highlight w:val="none"/>
        </w:rPr>
        <w:t>本表所指的管理关系仅限于直接管理关系，不包括间接的管理关系。</w:t>
      </w:r>
    </w:p>
    <w:p w14:paraId="7A8ED5B0">
      <w:pPr>
        <w:pageBreakBefore w:val="0"/>
        <w:kinsoku/>
        <w:overflowPunct/>
        <w:topLinePunct w:val="0"/>
        <w:bidi w:val="0"/>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3.供应商不存在直接管理关系的，则在“</w:t>
      </w:r>
      <w:r>
        <w:rPr>
          <w:rFonts w:hint="eastAsia" w:ascii="宋体" w:hAnsi="宋体" w:eastAsia="宋体" w:cs="宋体"/>
          <w:b/>
          <w:bCs/>
          <w:color w:val="auto"/>
          <w:kern w:val="0"/>
          <w:sz w:val="24"/>
          <w:szCs w:val="24"/>
          <w:highlight w:val="none"/>
        </w:rPr>
        <w:t>直接管理关系单位名称</w:t>
      </w:r>
      <w:r>
        <w:rPr>
          <w:rFonts w:hint="eastAsia" w:ascii="宋体" w:hAnsi="宋体" w:eastAsia="宋体" w:cs="宋体"/>
          <w:color w:val="auto"/>
          <w:sz w:val="24"/>
          <w:szCs w:val="24"/>
          <w:highlight w:val="none"/>
        </w:rPr>
        <w:t>”中填“无”。</w:t>
      </w:r>
    </w:p>
    <w:p w14:paraId="6170B4C1">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14:paraId="3245571D">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14:paraId="50BBF49D">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14:paraId="0FD46DD7">
      <w:pPr>
        <w:pageBreakBefore w:val="0"/>
        <w:kinsoku/>
        <w:overflowPunct/>
        <w:topLinePunct w:val="0"/>
        <w:bidi w:val="0"/>
        <w:snapToGrid w:val="0"/>
        <w:spacing w:line="240" w:lineRule="auto"/>
        <w:ind w:left="-2" w:right="-817" w:rightChars="-3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法定代表人或者委托代理人（签名）： </w:t>
      </w:r>
    </w:p>
    <w:p w14:paraId="2D0BCFBF">
      <w:pPr>
        <w:pageBreakBefore w:val="0"/>
        <w:kinsoku/>
        <w:overflowPunct/>
        <w:topLinePunct w:val="0"/>
        <w:bidi w:val="0"/>
        <w:snapToGrid w:val="0"/>
        <w:spacing w:line="240" w:lineRule="auto"/>
        <w:ind w:left="-3" w:leftChars="-15" w:right="-817" w:rightChars="-389" w:hanging="28" w:hangingChars="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14:paraId="0E8B61C7">
      <w:pPr>
        <w:pageBreakBefore w:val="0"/>
        <w:kinsoku/>
        <w:overflowPunct/>
        <w:topLinePunct w:val="0"/>
        <w:bidi w:val="0"/>
        <w:snapToGrid w:val="0"/>
        <w:spacing w:line="240" w:lineRule="auto"/>
        <w:ind w:right="480" w:firstLine="24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日期：    年   月   日</w:t>
      </w:r>
    </w:p>
    <w:p w14:paraId="0C373A73">
      <w:pPr>
        <w:rPr>
          <w:rFonts w:hint="eastAsia"/>
          <w:lang w:val="en-US" w:eastAsia="zh-CN"/>
        </w:rPr>
      </w:pPr>
      <w:r>
        <w:rPr>
          <w:rFonts w:hint="eastAsia"/>
          <w:lang w:val="en-US" w:eastAsia="zh-CN"/>
        </w:rPr>
        <w:br w:type="page"/>
      </w:r>
    </w:p>
    <w:p w14:paraId="1A697A0C">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投标声明</w:t>
      </w:r>
    </w:p>
    <w:p w14:paraId="669E550B">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1"/>
          <w:szCs w:val="21"/>
          <w:highlight w:val="none"/>
        </w:rPr>
      </w:pPr>
    </w:p>
    <w:p w14:paraId="01F5ECDF">
      <w:pPr>
        <w:pageBreakBefore w:val="0"/>
        <w:kinsoku/>
        <w:overflowPunct/>
        <w:topLinePunct w:val="0"/>
        <w:bidi w:val="0"/>
        <w:snapToGrid w:val="0"/>
        <w:spacing w:before="50" w:after="120" w:afterLines="50"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投标声明</w:t>
      </w:r>
    </w:p>
    <w:p w14:paraId="3E866C16">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56553E6B">
      <w:pPr>
        <w:pageBreakBefore w:val="0"/>
        <w:kinsoku/>
        <w:overflowPunct/>
        <w:topLinePunct w:val="0"/>
        <w:bidi w:val="0"/>
        <w:spacing w:line="240" w:lineRule="auto"/>
        <w:ind w:firstLine="523" w:firstLineChars="218"/>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我方参加贵单位组织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）的政府采购活动。我方在此郑重声明：</w:t>
      </w:r>
    </w:p>
    <w:p w14:paraId="61B61CA0">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7094E9D">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2.我方不是为本次采购项目提供整体设计、规范编制或者项目管理、监理、检测等服务的供应商。</w:t>
      </w:r>
    </w:p>
    <w:p w14:paraId="1C464878">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我方承诺符合《中华人民共和国政府采购法》第二十二条规定：</w:t>
      </w:r>
    </w:p>
    <w:p w14:paraId="0538EE18">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47C9DF55">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53BE1416">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28850AB9">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54EFF1DC">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6184BB1D">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71555E1D">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4.以上事项如有虚假或者隐瞒，我方愿意承担一切后果，并不再寻求任何旨在减轻或者免除法律责任的辩解。</w:t>
      </w:r>
    </w:p>
    <w:p w14:paraId="29B35F77">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特此承诺。</w:t>
      </w:r>
    </w:p>
    <w:p w14:paraId="7DB83B07">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 xml:space="preserve">            法定代表人（签名）：</w:t>
      </w:r>
      <w:r>
        <w:rPr>
          <w:rFonts w:hint="eastAsia" w:ascii="宋体" w:hAnsi="宋体" w:eastAsia="宋体" w:cs="宋体"/>
          <w:color w:val="auto"/>
          <w:sz w:val="24"/>
          <w:szCs w:val="24"/>
          <w:highlight w:val="none"/>
          <w:u w:val="single"/>
        </w:rPr>
        <w:t xml:space="preserve">             </w:t>
      </w:r>
    </w:p>
    <w:p w14:paraId="348AB542">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r>
        <w:rPr>
          <w:rFonts w:hint="eastAsia" w:ascii="宋体" w:hAnsi="宋体" w:eastAsia="宋体" w:cs="宋体"/>
          <w:color w:val="auto"/>
          <w:sz w:val="24"/>
          <w:szCs w:val="24"/>
          <w:highlight w:val="none"/>
          <w:u w:val="single"/>
        </w:rPr>
        <w:t xml:space="preserve">                 </w:t>
      </w:r>
    </w:p>
    <w:p w14:paraId="310D5DAB">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年    月    日</w:t>
      </w:r>
    </w:p>
    <w:p w14:paraId="3BE4F93B">
      <w:pPr>
        <w:rPr>
          <w:rFonts w:hint="eastAsia"/>
          <w:lang w:val="en-US" w:eastAsia="zh-CN"/>
        </w:rPr>
      </w:pPr>
      <w:r>
        <w:rPr>
          <w:rFonts w:hint="eastAsia"/>
          <w:lang w:val="en-US" w:eastAsia="zh-CN"/>
        </w:rPr>
        <w:br w:type="page"/>
      </w:r>
    </w:p>
    <w:p w14:paraId="78C06C2D">
      <w:pPr>
        <w:spacing w:line="500" w:lineRule="exact"/>
        <w:jc w:val="left"/>
        <w:rPr>
          <w:rFonts w:hint="eastAsia" w:ascii="宋体" w:hAnsi="宋体" w:eastAsia="宋体" w:cs="宋体"/>
          <w:b/>
          <w:sz w:val="30"/>
          <w:szCs w:val="30"/>
          <w:lang w:eastAsia="zh-CN"/>
        </w:rPr>
      </w:pPr>
      <w:r>
        <w:rPr>
          <w:rFonts w:hint="eastAsia" w:ascii="宋体" w:hAnsi="宋体" w:eastAsia="宋体" w:cs="宋体"/>
          <w:b/>
          <w:sz w:val="30"/>
          <w:szCs w:val="30"/>
          <w:lang w:val="en-US" w:eastAsia="zh-CN"/>
        </w:rPr>
        <w:t>6.</w:t>
      </w:r>
      <w:r>
        <w:rPr>
          <w:rFonts w:hint="eastAsia" w:ascii="宋体" w:hAnsi="宋体" w:eastAsia="宋体" w:cs="宋体"/>
          <w:b/>
          <w:sz w:val="30"/>
          <w:szCs w:val="30"/>
          <w:lang w:eastAsia="zh-CN"/>
        </w:rPr>
        <w:t>具备履行合同所必需的设备</w:t>
      </w:r>
      <w:r>
        <w:rPr>
          <w:rFonts w:hint="eastAsia" w:ascii="宋体" w:hAnsi="宋体" w:eastAsia="宋体" w:cs="宋体"/>
          <w:b/>
          <w:sz w:val="30"/>
          <w:szCs w:val="30"/>
          <w:lang w:val="en-US" w:eastAsia="zh-CN"/>
        </w:rPr>
        <w:t>或</w:t>
      </w:r>
      <w:r>
        <w:rPr>
          <w:rFonts w:hint="eastAsia" w:ascii="宋体" w:hAnsi="宋体" w:eastAsia="宋体" w:cs="宋体"/>
          <w:b/>
          <w:sz w:val="30"/>
          <w:szCs w:val="30"/>
          <w:lang w:eastAsia="zh-CN"/>
        </w:rPr>
        <w:t>专业技术能力的证明材料</w:t>
      </w:r>
    </w:p>
    <w:p w14:paraId="64514A69">
      <w:pPr>
        <w:jc w:val="both"/>
        <w:rPr>
          <w:rFonts w:hint="eastAsia" w:ascii="宋体" w:hAnsi="宋体" w:cs="Times New Roman"/>
          <w:kern w:val="2"/>
          <w:sz w:val="24"/>
          <w:szCs w:val="24"/>
          <w:lang w:val="en-US" w:eastAsia="zh-CN" w:bidi="ar-SA"/>
        </w:rPr>
      </w:pPr>
    </w:p>
    <w:p w14:paraId="3EC70AD7">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Times New Roman"/>
          <w:b/>
          <w:bCs/>
          <w:kern w:val="2"/>
          <w:sz w:val="24"/>
          <w:szCs w:val="24"/>
          <w:lang w:val="en-US" w:eastAsia="zh-CN" w:bidi="ar-SA"/>
        </w:rPr>
        <w:t>【</w:t>
      </w:r>
      <w:r>
        <w:rPr>
          <w:rFonts w:hint="eastAsia" w:ascii="宋体" w:hAnsi="宋体" w:eastAsia="宋体" w:cs="Times New Roman"/>
          <w:b/>
          <w:bCs/>
          <w:kern w:val="2"/>
          <w:sz w:val="24"/>
          <w:szCs w:val="24"/>
          <w:lang w:val="en-US" w:eastAsia="zh-CN" w:bidi="ar-SA"/>
        </w:rPr>
        <w:t>必须提供，格式自拟</w:t>
      </w:r>
      <w:r>
        <w:rPr>
          <w:rFonts w:hint="eastAsia" w:ascii="宋体" w:hAnsi="宋体" w:cs="Times New Roman"/>
          <w:b/>
          <w:bCs/>
          <w:kern w:val="2"/>
          <w:sz w:val="24"/>
          <w:szCs w:val="24"/>
          <w:lang w:val="en-US" w:eastAsia="zh-CN" w:bidi="ar-SA"/>
        </w:rPr>
        <w:t>】</w:t>
      </w:r>
    </w:p>
    <w:p w14:paraId="1AB4D6CA">
      <w:pPr>
        <w:rPr>
          <w:lang w:val="en-US" w:eastAsia="zh-CN"/>
        </w:rPr>
      </w:pPr>
      <w:r>
        <w:rPr>
          <w:lang w:val="en-US" w:eastAsia="zh-CN"/>
        </w:rPr>
        <w:br w:type="page"/>
      </w:r>
    </w:p>
    <w:p w14:paraId="62F7AD17">
      <w:pPr>
        <w:pageBreakBefore w:val="0"/>
        <w:kinsoku/>
        <w:overflowPunct/>
        <w:topLinePunct w:val="0"/>
        <w:bidi w:val="0"/>
        <w:spacing w:line="24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三、商务文件格式</w:t>
      </w:r>
    </w:p>
    <w:p w14:paraId="4FA82F6C">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1.商务文件封面格式： </w:t>
      </w:r>
    </w:p>
    <w:p w14:paraId="61637670">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p>
    <w:p w14:paraId="2FFA972F">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14:paraId="097BB8A0">
      <w:pPr>
        <w:pageBreakBefore w:val="0"/>
        <w:kinsoku/>
        <w:overflowPunct/>
        <w:topLinePunct w:val="0"/>
        <w:bidi w:val="0"/>
        <w:snapToGrid w:val="0"/>
        <w:spacing w:before="120" w:beforeLines="50" w:after="50" w:line="240" w:lineRule="auto"/>
        <w:jc w:val="center"/>
        <w:rPr>
          <w:rFonts w:hint="eastAsia" w:ascii="宋体" w:hAnsi="宋体" w:eastAsia="宋体" w:cs="宋体"/>
          <w:color w:val="auto"/>
          <w:sz w:val="44"/>
          <w:szCs w:val="44"/>
          <w:highlight w:val="none"/>
        </w:rPr>
      </w:pPr>
    </w:p>
    <w:p w14:paraId="23485B86">
      <w:pPr>
        <w:pageBreakBefore w:val="0"/>
        <w:kinsoku/>
        <w:overflowPunct/>
        <w:topLinePunct w:val="0"/>
        <w:bidi w:val="0"/>
        <w:snapToGrid w:val="0"/>
        <w:spacing w:before="120" w:beforeLines="50" w:after="50"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44"/>
          <w:szCs w:val="44"/>
          <w:highlight w:val="none"/>
        </w:rPr>
        <w:t>商  务  文  件</w:t>
      </w:r>
    </w:p>
    <w:p w14:paraId="0B58A527">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28E10D4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1669B4C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60CC5B5C">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035BD506">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080B8DD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3D86CA39">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14:paraId="1571F261">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14:paraId="2B47A746">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0CC9C7F2">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p>
    <w:p w14:paraId="416B48FE">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分标：</w:t>
      </w:r>
    </w:p>
    <w:p w14:paraId="22696210">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14:paraId="78F0459A">
      <w:pPr>
        <w:pStyle w:val="7"/>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14:paraId="28ECC565">
      <w:pPr>
        <w:pStyle w:val="7"/>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p>
    <w:p w14:paraId="6C2FC004">
      <w:pPr>
        <w:pStyle w:val="7"/>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14:paraId="396AF0B4">
      <w:pPr>
        <w:pStyle w:val="7"/>
        <w:pageBreakBefore w:val="0"/>
        <w:kinsoku/>
        <w:overflowPunct/>
        <w:topLinePunct w:val="0"/>
        <w:bidi w:val="0"/>
        <w:snapToGrid w:val="0"/>
        <w:spacing w:before="50" w:after="50" w:line="240" w:lineRule="auto"/>
        <w:ind w:firstLine="1120" w:firstLineChars="400"/>
        <w:rPr>
          <w:rFonts w:hint="eastAsia" w:ascii="宋体" w:hAnsi="宋体" w:eastAsia="宋体" w:cs="宋体"/>
          <w:bCs/>
          <w:color w:val="auto"/>
          <w:sz w:val="28"/>
          <w:szCs w:val="28"/>
          <w:highlight w:val="none"/>
        </w:rPr>
      </w:pPr>
    </w:p>
    <w:p w14:paraId="6F8CECCE">
      <w:pPr>
        <w:pageBreakBefore w:val="0"/>
        <w:kinsoku/>
        <w:overflowPunct/>
        <w:topLinePunct w:val="0"/>
        <w:bidi w:val="0"/>
        <w:snapToGrid w:val="0"/>
        <w:spacing w:before="120" w:beforeLines="50" w:after="50" w:line="240" w:lineRule="auto"/>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2FE87064">
      <w:pPr>
        <w:rPr>
          <w:rFonts w:hint="eastAsia"/>
          <w:lang w:val="en-US" w:eastAsia="zh-CN"/>
        </w:rPr>
      </w:pPr>
      <w:r>
        <w:rPr>
          <w:rFonts w:hint="eastAsia"/>
          <w:lang w:val="en-US" w:eastAsia="zh-CN"/>
        </w:rPr>
        <w:br w:type="page"/>
      </w:r>
    </w:p>
    <w:p w14:paraId="54F7B27C">
      <w:pPr>
        <w:pageBreakBefore w:val="0"/>
        <w:kinsoku/>
        <w:overflowPunct/>
        <w:topLinePunct w:val="0"/>
        <w:bidi w:val="0"/>
        <w:snapToGrid w:val="0"/>
        <w:spacing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2.商务文件目录</w:t>
      </w:r>
    </w:p>
    <w:p w14:paraId="67835450">
      <w:pPr>
        <w:pageBreakBefore w:val="0"/>
        <w:kinsoku/>
        <w:overflowPunct/>
        <w:topLinePunct w:val="0"/>
        <w:bidi w:val="0"/>
        <w:snapToGrid w:val="0"/>
        <w:spacing w:before="50" w:after="120" w:afterLines="50" w:line="240" w:lineRule="auto"/>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14:paraId="26086C24">
      <w:pPr>
        <w:rPr>
          <w:rFonts w:hint="eastAsia"/>
          <w:lang w:val="en-US" w:eastAsia="zh-CN"/>
        </w:rPr>
      </w:pPr>
      <w:r>
        <w:rPr>
          <w:rFonts w:hint="eastAsia"/>
          <w:lang w:val="en-US" w:eastAsia="zh-CN"/>
        </w:rPr>
        <w:br w:type="page"/>
      </w:r>
    </w:p>
    <w:p w14:paraId="63AD7CE7">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3.投标人参加本项目无围标串标行为的承诺</w:t>
      </w:r>
      <w:r>
        <w:rPr>
          <w:rFonts w:hint="eastAsia" w:ascii="宋体" w:hAnsi="宋体" w:eastAsia="宋体" w:cs="宋体"/>
          <w:b/>
          <w:color w:val="auto"/>
          <w:sz w:val="30"/>
          <w:szCs w:val="30"/>
          <w:highlight w:val="none"/>
          <w:lang w:val="en-US" w:eastAsia="zh-CN"/>
        </w:rPr>
        <w:t>函</w:t>
      </w:r>
    </w:p>
    <w:p w14:paraId="5B214064">
      <w:pPr>
        <w:pageBreakBefore w:val="0"/>
        <w:kinsoku/>
        <w:overflowPunct/>
        <w:topLinePunct w:val="0"/>
        <w:bidi w:val="0"/>
        <w:snapToGrid w:val="0"/>
        <w:spacing w:before="120" w:beforeLines="50" w:after="50" w:line="240" w:lineRule="auto"/>
        <w:jc w:val="left"/>
        <w:rPr>
          <w:rFonts w:hint="eastAsia" w:ascii="宋体" w:hAnsi="宋体" w:eastAsia="宋体" w:cs="宋体"/>
          <w:b/>
          <w:bCs w:val="0"/>
          <w:color w:val="auto"/>
          <w:sz w:val="28"/>
          <w:szCs w:val="28"/>
          <w:highlight w:val="none"/>
        </w:rPr>
      </w:pPr>
    </w:p>
    <w:p w14:paraId="18EB771F">
      <w:pPr>
        <w:pageBreakBefore w:val="0"/>
        <w:kinsoku/>
        <w:overflowPunct/>
        <w:topLinePunct w:val="0"/>
        <w:bidi w:val="0"/>
        <w:spacing w:line="240" w:lineRule="auto"/>
        <w:ind w:left="420"/>
        <w:contextualSpacing/>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pacing w:val="-11"/>
          <w:sz w:val="28"/>
          <w:szCs w:val="28"/>
          <w:highlight w:val="none"/>
        </w:rPr>
        <w:t>投标人参加本项目无围标串标行为的承诺函</w:t>
      </w:r>
    </w:p>
    <w:p w14:paraId="034DC1B8">
      <w:pPr>
        <w:pageBreakBefore w:val="0"/>
        <w:kinsoku/>
        <w:overflowPunct/>
        <w:topLinePunct w:val="0"/>
        <w:bidi w:val="0"/>
        <w:spacing w:line="240" w:lineRule="auto"/>
        <w:contextualSpacing/>
        <w:jc w:val="left"/>
        <w:rPr>
          <w:rFonts w:hint="eastAsia" w:ascii="宋体" w:hAnsi="宋体" w:eastAsia="宋体" w:cs="宋体"/>
          <w:b/>
          <w:color w:val="auto"/>
          <w:sz w:val="21"/>
          <w:szCs w:val="21"/>
          <w:highlight w:val="none"/>
        </w:rPr>
      </w:pPr>
    </w:p>
    <w:p w14:paraId="5452CC3B">
      <w:pPr>
        <w:pageBreakBefore w:val="0"/>
        <w:kinsoku/>
        <w:overflowPunct/>
        <w:topLinePunct w:val="0"/>
        <w:bidi w:val="0"/>
        <w:spacing w:line="24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一、我方承诺无下列相互串通投标的情形：</w:t>
      </w:r>
    </w:p>
    <w:p w14:paraId="52C0E1EF">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w:t>
      </w:r>
    </w:p>
    <w:p w14:paraId="4D62765F">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14:paraId="580D96FF">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3.不同的投标人的投标文件载明的项目管理员为同一个人；</w:t>
      </w:r>
    </w:p>
    <w:p w14:paraId="1EFABD27">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14:paraId="64437B60">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14:paraId="4F57C0A1">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6.不同投标人的投标保证金从同一单位或者个人账户转出。</w:t>
      </w:r>
    </w:p>
    <w:p w14:paraId="559A06E1">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二、我方承诺无下列恶意串通的情形：</w:t>
      </w:r>
    </w:p>
    <w:p w14:paraId="34857BB5">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1.投标人直接或者间接从采购人或者采购代理机构处获得其他投标人的相关信息并修改其投标文件或者投标文件；</w:t>
      </w:r>
    </w:p>
    <w:p w14:paraId="14406F3A">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2.投标人按照采购人或者采购代理机构的授意撤换、修改投标文件或者投标文件；</w:t>
      </w:r>
    </w:p>
    <w:p w14:paraId="65975E15">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3.投标人之间协商报价、技术方案等投标文件或者投标文件的实质性内容；</w:t>
      </w:r>
    </w:p>
    <w:p w14:paraId="500FBCEA">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4.属于同一集团、协会、商会等组织成员的投标人按照该组织要求协同参加政府采购活动；</w:t>
      </w:r>
    </w:p>
    <w:p w14:paraId="24663C20">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5.投标人之间事先约定一致抬高或者压低投标报价，或者在</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项目中事先约定轮流以高价位或者低价位中标，或者事先约定由某一特定投标人中标，然后再参加投标；</w:t>
      </w:r>
    </w:p>
    <w:p w14:paraId="5E7344A7">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6.投标人之间商定部分投标人放弃参加政府采购活动或者放弃中标；</w:t>
      </w:r>
    </w:p>
    <w:p w14:paraId="18E1E2A1">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7.投标人与采购人或者采购代理机构之间、投标人相互之间，为谋求特定投标人中标或者排斥其他投标人的其他串通行为。</w:t>
      </w:r>
    </w:p>
    <w:p w14:paraId="531C0532">
      <w:pPr>
        <w:pageBreakBefore w:val="0"/>
        <w:kinsoku/>
        <w:overflowPunct/>
        <w:topLinePunct w:val="0"/>
        <w:bidi w:val="0"/>
        <w:spacing w:line="240" w:lineRule="auto"/>
        <w:ind w:firstLine="472" w:firstLineChars="196"/>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以上情形一经核查属实，我方愿意承担一切后果，并不再寻求任何旨在减轻或者免除法律责任的辩解。</w:t>
      </w:r>
    </w:p>
    <w:p w14:paraId="717D247A">
      <w:pPr>
        <w:pStyle w:val="12"/>
        <w:pageBreakBefore w:val="0"/>
        <w:kinsoku/>
        <w:overflowPunct/>
        <w:topLinePunct w:val="0"/>
        <w:bidi w:val="0"/>
        <w:spacing w:line="240" w:lineRule="auto"/>
        <w:ind w:firstLine="6840" w:firstLineChars="2850"/>
        <w:contextualSpacing/>
        <w:rPr>
          <w:rFonts w:hint="eastAsia" w:ascii="宋体" w:hAnsi="宋体" w:eastAsia="宋体" w:cs="宋体"/>
          <w:color w:val="auto"/>
          <w:sz w:val="24"/>
          <w:szCs w:val="24"/>
          <w:highlight w:val="none"/>
        </w:rPr>
      </w:pPr>
    </w:p>
    <w:p w14:paraId="5B8D6A78">
      <w:pPr>
        <w:pStyle w:val="12"/>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14:paraId="6E1BFC63">
      <w:pPr>
        <w:pStyle w:val="12"/>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F067BD2">
      <w:pPr>
        <w:rPr>
          <w:rFonts w:hint="eastAsia"/>
          <w:lang w:val="en-US" w:eastAsia="zh-CN"/>
        </w:rPr>
      </w:pPr>
      <w:r>
        <w:rPr>
          <w:rFonts w:hint="eastAsia"/>
          <w:lang w:val="en-US" w:eastAsia="zh-CN"/>
        </w:rPr>
        <w:br w:type="page"/>
      </w:r>
    </w:p>
    <w:p w14:paraId="05A84C93">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4.法定代表人身份证明</w:t>
      </w:r>
    </w:p>
    <w:p w14:paraId="244024FC">
      <w:pPr>
        <w:pageBreakBefore w:val="0"/>
        <w:kinsoku/>
        <w:overflowPunct/>
        <w:topLinePunct w:val="0"/>
        <w:bidi w:val="0"/>
        <w:spacing w:before="240" w:beforeLines="100" w:after="120" w:afterLines="50" w:line="240" w:lineRule="auto"/>
        <w:ind w:left="540"/>
        <w:jc w:val="center"/>
        <w:rPr>
          <w:rFonts w:hint="eastAsia" w:ascii="宋体" w:hAnsi="宋体" w:eastAsia="宋体" w:cs="宋体"/>
          <w:b/>
          <w:color w:val="auto"/>
          <w:sz w:val="21"/>
          <w:szCs w:val="21"/>
          <w:highlight w:val="none"/>
        </w:rPr>
      </w:pPr>
    </w:p>
    <w:p w14:paraId="7F505A98">
      <w:pPr>
        <w:pageBreakBefore w:val="0"/>
        <w:kinsoku/>
        <w:overflowPunct/>
        <w:topLinePunct w:val="0"/>
        <w:bidi w:val="0"/>
        <w:spacing w:before="240" w:beforeLines="100" w:after="120" w:afterLines="50" w:line="240" w:lineRule="auto"/>
        <w:ind w:left="540"/>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法定代表人身份证明</w:t>
      </w:r>
    </w:p>
    <w:p w14:paraId="22F786CD">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p>
    <w:p w14:paraId="248C60BC">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6705CC15">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56B2B8DD">
      <w:pPr>
        <w:pageBreakBefore w:val="0"/>
        <w:kinsoku/>
        <w:overflowPunct/>
        <w:topLinePunct w:val="0"/>
        <w:bidi w:val="0"/>
        <w:spacing w:line="240" w:lineRule="auto"/>
        <w:ind w:left="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0249DC4C">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6069CAFC">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（投标人名称）              </w:t>
      </w:r>
      <w:r>
        <w:rPr>
          <w:rFonts w:hint="eastAsia" w:ascii="宋体" w:hAnsi="宋体" w:eastAsia="宋体" w:cs="宋体"/>
          <w:color w:val="auto"/>
          <w:sz w:val="24"/>
          <w:szCs w:val="24"/>
          <w:highlight w:val="none"/>
        </w:rPr>
        <w:t>的法定代表人。</w:t>
      </w:r>
    </w:p>
    <w:p w14:paraId="4A40FCF8">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C1D4BD2">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p>
    <w:p w14:paraId="2ABDF099">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p>
    <w:p w14:paraId="24E5D0E1">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0334A8BC">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p>
    <w:p w14:paraId="166ECD8C">
      <w:pPr>
        <w:pageBreakBefore w:val="0"/>
        <w:kinsoku/>
        <w:overflowPunct/>
        <w:topLinePunct w:val="0"/>
        <w:bidi w:val="0"/>
        <w:spacing w:line="240" w:lineRule="auto"/>
        <w:ind w:left="5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w:t>
      </w:r>
    </w:p>
    <w:p w14:paraId="79B45A5C">
      <w:pPr>
        <w:pageBreakBefore w:val="0"/>
        <w:kinsoku/>
        <w:overflowPunct/>
        <w:topLinePunct w:val="0"/>
        <w:bidi w:val="0"/>
        <w:spacing w:line="240" w:lineRule="auto"/>
        <w:ind w:left="540"/>
        <w:jc w:val="right"/>
        <w:rPr>
          <w:rFonts w:hint="eastAsia" w:ascii="宋体" w:hAnsi="宋体" w:eastAsia="宋体" w:cs="宋体"/>
          <w:color w:val="auto"/>
          <w:sz w:val="24"/>
          <w:szCs w:val="24"/>
          <w:highlight w:val="none"/>
        </w:rPr>
      </w:pPr>
    </w:p>
    <w:p w14:paraId="163DE0A1">
      <w:pPr>
        <w:pageBreakBefore w:val="0"/>
        <w:kinsoku/>
        <w:overflowPunct/>
        <w:topLinePunct w:val="0"/>
        <w:bidi w:val="0"/>
        <w:snapToGrid w:val="0"/>
        <w:spacing w:before="120" w:beforeLines="50" w:after="50" w:line="240" w:lineRule="auto"/>
        <w:ind w:left="5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24991E2">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4"/>
          <w:szCs w:val="24"/>
          <w:highlight w:val="none"/>
        </w:rPr>
      </w:pPr>
    </w:p>
    <w:p w14:paraId="7E59F397">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注：自然人投标的无需提供</w:t>
      </w:r>
    </w:p>
    <w:p w14:paraId="3493CDAE">
      <w:pPr>
        <w:rPr>
          <w:rFonts w:hint="eastAsia"/>
          <w:lang w:val="en-US" w:eastAsia="zh-CN"/>
        </w:rPr>
      </w:pPr>
      <w:r>
        <w:rPr>
          <w:rFonts w:hint="eastAsia"/>
          <w:lang w:val="en-US" w:eastAsia="zh-CN"/>
        </w:rPr>
        <w:br w:type="page"/>
      </w:r>
    </w:p>
    <w:p w14:paraId="3C3D85B0">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5.授权委托书格式</w:t>
      </w:r>
    </w:p>
    <w:p w14:paraId="25288404">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1"/>
          <w:szCs w:val="21"/>
          <w:highlight w:val="none"/>
        </w:rPr>
      </w:pPr>
    </w:p>
    <w:p w14:paraId="729CAA25">
      <w:pPr>
        <w:pageBreakBefore w:val="0"/>
        <w:kinsoku/>
        <w:overflowPunct/>
        <w:topLinePunct w:val="0"/>
        <w:bidi w:val="0"/>
        <w:spacing w:line="240" w:lineRule="auto"/>
        <w:contextualSpacing/>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授权委托书</w:t>
      </w:r>
    </w:p>
    <w:p w14:paraId="61462617">
      <w:pPr>
        <w:pageBreakBefore w:val="0"/>
        <w:kinsoku/>
        <w:overflowPunct/>
        <w:topLinePunct w:val="0"/>
        <w:bidi w:val="0"/>
        <w:spacing w:line="240" w:lineRule="auto"/>
        <w:contextualSpacing/>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（如有委托时）</w:t>
      </w:r>
    </w:p>
    <w:p w14:paraId="47B85479">
      <w:pPr>
        <w:pageBreakBefore w:val="0"/>
        <w:kinsoku/>
        <w:overflowPunct/>
        <w:topLinePunct w:val="0"/>
        <w:bidi w:val="0"/>
        <w:spacing w:line="240" w:lineRule="auto"/>
        <w:contextualSpacing/>
        <w:jc w:val="center"/>
        <w:rPr>
          <w:rFonts w:hint="eastAsia" w:ascii="宋体" w:hAnsi="宋体" w:eastAsia="宋体" w:cs="宋体"/>
          <w:b/>
          <w:color w:val="auto"/>
          <w:sz w:val="21"/>
          <w:szCs w:val="21"/>
          <w:highlight w:val="none"/>
        </w:rPr>
      </w:pPr>
    </w:p>
    <w:p w14:paraId="5D9D54D2">
      <w:pPr>
        <w:pageBreakBefore w:val="0"/>
        <w:kinsoku/>
        <w:overflowPunct/>
        <w:topLinePunct w:val="0"/>
        <w:bidi w:val="0"/>
        <w:spacing w:line="240" w:lineRule="auto"/>
        <w:contextualSpacing/>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6DCCAE47">
      <w:pPr>
        <w:pageBreakBefore w:val="0"/>
        <w:kinsoku/>
        <w:overflowPunct/>
        <w:topLinePunct w:val="0"/>
        <w:bidi w:val="0"/>
        <w:spacing w:line="240" w:lineRule="auto"/>
        <w:ind w:firstLine="566" w:firstLineChars="236"/>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（投标人名称）的法定代表人，现授权委托</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项目的投标活动，并代表我方全权办理针对上述项目的所有采购程序和环节的具体事务和签署相关文件。</w:t>
      </w:r>
    </w:p>
    <w:p w14:paraId="5976D8A1">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我方对委托代理人的签字或者电子签名事项负全部责任。</w:t>
      </w:r>
    </w:p>
    <w:p w14:paraId="575BD6F6">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本授权书自签署之日起生效，在撤销授权的书面通知以前，本授权书一直有效。委托代理人在授权书有效期内签署的所有文件不因授权的撤销而失效。</w:t>
      </w:r>
    </w:p>
    <w:p w14:paraId="21462A21">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14:paraId="544195DE">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附：法定代表人身份证明及委托代理人有效身份证正反面复印件</w:t>
      </w:r>
    </w:p>
    <w:p w14:paraId="015B223E">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p>
    <w:p w14:paraId="7015A595">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91CD1CB">
      <w:pPr>
        <w:pageBreakBefore w:val="0"/>
        <w:kinsoku/>
        <w:overflowPunct/>
        <w:topLinePunct w:val="0"/>
        <w:bidi w:val="0"/>
        <w:spacing w:line="24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委托代理人身份证号码：</w:t>
      </w:r>
      <w:r>
        <w:rPr>
          <w:rFonts w:hint="eastAsia" w:ascii="宋体" w:hAnsi="宋体" w:eastAsia="宋体" w:cs="宋体"/>
          <w:color w:val="auto"/>
          <w:sz w:val="24"/>
          <w:szCs w:val="24"/>
          <w:highlight w:val="none"/>
          <w:u w:val="single"/>
        </w:rPr>
        <w:t xml:space="preserve">                             </w:t>
      </w:r>
    </w:p>
    <w:p w14:paraId="1C897508">
      <w:pPr>
        <w:pageBreakBefore w:val="0"/>
        <w:kinsoku/>
        <w:overflowPunct/>
        <w:topLinePunct w:val="0"/>
        <w:bidi w:val="0"/>
        <w:spacing w:line="24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法定代表人（签名）：</w:t>
      </w:r>
      <w:r>
        <w:rPr>
          <w:rFonts w:hint="eastAsia" w:ascii="宋体" w:hAnsi="宋体" w:eastAsia="宋体" w:cs="宋体"/>
          <w:color w:val="auto"/>
          <w:sz w:val="24"/>
          <w:szCs w:val="24"/>
          <w:highlight w:val="none"/>
          <w:u w:val="single"/>
        </w:rPr>
        <w:t xml:space="preserve">              </w:t>
      </w:r>
    </w:p>
    <w:p w14:paraId="749D3F79">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35D73A8">
      <w:pPr>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14:paraId="24F87060">
      <w:pPr>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55D3D89C">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bookmarkStart w:id="137" w:name="_Hlk65851555"/>
      <w:bookmarkStart w:id="138" w:name="_Hlk65851620"/>
      <w:r>
        <w:rPr>
          <w:rFonts w:hint="eastAsia" w:ascii="宋体" w:hAnsi="宋体" w:eastAsia="宋体" w:cs="宋体"/>
          <w:color w:val="auto"/>
          <w:sz w:val="24"/>
          <w:szCs w:val="24"/>
          <w:highlight w:val="none"/>
        </w:rPr>
        <w:t>法定代表人必须在授权委托书上签字或者盖章或者电子签名，</w:t>
      </w:r>
      <w:bookmarkEnd w:id="137"/>
      <w:r>
        <w:rPr>
          <w:rFonts w:hint="eastAsia" w:ascii="宋体" w:hAnsi="宋体" w:eastAsia="宋体" w:cs="宋体"/>
          <w:color w:val="auto"/>
          <w:sz w:val="24"/>
          <w:szCs w:val="24"/>
          <w:highlight w:val="none"/>
        </w:rPr>
        <w:t>委托代理人必须在授权委托书上签字或者电子签名，</w:t>
      </w:r>
      <w:r>
        <w:rPr>
          <w:rFonts w:hint="eastAsia" w:ascii="宋体" w:hAnsi="宋体" w:eastAsia="宋体" w:cs="宋体"/>
          <w:b/>
          <w:bCs/>
          <w:color w:val="auto"/>
          <w:sz w:val="24"/>
          <w:szCs w:val="24"/>
          <w:highlight w:val="none"/>
        </w:rPr>
        <w:t>否则按无效投标处理</w:t>
      </w:r>
      <w:r>
        <w:rPr>
          <w:rFonts w:hint="eastAsia" w:ascii="宋体" w:hAnsi="宋体" w:eastAsia="宋体" w:cs="宋体"/>
          <w:color w:val="auto"/>
          <w:sz w:val="24"/>
          <w:szCs w:val="24"/>
          <w:highlight w:val="none"/>
        </w:rPr>
        <w:t>；</w:t>
      </w:r>
      <w:bookmarkEnd w:id="138"/>
    </w:p>
    <w:p w14:paraId="11E98A58">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2.法人、其他组织投标时“我方”是指“我单位”，自然人投标时“我方”是指“本人”。</w:t>
      </w:r>
    </w:p>
    <w:p w14:paraId="3CA6987A">
      <w:pPr>
        <w:rPr>
          <w:rFonts w:hint="eastAsia"/>
          <w:lang w:val="en-US" w:eastAsia="zh-CN"/>
        </w:rPr>
      </w:pPr>
      <w:r>
        <w:rPr>
          <w:rFonts w:hint="eastAsia"/>
          <w:lang w:val="en-US" w:eastAsia="zh-CN"/>
        </w:rPr>
        <w:br w:type="page"/>
      </w:r>
    </w:p>
    <w:p w14:paraId="29120F31">
      <w:pPr>
        <w:pageBreakBefore w:val="0"/>
        <w:numPr>
          <w:ilvl w:val="0"/>
          <w:numId w:val="10"/>
        </w:numPr>
        <w:kinsoku/>
        <w:overflowPunct/>
        <w:topLinePunct w:val="0"/>
        <w:bidi w:val="0"/>
        <w:spacing w:line="24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商务要求偏离表格式</w:t>
      </w:r>
    </w:p>
    <w:p w14:paraId="514D6D89">
      <w:pPr>
        <w:spacing w:line="500" w:lineRule="exact"/>
        <w:jc w:val="center"/>
        <w:rPr>
          <w:rFonts w:hint="eastAsia" w:ascii="Times New Roman" w:hAnsi="Times New Roman" w:eastAsia="宋体" w:cs="Times New Roman"/>
          <w:b/>
          <w:sz w:val="28"/>
          <w:szCs w:val="28"/>
          <w:lang w:eastAsia="zh-CN"/>
        </w:rPr>
      </w:pPr>
      <w:r>
        <w:rPr>
          <w:rFonts w:hint="eastAsia" w:ascii="Times New Roman" w:hAnsi="Times New Roman" w:eastAsia="宋体" w:cs="Times New Roman"/>
          <w:b/>
          <w:sz w:val="28"/>
          <w:szCs w:val="28"/>
          <w:lang w:eastAsia="zh-CN"/>
        </w:rPr>
        <w:t>商务要求偏离表</w:t>
      </w:r>
    </w:p>
    <w:p w14:paraId="6B4D5367">
      <w:pPr>
        <w:pageBreakBefore w:val="0"/>
        <w:numPr>
          <w:ilvl w:val="0"/>
          <w:numId w:val="0"/>
        </w:numPr>
        <w:kinsoku/>
        <w:overflowPunct/>
        <w:topLinePunct w:val="0"/>
        <w:bidi w:val="0"/>
        <w:spacing w:line="240" w:lineRule="auto"/>
        <w:rPr>
          <w:rFonts w:hint="eastAsia" w:ascii="宋体" w:hAnsi="宋体" w:eastAsia="宋体" w:cs="宋体"/>
          <w:b/>
          <w:color w:val="auto"/>
          <w:sz w:val="30"/>
          <w:szCs w:val="30"/>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6D2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093AD3F3">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vAlign w:val="center"/>
          </w:tcPr>
          <w:p w14:paraId="1D7A6A7F">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1834" w:type="dxa"/>
            <w:vAlign w:val="center"/>
          </w:tcPr>
          <w:p w14:paraId="3C8CE23D">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文件商务要求</w:t>
            </w:r>
          </w:p>
        </w:tc>
        <w:tc>
          <w:tcPr>
            <w:tcW w:w="2181" w:type="dxa"/>
            <w:vAlign w:val="center"/>
          </w:tcPr>
          <w:p w14:paraId="10AE75E2">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文件商务要求</w:t>
            </w:r>
          </w:p>
        </w:tc>
        <w:tc>
          <w:tcPr>
            <w:tcW w:w="1934" w:type="dxa"/>
            <w:vAlign w:val="center"/>
          </w:tcPr>
          <w:p w14:paraId="66F5A0D9">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53B4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D191137">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43" w:type="dxa"/>
            <w:vAlign w:val="center"/>
          </w:tcPr>
          <w:p w14:paraId="7BE6136C">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834" w:type="dxa"/>
            <w:vAlign w:val="center"/>
          </w:tcPr>
          <w:p w14:paraId="13FB2ED1">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81" w:type="dxa"/>
            <w:vAlign w:val="center"/>
          </w:tcPr>
          <w:p w14:paraId="591C82B1">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934" w:type="dxa"/>
            <w:vAlign w:val="center"/>
          </w:tcPr>
          <w:p w14:paraId="5CB27B0C">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r>
      <w:tr w14:paraId="1D85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158CF4E">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7F022ADB">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672D274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32105459">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45197CFE">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2DB9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ABE419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7682B96E">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7EE41818">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42842332">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14056636">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2059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031E0EF">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56C58150">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0CE495F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69B34BDC">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3F6A5D9B">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3AAD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A82A7AD">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35CBA4B8">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5D224AB5">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54D6EC81">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03629084">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3FBA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605A84D">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4F65B558">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3EAB158B">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46EDEE85">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7B733445">
            <w:pPr>
              <w:pageBreakBefore w:val="0"/>
              <w:kinsoku/>
              <w:overflowPunct/>
              <w:topLinePunct w:val="0"/>
              <w:bidi w:val="0"/>
              <w:spacing w:line="240" w:lineRule="auto"/>
              <w:rPr>
                <w:rFonts w:hint="eastAsia" w:ascii="宋体" w:hAnsi="宋体" w:eastAsia="宋体" w:cs="宋体"/>
                <w:color w:val="auto"/>
                <w:sz w:val="24"/>
                <w:szCs w:val="24"/>
                <w:highlight w:val="none"/>
              </w:rPr>
            </w:pPr>
          </w:p>
        </w:tc>
      </w:tr>
    </w:tbl>
    <w:p w14:paraId="2EF5FB1A">
      <w:pPr>
        <w:pStyle w:val="10"/>
        <w:pageBreakBefore w:val="0"/>
        <w:kinsoku/>
        <w:overflowPunct/>
        <w:topLinePunct w:val="0"/>
        <w:bidi w:val="0"/>
        <w:spacing w:line="240" w:lineRule="auto"/>
        <w:rPr>
          <w:rFonts w:hint="eastAsia" w:ascii="宋体" w:hAnsi="宋体" w:eastAsia="宋体" w:cs="宋体"/>
          <w:color w:val="auto"/>
          <w:sz w:val="24"/>
          <w:szCs w:val="24"/>
          <w:highlight w:val="none"/>
        </w:rPr>
      </w:pPr>
    </w:p>
    <w:p w14:paraId="7CE26410">
      <w:pPr>
        <w:pStyle w:val="10"/>
        <w:pageBreakBefore w:val="0"/>
        <w:kinsoku/>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4652C0D">
      <w:pPr>
        <w:pStyle w:val="11"/>
        <w:pageBreakBefore w:val="0"/>
        <w:kinsoku/>
        <w:overflowPunct/>
        <w:topLinePunct w:val="0"/>
        <w:bidi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文件“第二章 采购需求”中的商务要求逐条作明确的投标响应，并作出偏离说明。</w:t>
      </w:r>
    </w:p>
    <w:p w14:paraId="368D3213">
      <w:pPr>
        <w:pStyle w:val="10"/>
        <w:pageBreakBefore w:val="0"/>
        <w:kinsoku/>
        <w:overflowPunct/>
        <w:topLinePunct w:val="0"/>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2.投标人应根据自身的承诺，对照</w:t>
      </w:r>
      <w:r>
        <w:rPr>
          <w:rFonts w:hint="eastAsia" w:ascii="宋体" w:hAnsi="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文件要求在“偏离说明”中注明“</w:t>
      </w:r>
      <w:r>
        <w:rPr>
          <w:rFonts w:hint="eastAsia" w:ascii="宋体" w:hAnsi="宋体" w:eastAsia="宋体" w:cs="宋体"/>
          <w:color w:val="auto"/>
          <w:sz w:val="24"/>
          <w:szCs w:val="24"/>
          <w:highlight w:val="none"/>
        </w:rPr>
        <w:t>正偏离</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负偏离</w:t>
      </w:r>
      <w:r>
        <w:rPr>
          <w:rFonts w:hint="eastAsia" w:ascii="宋体" w:hAnsi="宋体" w:eastAsia="宋体" w:cs="宋体"/>
          <w:b w:val="0"/>
          <w:bCs w:val="0"/>
          <w:color w:val="auto"/>
          <w:sz w:val="24"/>
          <w:szCs w:val="24"/>
          <w:highlight w:val="none"/>
        </w:rPr>
        <w:t>”或者“</w:t>
      </w:r>
      <w:r>
        <w:rPr>
          <w:rFonts w:hint="eastAsia" w:ascii="宋体" w:hAnsi="宋体" w:eastAsia="宋体" w:cs="宋体"/>
          <w:color w:val="auto"/>
          <w:sz w:val="24"/>
          <w:szCs w:val="24"/>
          <w:highlight w:val="none"/>
        </w:rPr>
        <w:t>无偏离</w:t>
      </w:r>
      <w:r>
        <w:rPr>
          <w:rFonts w:hint="eastAsia" w:ascii="宋体" w:hAnsi="宋体" w:eastAsia="宋体" w:cs="宋体"/>
          <w:b w:val="0"/>
          <w:bCs w:val="0"/>
          <w:color w:val="auto"/>
          <w:sz w:val="24"/>
          <w:szCs w:val="24"/>
          <w:highlight w:val="none"/>
        </w:rPr>
        <w:t>”。既不属于“</w:t>
      </w:r>
      <w:r>
        <w:rPr>
          <w:rFonts w:hint="eastAsia" w:ascii="宋体" w:hAnsi="宋体" w:eastAsia="宋体" w:cs="宋体"/>
          <w:color w:val="auto"/>
          <w:sz w:val="24"/>
          <w:szCs w:val="24"/>
          <w:highlight w:val="none"/>
        </w:rPr>
        <w:t>正偏离</w:t>
      </w:r>
      <w:r>
        <w:rPr>
          <w:rFonts w:hint="eastAsia" w:ascii="宋体" w:hAnsi="宋体" w:eastAsia="宋体" w:cs="宋体"/>
          <w:b w:val="0"/>
          <w:bCs w:val="0"/>
          <w:color w:val="auto"/>
          <w:sz w:val="24"/>
          <w:szCs w:val="24"/>
          <w:highlight w:val="none"/>
        </w:rPr>
        <w:t>”也不属于“</w:t>
      </w:r>
      <w:r>
        <w:rPr>
          <w:rFonts w:hint="eastAsia" w:ascii="宋体" w:hAnsi="宋体" w:eastAsia="宋体" w:cs="宋体"/>
          <w:color w:val="auto"/>
          <w:sz w:val="24"/>
          <w:szCs w:val="24"/>
          <w:highlight w:val="none"/>
        </w:rPr>
        <w:t>负偏离</w:t>
      </w:r>
      <w:r>
        <w:rPr>
          <w:rFonts w:hint="eastAsia" w:ascii="宋体" w:hAnsi="宋体" w:eastAsia="宋体" w:cs="宋体"/>
          <w:b w:val="0"/>
          <w:bCs w:val="0"/>
          <w:color w:val="auto"/>
          <w:sz w:val="24"/>
          <w:szCs w:val="24"/>
          <w:highlight w:val="none"/>
        </w:rPr>
        <w:t>”即为“</w:t>
      </w:r>
      <w:r>
        <w:rPr>
          <w:rFonts w:hint="eastAsia" w:ascii="宋体" w:hAnsi="宋体" w:eastAsia="宋体" w:cs="宋体"/>
          <w:color w:val="auto"/>
          <w:sz w:val="24"/>
          <w:szCs w:val="24"/>
          <w:highlight w:val="none"/>
        </w:rPr>
        <w:t>无偏离</w:t>
      </w:r>
      <w:r>
        <w:rPr>
          <w:rFonts w:hint="eastAsia" w:ascii="宋体" w:hAnsi="宋体" w:eastAsia="宋体" w:cs="宋体"/>
          <w:b w:val="0"/>
          <w:bCs w:val="0"/>
          <w:color w:val="auto"/>
          <w:sz w:val="24"/>
          <w:szCs w:val="24"/>
          <w:highlight w:val="none"/>
        </w:rPr>
        <w:t>”。</w:t>
      </w:r>
    </w:p>
    <w:p w14:paraId="4564787B">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14:paraId="64E42CDB">
      <w:pPr>
        <w:pageBreakBefore w:val="0"/>
        <w:kinsoku/>
        <w:overflowPunct/>
        <w:topLinePunct w:val="0"/>
        <w:bidi w:val="0"/>
        <w:snapToGrid w:val="0"/>
        <w:spacing w:before="50" w:after="50" w:line="240" w:lineRule="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法定代表人或者委托代理人</w:t>
      </w:r>
      <w:r>
        <w:rPr>
          <w:rFonts w:hint="eastAsia" w:ascii="宋体" w:hAnsi="宋体" w:eastAsia="宋体" w:cs="宋体"/>
          <w:color w:val="auto"/>
          <w:spacing w:val="20"/>
          <w:sz w:val="24"/>
          <w:szCs w:val="24"/>
          <w:highlight w:val="none"/>
        </w:rPr>
        <w:t>（签名）：</w:t>
      </w:r>
      <w:r>
        <w:rPr>
          <w:rFonts w:hint="eastAsia" w:ascii="宋体" w:hAnsi="宋体" w:eastAsia="宋体" w:cs="宋体"/>
          <w:color w:val="auto"/>
          <w:spacing w:val="20"/>
          <w:sz w:val="24"/>
          <w:szCs w:val="24"/>
          <w:highlight w:val="none"/>
          <w:u w:val="single"/>
        </w:rPr>
        <w:t xml:space="preserve">        </w:t>
      </w:r>
    </w:p>
    <w:p w14:paraId="3D299162">
      <w:pPr>
        <w:pageBreakBefore w:val="0"/>
        <w:kinsoku/>
        <w:overflowPunct/>
        <w:topLinePunct w:val="0"/>
        <w:bidi w:val="0"/>
        <w:snapToGrid w:val="0"/>
        <w:spacing w:before="120" w:beforeLines="50" w:line="240" w:lineRule="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投标人名称（</w:t>
      </w:r>
      <w:r>
        <w:rPr>
          <w:rFonts w:hint="eastAsia" w:ascii="宋体" w:hAnsi="宋体" w:eastAsia="宋体" w:cs="宋体"/>
          <w:color w:val="auto"/>
          <w:sz w:val="24"/>
          <w:szCs w:val="24"/>
          <w:highlight w:val="none"/>
        </w:rPr>
        <w:t>公章</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 xml:space="preserve">   </w:t>
      </w:r>
    </w:p>
    <w:p w14:paraId="7AF0A957">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rPr>
      </w:pPr>
      <w:r>
        <w:rPr>
          <w:rFonts w:hint="eastAsia" w:ascii="宋体" w:hAnsi="宋体" w:eastAsia="宋体" w:cs="宋体"/>
          <w:color w:val="auto"/>
          <w:spacing w:val="20"/>
          <w:sz w:val="24"/>
          <w:szCs w:val="24"/>
          <w:highlight w:val="none"/>
        </w:rPr>
        <w:t>日  期：</w:t>
      </w:r>
      <w:r>
        <w:rPr>
          <w:rFonts w:hint="eastAsia" w:ascii="宋体" w:hAnsi="宋体" w:eastAsia="宋体" w:cs="宋体"/>
          <w:color w:val="auto"/>
          <w:spacing w:val="20"/>
          <w:sz w:val="24"/>
          <w:szCs w:val="24"/>
          <w:highlight w:val="none"/>
          <w:u w:val="single"/>
        </w:rPr>
        <w:t xml:space="preserve">         </w:t>
      </w:r>
    </w:p>
    <w:p w14:paraId="6A887D2B">
      <w:pPr>
        <w:numPr>
          <w:ilvl w:val="0"/>
          <w:numId w:val="0"/>
        </w:numPr>
        <w:ind w:leftChars="0"/>
        <w:rPr>
          <w:rFonts w:hint="eastAsia"/>
          <w:lang w:val="en-US" w:eastAsia="zh-CN"/>
        </w:rPr>
        <w:sectPr>
          <w:footerReference r:id="rId5" w:type="default"/>
          <w:pgSz w:w="11906" w:h="16838"/>
          <w:pgMar w:top="1440" w:right="1080" w:bottom="1440" w:left="1080" w:header="851" w:footer="992" w:gutter="0"/>
          <w:pgNumType w:fmt="decimal"/>
          <w:cols w:space="425" w:num="1"/>
          <w:docGrid w:type="lines" w:linePitch="312" w:charSpace="0"/>
        </w:sectPr>
      </w:pPr>
      <w:r>
        <w:rPr>
          <w:rFonts w:hint="eastAsia"/>
          <w:lang w:val="en-US" w:eastAsia="zh-CN"/>
        </w:rPr>
        <w:br w:type="page"/>
      </w:r>
    </w:p>
    <w:p w14:paraId="0B3489B1">
      <w:pPr>
        <w:pageBreakBefore w:val="0"/>
        <w:numPr>
          <w:ilvl w:val="0"/>
          <w:numId w:val="0"/>
        </w:numPr>
        <w:kinsoku/>
        <w:overflowPunct/>
        <w:topLinePunct w:val="0"/>
        <w:bidi w:val="0"/>
        <w:spacing w:line="240" w:lineRule="auto"/>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7.服务承诺</w:t>
      </w:r>
    </w:p>
    <w:p w14:paraId="4A396548">
      <w:pPr>
        <w:pageBreakBefore w:val="0"/>
        <w:kinsoku/>
        <w:overflowPunct/>
        <w:topLinePunct w:val="0"/>
        <w:bidi w:val="0"/>
        <w:spacing w:line="240" w:lineRule="auto"/>
        <w:jc w:val="center"/>
        <w:rPr>
          <w:rFonts w:hint="eastAsia" w:ascii="宋体" w:hAnsi="宋体" w:cs="Times New Roman"/>
          <w:b/>
          <w:bCs/>
          <w:kern w:val="2"/>
          <w:sz w:val="24"/>
          <w:szCs w:val="24"/>
          <w:lang w:val="en-US" w:eastAsia="zh-CN" w:bidi="ar-SA"/>
        </w:rPr>
      </w:pPr>
    </w:p>
    <w:p w14:paraId="1C924554">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Times New Roman"/>
          <w:b/>
          <w:bCs/>
          <w:kern w:val="2"/>
          <w:sz w:val="24"/>
          <w:szCs w:val="24"/>
          <w:lang w:val="en-US" w:eastAsia="zh-CN" w:bidi="ar-SA"/>
        </w:rPr>
        <w:t>【</w:t>
      </w:r>
      <w:r>
        <w:rPr>
          <w:rFonts w:hint="eastAsia" w:ascii="宋体" w:hAnsi="宋体" w:eastAsia="宋体" w:cs="Times New Roman"/>
          <w:b/>
          <w:bCs/>
          <w:kern w:val="2"/>
          <w:sz w:val="24"/>
          <w:szCs w:val="24"/>
          <w:lang w:val="en-US" w:eastAsia="zh-CN" w:bidi="ar-SA"/>
        </w:rPr>
        <w:t>必须提供，格式自拟</w:t>
      </w:r>
      <w:r>
        <w:rPr>
          <w:rFonts w:hint="eastAsia" w:ascii="宋体" w:hAnsi="宋体" w:cs="Times New Roman"/>
          <w:b/>
          <w:bCs/>
          <w:kern w:val="2"/>
          <w:sz w:val="24"/>
          <w:szCs w:val="24"/>
          <w:lang w:val="en-US" w:eastAsia="zh-CN" w:bidi="ar-SA"/>
        </w:rPr>
        <w:t>】</w:t>
      </w:r>
    </w:p>
    <w:p w14:paraId="639F6D09">
      <w:pPr>
        <w:numPr>
          <w:ilvl w:val="0"/>
          <w:numId w:val="0"/>
        </w:numPr>
        <w:ind w:leftChars="0"/>
        <w:rPr>
          <w:rFonts w:hint="eastAsia"/>
          <w:lang w:val="en-US" w:eastAsia="zh-CN"/>
        </w:rPr>
        <w:sectPr>
          <w:pgSz w:w="11906" w:h="16838"/>
          <w:pgMar w:top="1440" w:right="1080" w:bottom="1440" w:left="1080" w:header="851" w:footer="992" w:gutter="0"/>
          <w:pgNumType w:fmt="decimal"/>
          <w:cols w:space="425" w:num="1"/>
          <w:docGrid w:type="lines" w:linePitch="312" w:charSpace="0"/>
        </w:sectPr>
      </w:pPr>
    </w:p>
    <w:p w14:paraId="203C5286">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四、技术文件格式</w:t>
      </w:r>
    </w:p>
    <w:p w14:paraId="47162430">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1.技术文件封面格式： </w:t>
      </w:r>
    </w:p>
    <w:p w14:paraId="1BAF812F">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p>
    <w:p w14:paraId="1945FC87">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14:paraId="093976CF">
      <w:pPr>
        <w:pageBreakBefore w:val="0"/>
        <w:kinsoku/>
        <w:overflowPunct/>
        <w:topLinePunct w:val="0"/>
        <w:bidi w:val="0"/>
        <w:snapToGrid w:val="0"/>
        <w:spacing w:before="120" w:beforeLines="50" w:after="50" w:line="240" w:lineRule="auto"/>
        <w:jc w:val="center"/>
        <w:rPr>
          <w:rFonts w:hint="eastAsia" w:ascii="宋体" w:hAnsi="宋体" w:eastAsia="宋体" w:cs="宋体"/>
          <w:b/>
          <w:bCs/>
          <w:color w:val="auto"/>
          <w:sz w:val="44"/>
          <w:szCs w:val="44"/>
          <w:highlight w:val="none"/>
        </w:rPr>
      </w:pPr>
    </w:p>
    <w:p w14:paraId="168C5BFE">
      <w:pPr>
        <w:pageBreakBefore w:val="0"/>
        <w:kinsoku/>
        <w:overflowPunct/>
        <w:topLinePunct w:val="0"/>
        <w:bidi w:val="0"/>
        <w:snapToGrid w:val="0"/>
        <w:spacing w:before="120" w:beforeLines="50" w:after="50" w:line="24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技</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术</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文</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件</w:t>
      </w:r>
    </w:p>
    <w:p w14:paraId="6164148A">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547E937A">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15365C77">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732B70C5">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08B3A410">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06C9A83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6777965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796721C">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项目名称： </w:t>
      </w:r>
    </w:p>
    <w:p w14:paraId="64856AFD">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2BEE4917">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088016B0">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lang w:val="en-US" w:eastAsia="zh-CN"/>
        </w:rPr>
      </w:pPr>
    </w:p>
    <w:p w14:paraId="7373A2A6">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分标：</w:t>
      </w:r>
      <w:r>
        <w:rPr>
          <w:rFonts w:hint="eastAsia" w:ascii="宋体" w:hAnsi="宋体" w:eastAsia="宋体" w:cs="宋体"/>
          <w:bCs/>
          <w:color w:val="auto"/>
          <w:sz w:val="28"/>
          <w:szCs w:val="28"/>
          <w:highlight w:val="none"/>
        </w:rPr>
        <w:t xml:space="preserve"> </w:t>
      </w:r>
    </w:p>
    <w:p w14:paraId="5AAE4839">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1C75B228">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14:paraId="7408F349">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0DC6D6B8">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14:paraId="27FB8870">
      <w:pPr>
        <w:pageBreakBefore w:val="0"/>
        <w:kinsoku/>
        <w:overflowPunct/>
        <w:topLinePunct w:val="0"/>
        <w:bidi w:val="0"/>
        <w:snapToGrid w:val="0"/>
        <w:spacing w:before="120" w:beforeLines="50" w:after="50" w:line="240" w:lineRule="auto"/>
        <w:ind w:firstLine="64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7B82DB0D">
      <w:pPr>
        <w:rPr>
          <w:rFonts w:hint="eastAsia"/>
          <w:lang w:val="en-US" w:eastAsia="zh-CN"/>
        </w:rPr>
      </w:pPr>
      <w:r>
        <w:rPr>
          <w:rFonts w:hint="eastAsia"/>
          <w:lang w:val="en-US" w:eastAsia="zh-CN"/>
        </w:rPr>
        <w:br w:type="page"/>
      </w:r>
    </w:p>
    <w:p w14:paraId="509D108A">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2.技术文件目录</w:t>
      </w:r>
    </w:p>
    <w:p w14:paraId="1D18BE4A">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14:paraId="30214676">
      <w:pPr>
        <w:rPr>
          <w:rFonts w:hint="eastAsia"/>
          <w:lang w:val="en-US" w:eastAsia="zh-CN"/>
        </w:rPr>
      </w:pPr>
      <w:r>
        <w:rPr>
          <w:rFonts w:hint="eastAsia"/>
          <w:lang w:val="en-US" w:eastAsia="zh-CN"/>
        </w:rPr>
        <w:br w:type="page"/>
      </w:r>
    </w:p>
    <w:p w14:paraId="5D30CC3E">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3.技术要求偏离表格式</w:t>
      </w:r>
    </w:p>
    <w:p w14:paraId="6E89FB09">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p>
    <w:p w14:paraId="0CC7B2BA">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技术要求偏离表</w:t>
      </w:r>
    </w:p>
    <w:p w14:paraId="1039BC20">
      <w:pPr>
        <w:pageBreakBefore w:val="0"/>
        <w:kinsoku/>
        <w:overflowPunct/>
        <w:topLinePunct w:val="0"/>
        <w:bidi w:val="0"/>
        <w:spacing w:line="240" w:lineRule="auto"/>
        <w:rPr>
          <w:rFonts w:hint="eastAsia" w:ascii="宋体" w:hAnsi="宋体" w:eastAsia="宋体" w:cs="宋体"/>
          <w:color w:val="auto"/>
          <w:kern w:val="0"/>
          <w:sz w:val="21"/>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E12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DD46E7E">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vAlign w:val="center"/>
          </w:tcPr>
          <w:p w14:paraId="6C4C9638">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1834" w:type="dxa"/>
            <w:vAlign w:val="center"/>
          </w:tcPr>
          <w:p w14:paraId="75F89ABB">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c>
          <w:tcPr>
            <w:tcW w:w="2181" w:type="dxa"/>
            <w:vAlign w:val="center"/>
          </w:tcPr>
          <w:p w14:paraId="1F8DB586">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934" w:type="dxa"/>
            <w:vAlign w:val="center"/>
          </w:tcPr>
          <w:p w14:paraId="7CA323D3">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0E11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3FF8994">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43" w:type="dxa"/>
            <w:vAlign w:val="center"/>
          </w:tcPr>
          <w:p w14:paraId="6EE4FB0A">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834" w:type="dxa"/>
            <w:vAlign w:val="center"/>
          </w:tcPr>
          <w:p w14:paraId="17168838">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81" w:type="dxa"/>
            <w:vAlign w:val="center"/>
          </w:tcPr>
          <w:p w14:paraId="032751AA">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934" w:type="dxa"/>
            <w:vAlign w:val="center"/>
          </w:tcPr>
          <w:p w14:paraId="5FDF606A">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r>
      <w:tr w14:paraId="36DE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6CD412">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1E37CAF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4F81348F">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45E3E979">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0E45A946">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6D5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C4B2902">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44D55035">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5226B4B3">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129C1637">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1CC6A5A0">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1E3E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4B41129">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6A6C8E6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3A8880DF">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7BCD74C0">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0736B65E">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0608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5125DCA">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384A572E">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158E905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68794CD4">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31FAC3BE">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4993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BEF1522">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4A11413E">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0597A315">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0013F9AD">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1B7275E2">
            <w:pPr>
              <w:pageBreakBefore w:val="0"/>
              <w:kinsoku/>
              <w:overflowPunct/>
              <w:topLinePunct w:val="0"/>
              <w:bidi w:val="0"/>
              <w:spacing w:line="240" w:lineRule="auto"/>
              <w:rPr>
                <w:rFonts w:hint="eastAsia" w:ascii="宋体" w:hAnsi="宋体" w:eastAsia="宋体" w:cs="宋体"/>
                <w:color w:val="auto"/>
                <w:sz w:val="24"/>
                <w:szCs w:val="24"/>
                <w:highlight w:val="none"/>
              </w:rPr>
            </w:pPr>
          </w:p>
        </w:tc>
      </w:tr>
    </w:tbl>
    <w:p w14:paraId="750F01C2">
      <w:pPr>
        <w:pageBreakBefore w:val="0"/>
        <w:kinsoku/>
        <w:overflowPunct/>
        <w:topLinePunct w:val="0"/>
        <w:bidi w:val="0"/>
        <w:spacing w:line="240" w:lineRule="auto"/>
        <w:rPr>
          <w:rFonts w:hint="eastAsia" w:ascii="宋体" w:hAnsi="宋体" w:eastAsia="宋体" w:cs="宋体"/>
          <w:b/>
          <w:bCs/>
          <w:color w:val="auto"/>
          <w:kern w:val="0"/>
          <w:sz w:val="24"/>
          <w:szCs w:val="24"/>
          <w:highlight w:val="none"/>
        </w:rPr>
      </w:pPr>
    </w:p>
    <w:p w14:paraId="249DA304">
      <w:pPr>
        <w:pageBreakBefore w:val="0"/>
        <w:kinsoku/>
        <w:overflowPunct/>
        <w:topLinePunct w:val="0"/>
        <w:bidi w:val="0"/>
        <w:spacing w:line="24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w:t>
      </w:r>
    </w:p>
    <w:p w14:paraId="76D4AE86">
      <w:pPr>
        <w:pageBreakBefore w:val="0"/>
        <w:kinsoku/>
        <w:overflowPunct/>
        <w:topLinePunct w:val="0"/>
        <w:bidi w:val="0"/>
        <w:spacing w:line="24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1.说明：应对照</w:t>
      </w:r>
      <w:r>
        <w:rPr>
          <w:rFonts w:hint="eastAsia" w:ascii="宋体" w:hAnsi="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文件“第二章 采购需求”中的“技术要求”</w:t>
      </w:r>
      <w:r>
        <w:rPr>
          <w:rFonts w:hint="eastAsia" w:ascii="宋体" w:hAnsi="宋体" w:eastAsia="宋体" w:cs="宋体"/>
          <w:b/>
          <w:bCs/>
          <w:color w:val="auto"/>
          <w:kern w:val="0"/>
          <w:sz w:val="24"/>
          <w:szCs w:val="24"/>
          <w:highlight w:val="none"/>
        </w:rPr>
        <w:t>逐条</w:t>
      </w:r>
      <w:r>
        <w:rPr>
          <w:rFonts w:hint="eastAsia" w:ascii="宋体" w:hAnsi="宋体" w:eastAsia="宋体" w:cs="宋体"/>
          <w:color w:val="auto"/>
          <w:kern w:val="0"/>
          <w:sz w:val="24"/>
          <w:szCs w:val="24"/>
          <w:highlight w:val="none"/>
        </w:rPr>
        <w:t>作明确的投标响应，并作出偏离说明。</w:t>
      </w:r>
    </w:p>
    <w:p w14:paraId="01870428">
      <w:pPr>
        <w:pageBreakBefore w:val="0"/>
        <w:kinsoku/>
        <w:overflowPunct/>
        <w:topLinePunct w:val="0"/>
        <w:bidi w:val="0"/>
        <w:spacing w:line="240" w:lineRule="auto"/>
        <w:contextualSpacing/>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2.投标人应根据自身的承诺，对照</w:t>
      </w:r>
      <w:r>
        <w:rPr>
          <w:rFonts w:hint="eastAsia" w:ascii="宋体" w:hAnsi="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文件要求，在“偏离说明”中注明“</w:t>
      </w:r>
      <w:r>
        <w:rPr>
          <w:rFonts w:hint="eastAsia" w:ascii="宋体" w:hAnsi="宋体" w:eastAsia="宋体" w:cs="宋体"/>
          <w:b/>
          <w:bCs/>
          <w:color w:val="auto"/>
          <w:kern w:val="0"/>
          <w:sz w:val="24"/>
          <w:szCs w:val="24"/>
          <w:highlight w:val="none"/>
        </w:rPr>
        <w:t>正偏离</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负偏离</w:t>
      </w:r>
      <w:r>
        <w:rPr>
          <w:rFonts w:hint="eastAsia" w:ascii="宋体" w:hAnsi="宋体" w:eastAsia="宋体" w:cs="宋体"/>
          <w:color w:val="auto"/>
          <w:kern w:val="0"/>
          <w:sz w:val="24"/>
          <w:szCs w:val="24"/>
          <w:highlight w:val="none"/>
        </w:rPr>
        <w:t>”或者“</w:t>
      </w:r>
      <w:r>
        <w:rPr>
          <w:rFonts w:hint="eastAsia" w:ascii="宋体" w:hAnsi="宋体" w:eastAsia="宋体" w:cs="宋体"/>
          <w:b/>
          <w:bCs/>
          <w:color w:val="auto"/>
          <w:kern w:val="0"/>
          <w:sz w:val="24"/>
          <w:szCs w:val="24"/>
          <w:highlight w:val="none"/>
        </w:rPr>
        <w:t>无偏离</w:t>
      </w:r>
      <w:r>
        <w:rPr>
          <w:rFonts w:hint="eastAsia" w:ascii="宋体" w:hAnsi="宋体" w:eastAsia="宋体" w:cs="宋体"/>
          <w:color w:val="auto"/>
          <w:kern w:val="0"/>
          <w:sz w:val="24"/>
          <w:szCs w:val="24"/>
          <w:highlight w:val="none"/>
        </w:rPr>
        <w:t>”。既不属于“</w:t>
      </w:r>
      <w:r>
        <w:rPr>
          <w:rFonts w:hint="eastAsia" w:ascii="宋体" w:hAnsi="宋体" w:eastAsia="宋体" w:cs="宋体"/>
          <w:b/>
          <w:bCs/>
          <w:color w:val="auto"/>
          <w:kern w:val="0"/>
          <w:sz w:val="24"/>
          <w:szCs w:val="24"/>
          <w:highlight w:val="none"/>
        </w:rPr>
        <w:t>正偏离</w:t>
      </w:r>
      <w:r>
        <w:rPr>
          <w:rFonts w:hint="eastAsia" w:ascii="宋体" w:hAnsi="宋体" w:eastAsia="宋体" w:cs="宋体"/>
          <w:color w:val="auto"/>
          <w:kern w:val="0"/>
          <w:sz w:val="24"/>
          <w:szCs w:val="24"/>
          <w:highlight w:val="none"/>
        </w:rPr>
        <w:t>”也不属于“</w:t>
      </w:r>
      <w:r>
        <w:rPr>
          <w:rFonts w:hint="eastAsia" w:ascii="宋体" w:hAnsi="宋体" w:eastAsia="宋体" w:cs="宋体"/>
          <w:b/>
          <w:bCs/>
          <w:color w:val="auto"/>
          <w:kern w:val="0"/>
          <w:sz w:val="24"/>
          <w:szCs w:val="24"/>
          <w:highlight w:val="none"/>
        </w:rPr>
        <w:t>负偏离</w:t>
      </w:r>
      <w:r>
        <w:rPr>
          <w:rFonts w:hint="eastAsia" w:ascii="宋体" w:hAnsi="宋体" w:eastAsia="宋体" w:cs="宋体"/>
          <w:color w:val="auto"/>
          <w:kern w:val="0"/>
          <w:sz w:val="24"/>
          <w:szCs w:val="24"/>
          <w:highlight w:val="none"/>
        </w:rPr>
        <w:t>”即为“</w:t>
      </w:r>
      <w:r>
        <w:rPr>
          <w:rFonts w:hint="eastAsia" w:ascii="宋体" w:hAnsi="宋体" w:eastAsia="宋体" w:cs="宋体"/>
          <w:b/>
          <w:bCs/>
          <w:color w:val="auto"/>
          <w:kern w:val="0"/>
          <w:sz w:val="24"/>
          <w:szCs w:val="24"/>
          <w:highlight w:val="none"/>
        </w:rPr>
        <w:t>无偏离</w:t>
      </w:r>
      <w:r>
        <w:rPr>
          <w:rFonts w:hint="eastAsia" w:ascii="宋体" w:hAnsi="宋体" w:eastAsia="宋体" w:cs="宋体"/>
          <w:color w:val="auto"/>
          <w:kern w:val="0"/>
          <w:sz w:val="24"/>
          <w:szCs w:val="24"/>
          <w:highlight w:val="none"/>
        </w:rPr>
        <w:t>”。</w:t>
      </w:r>
    </w:p>
    <w:p w14:paraId="4A16BDD2">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14:paraId="49A5AF9E">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14:paraId="26E1F6BD">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14:paraId="6D745EEA">
      <w:pPr>
        <w:pageBreakBefore w:val="0"/>
        <w:kinsoku/>
        <w:overflowPunct/>
        <w:topLinePunct w:val="0"/>
        <w:bidi w:val="0"/>
        <w:snapToGrid w:val="0"/>
        <w:spacing w:before="50" w:after="50" w:line="240" w:lineRule="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法定代表人或者委托代理人</w:t>
      </w:r>
      <w:r>
        <w:rPr>
          <w:rFonts w:hint="eastAsia" w:ascii="宋体" w:hAnsi="宋体" w:eastAsia="宋体" w:cs="宋体"/>
          <w:color w:val="auto"/>
          <w:spacing w:val="20"/>
          <w:sz w:val="24"/>
          <w:szCs w:val="24"/>
          <w:highlight w:val="none"/>
        </w:rPr>
        <w:t>（签名）：</w:t>
      </w:r>
      <w:r>
        <w:rPr>
          <w:rFonts w:hint="eastAsia" w:ascii="宋体" w:hAnsi="宋体" w:eastAsia="宋体" w:cs="宋体"/>
          <w:color w:val="auto"/>
          <w:spacing w:val="20"/>
          <w:sz w:val="24"/>
          <w:szCs w:val="24"/>
          <w:highlight w:val="none"/>
          <w:u w:val="single"/>
        </w:rPr>
        <w:t xml:space="preserve">        </w:t>
      </w:r>
    </w:p>
    <w:p w14:paraId="65B4EFC9">
      <w:pPr>
        <w:pageBreakBefore w:val="0"/>
        <w:kinsoku/>
        <w:overflowPunct/>
        <w:topLinePunct w:val="0"/>
        <w:bidi w:val="0"/>
        <w:snapToGrid w:val="0"/>
        <w:spacing w:before="50" w:after="50" w:line="240" w:lineRule="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rPr>
        <w:t>投标人（公章）：</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 xml:space="preserve">              日 期：</w:t>
      </w:r>
      <w:r>
        <w:rPr>
          <w:rFonts w:hint="eastAsia" w:ascii="宋体" w:hAnsi="宋体" w:eastAsia="宋体" w:cs="宋体"/>
          <w:color w:val="auto"/>
          <w:spacing w:val="20"/>
          <w:sz w:val="24"/>
          <w:szCs w:val="24"/>
          <w:highlight w:val="none"/>
          <w:u w:val="single"/>
        </w:rPr>
        <w:t xml:space="preserve">        </w:t>
      </w:r>
    </w:p>
    <w:p w14:paraId="19D842D6">
      <w:pPr>
        <w:rPr>
          <w:rFonts w:hint="eastAsia"/>
          <w:sz w:val="24"/>
          <w:szCs w:val="24"/>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sz w:val="24"/>
          <w:szCs w:val="24"/>
          <w:lang w:val="en-US" w:eastAsia="zh-CN"/>
        </w:rPr>
        <w:br w:type="page"/>
      </w:r>
    </w:p>
    <w:p w14:paraId="5FDC4DB3">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4.服务方案</w:t>
      </w:r>
    </w:p>
    <w:p w14:paraId="4AA07E48">
      <w:pPr>
        <w:rPr>
          <w:rFonts w:hint="eastAsia"/>
          <w:sz w:val="24"/>
          <w:szCs w:val="24"/>
          <w:lang w:val="en-US" w:eastAsia="zh-CN"/>
        </w:rPr>
      </w:pPr>
    </w:p>
    <w:p w14:paraId="1685C41A">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Times New Roman"/>
          <w:b/>
          <w:bCs/>
          <w:kern w:val="2"/>
          <w:sz w:val="24"/>
          <w:szCs w:val="24"/>
          <w:lang w:val="en-US" w:eastAsia="zh-CN" w:bidi="ar-SA"/>
        </w:rPr>
        <w:t>【</w:t>
      </w:r>
      <w:r>
        <w:rPr>
          <w:rFonts w:hint="eastAsia" w:ascii="宋体" w:hAnsi="宋体" w:eastAsia="宋体" w:cs="Times New Roman"/>
          <w:b/>
          <w:bCs/>
          <w:kern w:val="2"/>
          <w:sz w:val="24"/>
          <w:szCs w:val="24"/>
          <w:lang w:val="en-US" w:eastAsia="zh-CN" w:bidi="ar-SA"/>
        </w:rPr>
        <w:t>必须提供，格式自拟</w:t>
      </w:r>
      <w:r>
        <w:rPr>
          <w:rFonts w:hint="eastAsia" w:ascii="宋体" w:hAnsi="宋体" w:cs="Times New Roman"/>
          <w:b/>
          <w:bCs/>
          <w:kern w:val="2"/>
          <w:sz w:val="24"/>
          <w:szCs w:val="24"/>
          <w:lang w:val="en-US" w:eastAsia="zh-CN" w:bidi="ar-SA"/>
        </w:rPr>
        <w:t>】</w:t>
      </w:r>
    </w:p>
    <w:p w14:paraId="6BF89B6D">
      <w:pPr>
        <w:rPr>
          <w:rFonts w:hint="default"/>
          <w:sz w:val="24"/>
          <w:szCs w:val="24"/>
          <w:lang w:val="en-US" w:eastAsia="zh-CN"/>
        </w:rPr>
        <w:sectPr>
          <w:pgSz w:w="11906" w:h="16838"/>
          <w:pgMar w:top="1440" w:right="1080" w:bottom="1440" w:left="1080" w:header="851" w:footer="992" w:gutter="0"/>
          <w:pgNumType w:fmt="decimal"/>
          <w:cols w:space="425" w:num="1"/>
          <w:docGrid w:type="lines" w:linePitch="312" w:charSpace="0"/>
        </w:sectPr>
      </w:pPr>
    </w:p>
    <w:p w14:paraId="60EB09F2">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.项目实施人员一览表格式</w:t>
      </w:r>
    </w:p>
    <w:p w14:paraId="07D4F7E7">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p>
    <w:p w14:paraId="7015CD7C">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项目实施人员一览表</w:t>
      </w:r>
    </w:p>
    <w:p w14:paraId="7462A21D">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8"/>
          <w:szCs w:val="28"/>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611"/>
        <w:gridCol w:w="4888"/>
        <w:gridCol w:w="922"/>
        <w:gridCol w:w="1698"/>
        <w:gridCol w:w="1232"/>
      </w:tblGrid>
      <w:tr w14:paraId="4E81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5C9678E">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0" w:type="auto"/>
            <w:vAlign w:val="center"/>
          </w:tcPr>
          <w:p w14:paraId="339F8110">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0" w:type="auto"/>
            <w:vAlign w:val="center"/>
          </w:tcPr>
          <w:p w14:paraId="5A886605">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专业技术资格（职称）或者职业资格或者执业资格证或者其他证书</w:t>
            </w:r>
          </w:p>
        </w:tc>
        <w:tc>
          <w:tcPr>
            <w:tcW w:w="0" w:type="auto"/>
            <w:vAlign w:val="center"/>
          </w:tcPr>
          <w:p w14:paraId="3DFB2A82">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0" w:type="auto"/>
            <w:vAlign w:val="center"/>
          </w:tcPr>
          <w:p w14:paraId="7579EA19">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参加本单位工作时间</w:t>
            </w:r>
          </w:p>
        </w:tc>
        <w:tc>
          <w:tcPr>
            <w:tcW w:w="0" w:type="auto"/>
            <w:vAlign w:val="center"/>
          </w:tcPr>
          <w:p w14:paraId="69A239FC">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劳动合同编号</w:t>
            </w:r>
          </w:p>
        </w:tc>
      </w:tr>
      <w:tr w14:paraId="6F10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86D70B8">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3F6B51AF">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67EC2DDD">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7E1AF34F">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0E953AE7">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474CD56A">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r>
      <w:tr w14:paraId="5F92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7C103E">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06AF9219">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67418288">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3C87AAA4">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74E195DE">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73055C68">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r>
      <w:tr w14:paraId="2AE5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DE075D0">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315E83C2">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6E1E707C">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03D2AB61">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1BD19D56">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2468C942">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r>
    </w:tbl>
    <w:p w14:paraId="49F5FFF1">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4"/>
          <w:szCs w:val="24"/>
          <w:highlight w:val="none"/>
        </w:rPr>
      </w:pPr>
    </w:p>
    <w:p w14:paraId="19FA83F9">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9C8C7FF">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1.在填写时，如本表格不适合投标单位的实际情况，可根据本表格式自行制表填写。</w:t>
      </w:r>
    </w:p>
    <w:p w14:paraId="4D966E20">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2.投标人应当附本表所列证书的复印件并加盖投标人公章。</w:t>
      </w:r>
    </w:p>
    <w:p w14:paraId="3212BAE4">
      <w:pPr>
        <w:pageBreakBefore w:val="0"/>
        <w:kinsoku/>
        <w:overflowPunct/>
        <w:topLinePunct w:val="0"/>
        <w:bidi w:val="0"/>
        <w:spacing w:line="240" w:lineRule="auto"/>
        <w:contextualSpacing/>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法定代表人或者委托代理人</w:t>
      </w:r>
      <w:r>
        <w:rPr>
          <w:rFonts w:hint="eastAsia" w:ascii="宋体" w:hAnsi="宋体" w:eastAsia="宋体" w:cs="宋体"/>
          <w:color w:val="auto"/>
          <w:spacing w:val="20"/>
          <w:sz w:val="24"/>
          <w:szCs w:val="24"/>
          <w:highlight w:val="none"/>
        </w:rPr>
        <w:t>（签名）：</w:t>
      </w:r>
      <w:r>
        <w:rPr>
          <w:rFonts w:hint="eastAsia" w:ascii="宋体" w:hAnsi="宋体" w:eastAsia="宋体" w:cs="宋体"/>
          <w:color w:val="auto"/>
          <w:spacing w:val="20"/>
          <w:sz w:val="24"/>
          <w:szCs w:val="24"/>
          <w:highlight w:val="none"/>
          <w:u w:val="single"/>
        </w:rPr>
        <w:t xml:space="preserve">        </w:t>
      </w:r>
    </w:p>
    <w:p w14:paraId="5DE94505">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投标人（公章）：</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 xml:space="preserve">              日 期：</w:t>
      </w:r>
      <w:r>
        <w:rPr>
          <w:rFonts w:hint="eastAsia" w:ascii="宋体" w:hAnsi="宋体" w:eastAsia="宋体" w:cs="宋体"/>
          <w:color w:val="auto"/>
          <w:spacing w:val="20"/>
          <w:sz w:val="24"/>
          <w:szCs w:val="24"/>
          <w:highlight w:val="none"/>
          <w:u w:val="single"/>
        </w:rPr>
        <w:t xml:space="preserve">         </w:t>
      </w:r>
    </w:p>
    <w:p w14:paraId="566A5711">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14:paraId="2653C26D">
      <w:pPr>
        <w:rPr>
          <w:rFonts w:hint="eastAsia"/>
          <w:lang w:val="en-US" w:eastAsia="zh-CN"/>
        </w:rPr>
      </w:pPr>
      <w:r>
        <w:rPr>
          <w:rFonts w:hint="eastAsia"/>
          <w:lang w:val="en-US" w:eastAsia="zh-CN"/>
        </w:rPr>
        <w:br w:type="page"/>
      </w:r>
    </w:p>
    <w:p w14:paraId="28CDF9D6">
      <w:pPr>
        <w:pageBreakBefore w:val="0"/>
        <w:kinsoku/>
        <w:overflowPunct/>
        <w:topLinePunct w:val="0"/>
        <w:bidi w:val="0"/>
        <w:spacing w:line="240" w:lineRule="auto"/>
        <w:contextualSpacing/>
        <w:jc w:val="left"/>
        <w:rPr>
          <w:rFonts w:hint="eastAsia" w:ascii="宋体" w:hAnsi="宋体" w:eastAsia="宋体" w:cs="宋体"/>
          <w:b/>
          <w:color w:val="auto"/>
          <w:sz w:val="21"/>
          <w:szCs w:val="21"/>
          <w:highlight w:val="none"/>
        </w:rPr>
      </w:pPr>
      <w:r>
        <w:rPr>
          <w:rFonts w:hint="eastAsia" w:ascii="宋体" w:hAnsi="宋体" w:eastAsia="宋体" w:cs="宋体"/>
          <w:b/>
          <w:color w:val="auto"/>
          <w:sz w:val="32"/>
          <w:szCs w:val="32"/>
          <w:highlight w:val="none"/>
        </w:rPr>
        <w:t>五、其他文书、文件格式</w:t>
      </w:r>
    </w:p>
    <w:p w14:paraId="46EA43BD">
      <w:pPr>
        <w:pageBreakBefore w:val="0"/>
        <w:kinsoku/>
        <w:overflowPunct/>
        <w:topLinePunct w:val="0"/>
        <w:bidi w:val="0"/>
        <w:spacing w:line="240" w:lineRule="auto"/>
        <w:jc w:val="left"/>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1.质疑函（格式）</w:t>
      </w:r>
    </w:p>
    <w:p w14:paraId="3B8D620D">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rPr>
        <w:t>质疑函（格式）</w:t>
      </w:r>
    </w:p>
    <w:p w14:paraId="355BC13A">
      <w:pPr>
        <w:pStyle w:val="12"/>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D332845">
      <w:pPr>
        <w:pStyle w:val="12"/>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A18DE0">
      <w:pPr>
        <w:pStyle w:val="12"/>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02CD10A">
      <w:pPr>
        <w:pStyle w:val="12"/>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402825F">
      <w:pPr>
        <w:pStyle w:val="12"/>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4A1FF236">
      <w:pPr>
        <w:pStyle w:val="12"/>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E96BCA9">
      <w:pPr>
        <w:pStyle w:val="12"/>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5878C94">
      <w:pPr>
        <w:pStyle w:val="12"/>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85D8E65">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3DD8C073">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159525B">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9D5A090">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3936158">
      <w:pPr>
        <w:pStyle w:val="12"/>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4C9C1C59">
      <w:pPr>
        <w:pStyle w:val="12"/>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49828EF8">
      <w:pPr>
        <w:pStyle w:val="12"/>
        <w:pageBreakBefore w:val="0"/>
        <w:kinsoku/>
        <w:overflowPunct/>
        <w:topLinePunct w:val="0"/>
        <w:bidi w:val="0"/>
        <w:spacing w:line="24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□采购结果   </w:t>
      </w:r>
    </w:p>
    <w:p w14:paraId="0AF09259">
      <w:pPr>
        <w:pStyle w:val="12"/>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35B3976B">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07E9C53">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4E7FF6D">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984492B">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175377C">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1A8CC69">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1EB9983F">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27D8A028">
      <w:pPr>
        <w:pStyle w:val="12"/>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p>
    <w:p w14:paraId="37900D28">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AF75B8A">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6F16A61">
      <w:pPr>
        <w:pStyle w:val="12"/>
        <w:pageBreakBefore w:val="0"/>
        <w:kinsoku/>
        <w:overflowPunct/>
        <w:topLinePunct w:val="0"/>
        <w:bidi w:val="0"/>
        <w:snapToGrid w:val="0"/>
        <w:spacing w:line="240" w:lineRule="auto"/>
        <w:rPr>
          <w:rFonts w:hint="eastAsia" w:ascii="宋体" w:hAnsi="宋体" w:eastAsia="宋体" w:cs="宋体"/>
          <w:b/>
          <w:color w:val="auto"/>
          <w:sz w:val="24"/>
          <w:szCs w:val="24"/>
          <w:highlight w:val="none"/>
        </w:rPr>
      </w:pPr>
    </w:p>
    <w:p w14:paraId="38FFBBD6">
      <w:pPr>
        <w:pStyle w:val="12"/>
        <w:pageBreakBefore w:val="0"/>
        <w:kinsoku/>
        <w:overflowPunct/>
        <w:topLinePunct w:val="0"/>
        <w:bidi w:val="0"/>
        <w:snapToGrid w:val="0"/>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234B481">
      <w:pPr>
        <w:pStyle w:val="12"/>
        <w:pageBreakBefore w:val="0"/>
        <w:kinsoku/>
        <w:overflowPunct/>
        <w:topLinePunct w:val="0"/>
        <w:bidi w:val="0"/>
        <w:spacing w:line="24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3DDFA60B">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167D667">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2F3ED7F">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7C34E9D">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2C64466">
      <w:pPr>
        <w:pStyle w:val="12"/>
        <w:pageBreakBefore w:val="0"/>
        <w:kinsoku/>
        <w:overflowPunct/>
        <w:topLinePunct w:val="0"/>
        <w:bidi w:val="0"/>
        <w:snapToGrid w:val="0"/>
        <w:spacing w:line="240" w:lineRule="auto"/>
        <w:rPr>
          <w:rFonts w:hint="eastAsia" w:ascii="宋体" w:hAnsi="宋体" w:eastAsia="宋体" w:cs="宋体"/>
          <w:b/>
          <w:color w:val="auto"/>
          <w:sz w:val="21"/>
          <w:szCs w:val="21"/>
          <w:highlight w:val="none"/>
        </w:rPr>
      </w:pPr>
    </w:p>
    <w:p w14:paraId="344AFFB1">
      <w:pPr>
        <w:rPr>
          <w:rFonts w:hint="eastAsia"/>
          <w:lang w:val="en-US" w:eastAsia="zh-CN"/>
        </w:rPr>
      </w:pPr>
      <w:r>
        <w:rPr>
          <w:rFonts w:hint="eastAsia"/>
          <w:lang w:val="en-US" w:eastAsia="zh-CN"/>
        </w:rPr>
        <w:br w:type="page"/>
      </w:r>
    </w:p>
    <w:p w14:paraId="0D099A23">
      <w:pPr>
        <w:pageBreakBefore w:val="0"/>
        <w:kinsoku/>
        <w:overflowPunct/>
        <w:topLinePunct w:val="0"/>
        <w:bidi w:val="0"/>
        <w:spacing w:line="240" w:lineRule="auto"/>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2.投诉书（格式）</w:t>
      </w:r>
    </w:p>
    <w:p w14:paraId="4BDE34FA">
      <w:pPr>
        <w:pageBreakBefore w:val="0"/>
        <w:kinsoku/>
        <w:overflowPunct/>
        <w:topLinePunct w:val="0"/>
        <w:bidi w:val="0"/>
        <w:spacing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投诉书（格式）</w:t>
      </w:r>
    </w:p>
    <w:p w14:paraId="69FE0645">
      <w:pPr>
        <w:pStyle w:val="12"/>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6F56B07">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7DB2B31">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8690E58">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4401566F">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F4368CA">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AF2A72">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5F8F663">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C7E73E6">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1F72DC3F">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0244379">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4F45C31">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9076748">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F52110C">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C069956">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1609E032">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0F26F77D">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654269A">
      <w:pPr>
        <w:pStyle w:val="12"/>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AB27161">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00F26552">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7D5BC97">
      <w:pPr>
        <w:pStyle w:val="12"/>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003EC56A">
      <w:pPr>
        <w:pStyle w:val="12"/>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CB314E5">
      <w:pPr>
        <w:pStyle w:val="12"/>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采购文件公告：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E431B26">
      <w:pPr>
        <w:pStyle w:val="12"/>
        <w:pageBreakBefore w:val="0"/>
        <w:kinsoku/>
        <w:overflowPunct/>
        <w:topLinePunct w:val="0"/>
        <w:bidi w:val="0"/>
        <w:spacing w:line="24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4C6A45B9">
      <w:pPr>
        <w:pStyle w:val="12"/>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4FE5468F">
      <w:pPr>
        <w:pStyle w:val="12"/>
        <w:pageBreakBefore w:val="0"/>
        <w:kinsoku/>
        <w:overflowPunct/>
        <w:topLinePunct w:val="0"/>
        <w:bidi w:val="0"/>
        <w:spacing w:line="240" w:lineRule="auto"/>
        <w:ind w:left="25" w:leftChars="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2C5511B2">
      <w:pPr>
        <w:pStyle w:val="12"/>
        <w:pageBreakBefore w:val="0"/>
        <w:kinsoku/>
        <w:overflowPunct/>
        <w:topLinePunct w:val="0"/>
        <w:bidi w:val="0"/>
        <w:spacing w:line="24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E77850C">
      <w:pPr>
        <w:pStyle w:val="12"/>
        <w:pageBreakBefore w:val="0"/>
        <w:kinsoku/>
        <w:overflowPunct/>
        <w:topLinePunct w:val="0"/>
        <w:bidi w:val="0"/>
        <w:spacing w:line="24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0383D68">
      <w:pPr>
        <w:pStyle w:val="12"/>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D96B720">
      <w:pPr>
        <w:pStyle w:val="12"/>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2CA76957">
      <w:pPr>
        <w:pStyle w:val="12"/>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B00B1A">
      <w:pPr>
        <w:pStyle w:val="12"/>
        <w:pageBreakBefore w:val="0"/>
        <w:kinsoku/>
        <w:overflowPunct/>
        <w:topLinePunct w:val="0"/>
        <w:bidi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F354A8A">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C6A5CC7">
      <w:pPr>
        <w:pStyle w:val="12"/>
        <w:pageBreakBefore w:val="0"/>
        <w:kinsoku/>
        <w:overflowPunct/>
        <w:topLinePunct w:val="0"/>
        <w:bidi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EF49459">
      <w:pPr>
        <w:pStyle w:val="12"/>
        <w:pageBreakBefore w:val="0"/>
        <w:kinsoku/>
        <w:overflowPunct/>
        <w:topLinePunct w:val="0"/>
        <w:bidi w:val="0"/>
        <w:spacing w:line="24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7E787A4">
      <w:pPr>
        <w:pStyle w:val="12"/>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0C031357">
      <w:pPr>
        <w:pStyle w:val="12"/>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96A2DA1">
      <w:pPr>
        <w:pStyle w:val="12"/>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437A9ECC">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739B3F">
      <w:pPr>
        <w:pStyle w:val="12"/>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p>
    <w:p w14:paraId="0B85C5CB">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D8CDC0F">
      <w:pPr>
        <w:pStyle w:val="12"/>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p>
    <w:p w14:paraId="597CF2AD">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B4EFC9F">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6C882D8F">
      <w:pPr>
        <w:pStyle w:val="12"/>
        <w:pageBreakBefore w:val="0"/>
        <w:kinsoku/>
        <w:overflowPunct/>
        <w:topLinePunct w:val="0"/>
        <w:bidi w:val="0"/>
        <w:snapToGrid w:val="0"/>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53919D8">
      <w:pPr>
        <w:pStyle w:val="12"/>
        <w:pageBreakBefore w:val="0"/>
        <w:kinsoku/>
        <w:overflowPunct/>
        <w:topLinePunct w:val="0"/>
        <w:bidi w:val="0"/>
        <w:spacing w:line="24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3662F028">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E724C54">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0B56F43">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66CFCBC">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FD45354">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4D3A88ED"/>
    <w:p w14:paraId="4C31085E">
      <w:pPr>
        <w:pStyle w:val="18"/>
        <w:rPr>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F347F">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0FCF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F0FCF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2CB1">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41D8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641D80">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4A62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35B9B"/>
    <w:multiLevelType w:val="singleLevel"/>
    <w:tmpl w:val="C5435B9B"/>
    <w:lvl w:ilvl="0" w:tentative="0">
      <w:start w:val="36"/>
      <w:numFmt w:val="decimal"/>
      <w:lvlText w:val="%1."/>
      <w:lvlJc w:val="left"/>
      <w:pPr>
        <w:tabs>
          <w:tab w:val="left" w:pos="312"/>
        </w:tabs>
      </w:pPr>
    </w:lvl>
  </w:abstractNum>
  <w:abstractNum w:abstractNumId="1">
    <w:nsid w:val="CF50C272"/>
    <w:multiLevelType w:val="singleLevel"/>
    <w:tmpl w:val="CF50C272"/>
    <w:lvl w:ilvl="0" w:tentative="0">
      <w:start w:val="1"/>
      <w:numFmt w:val="decimal"/>
      <w:suff w:val="nothing"/>
      <w:lvlText w:val="（%1）"/>
      <w:lvlJc w:val="left"/>
    </w:lvl>
  </w:abstractNum>
  <w:abstractNum w:abstractNumId="2">
    <w:nsid w:val="EAE71651"/>
    <w:multiLevelType w:val="singleLevel"/>
    <w:tmpl w:val="EAE71651"/>
    <w:lvl w:ilvl="0" w:tentative="0">
      <w:start w:val="14"/>
      <w:numFmt w:val="decimal"/>
      <w:lvlText w:val="%1."/>
      <w:lvlJc w:val="left"/>
      <w:pPr>
        <w:tabs>
          <w:tab w:val="left" w:pos="312"/>
        </w:tabs>
      </w:pPr>
    </w:lvl>
  </w:abstractNum>
  <w:abstractNum w:abstractNumId="3">
    <w:nsid w:val="F6BEBEDD"/>
    <w:multiLevelType w:val="singleLevel"/>
    <w:tmpl w:val="F6BEBEDD"/>
    <w:lvl w:ilvl="0" w:tentative="0">
      <w:start w:val="6"/>
      <w:numFmt w:val="decimal"/>
      <w:lvlText w:val="%1."/>
      <w:lvlJc w:val="left"/>
      <w:pPr>
        <w:tabs>
          <w:tab w:val="left" w:pos="312"/>
        </w:tabs>
      </w:pPr>
    </w:lvl>
  </w:abstractNum>
  <w:abstractNum w:abstractNumId="4">
    <w:nsid w:val="FAF085C6"/>
    <w:multiLevelType w:val="singleLevel"/>
    <w:tmpl w:val="FAF085C6"/>
    <w:lvl w:ilvl="0" w:tentative="0">
      <w:start w:val="21"/>
      <w:numFmt w:val="decimal"/>
      <w:lvlText w:val="%1."/>
      <w:lvlJc w:val="left"/>
      <w:pPr>
        <w:tabs>
          <w:tab w:val="left" w:pos="312"/>
        </w:tabs>
      </w:pPr>
    </w:lvl>
  </w:abstractNum>
  <w:abstractNum w:abstractNumId="5">
    <w:nsid w:val="FDEF9BA9"/>
    <w:multiLevelType w:val="singleLevel"/>
    <w:tmpl w:val="FDEF9BA9"/>
    <w:lvl w:ilvl="0" w:tentative="0">
      <w:start w:val="6"/>
      <w:numFmt w:val="decimal"/>
      <w:suff w:val="nothing"/>
      <w:lvlText w:val="%1、"/>
      <w:lvlJc w:val="left"/>
    </w:lvl>
  </w:abstractNum>
  <w:abstractNum w:abstractNumId="6">
    <w:nsid w:val="202502F8"/>
    <w:multiLevelType w:val="singleLevel"/>
    <w:tmpl w:val="202502F8"/>
    <w:lvl w:ilvl="0" w:tentative="0">
      <w:start w:val="31"/>
      <w:numFmt w:val="decimal"/>
      <w:lvlText w:val="%1."/>
      <w:lvlJc w:val="left"/>
      <w:pPr>
        <w:tabs>
          <w:tab w:val="left" w:pos="312"/>
        </w:tabs>
      </w:pPr>
    </w:lvl>
  </w:abstractNum>
  <w:abstractNum w:abstractNumId="7">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4C601917"/>
    <w:multiLevelType w:val="singleLevel"/>
    <w:tmpl w:val="4C601917"/>
    <w:lvl w:ilvl="0" w:tentative="0">
      <w:start w:val="1"/>
      <w:numFmt w:val="decimal"/>
      <w:suff w:val="nothing"/>
      <w:lvlText w:val="（%1）"/>
      <w:lvlJc w:val="left"/>
      <w:pPr>
        <w:ind w:left="-2"/>
      </w:pPr>
    </w:lvl>
  </w:abstractNum>
  <w:abstractNum w:abstractNumId="9">
    <w:nsid w:val="5FABD14B"/>
    <w:multiLevelType w:val="singleLevel"/>
    <w:tmpl w:val="5FABD14B"/>
    <w:lvl w:ilvl="0" w:tentative="0">
      <w:start w:val="1"/>
      <w:numFmt w:val="decimal"/>
      <w:suff w:val="nothing"/>
      <w:lvlText w:val="（%1）"/>
      <w:lvlJc w:val="left"/>
    </w:lvl>
  </w:abstractNum>
  <w:num w:numId="1">
    <w:abstractNumId w:val="7"/>
  </w:num>
  <w:num w:numId="2">
    <w:abstractNumId w:val="5"/>
  </w:num>
  <w:num w:numId="3">
    <w:abstractNumId w:val="1"/>
  </w:num>
  <w:num w:numId="4">
    <w:abstractNumId w:val="2"/>
  </w:num>
  <w:num w:numId="5">
    <w:abstractNumId w:val="4"/>
  </w:num>
  <w:num w:numId="6">
    <w:abstractNumId w:val="6"/>
  </w:num>
  <w:num w:numId="7">
    <w:abstractNumId w:val="0"/>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735D1"/>
    <w:rsid w:val="029106E6"/>
    <w:rsid w:val="02B73718"/>
    <w:rsid w:val="132B1173"/>
    <w:rsid w:val="165FE300"/>
    <w:rsid w:val="22F22BBF"/>
    <w:rsid w:val="2DE8C6A5"/>
    <w:rsid w:val="2F7735D1"/>
    <w:rsid w:val="328B334B"/>
    <w:rsid w:val="37ABEB8F"/>
    <w:rsid w:val="39FDD054"/>
    <w:rsid w:val="3BDB4671"/>
    <w:rsid w:val="3DF664A4"/>
    <w:rsid w:val="3F790B11"/>
    <w:rsid w:val="3FD3F873"/>
    <w:rsid w:val="3FDD027F"/>
    <w:rsid w:val="4FBBB317"/>
    <w:rsid w:val="519D6372"/>
    <w:rsid w:val="577AF6AB"/>
    <w:rsid w:val="5A3CE52E"/>
    <w:rsid w:val="5AD96145"/>
    <w:rsid w:val="5BDC6E43"/>
    <w:rsid w:val="5CDF1EFF"/>
    <w:rsid w:val="5F370B19"/>
    <w:rsid w:val="5F4172E9"/>
    <w:rsid w:val="5FFF07D2"/>
    <w:rsid w:val="6CFD9E59"/>
    <w:rsid w:val="6E3D9710"/>
    <w:rsid w:val="6E3F7124"/>
    <w:rsid w:val="6FFF4D65"/>
    <w:rsid w:val="70227EC6"/>
    <w:rsid w:val="72E6DDEB"/>
    <w:rsid w:val="73EDA4AC"/>
    <w:rsid w:val="74BB582E"/>
    <w:rsid w:val="75E7FD2D"/>
    <w:rsid w:val="76B703B5"/>
    <w:rsid w:val="76EF4A32"/>
    <w:rsid w:val="7769983A"/>
    <w:rsid w:val="77AB83D3"/>
    <w:rsid w:val="77B2E69D"/>
    <w:rsid w:val="77BFBFF1"/>
    <w:rsid w:val="7B373A5D"/>
    <w:rsid w:val="7BD698F2"/>
    <w:rsid w:val="7BECA0D0"/>
    <w:rsid w:val="7BFBDD08"/>
    <w:rsid w:val="7BFC2E24"/>
    <w:rsid w:val="7CEF4E7F"/>
    <w:rsid w:val="7D1B316A"/>
    <w:rsid w:val="7D7F21F6"/>
    <w:rsid w:val="7DCA8056"/>
    <w:rsid w:val="7E1E1C05"/>
    <w:rsid w:val="7EFCEC65"/>
    <w:rsid w:val="7F7FC00B"/>
    <w:rsid w:val="7FBFA90C"/>
    <w:rsid w:val="7FD35244"/>
    <w:rsid w:val="7FFCC0A2"/>
    <w:rsid w:val="7FFF2B96"/>
    <w:rsid w:val="7FFF68CE"/>
    <w:rsid w:val="8D3F817E"/>
    <w:rsid w:val="9DEA1BB2"/>
    <w:rsid w:val="A5FFEC4D"/>
    <w:rsid w:val="ADCA0FCA"/>
    <w:rsid w:val="AFB9B71E"/>
    <w:rsid w:val="AFDA422E"/>
    <w:rsid w:val="AFE6D95D"/>
    <w:rsid w:val="B7FDFF82"/>
    <w:rsid w:val="BFFD819E"/>
    <w:rsid w:val="D37D5539"/>
    <w:rsid w:val="D8DBABD4"/>
    <w:rsid w:val="DAFF7160"/>
    <w:rsid w:val="DBF7853E"/>
    <w:rsid w:val="DF77495C"/>
    <w:rsid w:val="DFBF5FDB"/>
    <w:rsid w:val="DFF7E77C"/>
    <w:rsid w:val="DFFB1EE5"/>
    <w:rsid w:val="DFFD93F3"/>
    <w:rsid w:val="E4FE21F7"/>
    <w:rsid w:val="E5BE7F03"/>
    <w:rsid w:val="E7F820CB"/>
    <w:rsid w:val="E9DB2704"/>
    <w:rsid w:val="ECDA14DE"/>
    <w:rsid w:val="EFDF9C92"/>
    <w:rsid w:val="F58A7D18"/>
    <w:rsid w:val="F6FC276A"/>
    <w:rsid w:val="F7EF1E4A"/>
    <w:rsid w:val="FAF37659"/>
    <w:rsid w:val="FC97AAE1"/>
    <w:rsid w:val="FD7F6A98"/>
    <w:rsid w:val="FDBF3BF7"/>
    <w:rsid w:val="FDEE6A15"/>
    <w:rsid w:val="FEC7315B"/>
    <w:rsid w:val="FF35302F"/>
    <w:rsid w:val="FF3D4CE6"/>
    <w:rsid w:val="FF3F9C43"/>
    <w:rsid w:val="FF9FA3D4"/>
    <w:rsid w:val="FFB7D07E"/>
    <w:rsid w:val="FFFD1540"/>
    <w:rsid w:val="FFFFA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7">
    <w:name w:val="Normal Indent"/>
    <w:basedOn w:val="1"/>
    <w:unhideWhenUsed/>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styleId="8">
    <w:name w:val="index 8"/>
    <w:basedOn w:val="1"/>
    <w:next w:val="1"/>
    <w:qFormat/>
    <w:uiPriority w:val="0"/>
    <w:pPr>
      <w:ind w:left="2940"/>
    </w:pPr>
  </w:style>
  <w:style w:type="paragraph" w:styleId="9">
    <w:name w:val="annotation text"/>
    <w:basedOn w:val="1"/>
    <w:unhideWhenUsed/>
    <w:qFormat/>
    <w:uiPriority w:val="0"/>
    <w:pPr>
      <w:jc w:val="left"/>
    </w:pPr>
  </w:style>
  <w:style w:type="paragraph" w:styleId="10">
    <w:name w:val="Body Text 3"/>
    <w:basedOn w:val="1"/>
    <w:qFormat/>
    <w:uiPriority w:val="0"/>
    <w:pPr>
      <w:spacing w:line="500" w:lineRule="exact"/>
    </w:pPr>
    <w:rPr>
      <w:b/>
      <w:bCs/>
      <w:kern w:val="0"/>
      <w:sz w:val="24"/>
    </w:r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Plain Text"/>
    <w:basedOn w:val="1"/>
    <w:next w:val="8"/>
    <w:qFormat/>
    <w:uiPriority w:val="0"/>
    <w:rPr>
      <w:rFonts w:ascii="宋体" w:hAnsi="Courier New" w:cs="Courier New"/>
      <w:szCs w:val="21"/>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0"/>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TOC 标题2"/>
    <w:next w:val="1"/>
    <w:qFormat/>
    <w:uiPriority w:val="0"/>
    <w:pPr>
      <w:wordWrap w:val="0"/>
    </w:pPr>
    <w:rPr>
      <w:rFonts w:ascii="Times New Roman" w:hAnsi="Times New Roman" w:eastAsia="宋体" w:cs="Times New Roman"/>
      <w:sz w:val="32"/>
      <w:lang w:val="en-US" w:eastAsia="zh-CN" w:bidi="ar-SA"/>
    </w:rPr>
  </w:style>
  <w:style w:type="paragraph" w:customStyle="1" w:styleId="20">
    <w:name w:val="&gt;公告 正文"/>
    <w:qFormat/>
    <w:uiPriority w:val="0"/>
    <w:pPr>
      <w:spacing w:line="360" w:lineRule="auto"/>
      <w:ind w:firstLine="480" w:firstLineChars="200"/>
    </w:pPr>
    <w:rPr>
      <w:rFonts w:ascii="宋体" w:hAnsi="宋体" w:eastAsia="宋体" w:cs="Times New Roman"/>
      <w:kern w:val="2"/>
      <w:sz w:val="21"/>
      <w:szCs w:val="21"/>
      <w:lang w:val="en-US" w:eastAsia="zh-CN" w:bidi="ar-SA"/>
    </w:rPr>
  </w:style>
  <w:style w:type="paragraph" w:customStyle="1" w:styleId="21">
    <w:name w:val="样式 0正文 + 首行缩进:  2 字符1"/>
    <w:basedOn w:val="1"/>
    <w:qFormat/>
    <w:uiPriority w:val="99"/>
    <w:pPr>
      <w:spacing w:line="360" w:lineRule="auto"/>
      <w:ind w:firstLine="200" w:firstLineChars="200"/>
    </w:pPr>
    <w:rPr>
      <w:szCs w:val="20"/>
    </w:rPr>
  </w:style>
  <w:style w:type="paragraph" w:customStyle="1" w:styleId="22">
    <w:name w:val="正文2"/>
    <w:basedOn w:val="1"/>
    <w:qFormat/>
    <w:uiPriority w:val="0"/>
    <w:pPr>
      <w:adjustRightInd w:val="0"/>
      <w:spacing w:before="156" w:line="360" w:lineRule="auto"/>
      <w:ind w:firstLine="510" w:firstLineChars="200"/>
    </w:pPr>
    <w:rPr>
      <w:sz w:val="24"/>
      <w:szCs w:val="20"/>
    </w:rPr>
  </w:style>
  <w:style w:type="paragraph" w:customStyle="1" w:styleId="23">
    <w:name w:val="一级条标题"/>
    <w:basedOn w:val="24"/>
    <w:next w:val="25"/>
    <w:qFormat/>
    <w:uiPriority w:val="0"/>
    <w:pPr>
      <w:spacing w:line="240" w:lineRule="auto"/>
      <w:ind w:left="420"/>
      <w:outlineLvl w:val="2"/>
    </w:pPr>
  </w:style>
  <w:style w:type="paragraph" w:customStyle="1" w:styleId="2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11833</Words>
  <Characters>12668</Characters>
  <Lines>0</Lines>
  <Paragraphs>0</Paragraphs>
  <TotalTime>132</TotalTime>
  <ScaleCrop>false</ScaleCrop>
  <LinksUpToDate>false</LinksUpToDate>
  <CharactersWithSpaces>12769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2026-02-06T01:29:00Z</dcterms:created>
  <dc:creator>admin</dc:creator>
  <cp:lastModifiedBy>admin</cp:lastModifiedBy>
  <cp:lastPrinted>2026-02-09T08:59:15Z</cp:lastPrinted>
  <dcterms:modified xsi:type="dcterms:W3CDTF">2026-02-09T09:27:49Z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0066E71E84CD4ABDAD9863CA9C663151_13</vt:lpwstr>
  </property>
  <property fmtid="{D5CDD505-2E9C-101B-9397-08002B2CF9AE}" pid="4" name="KSOTemplateDocerSaveRecord">
    <vt:lpwstr>eyJoZGlkIjoiMDVmYmQyNGQ0MjFlMTU1ZjczZjdkY2EyMmVhNTVmNWQifQ==</vt:lpwstr>
  </property>
</Properties>
</file>